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9E114">
      <w:pPr>
        <w:rPr>
          <w:rFonts w:ascii="仿宋_GB2312" w:hAnsi="仿宋_GB2312" w:eastAsia="仿宋_GB2312" w:cs="仿宋_GB2312"/>
          <w:sz w:val="36"/>
          <w:szCs w:val="36"/>
        </w:rPr>
      </w:pPr>
    </w:p>
    <w:p w14:paraId="149A90B4">
      <w:pPr>
        <w:rPr>
          <w:rFonts w:hint="eastAsia" w:ascii="仿宋_GB2312" w:hAnsi="仿宋_GB2312" w:eastAsia="仿宋_GB2312" w:cs="仿宋_GB2312"/>
          <w:sz w:val="36"/>
          <w:szCs w:val="36"/>
        </w:rPr>
      </w:pPr>
    </w:p>
    <w:p w14:paraId="715B2793">
      <w:pPr>
        <w:rPr>
          <w:rFonts w:hint="eastAsia" w:ascii="仿宋_GB2312" w:hAnsi="仿宋_GB2312" w:eastAsia="仿宋_GB2312" w:cs="仿宋_GB2312"/>
          <w:sz w:val="36"/>
          <w:szCs w:val="36"/>
        </w:rPr>
      </w:pPr>
    </w:p>
    <w:p w14:paraId="4085F58B">
      <w:pPr>
        <w:rPr>
          <w:rFonts w:hint="eastAsia" w:ascii="仿宋_GB2312" w:hAnsi="仿宋_GB2312" w:eastAsia="仿宋_GB2312" w:cs="仿宋_GB2312"/>
          <w:sz w:val="36"/>
          <w:szCs w:val="36"/>
        </w:rPr>
      </w:pPr>
    </w:p>
    <w:p w14:paraId="32D37A7C">
      <w:pPr>
        <w:adjustRightInd w:val="0"/>
        <w:snapToGrid w:val="0"/>
        <w:jc w:val="center"/>
        <w:outlineLvl w:val="0"/>
        <w:rPr>
          <w:rFonts w:hint="eastAsia" w:ascii="楷体" w:hAnsi="楷体" w:eastAsia="楷体"/>
          <w:b/>
          <w:bCs/>
          <w:sz w:val="72"/>
          <w:szCs w:val="72"/>
          <w:lang w:eastAsia="zh-CN"/>
        </w:rPr>
      </w:pPr>
      <w:bookmarkStart w:id="0" w:name="_Toc24141"/>
      <w:bookmarkStart w:id="1" w:name="_Toc118389303"/>
      <w:r>
        <w:rPr>
          <w:rFonts w:hint="eastAsia" w:ascii="楷体" w:hAnsi="楷体" w:eastAsia="楷体"/>
          <w:b/>
          <w:bCs/>
          <w:sz w:val="72"/>
          <w:szCs w:val="72"/>
        </w:rPr>
        <w:t>建设项目</w:t>
      </w:r>
      <w:bookmarkEnd w:id="0"/>
      <w:bookmarkEnd w:id="1"/>
      <w:r>
        <w:rPr>
          <w:rFonts w:hint="eastAsia" w:ascii="楷体" w:hAnsi="楷体" w:eastAsia="楷体"/>
          <w:b/>
          <w:bCs/>
          <w:sz w:val="72"/>
          <w:szCs w:val="72"/>
          <w:lang w:eastAsia="zh-CN"/>
        </w:rPr>
        <w:t>生态环境影响报告表</w:t>
      </w:r>
    </w:p>
    <w:p w14:paraId="0DDCF7A2">
      <w:pPr>
        <w:adjustRightInd w:val="0"/>
        <w:snapToGrid w:val="0"/>
        <w:spacing w:before="249" w:beforeLines="80"/>
        <w:jc w:val="center"/>
        <w:rPr>
          <w:rFonts w:hint="eastAsia" w:ascii="楷体_GB2312" w:eastAsia="楷体_GB2312"/>
          <w:bCs/>
          <w:sz w:val="48"/>
          <w:szCs w:val="48"/>
        </w:rPr>
      </w:pPr>
      <w:r>
        <w:rPr>
          <w:rFonts w:hint="eastAsia" w:ascii="楷体_GB2312" w:eastAsia="楷体_GB2312"/>
          <w:bCs/>
          <w:sz w:val="48"/>
          <w:szCs w:val="48"/>
        </w:rPr>
        <w:t>（污染影响类）</w:t>
      </w:r>
    </w:p>
    <w:p w14:paraId="1FACA0EC">
      <w:pPr>
        <w:adjustRightInd w:val="0"/>
        <w:snapToGrid w:val="0"/>
        <w:spacing w:before="249" w:beforeLines="80"/>
        <w:jc w:val="center"/>
        <w:rPr>
          <w:rFonts w:hint="eastAsia" w:ascii="楷体_GB2312" w:eastAsia="楷体_GB2312"/>
          <w:bCs/>
          <w:color w:val="FF0000"/>
          <w:sz w:val="48"/>
          <w:szCs w:val="48"/>
        </w:rPr>
      </w:pPr>
    </w:p>
    <w:p w14:paraId="149F1853">
      <w:pPr>
        <w:jc w:val="center"/>
        <w:rPr>
          <w:rFonts w:hint="eastAsia" w:eastAsia="仿宋"/>
          <w:sz w:val="52"/>
          <w:szCs w:val="52"/>
        </w:rPr>
      </w:pPr>
    </w:p>
    <w:p w14:paraId="73F9CE0B">
      <w:pPr>
        <w:ind w:firstLine="1040"/>
        <w:rPr>
          <w:rFonts w:hint="eastAsia" w:eastAsia="仿宋"/>
          <w:sz w:val="44"/>
          <w:szCs w:val="44"/>
        </w:rPr>
      </w:pPr>
    </w:p>
    <w:p w14:paraId="6D905A72">
      <w:pPr>
        <w:ind w:firstLine="1040"/>
        <w:rPr>
          <w:rFonts w:eastAsia="仿宋"/>
          <w:sz w:val="44"/>
          <w:szCs w:val="44"/>
        </w:rPr>
      </w:pPr>
    </w:p>
    <w:p w14:paraId="5AB23029">
      <w:pPr>
        <w:ind w:firstLine="1040"/>
        <w:rPr>
          <w:rFonts w:eastAsia="仿宋"/>
          <w:sz w:val="44"/>
          <w:szCs w:val="44"/>
        </w:rPr>
      </w:pPr>
    </w:p>
    <w:p w14:paraId="7722E71A">
      <w:pPr>
        <w:adjustRightInd w:val="0"/>
        <w:snapToGrid w:val="0"/>
        <w:spacing w:line="288" w:lineRule="auto"/>
        <w:ind w:left="2689" w:leftChars="405" w:hanging="1839" w:hangingChars="511"/>
        <w:rPr>
          <w:rFonts w:ascii="仿宋_GB2312" w:eastAsia="仿宋_GB2312"/>
          <w:sz w:val="36"/>
          <w:szCs w:val="36"/>
          <w:u w:val="single"/>
        </w:rPr>
      </w:pPr>
      <w:r>
        <w:rPr>
          <w:rFonts w:hint="eastAsia" w:ascii="仿宋_GB2312" w:eastAsia="仿宋_GB2312"/>
          <w:sz w:val="36"/>
          <w:szCs w:val="36"/>
        </w:rPr>
        <w:t>项目名称：</w:t>
      </w:r>
      <w:r>
        <w:rPr>
          <w:rFonts w:hint="eastAsia" w:ascii="仿宋_GB2312" w:eastAsia="仿宋_GB2312"/>
          <w:sz w:val="36"/>
          <w:szCs w:val="36"/>
          <w:u w:val="single"/>
          <w:lang w:val="en-US" w:eastAsia="zh-CN"/>
        </w:rPr>
        <w:t>岳阳市制水一厂建设</w:t>
      </w:r>
      <w:r>
        <w:rPr>
          <w:rFonts w:hint="eastAsia" w:ascii="仿宋_GB2312" w:eastAsia="仿宋_GB2312"/>
          <w:sz w:val="36"/>
          <w:szCs w:val="36"/>
          <w:u w:val="single"/>
        </w:rPr>
        <w:t xml:space="preserve">项目 </w:t>
      </w:r>
    </w:p>
    <w:p w14:paraId="29776049">
      <w:pPr>
        <w:adjustRightInd w:val="0"/>
        <w:snapToGrid w:val="0"/>
        <w:spacing w:line="288" w:lineRule="auto"/>
        <w:ind w:firstLine="900" w:firstLineChars="250"/>
        <w:rPr>
          <w:rFonts w:hint="eastAsia" w:ascii="仿宋_GB2312" w:eastAsia="仿宋_GB2312"/>
          <w:sz w:val="36"/>
          <w:szCs w:val="36"/>
          <w:u w:val="single"/>
        </w:rPr>
      </w:pPr>
      <w:r>
        <w:rPr>
          <w:rFonts w:hint="eastAsia" w:ascii="仿宋_GB2312" w:eastAsia="仿宋_GB2312"/>
          <w:sz w:val="36"/>
          <w:szCs w:val="36"/>
        </w:rPr>
        <w:t>建设单位（盖章）：</w:t>
      </w:r>
      <w:r>
        <w:rPr>
          <w:rFonts w:hint="eastAsia" w:ascii="仿宋_GB2312" w:eastAsia="仿宋_GB2312"/>
          <w:sz w:val="36"/>
          <w:szCs w:val="36"/>
          <w:u w:val="single"/>
        </w:rPr>
        <w:t>岳阳市水务集团有限公司</w:t>
      </w:r>
    </w:p>
    <w:p w14:paraId="79E47044">
      <w:pPr>
        <w:adjustRightInd w:val="0"/>
        <w:snapToGrid w:val="0"/>
        <w:spacing w:line="288" w:lineRule="auto"/>
        <w:ind w:firstLine="900" w:firstLineChars="250"/>
        <w:rPr>
          <w:rFonts w:hint="eastAsia" w:ascii="仿宋_GB2312" w:eastAsia="仿宋_GB2312"/>
          <w:sz w:val="36"/>
          <w:szCs w:val="36"/>
          <w:u w:val="single"/>
        </w:rPr>
      </w:pPr>
      <w:r>
        <w:rPr>
          <w:rFonts w:hint="eastAsia" w:ascii="仿宋_GB2312" w:eastAsia="仿宋_GB2312"/>
          <w:sz w:val="36"/>
          <w:szCs w:val="36"/>
        </w:rPr>
        <w:t>编制日期：</w:t>
      </w:r>
      <w:r>
        <w:rPr>
          <w:rFonts w:hint="eastAsia" w:ascii="仿宋_GB2312" w:eastAsia="仿宋_GB2312"/>
          <w:sz w:val="36"/>
          <w:szCs w:val="36"/>
          <w:u w:val="single"/>
        </w:rPr>
        <w:t xml:space="preserve">  202</w:t>
      </w:r>
      <w:r>
        <w:rPr>
          <w:rFonts w:hint="eastAsia" w:ascii="仿宋_GB2312" w:eastAsia="仿宋_GB2312"/>
          <w:sz w:val="36"/>
          <w:szCs w:val="36"/>
          <w:u w:val="single"/>
          <w:lang w:val="en-US" w:eastAsia="zh-CN"/>
        </w:rPr>
        <w:t>6</w:t>
      </w:r>
      <w:r>
        <w:rPr>
          <w:rFonts w:hint="eastAsia" w:ascii="仿宋_GB2312" w:eastAsia="仿宋_GB2312"/>
          <w:sz w:val="36"/>
          <w:szCs w:val="36"/>
          <w:u w:val="single"/>
        </w:rPr>
        <w:t>年</w:t>
      </w:r>
      <w:r>
        <w:rPr>
          <w:rFonts w:hint="eastAsia" w:ascii="仿宋_GB2312" w:eastAsia="仿宋_GB2312"/>
          <w:sz w:val="36"/>
          <w:szCs w:val="36"/>
          <w:u w:val="single"/>
          <w:lang w:val="en-US" w:eastAsia="zh-CN"/>
        </w:rPr>
        <w:t>8</w:t>
      </w:r>
      <w:r>
        <w:rPr>
          <w:rFonts w:hint="eastAsia" w:ascii="仿宋_GB2312" w:eastAsia="仿宋_GB2312"/>
          <w:sz w:val="36"/>
          <w:szCs w:val="36"/>
          <w:u w:val="single"/>
        </w:rPr>
        <w:t xml:space="preserve">月  </w:t>
      </w:r>
    </w:p>
    <w:p w14:paraId="502E6729">
      <w:pPr>
        <w:adjustRightInd w:val="0"/>
        <w:snapToGrid w:val="0"/>
        <w:spacing w:line="288" w:lineRule="auto"/>
        <w:ind w:firstLine="1040"/>
        <w:rPr>
          <w:rFonts w:hint="eastAsia" w:ascii="仿宋_GB2312" w:eastAsia="仿宋_GB2312"/>
          <w:sz w:val="36"/>
          <w:szCs w:val="36"/>
        </w:rPr>
      </w:pPr>
      <w:bookmarkStart w:id="2" w:name="_Hlk57884087"/>
    </w:p>
    <w:p w14:paraId="114707F7">
      <w:pPr>
        <w:adjustRightInd w:val="0"/>
        <w:snapToGrid w:val="0"/>
        <w:spacing w:line="288" w:lineRule="auto"/>
        <w:ind w:firstLine="1040"/>
        <w:rPr>
          <w:rFonts w:hint="eastAsia" w:ascii="仿宋_GB2312" w:eastAsia="仿宋_GB2312"/>
          <w:sz w:val="36"/>
          <w:szCs w:val="36"/>
        </w:rPr>
      </w:pPr>
    </w:p>
    <w:p w14:paraId="47DECDB0">
      <w:pPr>
        <w:adjustRightInd w:val="0"/>
        <w:snapToGrid w:val="0"/>
        <w:spacing w:line="288" w:lineRule="auto"/>
        <w:ind w:firstLine="1040"/>
        <w:rPr>
          <w:rFonts w:hint="eastAsia" w:ascii="仿宋_GB2312" w:eastAsia="仿宋_GB2312"/>
          <w:sz w:val="36"/>
          <w:szCs w:val="36"/>
        </w:rPr>
      </w:pPr>
    </w:p>
    <w:p w14:paraId="41C33959">
      <w:pPr>
        <w:adjustRightInd w:val="0"/>
        <w:snapToGrid w:val="0"/>
        <w:spacing w:line="288" w:lineRule="auto"/>
        <w:ind w:firstLine="1040"/>
        <w:rPr>
          <w:rFonts w:hint="eastAsia" w:ascii="仿宋_GB2312" w:eastAsia="仿宋_GB2312"/>
          <w:sz w:val="36"/>
          <w:szCs w:val="36"/>
        </w:rPr>
      </w:pPr>
    </w:p>
    <w:p w14:paraId="381F0421">
      <w:pPr>
        <w:adjustRightInd w:val="0"/>
        <w:snapToGrid w:val="0"/>
        <w:spacing w:line="288" w:lineRule="auto"/>
        <w:ind w:firstLine="1040"/>
        <w:rPr>
          <w:rFonts w:hint="eastAsia" w:ascii="仿宋_GB2312" w:eastAsia="仿宋_GB2312"/>
          <w:sz w:val="36"/>
          <w:szCs w:val="36"/>
        </w:rPr>
      </w:pPr>
    </w:p>
    <w:bookmarkEnd w:id="2"/>
    <w:p w14:paraId="5F9D4046">
      <w:pPr>
        <w:adjustRightInd w:val="0"/>
        <w:snapToGrid w:val="0"/>
        <w:spacing w:line="288" w:lineRule="auto"/>
        <w:jc w:val="center"/>
        <w:rPr>
          <w:rFonts w:hint="eastAsia" w:ascii="楷体_GB2312" w:eastAsia="楷体_GB2312"/>
          <w:sz w:val="36"/>
          <w:szCs w:val="36"/>
        </w:rPr>
      </w:pPr>
      <w:r>
        <w:rPr>
          <w:rFonts w:hint="eastAsia" w:ascii="楷体_GB2312" w:eastAsia="楷体_GB2312"/>
          <w:sz w:val="36"/>
          <w:szCs w:val="36"/>
        </w:rPr>
        <w:t>中华人民共和国生态环境部制</w:t>
      </w:r>
    </w:p>
    <w:p w14:paraId="0EC1D104"/>
    <w:p w14:paraId="4909C651">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A83D8FE">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eastAsia="仿宋_GB2312"/>
          <w:sz w:val="28"/>
          <w:szCs w:val="28"/>
        </w:rPr>
        <w:drawing>
          <wp:inline distT="0" distB="0" distL="114300" distR="114300">
            <wp:extent cx="5273040" cy="7522210"/>
            <wp:effectExtent l="0" t="0" r="3810" b="2540"/>
            <wp:docPr id="211" name="图片 211" descr="11_00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descr="11_000211"/>
                    <pic:cNvPicPr>
                      <a:picLocks noChangeAspect="1"/>
                    </pic:cNvPicPr>
                  </pic:nvPicPr>
                  <pic:blipFill>
                    <a:blip r:embed="rId8"/>
                    <a:stretch>
                      <a:fillRect/>
                    </a:stretch>
                  </pic:blipFill>
                  <pic:spPr>
                    <a:xfrm>
                      <a:off x="0" y="0"/>
                      <a:ext cx="5273040" cy="7522210"/>
                    </a:xfrm>
                    <a:prstGeom prst="rect">
                      <a:avLst/>
                    </a:prstGeom>
                  </pic:spPr>
                </pic:pic>
              </a:graphicData>
            </a:graphic>
          </wp:inline>
        </w:drawing>
      </w:r>
      <w:r>
        <w:rPr>
          <w:rFonts w:eastAsia="仿宋_GB2312"/>
          <w:sz w:val="28"/>
          <w:szCs w:val="28"/>
        </w:rPr>
        <w:drawing>
          <wp:inline distT="0" distB="0" distL="114300" distR="114300">
            <wp:extent cx="5270500" cy="7482840"/>
            <wp:effectExtent l="0" t="0" r="6350" b="3810"/>
            <wp:docPr id="212" name="图片 212" descr="编制单位承诺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descr="编制单位承诺书_01"/>
                    <pic:cNvPicPr>
                      <a:picLocks noChangeAspect="1"/>
                    </pic:cNvPicPr>
                  </pic:nvPicPr>
                  <pic:blipFill>
                    <a:blip r:embed="rId9"/>
                    <a:stretch>
                      <a:fillRect/>
                    </a:stretch>
                  </pic:blipFill>
                  <pic:spPr>
                    <a:xfrm>
                      <a:off x="0" y="0"/>
                      <a:ext cx="5270500" cy="7482840"/>
                    </a:xfrm>
                    <a:prstGeom prst="rect">
                      <a:avLst/>
                    </a:prstGeom>
                  </pic:spPr>
                </pic:pic>
              </a:graphicData>
            </a:graphic>
          </wp:inline>
        </w:drawing>
      </w:r>
      <w:r>
        <w:rPr>
          <w:rFonts w:eastAsia="仿宋_GB2312"/>
          <w:sz w:val="28"/>
          <w:szCs w:val="28"/>
        </w:rPr>
        <w:drawing>
          <wp:inline distT="0" distB="0" distL="114300" distR="114300">
            <wp:extent cx="5273675" cy="7733665"/>
            <wp:effectExtent l="0" t="0" r="3175" b="635"/>
            <wp:docPr id="214" name="图片 214" descr="统一社会信用代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统一社会信用代码_01"/>
                    <pic:cNvPicPr>
                      <a:picLocks noChangeAspect="1"/>
                    </pic:cNvPicPr>
                  </pic:nvPicPr>
                  <pic:blipFill>
                    <a:blip r:embed="rId10"/>
                    <a:stretch>
                      <a:fillRect/>
                    </a:stretch>
                  </pic:blipFill>
                  <pic:spPr>
                    <a:xfrm>
                      <a:off x="0" y="0"/>
                      <a:ext cx="5273675" cy="7733665"/>
                    </a:xfrm>
                    <a:prstGeom prst="rect">
                      <a:avLst/>
                    </a:prstGeom>
                  </pic:spPr>
                </pic:pic>
              </a:graphicData>
            </a:graphic>
          </wp:inline>
        </w:drawing>
      </w:r>
      <w:r>
        <w:rPr>
          <w:rFonts w:eastAsia="仿宋_GB2312"/>
          <w:sz w:val="28"/>
          <w:szCs w:val="28"/>
        </w:rPr>
        <w:drawing>
          <wp:inline distT="0" distB="0" distL="114300" distR="114300">
            <wp:extent cx="5203825" cy="7591425"/>
            <wp:effectExtent l="0" t="0" r="15875" b="9525"/>
            <wp:docPr id="213" name="图片 213" descr="统一社会信用代码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descr="统一社会信用代码_02"/>
                    <pic:cNvPicPr>
                      <a:picLocks noChangeAspect="1"/>
                    </pic:cNvPicPr>
                  </pic:nvPicPr>
                  <pic:blipFill>
                    <a:blip r:embed="rId11"/>
                    <a:stretch>
                      <a:fillRect/>
                    </a:stretch>
                  </pic:blipFill>
                  <pic:spPr>
                    <a:xfrm>
                      <a:off x="0" y="0"/>
                      <a:ext cx="5203825" cy="7591425"/>
                    </a:xfrm>
                    <a:prstGeom prst="rect">
                      <a:avLst/>
                    </a:prstGeom>
                  </pic:spPr>
                </pic:pic>
              </a:graphicData>
            </a:graphic>
          </wp:inline>
        </w:drawing>
      </w:r>
      <w:r>
        <w:rPr>
          <w:rFonts w:eastAsia="仿宋_GB2312"/>
          <w:sz w:val="28"/>
          <w:szCs w:val="28"/>
        </w:rPr>
        <w:drawing>
          <wp:inline distT="0" distB="0" distL="114300" distR="114300">
            <wp:extent cx="4610100" cy="8715375"/>
            <wp:effectExtent l="0" t="0" r="0" b="9525"/>
            <wp:docPr id="135" name="图片 2" descr="2f3837c593c858afd1311b98f1aa9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2" descr="2f3837c593c858afd1311b98f1aa97c"/>
                    <pic:cNvPicPr>
                      <a:picLocks noChangeAspect="1"/>
                    </pic:cNvPicPr>
                  </pic:nvPicPr>
                  <pic:blipFill>
                    <a:blip r:embed="rId12"/>
                    <a:stretch>
                      <a:fillRect/>
                    </a:stretch>
                  </pic:blipFill>
                  <pic:spPr>
                    <a:xfrm>
                      <a:off x="0" y="0"/>
                      <a:ext cx="4610100" cy="8715375"/>
                    </a:xfrm>
                    <a:prstGeom prst="rect">
                      <a:avLst/>
                    </a:prstGeom>
                    <a:noFill/>
                    <a:ln>
                      <a:noFill/>
                    </a:ln>
                  </pic:spPr>
                </pic:pic>
              </a:graphicData>
            </a:graphic>
          </wp:inline>
        </w:drawing>
      </w:r>
      <w:r>
        <w:drawing>
          <wp:inline distT="0" distB="0" distL="114300" distR="114300">
            <wp:extent cx="5610860" cy="7094220"/>
            <wp:effectExtent l="0" t="0" r="8890" b="11430"/>
            <wp:docPr id="1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
                    <pic:cNvPicPr>
                      <a:picLocks noChangeAspect="1"/>
                    </pic:cNvPicPr>
                  </pic:nvPicPr>
                  <pic:blipFill>
                    <a:blip r:embed="rId13"/>
                    <a:stretch>
                      <a:fillRect/>
                    </a:stretch>
                  </pic:blipFill>
                  <pic:spPr>
                    <a:xfrm>
                      <a:off x="0" y="0"/>
                      <a:ext cx="5610860" cy="7094220"/>
                    </a:xfrm>
                    <a:prstGeom prst="rect">
                      <a:avLst/>
                    </a:prstGeom>
                    <a:noFill/>
                    <a:ln>
                      <a:noFill/>
                    </a:ln>
                  </pic:spPr>
                </pic:pic>
              </a:graphicData>
            </a:graphic>
          </wp:inline>
        </w:drawing>
      </w:r>
      <w:r>
        <w:rPr>
          <w:rFonts w:ascii="Times New Roman" w:hAnsi="Times New Roman" w:eastAsia="宋体" w:cs="Times New Roman"/>
          <w:b/>
          <w:color w:val="auto"/>
          <w:kern w:val="2"/>
          <w:sz w:val="36"/>
          <w:szCs w:val="36"/>
          <w:u w:val="none" w:color="auto"/>
          <w:lang w:val="en-US" w:eastAsia="zh-CN" w:bidi="ar-SA"/>
        </w:rPr>
        <w:drawing>
          <wp:inline distT="0" distB="0" distL="114300" distR="114300">
            <wp:extent cx="7709535" cy="5446395"/>
            <wp:effectExtent l="0" t="0" r="1905" b="5715"/>
            <wp:docPr id="148" name="图片 148" descr="保险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保险1"/>
                    <pic:cNvPicPr>
                      <a:picLocks noChangeAspect="1"/>
                    </pic:cNvPicPr>
                  </pic:nvPicPr>
                  <pic:blipFill>
                    <a:blip r:embed="rId14"/>
                    <a:stretch>
                      <a:fillRect/>
                    </a:stretch>
                  </pic:blipFill>
                  <pic:spPr>
                    <a:xfrm rot="16200000">
                      <a:off x="0" y="0"/>
                      <a:ext cx="7709535" cy="5446395"/>
                    </a:xfrm>
                    <a:prstGeom prst="rect">
                      <a:avLst/>
                    </a:prstGeom>
                  </pic:spPr>
                </pic:pic>
              </a:graphicData>
            </a:graphic>
          </wp:inline>
        </w:drawing>
      </w:r>
    </w:p>
    <w:p w14:paraId="733D1E87">
      <w:pPr>
        <w:jc w:val="center"/>
        <w:rPr>
          <w:rFonts w:hint="eastAsia"/>
          <w:b/>
          <w:sz w:val="32"/>
          <w:szCs w:val="32"/>
        </w:rPr>
      </w:pPr>
      <w:r>
        <w:rPr>
          <w:rFonts w:hint="eastAsia"/>
          <w:b/>
          <w:sz w:val="32"/>
          <w:szCs w:val="32"/>
        </w:rPr>
        <w:t>专家意见修改</w:t>
      </w:r>
      <w:r>
        <w:rPr>
          <w:rFonts w:hint="eastAsia"/>
          <w:b/>
          <w:sz w:val="32"/>
          <w:szCs w:val="32"/>
          <w:lang w:val="en-US" w:eastAsia="zh-CN"/>
        </w:rPr>
        <w:t>清单表</w:t>
      </w:r>
    </w:p>
    <w:tbl>
      <w:tblPr>
        <w:tblStyle w:val="25"/>
        <w:tblW w:w="9215" w:type="dxa"/>
        <w:tblInd w:w="-44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4645"/>
        <w:gridCol w:w="3860"/>
      </w:tblGrid>
      <w:tr w14:paraId="7149F7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710" w:type="dxa"/>
            <w:tcBorders>
              <w:tl2br w:val="nil"/>
              <w:tr2bl w:val="nil"/>
            </w:tcBorders>
            <w:vAlign w:val="center"/>
          </w:tcPr>
          <w:p w14:paraId="40DA7D3B">
            <w:pPr>
              <w:pStyle w:val="32"/>
              <w:snapToGrid/>
              <w:spacing w:before="0" w:after="0" w:line="240" w:lineRule="auto"/>
              <w:ind w:right="0"/>
              <w:contextualSpacing/>
              <w:jc w:val="center"/>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序号</w:t>
            </w:r>
          </w:p>
        </w:tc>
        <w:tc>
          <w:tcPr>
            <w:tcW w:w="4645" w:type="dxa"/>
            <w:tcBorders>
              <w:tl2br w:val="nil"/>
              <w:tr2bl w:val="nil"/>
            </w:tcBorders>
            <w:vAlign w:val="center"/>
          </w:tcPr>
          <w:p w14:paraId="7592479D">
            <w:pPr>
              <w:pStyle w:val="32"/>
              <w:snapToGrid/>
              <w:spacing w:before="0" w:after="0" w:line="240" w:lineRule="auto"/>
              <w:ind w:right="0"/>
              <w:contextualSpacing/>
              <w:jc w:val="center"/>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专家意见</w:t>
            </w:r>
          </w:p>
        </w:tc>
        <w:tc>
          <w:tcPr>
            <w:tcW w:w="3860" w:type="dxa"/>
            <w:tcBorders>
              <w:tl2br w:val="nil"/>
              <w:tr2bl w:val="nil"/>
            </w:tcBorders>
            <w:vAlign w:val="center"/>
          </w:tcPr>
          <w:p w14:paraId="3840DB41">
            <w:pPr>
              <w:pStyle w:val="32"/>
              <w:snapToGrid/>
              <w:spacing w:before="0" w:after="0" w:line="240" w:lineRule="auto"/>
              <w:ind w:right="0"/>
              <w:contextualSpacing/>
              <w:jc w:val="center"/>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修改说明</w:t>
            </w:r>
          </w:p>
        </w:tc>
      </w:tr>
      <w:tr w14:paraId="76F27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vAlign w:val="center"/>
          </w:tcPr>
          <w:p w14:paraId="4BB4E90D">
            <w:pPr>
              <w:pStyle w:val="32"/>
              <w:snapToGrid/>
              <w:spacing w:before="0" w:after="0" w:line="240" w:lineRule="auto"/>
              <w:ind w:right="0"/>
              <w:contextualSpacing/>
              <w:jc w:val="center"/>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1</w:t>
            </w:r>
          </w:p>
        </w:tc>
        <w:tc>
          <w:tcPr>
            <w:tcW w:w="4645" w:type="dxa"/>
            <w:tcBorders>
              <w:tl2br w:val="nil"/>
              <w:tr2bl w:val="nil"/>
            </w:tcBorders>
            <w:vAlign w:val="center"/>
          </w:tcPr>
          <w:p w14:paraId="4ADC4C22">
            <w:pPr>
              <w:pStyle w:val="32"/>
              <w:snapToGrid/>
              <w:spacing w:before="0" w:after="0" w:line="240" w:lineRule="auto"/>
              <w:ind w:right="0"/>
              <w:contextualSpacing/>
              <w:jc w:val="left"/>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核实项目建设性质与开工建设情况</w:t>
            </w:r>
          </w:p>
        </w:tc>
        <w:tc>
          <w:tcPr>
            <w:tcW w:w="3860" w:type="dxa"/>
            <w:tcBorders>
              <w:tl2br w:val="nil"/>
              <w:tr2bl w:val="nil"/>
            </w:tcBorders>
            <w:vAlign w:val="center"/>
          </w:tcPr>
          <w:p w14:paraId="6B6D9DEA">
            <w:pPr>
              <w:pStyle w:val="32"/>
              <w:snapToGrid/>
              <w:spacing w:before="0" w:after="0" w:line="240" w:lineRule="auto"/>
              <w:ind w:right="0"/>
              <w:contextualSpacing/>
              <w:jc w:val="left"/>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lang w:val="en-US" w:eastAsia="zh-CN"/>
              </w:rPr>
              <w:t>项目为新建补办环评</w:t>
            </w:r>
            <w:r>
              <w:rPr>
                <w:rFonts w:hint="eastAsia" w:ascii="Times New Roman" w:hAnsi="Times New Roman" w:eastAsia="宋体" w:cs="Times New Roman"/>
                <w:b w:val="0"/>
                <w:bCs w:val="0"/>
                <w:color w:val="auto"/>
                <w:szCs w:val="20"/>
              </w:rPr>
              <w:t>，项目始建于19</w:t>
            </w:r>
            <w:r>
              <w:rPr>
                <w:rFonts w:hint="eastAsia" w:ascii="Times New Roman" w:hAnsi="Times New Roman" w:eastAsia="宋体" w:cs="Times New Roman"/>
                <w:b w:val="0"/>
                <w:bCs w:val="0"/>
                <w:color w:val="auto"/>
                <w:szCs w:val="20"/>
                <w:lang w:val="en-US" w:eastAsia="zh-CN"/>
              </w:rPr>
              <w:t>70</w:t>
            </w:r>
            <w:r>
              <w:rPr>
                <w:rFonts w:hint="eastAsia" w:ascii="Times New Roman" w:hAnsi="Times New Roman" w:eastAsia="宋体" w:cs="Times New Roman"/>
                <w:b w:val="0"/>
                <w:bCs w:val="0"/>
                <w:color w:val="auto"/>
                <w:szCs w:val="20"/>
              </w:rPr>
              <w:t>年，</w:t>
            </w:r>
            <w:r>
              <w:rPr>
                <w:rFonts w:hint="eastAsia" w:ascii="Times New Roman" w:hAnsi="Times New Roman" w:eastAsia="宋体" w:cs="Times New Roman"/>
                <w:b w:val="0"/>
                <w:bCs w:val="0"/>
                <w:color w:val="auto"/>
                <w:szCs w:val="20"/>
                <w:lang w:val="en-US" w:eastAsia="zh-CN"/>
              </w:rPr>
              <w:t>并于</w:t>
            </w:r>
            <w:r>
              <w:rPr>
                <w:rFonts w:hint="eastAsia" w:ascii="Times New Roman" w:hAnsi="Times New Roman" w:eastAsia="宋体" w:cs="Times New Roman"/>
                <w:b w:val="0"/>
                <w:bCs w:val="0"/>
                <w:color w:val="auto"/>
                <w:szCs w:val="20"/>
              </w:rPr>
              <w:t>19</w:t>
            </w:r>
            <w:r>
              <w:rPr>
                <w:rFonts w:hint="eastAsia" w:ascii="Times New Roman" w:hAnsi="Times New Roman" w:eastAsia="宋体" w:cs="Times New Roman"/>
                <w:b w:val="0"/>
                <w:bCs w:val="0"/>
                <w:color w:val="auto"/>
                <w:szCs w:val="20"/>
                <w:lang w:val="en-US" w:eastAsia="zh-CN"/>
              </w:rPr>
              <w:t>76年、1984</w:t>
            </w:r>
            <w:r>
              <w:rPr>
                <w:rFonts w:hint="eastAsia" w:ascii="Times New Roman" w:hAnsi="Times New Roman" w:eastAsia="宋体" w:cs="Times New Roman"/>
                <w:b w:val="0"/>
                <w:bCs w:val="0"/>
                <w:color w:val="auto"/>
                <w:szCs w:val="20"/>
              </w:rPr>
              <w:t>年</w:t>
            </w:r>
            <w:r>
              <w:rPr>
                <w:rFonts w:hint="eastAsia" w:ascii="Times New Roman" w:hAnsi="Times New Roman" w:eastAsia="宋体" w:cs="Times New Roman"/>
                <w:b w:val="0"/>
                <w:bCs w:val="0"/>
                <w:color w:val="auto"/>
                <w:szCs w:val="20"/>
                <w:lang w:val="en-US" w:eastAsia="zh-CN"/>
              </w:rPr>
              <w:t>和1992陆续扩建完成，供水规模达到19万吨/日，详见P1</w:t>
            </w:r>
          </w:p>
        </w:tc>
      </w:tr>
      <w:tr w14:paraId="192492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54896AD8">
            <w:pPr>
              <w:pStyle w:val="32"/>
              <w:snapToGrid/>
              <w:spacing w:before="0" w:after="0" w:line="240" w:lineRule="auto"/>
              <w:ind w:right="0" w:rightChars="0"/>
              <w:contextualSpacing/>
              <w:jc w:val="center"/>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rPr>
              <w:t>2</w:t>
            </w:r>
          </w:p>
        </w:tc>
        <w:tc>
          <w:tcPr>
            <w:tcW w:w="4645" w:type="dxa"/>
            <w:tcBorders>
              <w:tl2br w:val="nil"/>
              <w:tr2bl w:val="nil"/>
            </w:tcBorders>
            <w:vAlign w:val="center"/>
          </w:tcPr>
          <w:p w14:paraId="75DBF9A4">
            <w:pPr>
              <w:pStyle w:val="32"/>
              <w:snapToGrid/>
              <w:spacing w:before="0" w:after="0" w:line="240" w:lineRule="auto"/>
              <w:ind w:right="0"/>
              <w:contextualSpacing/>
              <w:jc w:val="left"/>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完善项目由来，根据项目供水规模达到19万吨/天的时间及后期是否进行过改造等情况，说明本次开展环境影响评价的原因</w:t>
            </w:r>
          </w:p>
        </w:tc>
        <w:tc>
          <w:tcPr>
            <w:tcW w:w="3860" w:type="dxa"/>
            <w:tcBorders>
              <w:tl2br w:val="nil"/>
              <w:tr2bl w:val="nil"/>
            </w:tcBorders>
            <w:vAlign w:val="center"/>
          </w:tcPr>
          <w:p w14:paraId="21DD10A3">
            <w:pPr>
              <w:pStyle w:val="32"/>
              <w:snapToGrid/>
              <w:spacing w:before="0" w:after="0" w:line="240" w:lineRule="auto"/>
              <w:ind w:right="0"/>
              <w:contextualSpacing/>
              <w:jc w:val="left"/>
              <w:rPr>
                <w:rFonts w:hint="default" w:ascii="Times New Roman" w:hAnsi="Times New Roman" w:eastAsia="宋体" w:cs="Times New Roman"/>
                <w:b w:val="0"/>
                <w:bCs w:val="0"/>
                <w:color w:val="auto"/>
                <w:szCs w:val="20"/>
                <w:lang w:val="en-US" w:eastAsia="zh-CN"/>
              </w:rPr>
            </w:pPr>
            <w:r>
              <w:rPr>
                <w:rFonts w:hint="eastAsia" w:ascii="Times New Roman" w:eastAsia="宋体" w:cs="Times New Roman"/>
                <w:b w:val="0"/>
                <w:bCs w:val="0"/>
                <w:color w:val="auto"/>
                <w:szCs w:val="20"/>
                <w:lang w:val="en-US" w:eastAsia="zh-CN"/>
              </w:rPr>
              <w:t>补充说明项目建设背景由来，修改项目办理环评依据内容，详见P15-16</w:t>
            </w:r>
          </w:p>
        </w:tc>
      </w:tr>
      <w:tr w14:paraId="1DEDD9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5E1DD6FC">
            <w:pPr>
              <w:pStyle w:val="32"/>
              <w:snapToGrid/>
              <w:spacing w:before="0" w:after="0" w:line="240" w:lineRule="auto"/>
              <w:ind w:right="0" w:rightChars="0"/>
              <w:contextualSpacing/>
              <w:jc w:val="center"/>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rPr>
              <w:t>3</w:t>
            </w:r>
          </w:p>
        </w:tc>
        <w:tc>
          <w:tcPr>
            <w:tcW w:w="4645" w:type="dxa"/>
            <w:tcBorders>
              <w:tl2br w:val="nil"/>
              <w:tr2bl w:val="nil"/>
            </w:tcBorders>
            <w:vAlign w:val="center"/>
          </w:tcPr>
          <w:p w14:paraId="6BA40A9A">
            <w:pPr>
              <w:pStyle w:val="32"/>
              <w:snapToGrid/>
              <w:spacing w:before="0" w:after="0" w:line="240" w:lineRule="auto"/>
              <w:ind w:right="0"/>
              <w:contextualSpacing/>
              <w:jc w:val="left"/>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根据核实的项目建设内容及项目特点，核实项目是否需进行大气和生态专项评价</w:t>
            </w:r>
          </w:p>
        </w:tc>
        <w:tc>
          <w:tcPr>
            <w:tcW w:w="3860" w:type="dxa"/>
            <w:tcBorders>
              <w:tl2br w:val="nil"/>
              <w:tr2bl w:val="nil"/>
            </w:tcBorders>
            <w:vAlign w:val="center"/>
          </w:tcPr>
          <w:p w14:paraId="2132C2E8">
            <w:pPr>
              <w:pStyle w:val="32"/>
              <w:snapToGrid/>
              <w:spacing w:before="0" w:after="0" w:line="240" w:lineRule="auto"/>
              <w:ind w:right="0"/>
              <w:contextualSpacing/>
              <w:jc w:val="left"/>
              <w:rPr>
                <w:rFonts w:hint="default" w:ascii="Times New Roman" w:hAnsi="Times New Roman" w:eastAsia="宋体" w:cs="Times New Roman"/>
                <w:b w:val="0"/>
                <w:bCs w:val="0"/>
                <w:color w:val="auto"/>
                <w:szCs w:val="20"/>
                <w:lang w:val="en-US" w:eastAsia="zh-CN"/>
              </w:rPr>
            </w:pPr>
            <w:r>
              <w:rPr>
                <w:rFonts w:hint="eastAsia" w:ascii="Times New Roman" w:hAnsi="Times New Roman" w:eastAsia="宋体" w:cs="Times New Roman"/>
                <w:b w:val="0"/>
                <w:bCs w:val="0"/>
                <w:color w:val="auto"/>
                <w:szCs w:val="20"/>
                <w:lang w:val="en-US" w:eastAsia="zh-CN"/>
              </w:rPr>
              <w:t>按照项目实际情况，本次评价进行环境风险专项评价，不设置</w:t>
            </w:r>
            <w:r>
              <w:rPr>
                <w:rFonts w:hint="eastAsia" w:ascii="Times New Roman" w:hAnsi="Times New Roman" w:eastAsia="宋体" w:cs="Times New Roman"/>
                <w:b w:val="0"/>
                <w:bCs w:val="0"/>
                <w:color w:val="auto"/>
                <w:szCs w:val="20"/>
              </w:rPr>
              <w:t>大气和生态专项评价</w:t>
            </w:r>
          </w:p>
        </w:tc>
      </w:tr>
      <w:tr w14:paraId="162F6C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3C96F65A">
            <w:pPr>
              <w:pStyle w:val="32"/>
              <w:snapToGrid/>
              <w:spacing w:before="0" w:after="0" w:line="240" w:lineRule="auto"/>
              <w:ind w:right="0" w:rightChars="0"/>
              <w:contextualSpacing/>
              <w:jc w:val="center"/>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rPr>
              <w:t>4</w:t>
            </w:r>
          </w:p>
        </w:tc>
        <w:tc>
          <w:tcPr>
            <w:tcW w:w="4645" w:type="dxa"/>
            <w:tcBorders>
              <w:tl2br w:val="nil"/>
              <w:tr2bl w:val="nil"/>
            </w:tcBorders>
            <w:vAlign w:val="center"/>
          </w:tcPr>
          <w:p w14:paraId="461CB215">
            <w:pPr>
              <w:pStyle w:val="32"/>
              <w:snapToGrid/>
              <w:spacing w:before="0" w:after="0" w:line="240" w:lineRule="auto"/>
              <w:ind w:right="0"/>
              <w:contextualSpacing/>
              <w:jc w:val="left"/>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说明项目选址及目前仍在人口密集区采取液氯消毒及大量储存液氯的环境合理性</w:t>
            </w:r>
          </w:p>
        </w:tc>
        <w:tc>
          <w:tcPr>
            <w:tcW w:w="3860" w:type="dxa"/>
            <w:tcBorders>
              <w:tl2br w:val="nil"/>
              <w:tr2bl w:val="nil"/>
            </w:tcBorders>
            <w:vAlign w:val="center"/>
          </w:tcPr>
          <w:p w14:paraId="7CE23B43">
            <w:pPr>
              <w:pStyle w:val="32"/>
              <w:snapToGrid/>
              <w:spacing w:before="0" w:after="0" w:line="240" w:lineRule="auto"/>
              <w:ind w:right="0"/>
              <w:contextualSpacing/>
              <w:jc w:val="left"/>
              <w:rPr>
                <w:rFonts w:hint="default" w:ascii="Times New Roman" w:hAnsi="Times New Roman" w:eastAsia="宋体" w:cs="Times New Roman"/>
                <w:b w:val="0"/>
                <w:bCs w:val="0"/>
                <w:color w:val="auto"/>
                <w:szCs w:val="20"/>
                <w:lang w:val="en-US" w:eastAsia="zh-CN"/>
              </w:rPr>
            </w:pPr>
            <w:r>
              <w:rPr>
                <w:rFonts w:hint="eastAsia" w:ascii="Times New Roman" w:eastAsia="宋体" w:cs="Times New Roman"/>
                <w:b w:val="0"/>
                <w:bCs w:val="0"/>
                <w:color w:val="auto"/>
                <w:szCs w:val="20"/>
                <w:lang w:val="en-US" w:eastAsia="zh-CN"/>
              </w:rPr>
              <w:t>根据项目工艺和规模分析项目采用液氯使用和储存的原有，补充分析选址的环境合理性分析内容，见P13~14</w:t>
            </w:r>
          </w:p>
        </w:tc>
      </w:tr>
      <w:tr w14:paraId="5158A6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1DD8A7B4">
            <w:pPr>
              <w:pStyle w:val="32"/>
              <w:snapToGrid/>
              <w:spacing w:before="0" w:after="0" w:line="240" w:lineRule="auto"/>
              <w:ind w:right="0" w:rightChars="0"/>
              <w:contextualSpacing/>
              <w:jc w:val="center"/>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rPr>
              <w:t>5</w:t>
            </w:r>
          </w:p>
        </w:tc>
        <w:tc>
          <w:tcPr>
            <w:tcW w:w="4645" w:type="dxa"/>
            <w:tcBorders>
              <w:tl2br w:val="nil"/>
              <w:tr2bl w:val="nil"/>
            </w:tcBorders>
            <w:vAlign w:val="center"/>
          </w:tcPr>
          <w:p w14:paraId="4593618D">
            <w:pPr>
              <w:pStyle w:val="32"/>
              <w:snapToGrid/>
              <w:spacing w:before="0" w:after="0" w:line="240" w:lineRule="auto"/>
              <w:ind w:right="0"/>
              <w:contextualSpacing/>
              <w:jc w:val="left"/>
              <w:rPr>
                <w:rFonts w:hint="eastAsia" w:ascii="Times New Roman" w:hAnsi="Times New Roman" w:eastAsia="宋体" w:cs="Times New Roman"/>
                <w:b w:val="0"/>
                <w:bCs w:val="0"/>
                <w:color w:val="auto"/>
                <w:szCs w:val="20"/>
                <w:lang w:eastAsia="zh-CN"/>
              </w:rPr>
            </w:pPr>
            <w:r>
              <w:rPr>
                <w:rFonts w:hint="eastAsia" w:ascii="Times New Roman" w:hAnsi="Times New Roman" w:eastAsia="宋体" w:cs="Times New Roman"/>
                <w:b w:val="0"/>
                <w:bCs w:val="0"/>
                <w:color w:val="auto"/>
                <w:szCs w:val="20"/>
              </w:rPr>
              <w:t>核实建设项目基本情况</w:t>
            </w:r>
            <w:r>
              <w:rPr>
                <w:rFonts w:hint="eastAsia" w:ascii="Times New Roman" w:hAnsi="Times New Roman" w:eastAsia="宋体" w:cs="Times New Roman"/>
                <w:b w:val="0"/>
                <w:bCs w:val="0"/>
                <w:color w:val="auto"/>
                <w:szCs w:val="20"/>
                <w:lang w:eastAsia="zh-CN"/>
              </w:rPr>
              <w:t>，完善表2-1项目最主要建设内容一览表：补充项目实验室建设内容，完善建设内容表中储运工程及环境风险防范措施</w:t>
            </w:r>
          </w:p>
        </w:tc>
        <w:tc>
          <w:tcPr>
            <w:tcW w:w="3860" w:type="dxa"/>
            <w:tcBorders>
              <w:tl2br w:val="nil"/>
              <w:tr2bl w:val="nil"/>
            </w:tcBorders>
            <w:shd w:val="clear" w:color="auto" w:fill="auto"/>
            <w:vAlign w:val="center"/>
          </w:tcPr>
          <w:p w14:paraId="11E0190E">
            <w:pPr>
              <w:pStyle w:val="32"/>
              <w:snapToGrid/>
              <w:spacing w:before="0" w:after="0" w:line="240" w:lineRule="auto"/>
              <w:ind w:right="0" w:rightChars="0"/>
              <w:contextualSpacing/>
              <w:jc w:val="left"/>
              <w:rPr>
                <w:rFonts w:hint="default" w:ascii="Times New Roman" w:hAnsi="Times New Roman" w:eastAsia="宋体" w:cs="Times New Roman"/>
                <w:b w:val="0"/>
                <w:bCs w:val="0"/>
                <w:color w:val="auto"/>
                <w:kern w:val="0"/>
                <w:sz w:val="24"/>
                <w:szCs w:val="20"/>
                <w:lang w:val="en-US" w:eastAsia="zh-CN" w:bidi="ar-SA"/>
              </w:rPr>
            </w:pPr>
            <w:r>
              <w:rPr>
                <w:rFonts w:hint="eastAsia" w:ascii="Times New Roman" w:eastAsia="宋体" w:cs="Times New Roman"/>
                <w:b w:val="0"/>
                <w:bCs w:val="0"/>
                <w:color w:val="auto"/>
                <w:szCs w:val="20"/>
                <w:lang w:val="en-US" w:eastAsia="zh-CN"/>
              </w:rPr>
              <w:t>结合实际情况，修改项目工程内容组成分析内容</w:t>
            </w:r>
            <w:r>
              <w:rPr>
                <w:rFonts w:hint="eastAsia" w:ascii="Times New Roman" w:hAnsi="Times New Roman" w:eastAsia="宋体" w:cs="Times New Roman"/>
                <w:b w:val="0"/>
                <w:bCs w:val="0"/>
                <w:color w:val="auto"/>
                <w:szCs w:val="20"/>
                <w:lang w:val="en-US" w:eastAsia="zh-CN"/>
              </w:rPr>
              <w:t>，</w:t>
            </w:r>
            <w:r>
              <w:rPr>
                <w:rFonts w:hint="eastAsia" w:ascii="Times New Roman" w:eastAsia="宋体" w:cs="Times New Roman"/>
                <w:b w:val="0"/>
                <w:bCs w:val="0"/>
                <w:color w:val="auto"/>
                <w:szCs w:val="20"/>
                <w:lang w:val="en-US" w:eastAsia="zh-CN"/>
              </w:rPr>
              <w:t>补充</w:t>
            </w:r>
            <w:r>
              <w:rPr>
                <w:rFonts w:hint="eastAsia" w:ascii="Times New Roman" w:hAnsi="Times New Roman" w:eastAsia="宋体" w:cs="Times New Roman"/>
                <w:b w:val="0"/>
                <w:bCs w:val="0"/>
                <w:color w:val="auto"/>
                <w:szCs w:val="20"/>
                <w:lang w:eastAsia="zh-CN"/>
              </w:rPr>
              <w:t>储运工程及环境风险防范措施</w:t>
            </w:r>
            <w:r>
              <w:rPr>
                <w:rFonts w:hint="eastAsia" w:ascii="Times New Roman" w:eastAsia="宋体" w:cs="Times New Roman"/>
                <w:b w:val="0"/>
                <w:bCs w:val="0"/>
                <w:color w:val="auto"/>
                <w:szCs w:val="20"/>
                <w:lang w:val="en-US" w:eastAsia="zh-CN"/>
              </w:rPr>
              <w:t>等内容，</w:t>
            </w:r>
            <w:r>
              <w:rPr>
                <w:rFonts w:hint="eastAsia" w:ascii="Times New Roman" w:hAnsi="Times New Roman" w:eastAsia="宋体" w:cs="Times New Roman"/>
                <w:b w:val="0"/>
                <w:bCs w:val="0"/>
                <w:color w:val="auto"/>
                <w:szCs w:val="20"/>
                <w:lang w:val="en-US" w:eastAsia="zh-CN"/>
              </w:rPr>
              <w:t>详见P</w:t>
            </w:r>
            <w:r>
              <w:rPr>
                <w:rFonts w:hint="eastAsia" w:ascii="Times New Roman" w:eastAsia="宋体" w:cs="Times New Roman"/>
                <w:b w:val="0"/>
                <w:bCs w:val="0"/>
                <w:color w:val="auto"/>
                <w:szCs w:val="20"/>
                <w:lang w:val="en-US" w:eastAsia="zh-CN"/>
              </w:rPr>
              <w:t>16~18</w:t>
            </w:r>
          </w:p>
        </w:tc>
      </w:tr>
      <w:tr w14:paraId="38CEDB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692A4C17">
            <w:pPr>
              <w:pStyle w:val="32"/>
              <w:snapToGrid/>
              <w:spacing w:before="0" w:after="0" w:line="240" w:lineRule="auto"/>
              <w:ind w:right="0" w:rightChars="0"/>
              <w:contextualSpacing/>
              <w:jc w:val="center"/>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eastAsia="宋体" w:cs="Times New Roman"/>
                <w:b w:val="0"/>
                <w:bCs w:val="0"/>
                <w:color w:val="auto"/>
                <w:szCs w:val="20"/>
                <w:lang w:val="en-US" w:eastAsia="zh-CN"/>
              </w:rPr>
              <w:t>6</w:t>
            </w:r>
          </w:p>
        </w:tc>
        <w:tc>
          <w:tcPr>
            <w:tcW w:w="4645" w:type="dxa"/>
            <w:tcBorders>
              <w:tl2br w:val="nil"/>
              <w:tr2bl w:val="nil"/>
            </w:tcBorders>
            <w:vAlign w:val="center"/>
          </w:tcPr>
          <w:p w14:paraId="360DFEDA">
            <w:pPr>
              <w:pStyle w:val="32"/>
              <w:snapToGrid/>
              <w:spacing w:before="0" w:after="0" w:line="240" w:lineRule="auto"/>
              <w:ind w:right="0"/>
              <w:contextualSpacing/>
              <w:jc w:val="left"/>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完善项目与《湖南省洞庭湖保护条例》《湖南省水污染防治条例》及城市供水专项规划等相符性分析</w:t>
            </w:r>
          </w:p>
        </w:tc>
        <w:tc>
          <w:tcPr>
            <w:tcW w:w="3860" w:type="dxa"/>
            <w:tcBorders>
              <w:tl2br w:val="nil"/>
              <w:tr2bl w:val="nil"/>
            </w:tcBorders>
            <w:shd w:val="clear" w:color="auto" w:fill="auto"/>
            <w:vAlign w:val="center"/>
          </w:tcPr>
          <w:p w14:paraId="15EEA5E3">
            <w:pPr>
              <w:pStyle w:val="32"/>
              <w:snapToGrid/>
              <w:spacing w:before="0" w:after="0" w:line="240" w:lineRule="auto"/>
              <w:ind w:right="0" w:rightChars="0"/>
              <w:contextualSpacing/>
              <w:jc w:val="left"/>
              <w:rPr>
                <w:rFonts w:hint="default" w:ascii="Times New Roman" w:eastAsia="宋体" w:cs="Times New Roman"/>
                <w:b w:val="0"/>
                <w:bCs w:val="0"/>
                <w:color w:val="auto"/>
                <w:szCs w:val="20"/>
                <w:lang w:val="en-US" w:eastAsia="zh-CN"/>
              </w:rPr>
            </w:pPr>
            <w:r>
              <w:rPr>
                <w:rFonts w:hint="eastAsia" w:ascii="Times New Roman" w:eastAsia="宋体" w:cs="Times New Roman"/>
                <w:b w:val="0"/>
                <w:bCs w:val="0"/>
                <w:color w:val="auto"/>
                <w:szCs w:val="20"/>
                <w:lang w:val="en-US" w:eastAsia="zh-CN"/>
              </w:rPr>
              <w:t>已补充城区供水专项规划、</w:t>
            </w:r>
            <w:r>
              <w:rPr>
                <w:rFonts w:hint="eastAsia" w:ascii="Times New Roman" w:hAnsi="Times New Roman" w:eastAsia="宋体" w:cs="Times New Roman"/>
                <w:b w:val="0"/>
                <w:bCs w:val="0"/>
                <w:color w:val="auto"/>
                <w:szCs w:val="20"/>
              </w:rPr>
              <w:t>《湖南省洞庭湖保护条例》、《湖南省水污染防治条例</w:t>
            </w:r>
            <w:r>
              <w:rPr>
                <w:rFonts w:hint="eastAsia" w:ascii="Times New Roman" w:eastAsia="宋体" w:cs="Times New Roman"/>
                <w:b w:val="0"/>
                <w:bCs w:val="0"/>
                <w:color w:val="auto"/>
                <w:szCs w:val="20"/>
                <w:lang w:eastAsia="zh-CN"/>
              </w:rPr>
              <w:t>》等</w:t>
            </w:r>
            <w:r>
              <w:rPr>
                <w:rFonts w:hint="eastAsia" w:ascii="Times New Roman" w:eastAsia="宋体" w:cs="Times New Roman"/>
                <w:b w:val="0"/>
                <w:bCs w:val="0"/>
                <w:color w:val="auto"/>
                <w:szCs w:val="20"/>
                <w:lang w:val="en-US" w:eastAsia="zh-CN"/>
              </w:rPr>
              <w:t>有关内容及相符性分析内容，见P2~3、P11~12</w:t>
            </w:r>
          </w:p>
        </w:tc>
      </w:tr>
      <w:tr w14:paraId="5699F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70533B2C">
            <w:pPr>
              <w:pStyle w:val="32"/>
              <w:snapToGrid/>
              <w:spacing w:before="0" w:after="0" w:line="240" w:lineRule="auto"/>
              <w:ind w:right="0" w:rightChars="0"/>
              <w:contextualSpacing/>
              <w:jc w:val="center"/>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eastAsia="宋体" w:cs="Times New Roman"/>
                <w:b w:val="0"/>
                <w:bCs w:val="0"/>
                <w:color w:val="auto"/>
                <w:szCs w:val="20"/>
                <w:lang w:val="en-US" w:eastAsia="zh-CN"/>
              </w:rPr>
              <w:t>7</w:t>
            </w:r>
          </w:p>
        </w:tc>
        <w:tc>
          <w:tcPr>
            <w:tcW w:w="4645" w:type="dxa"/>
            <w:tcBorders>
              <w:tl2br w:val="nil"/>
              <w:tr2bl w:val="nil"/>
            </w:tcBorders>
            <w:shd w:val="clear" w:color="auto" w:fill="auto"/>
            <w:vAlign w:val="center"/>
          </w:tcPr>
          <w:p w14:paraId="022CC28D">
            <w:pPr>
              <w:pStyle w:val="32"/>
              <w:snapToGrid/>
              <w:spacing w:before="0" w:after="0" w:line="240" w:lineRule="auto"/>
              <w:ind w:right="0" w:rightChars="0"/>
              <w:contextualSpacing/>
              <w:jc w:val="left"/>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rPr>
              <w:t>说明液氯等主要原辅材料与能源消耗年耗量与最大贮存量；细化液氯气化工艺说明</w:t>
            </w:r>
          </w:p>
        </w:tc>
        <w:tc>
          <w:tcPr>
            <w:tcW w:w="3860" w:type="dxa"/>
            <w:tcBorders>
              <w:tl2br w:val="nil"/>
              <w:tr2bl w:val="nil"/>
            </w:tcBorders>
            <w:shd w:val="clear" w:color="auto" w:fill="auto"/>
            <w:vAlign w:val="center"/>
          </w:tcPr>
          <w:p w14:paraId="75F1B10E">
            <w:pPr>
              <w:pStyle w:val="32"/>
              <w:snapToGrid/>
              <w:spacing w:before="0" w:after="0" w:line="240" w:lineRule="auto"/>
              <w:ind w:right="0" w:rightChars="0"/>
              <w:contextualSpacing/>
              <w:jc w:val="left"/>
              <w:rPr>
                <w:rFonts w:hint="default" w:ascii="Times New Roman" w:eastAsia="宋体" w:cs="Times New Roman"/>
                <w:b w:val="0"/>
                <w:bCs w:val="0"/>
                <w:color w:val="auto"/>
                <w:szCs w:val="20"/>
                <w:lang w:val="en-US" w:eastAsia="zh-CN"/>
              </w:rPr>
            </w:pPr>
            <w:r>
              <w:rPr>
                <w:rFonts w:hint="eastAsia" w:ascii="Times New Roman" w:eastAsia="宋体" w:cs="Times New Roman"/>
                <w:b w:val="0"/>
                <w:bCs w:val="0"/>
                <w:color w:val="auto"/>
                <w:szCs w:val="20"/>
                <w:lang w:val="en-US" w:eastAsia="zh-CN"/>
              </w:rPr>
              <w:t>已修改完善，</w:t>
            </w:r>
            <w:r>
              <w:rPr>
                <w:rFonts w:hint="eastAsia" w:ascii="Times New Roman" w:hAnsi="Times New Roman" w:eastAsia="宋体" w:cs="Times New Roman"/>
                <w:b w:val="0"/>
                <w:bCs w:val="0"/>
                <w:color w:val="auto"/>
                <w:szCs w:val="20"/>
                <w:lang w:val="en-US" w:eastAsia="zh-CN"/>
              </w:rPr>
              <w:t>储存情况见原辅料表中内容</w:t>
            </w:r>
            <w:r>
              <w:rPr>
                <w:rFonts w:hint="eastAsia" w:ascii="Times New Roman" w:eastAsia="宋体" w:cs="Times New Roman"/>
                <w:b w:val="0"/>
                <w:bCs w:val="0"/>
                <w:color w:val="auto"/>
                <w:szCs w:val="20"/>
                <w:lang w:val="en-US" w:eastAsia="zh-CN"/>
              </w:rPr>
              <w:t>P19</w:t>
            </w:r>
            <w:r>
              <w:rPr>
                <w:rFonts w:hint="eastAsia" w:ascii="Times New Roman" w:hAnsi="Times New Roman" w:eastAsia="宋体" w:cs="Times New Roman"/>
                <w:b w:val="0"/>
                <w:bCs w:val="0"/>
                <w:color w:val="auto"/>
                <w:szCs w:val="20"/>
                <w:lang w:val="en-US" w:eastAsia="zh-CN"/>
              </w:rPr>
              <w:t>，气化工艺见P26内容</w:t>
            </w:r>
          </w:p>
        </w:tc>
      </w:tr>
      <w:tr w14:paraId="54472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5173992F">
            <w:pPr>
              <w:pStyle w:val="32"/>
              <w:snapToGrid/>
              <w:spacing w:before="0" w:after="0" w:line="240" w:lineRule="auto"/>
              <w:ind w:right="0" w:rightChars="0"/>
              <w:contextualSpacing/>
              <w:jc w:val="center"/>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8</w:t>
            </w:r>
          </w:p>
        </w:tc>
        <w:tc>
          <w:tcPr>
            <w:tcW w:w="4645" w:type="dxa"/>
            <w:tcBorders>
              <w:tl2br w:val="nil"/>
              <w:tr2bl w:val="nil"/>
            </w:tcBorders>
            <w:shd w:val="clear" w:color="auto" w:fill="auto"/>
            <w:vAlign w:val="center"/>
          </w:tcPr>
          <w:p w14:paraId="3DE79812">
            <w:pPr>
              <w:pStyle w:val="32"/>
              <w:snapToGrid/>
              <w:spacing w:before="0" w:after="0" w:line="240" w:lineRule="auto"/>
              <w:ind w:right="0" w:rightChars="0"/>
              <w:contextualSpacing/>
              <w:jc w:val="left"/>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rPr>
              <w:t>补充项目水平衡</w:t>
            </w:r>
          </w:p>
        </w:tc>
        <w:tc>
          <w:tcPr>
            <w:tcW w:w="3860" w:type="dxa"/>
            <w:tcBorders>
              <w:tl2br w:val="nil"/>
              <w:tr2bl w:val="nil"/>
            </w:tcBorders>
            <w:shd w:val="clear" w:color="auto" w:fill="auto"/>
            <w:vAlign w:val="center"/>
          </w:tcPr>
          <w:p w14:paraId="0D19526A">
            <w:pPr>
              <w:pStyle w:val="32"/>
              <w:snapToGrid/>
              <w:spacing w:before="0" w:after="0" w:line="240" w:lineRule="auto"/>
              <w:ind w:right="0" w:rightChars="0"/>
              <w:contextualSpacing/>
              <w:jc w:val="left"/>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已补充项目水平衡分析内容，见P24</w:t>
            </w:r>
          </w:p>
        </w:tc>
      </w:tr>
      <w:tr w14:paraId="150D87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41E8C71A">
            <w:pPr>
              <w:pStyle w:val="32"/>
              <w:snapToGrid/>
              <w:spacing w:before="0" w:after="0" w:line="240" w:lineRule="auto"/>
              <w:ind w:right="0" w:rightChars="0"/>
              <w:contextualSpacing/>
              <w:jc w:val="center"/>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9</w:t>
            </w:r>
          </w:p>
        </w:tc>
        <w:tc>
          <w:tcPr>
            <w:tcW w:w="4645" w:type="dxa"/>
            <w:tcBorders>
              <w:tl2br w:val="nil"/>
              <w:tr2bl w:val="nil"/>
            </w:tcBorders>
            <w:vAlign w:val="center"/>
          </w:tcPr>
          <w:p w14:paraId="42910EAD">
            <w:pPr>
              <w:pStyle w:val="32"/>
              <w:snapToGrid/>
              <w:spacing w:before="0" w:after="0" w:line="240" w:lineRule="auto"/>
              <w:ind w:right="0"/>
              <w:contextualSpacing/>
              <w:jc w:val="left"/>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完善项目环保目标</w:t>
            </w:r>
          </w:p>
        </w:tc>
        <w:tc>
          <w:tcPr>
            <w:tcW w:w="3860" w:type="dxa"/>
            <w:tcBorders>
              <w:tl2br w:val="nil"/>
              <w:tr2bl w:val="nil"/>
            </w:tcBorders>
            <w:vAlign w:val="center"/>
          </w:tcPr>
          <w:p w14:paraId="0D03B51C">
            <w:pPr>
              <w:pStyle w:val="32"/>
              <w:snapToGrid/>
              <w:spacing w:before="0" w:after="0" w:line="240" w:lineRule="auto"/>
              <w:ind w:right="0"/>
              <w:contextualSpacing/>
              <w:jc w:val="left"/>
              <w:rPr>
                <w:rFonts w:hint="default" w:ascii="Times New Roman" w:hAnsi="Times New Roman" w:eastAsia="宋体" w:cs="Times New Roman"/>
                <w:b w:val="0"/>
                <w:bCs w:val="0"/>
                <w:color w:val="auto"/>
                <w:szCs w:val="20"/>
                <w:lang w:val="en-US"/>
              </w:rPr>
            </w:pPr>
            <w:r>
              <w:rPr>
                <w:rFonts w:hint="eastAsia" w:ascii="Times New Roman" w:hAnsi="Times New Roman" w:eastAsia="宋体" w:cs="Times New Roman"/>
                <w:b w:val="0"/>
                <w:bCs w:val="0"/>
                <w:color w:val="auto"/>
                <w:szCs w:val="20"/>
              </w:rPr>
              <w:t>已</w:t>
            </w:r>
            <w:r>
              <w:rPr>
                <w:rFonts w:hint="eastAsia" w:ascii="Times New Roman" w:hAnsi="Times New Roman" w:eastAsia="宋体" w:cs="Times New Roman"/>
                <w:b w:val="0"/>
                <w:bCs w:val="0"/>
                <w:color w:val="auto"/>
                <w:szCs w:val="20"/>
                <w:lang w:val="en-US" w:eastAsia="zh-CN"/>
              </w:rPr>
              <w:t>补充</w:t>
            </w:r>
            <w:r>
              <w:rPr>
                <w:rFonts w:hint="eastAsia" w:ascii="Times New Roman" w:eastAsia="宋体" w:cs="Times New Roman"/>
                <w:b w:val="0"/>
                <w:bCs w:val="0"/>
                <w:color w:val="auto"/>
                <w:szCs w:val="20"/>
                <w:lang w:val="en-US" w:eastAsia="zh-CN"/>
              </w:rPr>
              <w:t>修改部分保护目标内容</w:t>
            </w:r>
            <w:r>
              <w:rPr>
                <w:rFonts w:hint="eastAsia" w:ascii="Times New Roman" w:hAnsi="Times New Roman" w:eastAsia="宋体" w:cs="Times New Roman"/>
                <w:b w:val="0"/>
                <w:bCs w:val="0"/>
                <w:color w:val="auto"/>
                <w:szCs w:val="20"/>
                <w:lang w:val="en-US" w:eastAsia="zh-CN"/>
              </w:rPr>
              <w:t>，详见P</w:t>
            </w:r>
            <w:r>
              <w:rPr>
                <w:rFonts w:hint="eastAsia" w:ascii="Times New Roman" w:eastAsia="宋体" w:cs="Times New Roman"/>
                <w:b w:val="0"/>
                <w:bCs w:val="0"/>
                <w:color w:val="auto"/>
                <w:szCs w:val="20"/>
                <w:lang w:val="en-US" w:eastAsia="zh-CN"/>
              </w:rPr>
              <w:t>37</w:t>
            </w:r>
          </w:p>
        </w:tc>
      </w:tr>
      <w:tr w14:paraId="2C46C3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2342F408">
            <w:pPr>
              <w:pStyle w:val="32"/>
              <w:snapToGrid/>
              <w:spacing w:before="0" w:after="0" w:line="240" w:lineRule="auto"/>
              <w:ind w:right="0" w:rightChars="0"/>
              <w:contextualSpacing/>
              <w:jc w:val="center"/>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10</w:t>
            </w:r>
          </w:p>
        </w:tc>
        <w:tc>
          <w:tcPr>
            <w:tcW w:w="4645" w:type="dxa"/>
            <w:tcBorders>
              <w:tl2br w:val="nil"/>
              <w:tr2bl w:val="nil"/>
            </w:tcBorders>
            <w:vAlign w:val="center"/>
          </w:tcPr>
          <w:p w14:paraId="750AF5DC">
            <w:pPr>
              <w:pStyle w:val="32"/>
              <w:snapToGrid/>
              <w:spacing w:before="0" w:after="0" w:line="240" w:lineRule="auto"/>
              <w:ind w:right="0" w:rightChars="0"/>
              <w:contextualSpacing/>
              <w:jc w:val="left"/>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补充水源及洞庭湖常规水质断面总磷超标对水源的影响及原因分析，提出整改和工艺改进的建议</w:t>
            </w:r>
          </w:p>
        </w:tc>
        <w:tc>
          <w:tcPr>
            <w:tcW w:w="3860" w:type="dxa"/>
            <w:tcBorders>
              <w:tl2br w:val="nil"/>
              <w:tr2bl w:val="nil"/>
            </w:tcBorders>
            <w:vAlign w:val="center"/>
          </w:tcPr>
          <w:p w14:paraId="6CC2A4A2">
            <w:pPr>
              <w:pStyle w:val="32"/>
              <w:snapToGrid/>
              <w:spacing w:before="0" w:after="0" w:line="240" w:lineRule="auto"/>
              <w:ind w:right="0" w:rightChars="0"/>
              <w:contextualSpacing/>
              <w:jc w:val="left"/>
              <w:rPr>
                <w:rFonts w:hint="default" w:ascii="Times New Roman" w:hAnsi="Times New Roman" w:eastAsia="宋体" w:cs="Times New Roman"/>
                <w:b w:val="0"/>
                <w:bCs w:val="0"/>
                <w:color w:val="auto"/>
                <w:szCs w:val="20"/>
                <w:lang w:val="en-US" w:eastAsia="zh-CN"/>
              </w:rPr>
            </w:pPr>
            <w:r>
              <w:rPr>
                <w:rFonts w:hint="eastAsia" w:ascii="Times New Roman" w:hAnsi="Times New Roman" w:eastAsia="宋体" w:cs="Times New Roman"/>
                <w:b w:val="0"/>
                <w:bCs w:val="0"/>
                <w:color w:val="auto"/>
                <w:szCs w:val="20"/>
                <w:lang w:val="en-US" w:eastAsia="zh-CN"/>
              </w:rPr>
              <w:t>已更新大气、地表水环境质量现状数据，采用2025年生态环境质量公报公布数据，修改现状评价分析内容，见P32-35</w:t>
            </w:r>
          </w:p>
        </w:tc>
      </w:tr>
      <w:tr w14:paraId="564A87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7E263A86">
            <w:pPr>
              <w:pStyle w:val="32"/>
              <w:snapToGrid/>
              <w:spacing w:before="0" w:after="0" w:line="240" w:lineRule="auto"/>
              <w:ind w:right="0" w:rightChars="0"/>
              <w:contextualSpacing/>
              <w:jc w:val="center"/>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11</w:t>
            </w:r>
          </w:p>
        </w:tc>
        <w:tc>
          <w:tcPr>
            <w:tcW w:w="4645" w:type="dxa"/>
            <w:tcBorders>
              <w:tl2br w:val="nil"/>
              <w:tr2bl w:val="nil"/>
            </w:tcBorders>
            <w:vAlign w:val="center"/>
          </w:tcPr>
          <w:p w14:paraId="748DAD5D">
            <w:pPr>
              <w:pStyle w:val="32"/>
              <w:snapToGrid/>
              <w:spacing w:before="0" w:after="0" w:line="240" w:lineRule="auto"/>
              <w:ind w:right="0"/>
              <w:contextualSpacing/>
              <w:jc w:val="left"/>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结合生态敏感目标的设置对水源地保护是否有积极作用，完善生态影响分析</w:t>
            </w:r>
          </w:p>
        </w:tc>
        <w:tc>
          <w:tcPr>
            <w:tcW w:w="3860" w:type="dxa"/>
            <w:tcBorders>
              <w:tl2br w:val="nil"/>
              <w:tr2bl w:val="nil"/>
            </w:tcBorders>
            <w:shd w:val="clear" w:color="auto" w:fill="auto"/>
            <w:vAlign w:val="center"/>
          </w:tcPr>
          <w:p w14:paraId="4B40227C">
            <w:pPr>
              <w:pStyle w:val="32"/>
              <w:snapToGrid/>
              <w:spacing w:before="0" w:after="0" w:line="240" w:lineRule="auto"/>
              <w:ind w:right="0" w:rightChars="0"/>
              <w:contextualSpacing/>
              <w:jc w:val="left"/>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rPr>
              <w:t>在报告中</w:t>
            </w:r>
            <w:r>
              <w:rPr>
                <w:rFonts w:hint="eastAsia" w:ascii="Times New Roman" w:hAnsi="Times New Roman" w:eastAsia="宋体" w:cs="Times New Roman"/>
                <w:b w:val="0"/>
                <w:bCs w:val="0"/>
                <w:color w:val="auto"/>
                <w:szCs w:val="20"/>
                <w:lang w:val="en-US" w:eastAsia="zh-CN"/>
              </w:rPr>
              <w:t>完善项目生态环境影响分析内容，P53</w:t>
            </w:r>
          </w:p>
        </w:tc>
      </w:tr>
      <w:tr w14:paraId="78D335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79166BE5">
            <w:pPr>
              <w:pStyle w:val="32"/>
              <w:snapToGrid/>
              <w:spacing w:before="0" w:after="0" w:line="240" w:lineRule="auto"/>
              <w:ind w:right="0" w:rightChars="0"/>
              <w:contextualSpacing/>
              <w:jc w:val="center"/>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1</w:t>
            </w:r>
            <w:r>
              <w:rPr>
                <w:rFonts w:hint="eastAsia" w:ascii="Times New Roman" w:eastAsia="宋体" w:cs="Times New Roman"/>
                <w:b w:val="0"/>
                <w:bCs w:val="0"/>
                <w:color w:val="auto"/>
                <w:szCs w:val="20"/>
                <w:lang w:val="en-US" w:eastAsia="zh-CN"/>
              </w:rPr>
              <w:t>2</w:t>
            </w:r>
          </w:p>
        </w:tc>
        <w:tc>
          <w:tcPr>
            <w:tcW w:w="4645" w:type="dxa"/>
            <w:tcBorders>
              <w:tl2br w:val="nil"/>
              <w:tr2bl w:val="nil"/>
            </w:tcBorders>
            <w:shd w:val="clear" w:color="auto" w:fill="auto"/>
            <w:vAlign w:val="center"/>
          </w:tcPr>
          <w:p w14:paraId="4FAE8FFA">
            <w:pPr>
              <w:pStyle w:val="32"/>
              <w:snapToGrid/>
              <w:spacing w:before="0" w:after="0" w:line="240" w:lineRule="auto"/>
              <w:ind w:right="0" w:rightChars="0"/>
              <w:contextualSpacing/>
              <w:jc w:val="left"/>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rPr>
              <w:t>强化废气、噪声源强分析</w:t>
            </w:r>
            <w:r>
              <w:rPr>
                <w:rFonts w:hint="eastAsia" w:ascii="Times New Roman" w:hAnsi="Times New Roman" w:eastAsia="宋体" w:cs="Times New Roman"/>
                <w:b w:val="0"/>
                <w:bCs w:val="0"/>
                <w:color w:val="auto"/>
                <w:szCs w:val="20"/>
                <w:lang w:eastAsia="zh-CN"/>
              </w:rPr>
              <w:t>；根据实际运行情况，核实污泥、生活污水等产生量；说明外排废水（特别是污泥处理车间排放离心废水中悬浮物浓度是否能达标排放入、噪声的排放分析</w:t>
            </w:r>
          </w:p>
        </w:tc>
        <w:tc>
          <w:tcPr>
            <w:tcW w:w="3860" w:type="dxa"/>
            <w:tcBorders>
              <w:tl2br w:val="nil"/>
              <w:tr2bl w:val="nil"/>
            </w:tcBorders>
            <w:shd w:val="clear" w:color="auto" w:fill="auto"/>
            <w:vAlign w:val="center"/>
          </w:tcPr>
          <w:p w14:paraId="7EADAF73">
            <w:pPr>
              <w:pStyle w:val="32"/>
              <w:snapToGrid/>
              <w:spacing w:before="0" w:after="0" w:line="240" w:lineRule="auto"/>
              <w:ind w:right="0" w:rightChars="0"/>
              <w:contextualSpacing/>
              <w:jc w:val="left"/>
              <w:rPr>
                <w:rFonts w:hint="default"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根据实际情况，修改完善项目运营期三废产生情况，结合采用的污染治理措施，说明各个污染源达标可行性内容，见P42-51</w:t>
            </w:r>
          </w:p>
        </w:tc>
      </w:tr>
      <w:tr w14:paraId="44AE06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44264883">
            <w:pPr>
              <w:pStyle w:val="32"/>
              <w:snapToGrid/>
              <w:spacing w:before="0" w:after="0" w:line="240" w:lineRule="auto"/>
              <w:ind w:right="0" w:rightChars="0"/>
              <w:contextualSpacing/>
              <w:jc w:val="center"/>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13</w:t>
            </w:r>
          </w:p>
        </w:tc>
        <w:tc>
          <w:tcPr>
            <w:tcW w:w="4645" w:type="dxa"/>
            <w:tcBorders>
              <w:tl2br w:val="nil"/>
              <w:tr2bl w:val="nil"/>
            </w:tcBorders>
            <w:shd w:val="clear" w:color="auto" w:fill="auto"/>
            <w:vAlign w:val="center"/>
          </w:tcPr>
          <w:p w14:paraId="175623CC">
            <w:pPr>
              <w:pStyle w:val="32"/>
              <w:snapToGrid/>
              <w:spacing w:before="0" w:after="0" w:line="240" w:lineRule="auto"/>
              <w:ind w:right="0" w:rightChars="0"/>
              <w:contextualSpacing/>
              <w:jc w:val="left"/>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rPr>
              <w:t>细化项目生产废水（排泥水）的预处理措施</w:t>
            </w:r>
          </w:p>
        </w:tc>
        <w:tc>
          <w:tcPr>
            <w:tcW w:w="3860" w:type="dxa"/>
            <w:tcBorders>
              <w:tl2br w:val="nil"/>
              <w:tr2bl w:val="nil"/>
            </w:tcBorders>
            <w:shd w:val="clear" w:color="auto" w:fill="auto"/>
            <w:vAlign w:val="center"/>
          </w:tcPr>
          <w:p w14:paraId="33C4EC98">
            <w:pPr>
              <w:pStyle w:val="32"/>
              <w:snapToGrid/>
              <w:spacing w:before="0" w:after="0" w:line="240" w:lineRule="auto"/>
              <w:ind w:right="0" w:rightChars="0"/>
              <w:contextualSpacing/>
              <w:jc w:val="left"/>
              <w:rPr>
                <w:rFonts w:hint="default"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说明生产废水处理工艺过程，见P45~46</w:t>
            </w:r>
          </w:p>
        </w:tc>
      </w:tr>
      <w:tr w14:paraId="45307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6BBF4D64">
            <w:pPr>
              <w:pStyle w:val="32"/>
              <w:snapToGrid/>
              <w:spacing w:before="0" w:after="0" w:line="240" w:lineRule="auto"/>
              <w:ind w:right="0" w:rightChars="0"/>
              <w:contextualSpacing/>
              <w:jc w:val="center"/>
              <w:rPr>
                <w:rFonts w:hint="default"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14</w:t>
            </w:r>
          </w:p>
        </w:tc>
        <w:tc>
          <w:tcPr>
            <w:tcW w:w="4645" w:type="dxa"/>
            <w:tcBorders>
              <w:tl2br w:val="nil"/>
              <w:tr2bl w:val="nil"/>
            </w:tcBorders>
            <w:vAlign w:val="center"/>
          </w:tcPr>
          <w:p w14:paraId="52689EFF">
            <w:pPr>
              <w:pStyle w:val="32"/>
              <w:snapToGrid/>
              <w:spacing w:before="0" w:after="0" w:line="240" w:lineRule="auto"/>
              <w:ind w:right="0"/>
              <w:contextualSpacing/>
              <w:jc w:val="left"/>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核实环保投资</w:t>
            </w:r>
          </w:p>
        </w:tc>
        <w:tc>
          <w:tcPr>
            <w:tcW w:w="3860" w:type="dxa"/>
            <w:tcBorders>
              <w:tl2br w:val="nil"/>
              <w:tr2bl w:val="nil"/>
            </w:tcBorders>
            <w:vAlign w:val="center"/>
          </w:tcPr>
          <w:p w14:paraId="438B58E1">
            <w:pPr>
              <w:pStyle w:val="32"/>
              <w:snapToGrid/>
              <w:spacing w:before="0" w:after="0" w:line="240" w:lineRule="auto"/>
              <w:ind w:right="0"/>
              <w:contextualSpacing/>
              <w:jc w:val="left"/>
              <w:rPr>
                <w:rFonts w:hint="default" w:ascii="Times New Roman" w:hAnsi="Times New Roman" w:eastAsia="宋体" w:cs="Times New Roman"/>
                <w:b w:val="0"/>
                <w:bCs w:val="0"/>
                <w:color w:val="auto"/>
                <w:szCs w:val="20"/>
                <w:lang w:val="en-US" w:eastAsia="zh-CN"/>
              </w:rPr>
            </w:pPr>
            <w:r>
              <w:rPr>
                <w:rFonts w:hint="eastAsia" w:ascii="Times New Roman" w:hAnsi="Times New Roman" w:eastAsia="宋体" w:cs="Times New Roman"/>
                <w:b w:val="0"/>
                <w:bCs w:val="0"/>
                <w:color w:val="auto"/>
                <w:szCs w:val="20"/>
                <w:lang w:val="en-US" w:eastAsia="zh-CN"/>
              </w:rPr>
              <w:t>结合项目实际情况修改环保投资内容分析，P55</w:t>
            </w:r>
          </w:p>
        </w:tc>
      </w:tr>
      <w:tr w14:paraId="3EFAAB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7AD61081">
            <w:pPr>
              <w:pStyle w:val="32"/>
              <w:snapToGrid/>
              <w:spacing w:before="0" w:after="0" w:line="240" w:lineRule="auto"/>
              <w:ind w:right="0" w:rightChars="0"/>
              <w:contextualSpacing/>
              <w:jc w:val="center"/>
              <w:rPr>
                <w:rFonts w:hint="default"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15</w:t>
            </w:r>
          </w:p>
        </w:tc>
        <w:tc>
          <w:tcPr>
            <w:tcW w:w="4645" w:type="dxa"/>
            <w:tcBorders>
              <w:tl2br w:val="nil"/>
              <w:tr2bl w:val="nil"/>
            </w:tcBorders>
            <w:vAlign w:val="center"/>
          </w:tcPr>
          <w:p w14:paraId="3EF4F1C3">
            <w:pPr>
              <w:pStyle w:val="32"/>
              <w:snapToGrid/>
              <w:spacing w:before="0" w:after="0" w:line="240" w:lineRule="auto"/>
              <w:ind w:right="0"/>
              <w:contextualSpacing/>
              <w:jc w:val="left"/>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根据实际运行情况，核实污泥、生活污水等产生量；说明外排废水、噪声等达标情况分析</w:t>
            </w:r>
          </w:p>
        </w:tc>
        <w:tc>
          <w:tcPr>
            <w:tcW w:w="3860" w:type="dxa"/>
            <w:tcBorders>
              <w:tl2br w:val="nil"/>
              <w:tr2bl w:val="nil"/>
            </w:tcBorders>
            <w:vAlign w:val="center"/>
          </w:tcPr>
          <w:p w14:paraId="1A7E9A49">
            <w:pPr>
              <w:pStyle w:val="32"/>
              <w:snapToGrid/>
              <w:spacing w:before="0" w:after="0" w:line="240" w:lineRule="auto"/>
              <w:ind w:right="0"/>
              <w:contextualSpacing/>
              <w:jc w:val="left"/>
              <w:rPr>
                <w:rFonts w:hint="default" w:ascii="Times New Roman" w:hAnsi="Times New Roman" w:eastAsia="宋体" w:cs="Times New Roman"/>
                <w:b w:val="0"/>
                <w:bCs w:val="0"/>
                <w:color w:val="auto"/>
                <w:szCs w:val="20"/>
                <w:lang w:val="en-US" w:eastAsia="zh-CN"/>
              </w:rPr>
            </w:pPr>
            <w:r>
              <w:rPr>
                <w:rFonts w:hint="eastAsia" w:ascii="Times New Roman" w:eastAsia="宋体" w:cs="Times New Roman"/>
                <w:b w:val="0"/>
                <w:bCs w:val="0"/>
                <w:color w:val="auto"/>
                <w:szCs w:val="20"/>
                <w:lang w:val="en-US" w:eastAsia="zh-CN"/>
              </w:rPr>
              <w:t>已完善废水、固废和噪声污染源分析内容，废水和噪声可做到达标排放，见P42~51</w:t>
            </w:r>
          </w:p>
        </w:tc>
      </w:tr>
      <w:tr w14:paraId="42AE51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609DF6FA">
            <w:pPr>
              <w:pStyle w:val="32"/>
              <w:snapToGrid/>
              <w:spacing w:before="0" w:after="0" w:line="240" w:lineRule="auto"/>
              <w:ind w:right="0" w:rightChars="0"/>
              <w:contextualSpacing/>
              <w:jc w:val="center"/>
              <w:rPr>
                <w:rFonts w:hint="default"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16</w:t>
            </w:r>
          </w:p>
        </w:tc>
        <w:tc>
          <w:tcPr>
            <w:tcW w:w="4645" w:type="dxa"/>
            <w:tcBorders>
              <w:tl2br w:val="nil"/>
              <w:tr2bl w:val="nil"/>
            </w:tcBorders>
            <w:vAlign w:val="center"/>
          </w:tcPr>
          <w:p w14:paraId="00471FE0">
            <w:pPr>
              <w:pStyle w:val="32"/>
              <w:snapToGrid/>
              <w:spacing w:before="0" w:after="0" w:line="240" w:lineRule="auto"/>
              <w:ind w:right="0"/>
              <w:contextualSpacing/>
              <w:jc w:val="left"/>
              <w:rPr>
                <w:rFonts w:hint="eastAsia" w:ascii="Times New Roman" w:hAnsi="Times New Roman" w:eastAsia="宋体" w:cs="Times New Roman"/>
                <w:b w:val="0"/>
                <w:bCs w:val="0"/>
                <w:color w:val="auto"/>
                <w:szCs w:val="20"/>
              </w:rPr>
            </w:pPr>
            <w:r>
              <w:rPr>
                <w:rFonts w:hint="eastAsia" w:ascii="Times New Roman" w:hAnsi="Times New Roman" w:eastAsia="宋体" w:cs="Times New Roman"/>
                <w:b w:val="0"/>
                <w:bCs w:val="0"/>
                <w:color w:val="auto"/>
                <w:szCs w:val="20"/>
              </w:rPr>
              <w:t>核实污泥泥饼的处置方式</w:t>
            </w:r>
          </w:p>
        </w:tc>
        <w:tc>
          <w:tcPr>
            <w:tcW w:w="3860" w:type="dxa"/>
            <w:tcBorders>
              <w:tl2br w:val="nil"/>
              <w:tr2bl w:val="nil"/>
            </w:tcBorders>
            <w:vAlign w:val="center"/>
          </w:tcPr>
          <w:p w14:paraId="741FCCF7">
            <w:pPr>
              <w:pStyle w:val="32"/>
              <w:snapToGrid/>
              <w:spacing w:before="0" w:after="0" w:line="240" w:lineRule="auto"/>
              <w:ind w:right="0"/>
              <w:contextualSpacing/>
              <w:jc w:val="left"/>
              <w:rPr>
                <w:rFonts w:hint="default" w:ascii="Times New Roman" w:hAnsi="Times New Roman" w:eastAsia="宋体" w:cs="Times New Roman"/>
                <w:b w:val="0"/>
                <w:bCs w:val="0"/>
                <w:color w:val="auto"/>
                <w:szCs w:val="20"/>
                <w:lang w:val="en-US" w:eastAsia="zh-CN"/>
              </w:rPr>
            </w:pPr>
            <w:r>
              <w:rPr>
                <w:rFonts w:hint="eastAsia" w:ascii="Times New Roman" w:hAnsi="Times New Roman" w:eastAsia="宋体" w:cs="Times New Roman"/>
                <w:b w:val="0"/>
                <w:bCs w:val="0"/>
                <w:color w:val="auto"/>
                <w:szCs w:val="20"/>
                <w:lang w:val="en-US" w:eastAsia="zh-CN"/>
              </w:rPr>
              <w:t>全文前后对应修改，在污泥处置车间内专用污泥堆放区自然晾干后污泥由环卫部门统一清运处置</w:t>
            </w:r>
          </w:p>
        </w:tc>
      </w:tr>
      <w:tr w14:paraId="264877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1D0078D0">
            <w:pPr>
              <w:pStyle w:val="32"/>
              <w:snapToGrid/>
              <w:spacing w:before="0" w:after="0" w:line="240" w:lineRule="auto"/>
              <w:ind w:right="0" w:rightChars="0"/>
              <w:contextualSpacing/>
              <w:jc w:val="center"/>
              <w:rPr>
                <w:rFonts w:hint="default"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17</w:t>
            </w:r>
          </w:p>
        </w:tc>
        <w:tc>
          <w:tcPr>
            <w:tcW w:w="4645" w:type="dxa"/>
            <w:tcBorders>
              <w:tl2br w:val="nil"/>
              <w:tr2bl w:val="nil"/>
            </w:tcBorders>
            <w:shd w:val="clear" w:color="auto" w:fill="auto"/>
            <w:vAlign w:val="center"/>
          </w:tcPr>
          <w:p w14:paraId="23882491">
            <w:pPr>
              <w:pStyle w:val="32"/>
              <w:snapToGrid/>
              <w:spacing w:before="0" w:after="0" w:line="240" w:lineRule="auto"/>
              <w:ind w:right="0" w:rightChars="0"/>
              <w:contextualSpacing/>
              <w:jc w:val="left"/>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eastAsia="zh-CN"/>
              </w:rPr>
              <w:t>强化现有环境风险防范、排污口规范化设置等存在的环境问题调查，并提出相应的整改措施。</w:t>
            </w:r>
          </w:p>
        </w:tc>
        <w:tc>
          <w:tcPr>
            <w:tcW w:w="3860" w:type="dxa"/>
            <w:tcBorders>
              <w:tl2br w:val="nil"/>
              <w:tr2bl w:val="nil"/>
            </w:tcBorders>
            <w:shd w:val="clear" w:color="auto" w:fill="auto"/>
            <w:vAlign w:val="center"/>
          </w:tcPr>
          <w:p w14:paraId="69DB01AD">
            <w:pPr>
              <w:pStyle w:val="32"/>
              <w:snapToGrid/>
              <w:spacing w:before="0" w:after="0" w:line="240" w:lineRule="auto"/>
              <w:ind w:right="0" w:rightChars="0"/>
              <w:contextualSpacing/>
              <w:jc w:val="left"/>
              <w:rPr>
                <w:rFonts w:hint="default"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根据项目实际调查结果，修改现状环境问题，并提出整改措施要求，见P30-31</w:t>
            </w:r>
          </w:p>
        </w:tc>
      </w:tr>
      <w:tr w14:paraId="590695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shd w:val="clear" w:color="auto" w:fill="auto"/>
            <w:vAlign w:val="center"/>
          </w:tcPr>
          <w:p w14:paraId="56500D66">
            <w:pPr>
              <w:pStyle w:val="32"/>
              <w:snapToGrid/>
              <w:spacing w:before="0" w:after="0" w:line="240" w:lineRule="auto"/>
              <w:ind w:right="0" w:rightChars="0"/>
              <w:contextualSpacing/>
              <w:jc w:val="center"/>
              <w:rPr>
                <w:rFonts w:hint="default"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18</w:t>
            </w:r>
          </w:p>
        </w:tc>
        <w:tc>
          <w:tcPr>
            <w:tcW w:w="4645" w:type="dxa"/>
            <w:tcBorders>
              <w:tl2br w:val="nil"/>
              <w:tr2bl w:val="nil"/>
            </w:tcBorders>
            <w:shd w:val="clear" w:color="auto" w:fill="auto"/>
            <w:vAlign w:val="center"/>
          </w:tcPr>
          <w:p w14:paraId="63071E06">
            <w:pPr>
              <w:pStyle w:val="32"/>
              <w:snapToGrid/>
              <w:spacing w:before="0" w:after="0" w:line="240" w:lineRule="auto"/>
              <w:ind w:right="0" w:rightChars="0"/>
              <w:contextualSpacing/>
              <w:jc w:val="left"/>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rPr>
              <w:t>完善项目环境风险识别，重点关注液氯钢瓶及汽化后的液氯泄漏风险</w:t>
            </w:r>
            <w:r>
              <w:rPr>
                <w:rFonts w:hint="eastAsia" w:ascii="Times New Roman" w:hAnsi="Times New Roman" w:eastAsia="宋体" w:cs="Times New Roman"/>
                <w:b w:val="0"/>
                <w:bCs w:val="0"/>
                <w:color w:val="auto"/>
                <w:szCs w:val="20"/>
                <w:lang w:eastAsia="zh-CN"/>
              </w:rPr>
              <w:t>，</w:t>
            </w:r>
            <w:r>
              <w:rPr>
                <w:rFonts w:hint="eastAsia" w:ascii="Times New Roman" w:hAnsi="Times New Roman" w:eastAsia="宋体" w:cs="Times New Roman"/>
                <w:b w:val="0"/>
                <w:bCs w:val="0"/>
                <w:color w:val="auto"/>
                <w:szCs w:val="20"/>
              </w:rPr>
              <w:t>校核</w:t>
            </w:r>
            <w:r>
              <w:rPr>
                <w:rFonts w:hint="eastAsia" w:ascii="Times New Roman" w:hAnsi="Times New Roman" w:eastAsia="宋体" w:cs="Times New Roman"/>
                <w:b w:val="0"/>
                <w:bCs w:val="0"/>
                <w:color w:val="auto"/>
                <w:szCs w:val="20"/>
                <w:lang w:val="en-US" w:eastAsia="zh-CN"/>
              </w:rPr>
              <w:t>氯气</w:t>
            </w:r>
            <w:r>
              <w:rPr>
                <w:rFonts w:hint="eastAsia" w:ascii="Times New Roman" w:hAnsi="Times New Roman" w:eastAsia="宋体" w:cs="Times New Roman"/>
                <w:b w:val="0"/>
                <w:bCs w:val="0"/>
                <w:color w:val="auto"/>
                <w:szCs w:val="20"/>
              </w:rPr>
              <w:t>泄漏源强</w:t>
            </w:r>
            <w:r>
              <w:rPr>
                <w:rFonts w:hint="eastAsia" w:ascii="Times New Roman" w:hAnsi="Times New Roman" w:eastAsia="宋体" w:cs="Times New Roman"/>
                <w:b w:val="0"/>
                <w:bCs w:val="0"/>
                <w:color w:val="auto"/>
                <w:szCs w:val="20"/>
                <w:lang w:val="en-US" w:eastAsia="zh-CN"/>
              </w:rPr>
              <w:t>和</w:t>
            </w:r>
            <w:r>
              <w:rPr>
                <w:rFonts w:hint="eastAsia" w:ascii="Times New Roman" w:hAnsi="Times New Roman" w:eastAsia="宋体" w:cs="Times New Roman"/>
                <w:b w:val="0"/>
                <w:bCs w:val="0"/>
                <w:color w:val="auto"/>
                <w:szCs w:val="20"/>
              </w:rPr>
              <w:t>预测结果，明确影响范围内人口分布情况，给出各关心点处超大气毒性终点浓度的时刻和疏散要求</w:t>
            </w:r>
            <w:r>
              <w:rPr>
                <w:rFonts w:hint="eastAsia" w:ascii="Times New Roman" w:hAnsi="Times New Roman" w:eastAsia="宋体" w:cs="Times New Roman"/>
                <w:b w:val="0"/>
                <w:bCs w:val="0"/>
                <w:color w:val="auto"/>
                <w:szCs w:val="20"/>
                <w:lang w:eastAsia="zh-CN"/>
              </w:rPr>
              <w:t>；</w:t>
            </w:r>
            <w:r>
              <w:rPr>
                <w:rFonts w:hint="eastAsia" w:ascii="Times New Roman" w:hAnsi="Times New Roman" w:eastAsia="宋体" w:cs="Times New Roman"/>
                <w:b w:val="0"/>
                <w:bCs w:val="0"/>
                <w:color w:val="auto"/>
                <w:szCs w:val="20"/>
              </w:rPr>
              <w:t>补充项目已采取的环境风险防范措施及有效性分析，明确项目是否已设置氯气泄漏报警和自动喷淋吸收设施，并附具相关设施照片。</w:t>
            </w:r>
          </w:p>
        </w:tc>
        <w:tc>
          <w:tcPr>
            <w:tcW w:w="3860" w:type="dxa"/>
            <w:tcBorders>
              <w:tl2br w:val="nil"/>
              <w:tr2bl w:val="nil"/>
            </w:tcBorders>
            <w:shd w:val="clear" w:color="auto" w:fill="auto"/>
            <w:vAlign w:val="center"/>
          </w:tcPr>
          <w:p w14:paraId="24441CA4">
            <w:pPr>
              <w:pStyle w:val="32"/>
              <w:snapToGrid/>
              <w:spacing w:before="0" w:after="0" w:line="240" w:lineRule="auto"/>
              <w:ind w:right="0" w:rightChars="0"/>
              <w:contextualSpacing/>
              <w:jc w:val="left"/>
              <w:rPr>
                <w:rFonts w:hint="default"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修改环境风险专项有关内容，补充现有环境风险防控措施内容，并补充图片，详见附录P16~29</w:t>
            </w:r>
          </w:p>
        </w:tc>
      </w:tr>
      <w:tr w14:paraId="791627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0" w:type="dxa"/>
            <w:tcBorders>
              <w:tl2br w:val="nil"/>
              <w:tr2bl w:val="nil"/>
            </w:tcBorders>
            <w:vAlign w:val="center"/>
          </w:tcPr>
          <w:p w14:paraId="5A5BC786">
            <w:pPr>
              <w:pStyle w:val="32"/>
              <w:snapToGrid/>
              <w:spacing w:before="0" w:after="0" w:line="240" w:lineRule="auto"/>
              <w:ind w:right="0"/>
              <w:contextualSpacing/>
              <w:jc w:val="center"/>
              <w:rPr>
                <w:rFonts w:hint="default" w:ascii="Times New Roman" w:hAnsi="Times New Roman" w:eastAsia="宋体" w:cs="Times New Roman"/>
                <w:b w:val="0"/>
                <w:bCs w:val="0"/>
                <w:color w:val="auto"/>
                <w:szCs w:val="20"/>
                <w:lang w:val="en-US" w:eastAsia="zh-CN"/>
              </w:rPr>
            </w:pPr>
            <w:r>
              <w:rPr>
                <w:rFonts w:hint="eastAsia" w:ascii="Times New Roman" w:eastAsia="宋体" w:cs="Times New Roman"/>
                <w:b w:val="0"/>
                <w:bCs w:val="0"/>
                <w:color w:val="auto"/>
                <w:szCs w:val="20"/>
                <w:lang w:val="en-US" w:eastAsia="zh-CN"/>
              </w:rPr>
              <w:t>19</w:t>
            </w:r>
          </w:p>
        </w:tc>
        <w:tc>
          <w:tcPr>
            <w:tcW w:w="4645" w:type="dxa"/>
            <w:tcBorders>
              <w:tl2br w:val="nil"/>
              <w:tr2bl w:val="nil"/>
            </w:tcBorders>
            <w:shd w:val="clear" w:color="auto" w:fill="auto"/>
            <w:vAlign w:val="center"/>
          </w:tcPr>
          <w:p w14:paraId="30123258">
            <w:pPr>
              <w:pStyle w:val="32"/>
              <w:snapToGrid/>
              <w:spacing w:before="0" w:after="0" w:line="240" w:lineRule="auto"/>
              <w:ind w:right="0" w:rightChars="0"/>
              <w:contextualSpacing/>
              <w:jc w:val="left"/>
              <w:rPr>
                <w:rFonts w:hint="eastAsia"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rPr>
              <w:t>补充环境风险敏感目标图、危险单位分布图、预测结果最大影响范围图及应急疏散通道等相关图件。</w:t>
            </w:r>
            <w:r>
              <w:rPr>
                <w:rFonts w:hint="eastAsia" w:ascii="Times New Roman" w:hAnsi="Times New Roman" w:eastAsia="宋体" w:cs="Times New Roman"/>
                <w:b w:val="0"/>
                <w:bCs w:val="0"/>
                <w:color w:val="auto"/>
                <w:szCs w:val="20"/>
                <w:lang w:val="en-US" w:eastAsia="zh-CN"/>
              </w:rPr>
              <w:t>完善附图附件等内容</w:t>
            </w:r>
          </w:p>
        </w:tc>
        <w:tc>
          <w:tcPr>
            <w:tcW w:w="3860" w:type="dxa"/>
            <w:tcBorders>
              <w:tl2br w:val="nil"/>
              <w:tr2bl w:val="nil"/>
            </w:tcBorders>
            <w:shd w:val="clear" w:color="auto" w:fill="auto"/>
            <w:vAlign w:val="center"/>
          </w:tcPr>
          <w:p w14:paraId="03889044">
            <w:pPr>
              <w:pStyle w:val="32"/>
              <w:snapToGrid/>
              <w:spacing w:before="0" w:after="0" w:line="240" w:lineRule="auto"/>
              <w:ind w:right="0" w:rightChars="0"/>
              <w:contextualSpacing/>
              <w:jc w:val="left"/>
              <w:rPr>
                <w:rFonts w:hint="default" w:ascii="Times New Roman" w:hAnsi="Times New Roman" w:eastAsia="宋体" w:cs="Times New Roman"/>
                <w:b w:val="0"/>
                <w:bCs w:val="0"/>
                <w:color w:val="auto"/>
                <w:kern w:val="0"/>
                <w:sz w:val="24"/>
                <w:szCs w:val="20"/>
                <w:lang w:val="en-US" w:eastAsia="zh-CN" w:bidi="ar-SA"/>
              </w:rPr>
            </w:pPr>
            <w:r>
              <w:rPr>
                <w:rFonts w:hint="eastAsia" w:ascii="Times New Roman" w:hAnsi="Times New Roman" w:eastAsia="宋体" w:cs="Times New Roman"/>
                <w:b w:val="0"/>
                <w:bCs w:val="0"/>
                <w:color w:val="auto"/>
                <w:szCs w:val="20"/>
                <w:lang w:val="en-US" w:eastAsia="zh-CN"/>
              </w:rPr>
              <w:t>报告附图已补充相关图件，完善整理各类附件，详见报告附图附件</w:t>
            </w:r>
          </w:p>
        </w:tc>
      </w:tr>
    </w:tbl>
    <w:p w14:paraId="3F2FCA35">
      <w:pPr>
        <w:jc w:val="center"/>
        <w:rPr>
          <w:rFonts w:hint="eastAsia"/>
          <w:b/>
          <w:sz w:val="32"/>
          <w:szCs w:val="32"/>
        </w:rPr>
      </w:pPr>
    </w:p>
    <w:p w14:paraId="7EDE35A9">
      <w:pPr>
        <w:rPr>
          <w:rFonts w:hint="eastAsia"/>
          <w:b/>
          <w:sz w:val="44"/>
          <w:szCs w:val="44"/>
        </w:rPr>
      </w:pPr>
      <w:r>
        <w:rPr>
          <w:rFonts w:hint="eastAsia"/>
          <w:b/>
          <w:sz w:val="44"/>
          <w:szCs w:val="44"/>
        </w:rPr>
        <w:br w:type="page"/>
      </w:r>
    </w:p>
    <w:p w14:paraId="143BE156">
      <w:pPr>
        <w:jc w:val="center"/>
        <w:rPr>
          <w:b/>
          <w:sz w:val="44"/>
          <w:szCs w:val="44"/>
        </w:rPr>
      </w:pPr>
      <w:r>
        <w:rPr>
          <w:rFonts w:hint="eastAsia"/>
          <w:b/>
          <w:sz w:val="44"/>
          <w:szCs w:val="44"/>
        </w:rPr>
        <w:t>目 录</w:t>
      </w:r>
    </w:p>
    <w:p w14:paraId="4B624AB4">
      <w:pPr>
        <w:pStyle w:val="21"/>
        <w:tabs>
          <w:tab w:val="right" w:leader="dot" w:pos="8306"/>
        </w:tabs>
        <w:rPr>
          <w:sz w:val="28"/>
          <w:szCs w:val="36"/>
        </w:rPr>
      </w:pPr>
      <w:r>
        <w:rPr>
          <w:sz w:val="28"/>
          <w:szCs w:val="28"/>
        </w:rPr>
        <w:fldChar w:fldCharType="begin"/>
      </w:r>
      <w:r>
        <w:rPr>
          <w:sz w:val="28"/>
          <w:szCs w:val="28"/>
        </w:rPr>
        <w:instrText xml:space="preserve"> TOC \o "1-1" \h \z \u </w:instrText>
      </w:r>
      <w:r>
        <w:rPr>
          <w:sz w:val="28"/>
          <w:szCs w:val="28"/>
        </w:rPr>
        <w:fldChar w:fldCharType="separate"/>
      </w:r>
      <w:r>
        <w:rPr>
          <w:sz w:val="28"/>
          <w:szCs w:val="40"/>
        </w:rPr>
        <w:fldChar w:fldCharType="begin"/>
      </w:r>
      <w:r>
        <w:rPr>
          <w:sz w:val="28"/>
          <w:szCs w:val="40"/>
        </w:rPr>
        <w:instrText xml:space="preserve"> HYPERLINK \l _Toc28199 </w:instrText>
      </w:r>
      <w:r>
        <w:rPr>
          <w:sz w:val="28"/>
          <w:szCs w:val="40"/>
        </w:rPr>
        <w:fldChar w:fldCharType="separate"/>
      </w:r>
      <w:r>
        <w:rPr>
          <w:rFonts w:hint="eastAsia" w:ascii="黑体" w:hAnsi="黑体" w:eastAsia="黑体"/>
          <w:snapToGrid w:val="0"/>
          <w:sz w:val="28"/>
          <w:szCs w:val="40"/>
        </w:rPr>
        <w:t>一、建设项目基本情况</w:t>
      </w:r>
      <w:r>
        <w:rPr>
          <w:sz w:val="28"/>
          <w:szCs w:val="36"/>
        </w:rPr>
        <w:tab/>
      </w:r>
      <w:r>
        <w:rPr>
          <w:sz w:val="28"/>
          <w:szCs w:val="36"/>
        </w:rPr>
        <w:fldChar w:fldCharType="begin"/>
      </w:r>
      <w:r>
        <w:rPr>
          <w:sz w:val="28"/>
          <w:szCs w:val="36"/>
        </w:rPr>
        <w:instrText xml:space="preserve"> PAGEREF _Toc28199 \h </w:instrText>
      </w:r>
      <w:r>
        <w:rPr>
          <w:sz w:val="28"/>
          <w:szCs w:val="36"/>
        </w:rPr>
        <w:fldChar w:fldCharType="separate"/>
      </w:r>
      <w:r>
        <w:rPr>
          <w:sz w:val="28"/>
          <w:szCs w:val="36"/>
        </w:rPr>
        <w:t>1</w:t>
      </w:r>
      <w:r>
        <w:rPr>
          <w:sz w:val="28"/>
          <w:szCs w:val="36"/>
        </w:rPr>
        <w:fldChar w:fldCharType="end"/>
      </w:r>
      <w:r>
        <w:rPr>
          <w:sz w:val="28"/>
          <w:szCs w:val="40"/>
        </w:rPr>
        <w:fldChar w:fldCharType="end"/>
      </w:r>
    </w:p>
    <w:p w14:paraId="23D8BD90">
      <w:pPr>
        <w:pStyle w:val="21"/>
        <w:tabs>
          <w:tab w:val="right" w:leader="dot" w:pos="8306"/>
        </w:tabs>
        <w:rPr>
          <w:sz w:val="28"/>
          <w:szCs w:val="36"/>
        </w:rPr>
      </w:pPr>
      <w:r>
        <w:rPr>
          <w:sz w:val="28"/>
          <w:szCs w:val="40"/>
        </w:rPr>
        <w:fldChar w:fldCharType="begin"/>
      </w:r>
      <w:r>
        <w:rPr>
          <w:sz w:val="28"/>
          <w:szCs w:val="40"/>
        </w:rPr>
        <w:instrText xml:space="preserve"> HYPERLINK \l _Toc1498 </w:instrText>
      </w:r>
      <w:r>
        <w:rPr>
          <w:sz w:val="28"/>
          <w:szCs w:val="40"/>
        </w:rPr>
        <w:fldChar w:fldCharType="separate"/>
      </w:r>
      <w:r>
        <w:rPr>
          <w:rFonts w:hint="eastAsia" w:ascii="黑体" w:hAnsi="黑体" w:eastAsia="黑体" w:cs="Times New Roman"/>
          <w:snapToGrid w:val="0"/>
          <w:sz w:val="28"/>
          <w:szCs w:val="40"/>
        </w:rPr>
        <w:t>二、建设项目工程分析</w:t>
      </w:r>
      <w:r>
        <w:rPr>
          <w:sz w:val="28"/>
          <w:szCs w:val="36"/>
        </w:rPr>
        <w:tab/>
      </w:r>
      <w:r>
        <w:rPr>
          <w:sz w:val="28"/>
          <w:szCs w:val="36"/>
        </w:rPr>
        <w:fldChar w:fldCharType="begin"/>
      </w:r>
      <w:r>
        <w:rPr>
          <w:sz w:val="28"/>
          <w:szCs w:val="36"/>
        </w:rPr>
        <w:instrText xml:space="preserve"> PAGEREF _Toc1498 \h </w:instrText>
      </w:r>
      <w:r>
        <w:rPr>
          <w:sz w:val="28"/>
          <w:szCs w:val="36"/>
        </w:rPr>
        <w:fldChar w:fldCharType="separate"/>
      </w:r>
      <w:r>
        <w:rPr>
          <w:sz w:val="28"/>
          <w:szCs w:val="36"/>
        </w:rPr>
        <w:t>15</w:t>
      </w:r>
      <w:r>
        <w:rPr>
          <w:sz w:val="28"/>
          <w:szCs w:val="36"/>
        </w:rPr>
        <w:fldChar w:fldCharType="end"/>
      </w:r>
      <w:r>
        <w:rPr>
          <w:sz w:val="28"/>
          <w:szCs w:val="40"/>
        </w:rPr>
        <w:fldChar w:fldCharType="end"/>
      </w:r>
    </w:p>
    <w:p w14:paraId="46C53526">
      <w:pPr>
        <w:pStyle w:val="21"/>
        <w:tabs>
          <w:tab w:val="right" w:leader="dot" w:pos="8306"/>
        </w:tabs>
        <w:rPr>
          <w:sz w:val="28"/>
          <w:szCs w:val="36"/>
        </w:rPr>
      </w:pPr>
      <w:r>
        <w:rPr>
          <w:sz w:val="28"/>
          <w:szCs w:val="40"/>
        </w:rPr>
        <w:fldChar w:fldCharType="begin"/>
      </w:r>
      <w:r>
        <w:rPr>
          <w:sz w:val="28"/>
          <w:szCs w:val="40"/>
        </w:rPr>
        <w:instrText xml:space="preserve"> HYPERLINK \l _Toc24936 </w:instrText>
      </w:r>
      <w:r>
        <w:rPr>
          <w:sz w:val="28"/>
          <w:szCs w:val="40"/>
        </w:rPr>
        <w:fldChar w:fldCharType="separate"/>
      </w:r>
      <w:r>
        <w:rPr>
          <w:rFonts w:hint="default" w:ascii="黑体" w:hAnsi="黑体" w:eastAsia="黑体" w:cs="Times New Roman"/>
          <w:snapToGrid w:val="0"/>
          <w:sz w:val="28"/>
          <w:szCs w:val="40"/>
        </w:rPr>
        <w:t>三、区域环境质量现状、环境保护目标及评价标准</w:t>
      </w:r>
      <w:r>
        <w:rPr>
          <w:sz w:val="28"/>
          <w:szCs w:val="36"/>
        </w:rPr>
        <w:tab/>
      </w:r>
      <w:r>
        <w:rPr>
          <w:sz w:val="28"/>
          <w:szCs w:val="36"/>
        </w:rPr>
        <w:fldChar w:fldCharType="begin"/>
      </w:r>
      <w:r>
        <w:rPr>
          <w:sz w:val="28"/>
          <w:szCs w:val="36"/>
        </w:rPr>
        <w:instrText xml:space="preserve"> PAGEREF _Toc24936 \h </w:instrText>
      </w:r>
      <w:r>
        <w:rPr>
          <w:sz w:val="28"/>
          <w:szCs w:val="36"/>
        </w:rPr>
        <w:fldChar w:fldCharType="separate"/>
      </w:r>
      <w:r>
        <w:rPr>
          <w:sz w:val="28"/>
          <w:szCs w:val="36"/>
        </w:rPr>
        <w:t>32</w:t>
      </w:r>
      <w:r>
        <w:rPr>
          <w:sz w:val="28"/>
          <w:szCs w:val="36"/>
        </w:rPr>
        <w:fldChar w:fldCharType="end"/>
      </w:r>
      <w:r>
        <w:rPr>
          <w:sz w:val="28"/>
          <w:szCs w:val="40"/>
        </w:rPr>
        <w:fldChar w:fldCharType="end"/>
      </w:r>
    </w:p>
    <w:p w14:paraId="3964673C">
      <w:pPr>
        <w:pStyle w:val="21"/>
        <w:tabs>
          <w:tab w:val="right" w:leader="dot" w:pos="8306"/>
        </w:tabs>
        <w:rPr>
          <w:sz w:val="28"/>
          <w:szCs w:val="36"/>
        </w:rPr>
      </w:pPr>
      <w:r>
        <w:rPr>
          <w:sz w:val="28"/>
          <w:szCs w:val="40"/>
        </w:rPr>
        <w:fldChar w:fldCharType="begin"/>
      </w:r>
      <w:r>
        <w:rPr>
          <w:sz w:val="28"/>
          <w:szCs w:val="40"/>
        </w:rPr>
        <w:instrText xml:space="preserve"> HYPERLINK \l _Toc15741 </w:instrText>
      </w:r>
      <w:r>
        <w:rPr>
          <w:sz w:val="28"/>
          <w:szCs w:val="40"/>
        </w:rPr>
        <w:fldChar w:fldCharType="separate"/>
      </w:r>
      <w:r>
        <w:rPr>
          <w:rFonts w:hint="eastAsia" w:ascii="黑体" w:hAnsi="黑体" w:eastAsia="黑体" w:cs="Times New Roman"/>
          <w:snapToGrid w:val="0"/>
          <w:sz w:val="28"/>
          <w:szCs w:val="40"/>
        </w:rPr>
        <w:t>四、主要环境影响和保护措施</w:t>
      </w:r>
      <w:r>
        <w:rPr>
          <w:sz w:val="28"/>
          <w:szCs w:val="36"/>
        </w:rPr>
        <w:tab/>
      </w:r>
      <w:r>
        <w:rPr>
          <w:sz w:val="28"/>
          <w:szCs w:val="36"/>
        </w:rPr>
        <w:fldChar w:fldCharType="begin"/>
      </w:r>
      <w:r>
        <w:rPr>
          <w:sz w:val="28"/>
          <w:szCs w:val="36"/>
        </w:rPr>
        <w:instrText xml:space="preserve"> PAGEREF _Toc15741 \h </w:instrText>
      </w:r>
      <w:r>
        <w:rPr>
          <w:sz w:val="28"/>
          <w:szCs w:val="36"/>
        </w:rPr>
        <w:fldChar w:fldCharType="separate"/>
      </w:r>
      <w:r>
        <w:rPr>
          <w:sz w:val="28"/>
          <w:szCs w:val="36"/>
        </w:rPr>
        <w:t>40</w:t>
      </w:r>
      <w:r>
        <w:rPr>
          <w:sz w:val="28"/>
          <w:szCs w:val="36"/>
        </w:rPr>
        <w:fldChar w:fldCharType="end"/>
      </w:r>
      <w:r>
        <w:rPr>
          <w:sz w:val="28"/>
          <w:szCs w:val="40"/>
        </w:rPr>
        <w:fldChar w:fldCharType="end"/>
      </w:r>
    </w:p>
    <w:p w14:paraId="6B3BFC64">
      <w:pPr>
        <w:pStyle w:val="21"/>
        <w:tabs>
          <w:tab w:val="right" w:leader="dot" w:pos="8306"/>
        </w:tabs>
        <w:rPr>
          <w:sz w:val="28"/>
          <w:szCs w:val="36"/>
        </w:rPr>
      </w:pPr>
      <w:r>
        <w:rPr>
          <w:sz w:val="28"/>
          <w:szCs w:val="40"/>
        </w:rPr>
        <w:fldChar w:fldCharType="begin"/>
      </w:r>
      <w:r>
        <w:rPr>
          <w:sz w:val="28"/>
          <w:szCs w:val="40"/>
        </w:rPr>
        <w:instrText xml:space="preserve"> HYPERLINK \l _Toc6387 </w:instrText>
      </w:r>
      <w:r>
        <w:rPr>
          <w:sz w:val="28"/>
          <w:szCs w:val="40"/>
        </w:rPr>
        <w:fldChar w:fldCharType="separate"/>
      </w:r>
      <w:r>
        <w:rPr>
          <w:rFonts w:hint="eastAsia" w:ascii="黑体" w:hAnsi="黑体" w:eastAsia="黑体" w:cs="Times New Roman"/>
          <w:snapToGrid w:val="0"/>
          <w:sz w:val="28"/>
          <w:szCs w:val="40"/>
        </w:rPr>
        <w:t>五、环境保护措施监督检查清单</w:t>
      </w:r>
      <w:r>
        <w:rPr>
          <w:sz w:val="28"/>
          <w:szCs w:val="36"/>
        </w:rPr>
        <w:tab/>
      </w:r>
      <w:r>
        <w:rPr>
          <w:sz w:val="28"/>
          <w:szCs w:val="36"/>
        </w:rPr>
        <w:fldChar w:fldCharType="begin"/>
      </w:r>
      <w:r>
        <w:rPr>
          <w:sz w:val="28"/>
          <w:szCs w:val="36"/>
        </w:rPr>
        <w:instrText xml:space="preserve"> PAGEREF _Toc6387 \h </w:instrText>
      </w:r>
      <w:r>
        <w:rPr>
          <w:sz w:val="28"/>
          <w:szCs w:val="36"/>
        </w:rPr>
        <w:fldChar w:fldCharType="separate"/>
      </w:r>
      <w:r>
        <w:rPr>
          <w:sz w:val="28"/>
          <w:szCs w:val="36"/>
        </w:rPr>
        <w:t>56</w:t>
      </w:r>
      <w:r>
        <w:rPr>
          <w:sz w:val="28"/>
          <w:szCs w:val="36"/>
        </w:rPr>
        <w:fldChar w:fldCharType="end"/>
      </w:r>
      <w:r>
        <w:rPr>
          <w:sz w:val="28"/>
          <w:szCs w:val="40"/>
        </w:rPr>
        <w:fldChar w:fldCharType="end"/>
      </w:r>
    </w:p>
    <w:p w14:paraId="3ECD97B6">
      <w:pPr>
        <w:pStyle w:val="21"/>
        <w:tabs>
          <w:tab w:val="right" w:leader="dot" w:pos="8306"/>
        </w:tabs>
      </w:pPr>
      <w:r>
        <w:rPr>
          <w:sz w:val="28"/>
          <w:szCs w:val="40"/>
        </w:rPr>
        <w:fldChar w:fldCharType="begin"/>
      </w:r>
      <w:r>
        <w:rPr>
          <w:sz w:val="28"/>
          <w:szCs w:val="40"/>
        </w:rPr>
        <w:instrText xml:space="preserve"> HYPERLINK \l _Toc17312 </w:instrText>
      </w:r>
      <w:r>
        <w:rPr>
          <w:sz w:val="28"/>
          <w:szCs w:val="40"/>
        </w:rPr>
        <w:fldChar w:fldCharType="separate"/>
      </w:r>
      <w:r>
        <w:rPr>
          <w:rFonts w:hint="eastAsia" w:ascii="黑体" w:hAnsi="黑体" w:eastAsia="黑体" w:cs="Times New Roman"/>
          <w:snapToGrid w:val="0"/>
          <w:sz w:val="28"/>
          <w:szCs w:val="40"/>
        </w:rPr>
        <w:t>六、结论</w:t>
      </w:r>
      <w:r>
        <w:rPr>
          <w:sz w:val="28"/>
          <w:szCs w:val="36"/>
        </w:rPr>
        <w:tab/>
      </w:r>
      <w:r>
        <w:rPr>
          <w:sz w:val="28"/>
          <w:szCs w:val="36"/>
        </w:rPr>
        <w:fldChar w:fldCharType="begin"/>
      </w:r>
      <w:r>
        <w:rPr>
          <w:sz w:val="28"/>
          <w:szCs w:val="36"/>
        </w:rPr>
        <w:instrText xml:space="preserve"> PAGEREF _Toc17312 \h </w:instrText>
      </w:r>
      <w:r>
        <w:rPr>
          <w:sz w:val="28"/>
          <w:szCs w:val="36"/>
        </w:rPr>
        <w:fldChar w:fldCharType="separate"/>
      </w:r>
      <w:r>
        <w:rPr>
          <w:sz w:val="28"/>
          <w:szCs w:val="36"/>
        </w:rPr>
        <w:t>59</w:t>
      </w:r>
      <w:r>
        <w:rPr>
          <w:sz w:val="28"/>
          <w:szCs w:val="36"/>
        </w:rPr>
        <w:fldChar w:fldCharType="end"/>
      </w:r>
      <w:r>
        <w:rPr>
          <w:sz w:val="28"/>
          <w:szCs w:val="40"/>
        </w:rPr>
        <w:fldChar w:fldCharType="end"/>
      </w:r>
    </w:p>
    <w:p w14:paraId="627191D0">
      <w:pPr>
        <w:rPr>
          <w:szCs w:val="28"/>
        </w:rPr>
      </w:pPr>
      <w:r>
        <w:rPr>
          <w:szCs w:val="28"/>
        </w:rPr>
        <w:fldChar w:fldCharType="end"/>
      </w:r>
    </w:p>
    <w:p w14:paraId="394CDABF">
      <w:pPr>
        <w:rPr>
          <w:szCs w:val="28"/>
        </w:rPr>
      </w:pPr>
    </w:p>
    <w:p w14:paraId="1F568511">
      <w:pPr>
        <w:rPr>
          <w:rFonts w:hint="eastAsia"/>
          <w:b/>
          <w:sz w:val="28"/>
          <w:szCs w:val="28"/>
        </w:rPr>
      </w:pPr>
      <w:r>
        <w:rPr>
          <w:rFonts w:hint="eastAsia"/>
          <w:b/>
          <w:sz w:val="28"/>
          <w:szCs w:val="28"/>
        </w:rPr>
        <w:t>附</w:t>
      </w:r>
      <w:r>
        <w:rPr>
          <w:rFonts w:hint="eastAsia"/>
          <w:b/>
          <w:sz w:val="28"/>
          <w:szCs w:val="28"/>
          <w:lang w:val="en-US" w:eastAsia="zh-CN"/>
        </w:rPr>
        <w:t>件</w:t>
      </w:r>
      <w:r>
        <w:rPr>
          <w:rFonts w:hint="eastAsia"/>
          <w:b/>
          <w:sz w:val="28"/>
          <w:szCs w:val="28"/>
        </w:rPr>
        <w:t>：</w:t>
      </w:r>
    </w:p>
    <w:p w14:paraId="0ECCBE5A">
      <w:pPr>
        <w:rPr>
          <w:sz w:val="24"/>
        </w:rPr>
      </w:pPr>
      <w:r>
        <w:rPr>
          <w:rFonts w:hint="eastAsia"/>
          <w:sz w:val="24"/>
        </w:rPr>
        <w:t>附件1 环评委托书</w:t>
      </w:r>
    </w:p>
    <w:p w14:paraId="1F448FE5">
      <w:pPr>
        <w:adjustRightInd w:val="0"/>
        <w:snapToGrid w:val="0"/>
        <w:rPr>
          <w:sz w:val="24"/>
        </w:rPr>
      </w:pPr>
      <w:r>
        <w:rPr>
          <w:rFonts w:hint="eastAsia"/>
          <w:sz w:val="24"/>
        </w:rPr>
        <w:t>附件2 项目用地权属证明</w:t>
      </w:r>
    </w:p>
    <w:p w14:paraId="130257BA">
      <w:pPr>
        <w:adjustRightInd w:val="0"/>
        <w:snapToGrid w:val="0"/>
        <w:rPr>
          <w:sz w:val="24"/>
        </w:rPr>
      </w:pPr>
      <w:r>
        <w:rPr>
          <w:rFonts w:hint="eastAsia"/>
          <w:sz w:val="24"/>
        </w:rPr>
        <w:t>附件3 项目取水许可证</w:t>
      </w:r>
    </w:p>
    <w:p w14:paraId="79D00386">
      <w:pPr>
        <w:adjustRightInd w:val="0"/>
        <w:snapToGrid w:val="0"/>
        <w:rPr>
          <w:rFonts w:hint="eastAsia"/>
          <w:sz w:val="24"/>
          <w:u w:val="single"/>
        </w:rPr>
      </w:pPr>
      <w:r>
        <w:rPr>
          <w:rFonts w:hint="eastAsia"/>
          <w:sz w:val="24"/>
          <w:u w:val="single"/>
        </w:rPr>
        <w:t>附件4 政府对项目饮用水源地划分批复文件</w:t>
      </w:r>
    </w:p>
    <w:p w14:paraId="71AE6873">
      <w:pPr>
        <w:adjustRightInd w:val="0"/>
        <w:snapToGrid w:val="0"/>
        <w:rPr>
          <w:sz w:val="24"/>
        </w:rPr>
      </w:pPr>
      <w:r>
        <w:rPr>
          <w:rFonts w:hint="eastAsia"/>
          <w:sz w:val="24"/>
        </w:rPr>
        <w:t>附件5 2025年洞庭湖取水水源水质报告</w:t>
      </w:r>
    </w:p>
    <w:p w14:paraId="6463917D">
      <w:pPr>
        <w:adjustRightInd w:val="0"/>
        <w:snapToGrid w:val="0"/>
        <w:rPr>
          <w:sz w:val="24"/>
        </w:rPr>
      </w:pPr>
      <w:r>
        <w:rPr>
          <w:rFonts w:hint="eastAsia"/>
          <w:sz w:val="24"/>
        </w:rPr>
        <w:t>附件</w:t>
      </w:r>
      <w:r>
        <w:rPr>
          <w:rFonts w:hint="eastAsia"/>
          <w:sz w:val="24"/>
          <w:lang w:val="en-US" w:eastAsia="zh-CN"/>
        </w:rPr>
        <w:t>6</w:t>
      </w:r>
      <w:r>
        <w:rPr>
          <w:rFonts w:hint="eastAsia"/>
          <w:sz w:val="24"/>
        </w:rPr>
        <w:t xml:space="preserve"> 项目现状环境质量检测报告</w:t>
      </w:r>
    </w:p>
    <w:p w14:paraId="07B7654C">
      <w:pPr>
        <w:adjustRightInd w:val="0"/>
        <w:snapToGrid w:val="0"/>
        <w:rPr>
          <w:rFonts w:hint="eastAsia"/>
          <w:sz w:val="24"/>
          <w:u w:val="single"/>
        </w:rPr>
      </w:pPr>
      <w:r>
        <w:rPr>
          <w:rFonts w:hint="eastAsia"/>
          <w:sz w:val="24"/>
          <w:u w:val="single"/>
        </w:rPr>
        <w:t>附件</w:t>
      </w:r>
      <w:r>
        <w:rPr>
          <w:rFonts w:hint="eastAsia"/>
          <w:sz w:val="24"/>
          <w:u w:val="single"/>
          <w:lang w:val="en-US" w:eastAsia="zh-CN"/>
        </w:rPr>
        <w:t>7</w:t>
      </w:r>
      <w:r>
        <w:rPr>
          <w:rFonts w:hint="eastAsia"/>
          <w:sz w:val="24"/>
          <w:u w:val="single"/>
        </w:rPr>
        <w:t xml:space="preserve"> </w:t>
      </w:r>
      <w:r>
        <w:rPr>
          <w:rFonts w:hint="eastAsia"/>
          <w:sz w:val="24"/>
          <w:u w:val="single"/>
          <w:lang w:val="en-US" w:eastAsia="zh-CN"/>
        </w:rPr>
        <w:t>生态环境分区管控</w:t>
      </w:r>
      <w:r>
        <w:rPr>
          <w:rFonts w:hint="eastAsia"/>
          <w:sz w:val="24"/>
          <w:u w:val="single"/>
        </w:rPr>
        <w:t>项目研判分析结果报告</w:t>
      </w:r>
    </w:p>
    <w:p w14:paraId="3D401EE7">
      <w:pPr>
        <w:adjustRightInd w:val="0"/>
        <w:snapToGrid w:val="0"/>
        <w:rPr>
          <w:rFonts w:hint="default" w:eastAsia="宋体"/>
          <w:sz w:val="24"/>
          <w:u w:val="single"/>
          <w:lang w:val="en-US" w:eastAsia="zh-CN"/>
        </w:rPr>
      </w:pPr>
      <w:r>
        <w:rPr>
          <w:rFonts w:hint="eastAsia"/>
          <w:sz w:val="24"/>
          <w:u w:val="single"/>
          <w:lang w:eastAsia="zh-CN"/>
        </w:rPr>
        <w:t>附件</w:t>
      </w:r>
      <w:r>
        <w:rPr>
          <w:rFonts w:hint="eastAsia"/>
          <w:sz w:val="24"/>
          <w:u w:val="single"/>
          <w:lang w:val="en-US" w:eastAsia="zh-CN"/>
        </w:rPr>
        <w:t>8 污水排放口接驳工程施工合同</w:t>
      </w:r>
    </w:p>
    <w:p w14:paraId="383D376A">
      <w:pPr>
        <w:adjustRightInd w:val="0"/>
        <w:snapToGrid w:val="0"/>
        <w:rPr>
          <w:rFonts w:hint="eastAsia"/>
          <w:sz w:val="24"/>
          <w:u w:val="single"/>
        </w:rPr>
      </w:pPr>
      <w:r>
        <w:rPr>
          <w:rFonts w:hint="eastAsia"/>
          <w:sz w:val="24"/>
          <w:u w:val="single"/>
        </w:rPr>
        <w:t>附件</w:t>
      </w:r>
      <w:r>
        <w:rPr>
          <w:rFonts w:hint="eastAsia"/>
          <w:sz w:val="24"/>
          <w:u w:val="single"/>
          <w:lang w:val="en-US" w:eastAsia="zh-CN"/>
        </w:rPr>
        <w:t>9</w:t>
      </w:r>
      <w:r>
        <w:rPr>
          <w:rFonts w:hint="eastAsia"/>
          <w:sz w:val="24"/>
          <w:u w:val="single"/>
        </w:rPr>
        <w:t xml:space="preserve"> </w:t>
      </w:r>
      <w:r>
        <w:rPr>
          <w:rFonts w:hint="eastAsia"/>
          <w:sz w:val="24"/>
          <w:u w:val="single"/>
          <w:lang w:val="en-US" w:eastAsia="zh-CN"/>
        </w:rPr>
        <w:t>环评报告专家评审意见</w:t>
      </w:r>
    </w:p>
    <w:p w14:paraId="740FDA51">
      <w:pPr>
        <w:adjustRightInd w:val="0"/>
        <w:snapToGrid w:val="0"/>
        <w:rPr>
          <w:rFonts w:hint="eastAsia"/>
        </w:rPr>
      </w:pPr>
    </w:p>
    <w:p w14:paraId="6CC26CC1">
      <w:pPr>
        <w:rPr>
          <w:rFonts w:hint="eastAsia"/>
          <w:b/>
          <w:sz w:val="28"/>
          <w:szCs w:val="28"/>
        </w:rPr>
      </w:pPr>
      <w:r>
        <w:rPr>
          <w:rFonts w:hint="eastAsia"/>
          <w:b/>
          <w:sz w:val="28"/>
          <w:szCs w:val="28"/>
        </w:rPr>
        <w:t>附图：</w:t>
      </w:r>
    </w:p>
    <w:p w14:paraId="2F75A024">
      <w:pPr>
        <w:rPr>
          <w:sz w:val="24"/>
        </w:rPr>
      </w:pPr>
      <w:r>
        <w:rPr>
          <w:rFonts w:hint="eastAsia"/>
          <w:sz w:val="24"/>
        </w:rPr>
        <w:t>附图1项目所在地地理位置图</w:t>
      </w:r>
    </w:p>
    <w:p w14:paraId="62CE13A8">
      <w:pPr>
        <w:adjustRightInd w:val="0"/>
        <w:snapToGrid w:val="0"/>
        <w:rPr>
          <w:sz w:val="24"/>
        </w:rPr>
      </w:pPr>
      <w:r>
        <w:rPr>
          <w:rFonts w:hint="eastAsia"/>
          <w:sz w:val="24"/>
        </w:rPr>
        <w:t>附图2项目厂区平面布局示意图</w:t>
      </w:r>
    </w:p>
    <w:p w14:paraId="2D0E0737">
      <w:pPr>
        <w:adjustRightInd w:val="0"/>
        <w:snapToGrid w:val="0"/>
        <w:rPr>
          <w:sz w:val="24"/>
          <w:u w:val="none"/>
        </w:rPr>
      </w:pPr>
      <w:r>
        <w:rPr>
          <w:rFonts w:hint="eastAsia"/>
          <w:sz w:val="24"/>
          <w:u w:val="none"/>
        </w:rPr>
        <w:t>附图3项目周边主要环境保护目标分布示意图</w:t>
      </w:r>
    </w:p>
    <w:p w14:paraId="7C1E0D59">
      <w:pPr>
        <w:adjustRightInd w:val="0"/>
        <w:snapToGrid w:val="0"/>
        <w:rPr>
          <w:sz w:val="24"/>
          <w:u w:val="none"/>
        </w:rPr>
      </w:pPr>
      <w:r>
        <w:rPr>
          <w:rFonts w:hint="eastAsia"/>
          <w:sz w:val="24"/>
          <w:u w:val="none"/>
        </w:rPr>
        <w:t>附图</w:t>
      </w:r>
      <w:r>
        <w:rPr>
          <w:rFonts w:hint="eastAsia"/>
          <w:sz w:val="24"/>
          <w:u w:val="none"/>
          <w:lang w:val="en-US" w:eastAsia="zh-CN"/>
        </w:rPr>
        <w:t>4</w:t>
      </w:r>
      <w:r>
        <w:rPr>
          <w:rFonts w:hint="eastAsia"/>
          <w:sz w:val="24"/>
          <w:u w:val="none"/>
        </w:rPr>
        <w:t>项目周边声环境质量监测布点</w:t>
      </w:r>
      <w:r>
        <w:rPr>
          <w:rFonts w:hint="eastAsia"/>
          <w:sz w:val="24"/>
          <w:u w:val="none"/>
          <w:lang w:val="en-US" w:eastAsia="zh-CN"/>
        </w:rPr>
        <w:t>图</w:t>
      </w:r>
    </w:p>
    <w:p w14:paraId="447117C2">
      <w:pPr>
        <w:adjustRightInd w:val="0"/>
        <w:snapToGrid w:val="0"/>
        <w:rPr>
          <w:sz w:val="24"/>
          <w:u w:val="single"/>
        </w:rPr>
      </w:pPr>
      <w:r>
        <w:rPr>
          <w:rFonts w:hint="eastAsia"/>
          <w:sz w:val="24"/>
          <w:u w:val="single"/>
        </w:rPr>
        <w:t>附图5项目周边主要环境风险保护目标分布示意图</w:t>
      </w:r>
    </w:p>
    <w:p w14:paraId="66053369">
      <w:pPr>
        <w:adjustRightInd w:val="0"/>
        <w:snapToGrid w:val="0"/>
        <w:rPr>
          <w:sz w:val="24"/>
          <w:u w:val="single"/>
        </w:rPr>
      </w:pPr>
      <w:r>
        <w:rPr>
          <w:rFonts w:hint="eastAsia"/>
          <w:sz w:val="24"/>
          <w:u w:val="single"/>
        </w:rPr>
        <w:t>附图</w:t>
      </w:r>
      <w:r>
        <w:rPr>
          <w:rFonts w:hint="eastAsia"/>
          <w:sz w:val="24"/>
          <w:u w:val="single"/>
          <w:lang w:val="en-US" w:eastAsia="zh-CN"/>
        </w:rPr>
        <w:t>6</w:t>
      </w:r>
      <w:r>
        <w:rPr>
          <w:rFonts w:hint="eastAsia"/>
          <w:sz w:val="24"/>
          <w:u w:val="single"/>
        </w:rPr>
        <w:t>项目厂区内主要环境风险源分布示意图</w:t>
      </w:r>
    </w:p>
    <w:p w14:paraId="1F2AC83D">
      <w:pPr>
        <w:rPr>
          <w:rFonts w:hint="eastAsia"/>
        </w:rPr>
      </w:pPr>
    </w:p>
    <w:p w14:paraId="1E433EAF">
      <w:pPr>
        <w:rPr>
          <w:rFonts w:hint="eastAsia"/>
          <w:b/>
          <w:sz w:val="28"/>
          <w:szCs w:val="28"/>
        </w:rPr>
      </w:pPr>
      <w:r>
        <w:rPr>
          <w:rFonts w:hint="eastAsia"/>
          <w:b/>
          <w:sz w:val="28"/>
          <w:szCs w:val="28"/>
        </w:rPr>
        <w:t>附录：</w:t>
      </w:r>
    </w:p>
    <w:p w14:paraId="0A69ACB8">
      <w:r>
        <w:rPr>
          <w:rFonts w:hint="eastAsia"/>
          <w:sz w:val="24"/>
        </w:rPr>
        <w:t>项目环境风险影响专项评价报告</w:t>
      </w:r>
    </w:p>
    <w:p w14:paraId="11924313"/>
    <w:p w14:paraId="5F7A1A81">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E5008FF">
      <w:pPr>
        <w:pStyle w:val="23"/>
        <w:jc w:val="center"/>
        <w:outlineLvl w:val="0"/>
        <w:rPr>
          <w:rFonts w:ascii="黑体" w:hAnsi="黑体" w:eastAsia="黑体"/>
          <w:snapToGrid w:val="0"/>
          <w:sz w:val="30"/>
          <w:szCs w:val="30"/>
        </w:rPr>
      </w:pPr>
      <w:bookmarkStart w:id="3" w:name="_Toc28199"/>
      <w:r>
        <w:rPr>
          <w:rFonts w:hint="eastAsia" w:ascii="黑体" w:hAnsi="黑体" w:eastAsia="黑体"/>
          <w:snapToGrid w:val="0"/>
          <w:sz w:val="30"/>
          <w:szCs w:val="30"/>
        </w:rPr>
        <w:t>一、建设项目基本情况</w:t>
      </w:r>
      <w:bookmarkEnd w:id="3"/>
    </w:p>
    <w:tbl>
      <w:tblPr>
        <w:tblStyle w:val="24"/>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902"/>
        <w:gridCol w:w="2007"/>
        <w:gridCol w:w="2319"/>
        <w:gridCol w:w="2637"/>
      </w:tblGrid>
      <w:tr w14:paraId="0DDAE7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8"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4CF141D9">
            <w:pPr>
              <w:adjustRightInd w:val="0"/>
              <w:snapToGrid w:val="0"/>
              <w:jc w:val="center"/>
              <w:rPr>
                <w:rFonts w:ascii="宋体" w:hAnsi="宋体" w:cs="宋体"/>
                <w:sz w:val="24"/>
              </w:rPr>
            </w:pPr>
            <w:r>
              <w:rPr>
                <w:rFonts w:hint="eastAsia" w:ascii="宋体" w:hAnsi="宋体" w:cs="宋体"/>
                <w:sz w:val="24"/>
              </w:rPr>
              <w:t>建设项目名称</w:t>
            </w:r>
          </w:p>
        </w:tc>
        <w:tc>
          <w:tcPr>
            <w:tcW w:w="6603" w:type="dxa"/>
            <w:gridSpan w:val="3"/>
            <w:tcBorders>
              <w:top w:val="single" w:color="auto" w:sz="8" w:space="0"/>
              <w:left w:val="single" w:color="auto" w:sz="4" w:space="0"/>
              <w:bottom w:val="single" w:color="auto" w:sz="4" w:space="0"/>
              <w:right w:val="single" w:color="auto" w:sz="8" w:space="0"/>
            </w:tcBorders>
            <w:noWrap w:val="0"/>
            <w:vAlign w:val="center"/>
          </w:tcPr>
          <w:p w14:paraId="3231BEFD">
            <w:pPr>
              <w:adjustRightInd w:val="0"/>
              <w:snapToGrid w:val="0"/>
              <w:jc w:val="left"/>
              <w:rPr>
                <w:sz w:val="24"/>
              </w:rPr>
            </w:pPr>
            <w:r>
              <w:rPr>
                <w:rFonts w:hint="eastAsia"/>
                <w:sz w:val="24"/>
                <w:lang w:val="en-US" w:eastAsia="zh-CN"/>
              </w:rPr>
              <w:t>岳阳</w:t>
            </w:r>
            <w:r>
              <w:rPr>
                <w:rFonts w:hint="eastAsia"/>
                <w:sz w:val="24"/>
              </w:rPr>
              <w:t>市制水一厂建设项目</w:t>
            </w:r>
          </w:p>
        </w:tc>
      </w:tr>
      <w:tr w14:paraId="0FC40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3D68093D">
            <w:pPr>
              <w:adjustRightInd w:val="0"/>
              <w:snapToGrid w:val="0"/>
              <w:jc w:val="center"/>
              <w:rPr>
                <w:rFonts w:ascii="宋体" w:hAnsi="宋体" w:cs="宋体"/>
                <w:sz w:val="24"/>
              </w:rPr>
            </w:pPr>
            <w:r>
              <w:rPr>
                <w:rFonts w:hint="eastAsia" w:ascii="宋体" w:hAnsi="宋体" w:cs="宋体"/>
                <w:sz w:val="24"/>
              </w:rPr>
              <w:t>项目代码</w:t>
            </w:r>
          </w:p>
        </w:tc>
        <w:tc>
          <w:tcPr>
            <w:tcW w:w="6603" w:type="dxa"/>
            <w:gridSpan w:val="3"/>
            <w:tcBorders>
              <w:top w:val="single" w:color="auto" w:sz="4" w:space="0"/>
              <w:left w:val="single" w:color="auto" w:sz="4" w:space="0"/>
              <w:bottom w:val="single" w:color="auto" w:sz="4" w:space="0"/>
              <w:right w:val="single" w:color="auto" w:sz="8" w:space="0"/>
            </w:tcBorders>
            <w:noWrap w:val="0"/>
            <w:vAlign w:val="center"/>
          </w:tcPr>
          <w:p w14:paraId="492B77AA">
            <w:pPr>
              <w:adjustRightInd w:val="0"/>
              <w:snapToGrid w:val="0"/>
              <w:jc w:val="left"/>
              <w:rPr>
                <w:sz w:val="24"/>
              </w:rPr>
            </w:pPr>
            <w:r>
              <w:rPr>
                <w:rFonts w:hint="eastAsia"/>
                <w:sz w:val="24"/>
                <w:lang w:val="en-US" w:eastAsia="zh-CN"/>
              </w:rPr>
              <w:t>/</w:t>
            </w:r>
          </w:p>
        </w:tc>
      </w:tr>
      <w:tr w14:paraId="7016B8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247E22AA">
            <w:pPr>
              <w:adjustRightInd w:val="0"/>
              <w:snapToGrid w:val="0"/>
              <w:jc w:val="center"/>
              <w:rPr>
                <w:rFonts w:ascii="宋体" w:hAnsi="宋体" w:cs="宋体"/>
                <w:sz w:val="24"/>
              </w:rPr>
            </w:pPr>
            <w:r>
              <w:rPr>
                <w:rFonts w:hint="eastAsia" w:ascii="宋体" w:hAnsi="宋体" w:cs="宋体"/>
                <w:sz w:val="24"/>
              </w:rPr>
              <w:t>建设单位联系人</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1D47751A">
            <w:pPr>
              <w:adjustRightInd w:val="0"/>
              <w:snapToGrid w:val="0"/>
              <w:jc w:val="center"/>
              <w:rPr>
                <w:sz w:val="24"/>
              </w:rPr>
            </w:pPr>
            <w:r>
              <w:rPr>
                <w:rFonts w:hint="eastAsia"/>
                <w:sz w:val="24"/>
              </w:rPr>
              <w:t>汤重阳</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48C1574D">
            <w:pPr>
              <w:adjustRightInd w:val="0"/>
              <w:snapToGrid w:val="0"/>
              <w:jc w:val="center"/>
              <w:rPr>
                <w:sz w:val="24"/>
              </w:rPr>
            </w:pPr>
            <w:r>
              <w:rPr>
                <w:rFonts w:hint="eastAsia"/>
                <w:sz w:val="24"/>
              </w:rPr>
              <w:t>联系方式</w:t>
            </w:r>
          </w:p>
        </w:tc>
        <w:tc>
          <w:tcPr>
            <w:tcW w:w="2639" w:type="dxa"/>
            <w:tcBorders>
              <w:top w:val="single" w:color="auto" w:sz="4" w:space="0"/>
              <w:left w:val="single" w:color="auto" w:sz="4" w:space="0"/>
              <w:bottom w:val="single" w:color="auto" w:sz="4" w:space="0"/>
              <w:right w:val="single" w:color="auto" w:sz="8" w:space="0"/>
            </w:tcBorders>
            <w:noWrap w:val="0"/>
            <w:vAlign w:val="center"/>
          </w:tcPr>
          <w:p w14:paraId="69F04C4E">
            <w:pPr>
              <w:adjustRightInd w:val="0"/>
              <w:snapToGrid w:val="0"/>
              <w:jc w:val="center"/>
              <w:rPr>
                <w:sz w:val="24"/>
              </w:rPr>
            </w:pPr>
          </w:p>
        </w:tc>
      </w:tr>
      <w:tr w14:paraId="4B3949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2D94C7B8">
            <w:pPr>
              <w:adjustRightInd w:val="0"/>
              <w:snapToGrid w:val="0"/>
              <w:jc w:val="center"/>
              <w:rPr>
                <w:rFonts w:ascii="宋体" w:hAnsi="宋体" w:cs="宋体"/>
                <w:sz w:val="24"/>
              </w:rPr>
            </w:pPr>
            <w:r>
              <w:rPr>
                <w:rFonts w:hint="eastAsia" w:ascii="宋体" w:hAnsi="宋体" w:cs="宋体"/>
                <w:sz w:val="24"/>
              </w:rPr>
              <w:t>建设地点</w:t>
            </w:r>
          </w:p>
        </w:tc>
        <w:tc>
          <w:tcPr>
            <w:tcW w:w="6603" w:type="dxa"/>
            <w:gridSpan w:val="3"/>
            <w:tcBorders>
              <w:top w:val="single" w:color="auto" w:sz="4" w:space="0"/>
              <w:left w:val="single" w:color="auto" w:sz="4" w:space="0"/>
              <w:bottom w:val="single" w:color="auto" w:sz="4" w:space="0"/>
              <w:right w:val="single" w:color="auto" w:sz="8" w:space="0"/>
            </w:tcBorders>
            <w:noWrap w:val="0"/>
            <w:vAlign w:val="center"/>
          </w:tcPr>
          <w:p w14:paraId="6B1750F1">
            <w:pPr>
              <w:adjustRightInd w:val="0"/>
              <w:snapToGrid w:val="0"/>
              <w:jc w:val="left"/>
              <w:rPr>
                <w:sz w:val="24"/>
              </w:rPr>
            </w:pPr>
            <w:r>
              <w:rPr>
                <w:rFonts w:hint="eastAsia" w:ascii="宋体" w:hAnsi="宋体" w:cs="宋体"/>
                <w:sz w:val="24"/>
              </w:rPr>
              <w:t>湖</w:t>
            </w:r>
            <w:r>
              <w:rPr>
                <w:rFonts w:hint="eastAsia" w:ascii="宋体" w:hAnsi="宋体" w:cs="宋体"/>
                <w:sz w:val="24"/>
                <w:lang w:eastAsia="zh-CN"/>
              </w:rPr>
              <w:t>南省</w:t>
            </w:r>
            <w:r>
              <w:rPr>
                <w:rFonts w:hint="eastAsia" w:ascii="宋体" w:hAnsi="宋体" w:cs="宋体"/>
                <w:sz w:val="24"/>
              </w:rPr>
              <w:t>岳阳市岳阳楼区洞庭北</w:t>
            </w:r>
            <w:r>
              <w:rPr>
                <w:rFonts w:hint="default" w:ascii="Times New Roman" w:hAnsi="Times New Roman" w:cs="Times New Roman"/>
                <w:sz w:val="24"/>
              </w:rPr>
              <w:t>路383号</w:t>
            </w:r>
          </w:p>
        </w:tc>
      </w:tr>
      <w:tr w14:paraId="3FA407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157A625E">
            <w:pPr>
              <w:adjustRightInd w:val="0"/>
              <w:snapToGrid w:val="0"/>
              <w:jc w:val="center"/>
              <w:rPr>
                <w:rFonts w:ascii="宋体" w:hAnsi="宋体" w:cs="宋体"/>
                <w:sz w:val="24"/>
              </w:rPr>
            </w:pPr>
            <w:r>
              <w:rPr>
                <w:rFonts w:hint="eastAsia" w:ascii="宋体" w:hAnsi="宋体" w:cs="宋体"/>
                <w:sz w:val="24"/>
              </w:rPr>
              <w:t>地理坐标</w:t>
            </w:r>
          </w:p>
        </w:tc>
        <w:tc>
          <w:tcPr>
            <w:tcW w:w="6603" w:type="dxa"/>
            <w:gridSpan w:val="3"/>
            <w:tcBorders>
              <w:top w:val="single" w:color="auto" w:sz="4" w:space="0"/>
              <w:left w:val="single" w:color="auto" w:sz="4" w:space="0"/>
              <w:bottom w:val="single" w:color="auto" w:sz="4" w:space="0"/>
              <w:right w:val="single" w:color="auto" w:sz="8" w:space="0"/>
            </w:tcBorders>
            <w:noWrap w:val="0"/>
            <w:vAlign w:val="center"/>
          </w:tcPr>
          <w:p w14:paraId="2C11241E">
            <w:pPr>
              <w:jc w:val="left"/>
              <w:rPr>
                <w:rFonts w:hint="eastAsia"/>
                <w:sz w:val="24"/>
              </w:rPr>
            </w:pPr>
            <w:r>
              <w:rPr>
                <w:rFonts w:hint="eastAsia"/>
                <w:sz w:val="24"/>
              </w:rPr>
              <w:t>东经</w:t>
            </w:r>
            <w:r>
              <w:rPr>
                <w:sz w:val="24"/>
              </w:rPr>
              <w:t>113</w:t>
            </w:r>
            <w:r>
              <w:rPr>
                <w:rFonts w:hint="eastAsia"/>
                <w:sz w:val="24"/>
              </w:rPr>
              <w:t>度</w:t>
            </w:r>
            <w:r>
              <w:rPr>
                <w:rFonts w:hint="eastAsia"/>
                <w:sz w:val="24"/>
                <w:lang w:val="en-US" w:eastAsia="zh-CN"/>
              </w:rPr>
              <w:t>5</w:t>
            </w:r>
            <w:r>
              <w:rPr>
                <w:rFonts w:hint="eastAsia"/>
                <w:sz w:val="24"/>
              </w:rPr>
              <w:t>分</w:t>
            </w:r>
            <w:r>
              <w:rPr>
                <w:rFonts w:hint="eastAsia"/>
                <w:sz w:val="24"/>
                <w:lang w:val="en-US" w:eastAsia="zh-CN"/>
              </w:rPr>
              <w:t>19</w:t>
            </w:r>
            <w:r>
              <w:rPr>
                <w:sz w:val="24"/>
              </w:rPr>
              <w:t>.</w:t>
            </w:r>
            <w:r>
              <w:rPr>
                <w:rFonts w:hint="eastAsia"/>
                <w:sz w:val="24"/>
                <w:lang w:val="en-US" w:eastAsia="zh-CN"/>
              </w:rPr>
              <w:t>655</w:t>
            </w:r>
            <w:r>
              <w:rPr>
                <w:rFonts w:hint="eastAsia"/>
                <w:sz w:val="24"/>
              </w:rPr>
              <w:t>秒，北纬</w:t>
            </w:r>
            <w:r>
              <w:rPr>
                <w:sz w:val="24"/>
              </w:rPr>
              <w:t>29</w:t>
            </w:r>
            <w:r>
              <w:rPr>
                <w:rFonts w:hint="eastAsia"/>
                <w:sz w:val="24"/>
              </w:rPr>
              <w:t>度</w:t>
            </w:r>
            <w:r>
              <w:rPr>
                <w:rFonts w:hint="eastAsia"/>
                <w:sz w:val="24"/>
                <w:lang w:val="en-US" w:eastAsia="zh-CN"/>
              </w:rPr>
              <w:t>23</w:t>
            </w:r>
            <w:r>
              <w:rPr>
                <w:rFonts w:hint="eastAsia"/>
                <w:sz w:val="24"/>
              </w:rPr>
              <w:t>分</w:t>
            </w:r>
            <w:r>
              <w:rPr>
                <w:rFonts w:hint="eastAsia"/>
                <w:sz w:val="24"/>
                <w:lang w:val="en-US" w:eastAsia="zh-CN"/>
              </w:rPr>
              <w:t>20</w:t>
            </w:r>
            <w:r>
              <w:rPr>
                <w:sz w:val="24"/>
              </w:rPr>
              <w:t>.</w:t>
            </w:r>
            <w:r>
              <w:rPr>
                <w:rFonts w:hint="eastAsia"/>
                <w:sz w:val="24"/>
                <w:lang w:val="en-US" w:eastAsia="zh-CN"/>
              </w:rPr>
              <w:t>561</w:t>
            </w:r>
            <w:r>
              <w:rPr>
                <w:rFonts w:hint="eastAsia"/>
                <w:sz w:val="24"/>
              </w:rPr>
              <w:t>秒</w:t>
            </w:r>
          </w:p>
        </w:tc>
      </w:tr>
      <w:tr w14:paraId="1EF4E0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564E12F5">
            <w:pPr>
              <w:adjustRightInd w:val="0"/>
              <w:snapToGrid w:val="0"/>
              <w:jc w:val="center"/>
              <w:rPr>
                <w:rFonts w:ascii="宋体" w:hAnsi="宋体" w:cs="宋体"/>
                <w:sz w:val="24"/>
              </w:rPr>
            </w:pPr>
            <w:r>
              <w:rPr>
                <w:rFonts w:hint="eastAsia" w:ascii="宋体" w:hAnsi="宋体" w:cs="宋体"/>
                <w:sz w:val="24"/>
              </w:rPr>
              <w:t>国民经济</w:t>
            </w:r>
          </w:p>
          <w:p w14:paraId="42BAC68F">
            <w:pPr>
              <w:adjustRightInd w:val="0"/>
              <w:snapToGrid w:val="0"/>
              <w:jc w:val="center"/>
              <w:rPr>
                <w:rFonts w:ascii="宋体" w:hAnsi="宋体" w:cs="宋体"/>
                <w:sz w:val="24"/>
              </w:rPr>
            </w:pPr>
            <w:r>
              <w:rPr>
                <w:rFonts w:hint="eastAsia" w:ascii="宋体" w:hAnsi="宋体" w:cs="宋体"/>
                <w:sz w:val="24"/>
              </w:rPr>
              <w:t>行业类别</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5DEC4353">
            <w:pPr>
              <w:adjustRightInd w:val="0"/>
              <w:snapToGrid w:val="0"/>
              <w:jc w:val="center"/>
              <w:rPr>
                <w:sz w:val="24"/>
              </w:rPr>
            </w:pPr>
            <w:r>
              <w:rPr>
                <w:rFonts w:hint="eastAsia"/>
                <w:sz w:val="24"/>
              </w:rPr>
              <w:t>D4610自来水生产和供应</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71BEDF3">
            <w:pPr>
              <w:adjustRightInd w:val="0"/>
              <w:snapToGrid w:val="0"/>
              <w:jc w:val="center"/>
              <w:rPr>
                <w:sz w:val="24"/>
              </w:rPr>
            </w:pPr>
            <w:bookmarkStart w:id="4" w:name="_Hlk49843745"/>
            <w:r>
              <w:rPr>
                <w:rFonts w:hint="eastAsia"/>
                <w:sz w:val="24"/>
              </w:rPr>
              <w:t>建设项目</w:t>
            </w:r>
          </w:p>
          <w:p w14:paraId="38BF2069">
            <w:pPr>
              <w:adjustRightInd w:val="0"/>
              <w:snapToGrid w:val="0"/>
              <w:jc w:val="center"/>
              <w:rPr>
                <w:sz w:val="24"/>
              </w:rPr>
            </w:pPr>
            <w:r>
              <w:rPr>
                <w:rFonts w:hint="eastAsia"/>
                <w:sz w:val="24"/>
              </w:rPr>
              <w:t>行业类别</w:t>
            </w:r>
            <w:bookmarkEnd w:id="4"/>
          </w:p>
        </w:tc>
        <w:tc>
          <w:tcPr>
            <w:tcW w:w="2639" w:type="dxa"/>
            <w:tcBorders>
              <w:top w:val="single" w:color="auto" w:sz="4" w:space="0"/>
              <w:left w:val="single" w:color="auto" w:sz="4" w:space="0"/>
              <w:bottom w:val="single" w:color="auto" w:sz="4" w:space="0"/>
              <w:right w:val="single" w:color="auto" w:sz="8" w:space="0"/>
            </w:tcBorders>
            <w:noWrap w:val="0"/>
            <w:vAlign w:val="center"/>
          </w:tcPr>
          <w:p w14:paraId="7E2C478E">
            <w:pPr>
              <w:adjustRightInd w:val="0"/>
              <w:snapToGrid w:val="0"/>
              <w:rPr>
                <w:sz w:val="24"/>
              </w:rPr>
            </w:pPr>
            <w:r>
              <w:rPr>
                <w:rFonts w:hint="eastAsia"/>
                <w:sz w:val="24"/>
              </w:rPr>
              <w:t>四十三、水的生产和供应业94、自来水生产和供应461（不含供应工程；不含村庄供应工程）</w:t>
            </w:r>
          </w:p>
        </w:tc>
      </w:tr>
      <w:tr w14:paraId="2A7941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055B3967">
            <w:pPr>
              <w:adjustRightInd w:val="0"/>
              <w:snapToGrid w:val="0"/>
              <w:jc w:val="center"/>
              <w:rPr>
                <w:rFonts w:ascii="宋体" w:hAnsi="宋体" w:cs="宋体"/>
                <w:sz w:val="24"/>
              </w:rPr>
            </w:pPr>
            <w:r>
              <w:rPr>
                <w:rFonts w:hint="eastAsia" w:ascii="宋体" w:hAnsi="宋体" w:cs="宋体"/>
                <w:sz w:val="24"/>
              </w:rPr>
              <w:t>建设性质</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4CA0470C">
            <w:pPr>
              <w:jc w:val="left"/>
              <w:rPr>
                <w:rFonts w:ascii="宋体" w:hAnsi="宋体" w:cs="宋体"/>
                <w:sz w:val="24"/>
              </w:rPr>
            </w:pPr>
            <w:r>
              <w:rPr>
                <w:rFonts w:hint="eastAsia" w:ascii="MS Mincho" w:hAnsi="MS Mincho" w:eastAsia="MS Mincho" w:cs="MS Mincho"/>
                <w:sz w:val="24"/>
              </w:rPr>
              <w:t>☑</w:t>
            </w:r>
            <w:r>
              <w:rPr>
                <w:rFonts w:hint="eastAsia" w:ascii="宋体" w:hAnsi="宋体" w:cs="宋体"/>
                <w:sz w:val="24"/>
                <w:u w:val="single"/>
              </w:rPr>
              <w:t>新建（</w:t>
            </w:r>
            <w:r>
              <w:rPr>
                <w:rFonts w:hint="eastAsia" w:ascii="宋体" w:hAnsi="宋体" w:cs="宋体"/>
                <w:sz w:val="24"/>
                <w:u w:val="single"/>
                <w:lang w:val="en-US" w:eastAsia="zh-CN"/>
              </w:rPr>
              <w:t>补办环评</w:t>
            </w:r>
            <w:r>
              <w:rPr>
                <w:rFonts w:hint="eastAsia" w:ascii="宋体" w:hAnsi="宋体" w:cs="宋体"/>
                <w:sz w:val="24"/>
                <w:u w:val="single"/>
              </w:rPr>
              <w:t>）</w:t>
            </w:r>
          </w:p>
          <w:p w14:paraId="0D557409">
            <w:pPr>
              <w:jc w:val="left"/>
              <w:rPr>
                <w:rFonts w:hint="eastAsia" w:ascii="宋体" w:hAnsi="宋体" w:cs="宋体"/>
                <w:sz w:val="24"/>
              </w:rPr>
            </w:pPr>
            <w:r>
              <w:rPr>
                <w:rFonts w:hint="eastAsia" w:ascii="宋体" w:hAnsi="宋体" w:cs="宋体"/>
                <w:sz w:val="24"/>
              </w:rPr>
              <w:t>□改建</w:t>
            </w:r>
          </w:p>
          <w:p w14:paraId="05EA0DD8">
            <w:pPr>
              <w:jc w:val="left"/>
              <w:rPr>
                <w:rFonts w:hint="eastAsia" w:ascii="宋体" w:hAnsi="宋体" w:cs="宋体"/>
                <w:sz w:val="24"/>
              </w:rPr>
            </w:pPr>
            <w:r>
              <w:rPr>
                <w:rFonts w:hint="eastAsia" w:ascii="宋体" w:hAnsi="宋体" w:cs="宋体"/>
                <w:sz w:val="24"/>
              </w:rPr>
              <w:t>□扩建</w:t>
            </w:r>
          </w:p>
          <w:p w14:paraId="2CC4C641">
            <w:pPr>
              <w:jc w:val="left"/>
              <w:rPr>
                <w:rFonts w:ascii="宋体" w:hAnsi="宋体" w:cs="宋体"/>
                <w:sz w:val="24"/>
              </w:rPr>
            </w:pPr>
            <w:r>
              <w:rPr>
                <w:rFonts w:hint="eastAsia" w:ascii="宋体" w:hAnsi="宋体" w:cs="宋体"/>
                <w:sz w:val="24"/>
              </w:rPr>
              <w:t>□技术改造</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4E319C3">
            <w:pPr>
              <w:adjustRightInd w:val="0"/>
              <w:snapToGrid w:val="0"/>
              <w:jc w:val="center"/>
              <w:rPr>
                <w:rFonts w:ascii="宋体" w:hAnsi="宋体" w:cs="宋体"/>
                <w:sz w:val="24"/>
              </w:rPr>
            </w:pPr>
            <w:r>
              <w:rPr>
                <w:rFonts w:hint="eastAsia" w:ascii="宋体" w:hAnsi="宋体" w:cs="宋体"/>
                <w:sz w:val="24"/>
              </w:rPr>
              <w:t>建设项目</w:t>
            </w:r>
          </w:p>
          <w:p w14:paraId="5E9D89B1">
            <w:pPr>
              <w:adjustRightInd w:val="0"/>
              <w:snapToGrid w:val="0"/>
              <w:jc w:val="center"/>
              <w:rPr>
                <w:rFonts w:ascii="宋体" w:hAnsi="宋体" w:cs="宋体"/>
                <w:sz w:val="24"/>
              </w:rPr>
            </w:pPr>
            <w:r>
              <w:rPr>
                <w:rFonts w:hint="eastAsia" w:ascii="宋体" w:hAnsi="宋体" w:cs="宋体"/>
                <w:sz w:val="24"/>
              </w:rPr>
              <w:t>申报情形</w:t>
            </w:r>
          </w:p>
        </w:tc>
        <w:tc>
          <w:tcPr>
            <w:tcW w:w="2639" w:type="dxa"/>
            <w:tcBorders>
              <w:top w:val="single" w:color="auto" w:sz="4" w:space="0"/>
              <w:left w:val="single" w:color="auto" w:sz="4" w:space="0"/>
              <w:bottom w:val="single" w:color="auto" w:sz="4" w:space="0"/>
              <w:right w:val="single" w:color="auto" w:sz="8" w:space="0"/>
            </w:tcBorders>
            <w:noWrap w:val="0"/>
            <w:vAlign w:val="center"/>
          </w:tcPr>
          <w:p w14:paraId="789AD34E">
            <w:pPr>
              <w:jc w:val="left"/>
              <w:rPr>
                <w:rFonts w:ascii="宋体" w:hAnsi="宋体" w:cs="宋体"/>
                <w:sz w:val="24"/>
              </w:rPr>
            </w:pPr>
            <w:r>
              <w:rPr>
                <w:rFonts w:hint="eastAsia" w:ascii="MS Mincho" w:hAnsi="MS Mincho" w:eastAsia="MS Mincho" w:cs="MS Mincho"/>
                <w:sz w:val="24"/>
              </w:rPr>
              <w:t>☑</w:t>
            </w:r>
            <w:r>
              <w:rPr>
                <w:rFonts w:hint="eastAsia" w:ascii="宋体" w:hAnsi="宋体" w:cs="宋体"/>
                <w:sz w:val="24"/>
              </w:rPr>
              <w:t xml:space="preserve">首次申报项目             </w:t>
            </w:r>
          </w:p>
          <w:p w14:paraId="401EFD9F">
            <w:pPr>
              <w:jc w:val="left"/>
              <w:rPr>
                <w:rFonts w:hint="eastAsia" w:ascii="宋体" w:hAnsi="宋体" w:cs="宋体"/>
                <w:sz w:val="24"/>
              </w:rPr>
            </w:pPr>
            <w:r>
              <w:rPr>
                <w:rFonts w:hint="eastAsia" w:ascii="宋体" w:hAnsi="宋体" w:cs="宋体"/>
                <w:sz w:val="24"/>
              </w:rPr>
              <w:t>□不予批准后再次申报项目</w:t>
            </w:r>
          </w:p>
          <w:p w14:paraId="20044821">
            <w:pPr>
              <w:jc w:val="left"/>
              <w:rPr>
                <w:rFonts w:hint="eastAsia" w:ascii="宋体" w:hAnsi="宋体" w:cs="宋体"/>
                <w:sz w:val="24"/>
              </w:rPr>
            </w:pPr>
            <w:r>
              <w:rPr>
                <w:rFonts w:ascii="宋体" w:hAnsi="宋体" w:cs="宋体"/>
                <w:sz w:val="24"/>
              </w:rPr>
              <w:sym w:font="Wingdings 2" w:char="F0A3"/>
            </w:r>
            <w:r>
              <w:rPr>
                <w:rFonts w:hint="eastAsia" w:ascii="宋体" w:hAnsi="宋体" w:cs="宋体"/>
                <w:sz w:val="24"/>
              </w:rPr>
              <w:t xml:space="preserve">超五年重新审核项目     </w:t>
            </w:r>
          </w:p>
          <w:p w14:paraId="61E8BC95">
            <w:pPr>
              <w:jc w:val="left"/>
              <w:rPr>
                <w:rFonts w:ascii="宋体" w:hAnsi="宋体" w:cs="宋体"/>
                <w:sz w:val="24"/>
              </w:rPr>
            </w:pPr>
            <w:r>
              <w:rPr>
                <w:rFonts w:hint="eastAsia" w:ascii="宋体" w:hAnsi="宋体" w:cs="宋体"/>
                <w:sz w:val="24"/>
              </w:rPr>
              <w:t>□重大变动重新报批项目</w:t>
            </w:r>
          </w:p>
        </w:tc>
      </w:tr>
      <w:tr w14:paraId="24F1D8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1AAC79C1">
            <w:pPr>
              <w:adjustRightInd w:val="0"/>
              <w:snapToGrid w:val="0"/>
              <w:jc w:val="center"/>
              <w:rPr>
                <w:rFonts w:ascii="宋体" w:hAnsi="宋体" w:cs="宋体"/>
                <w:sz w:val="24"/>
              </w:rPr>
            </w:pPr>
            <w:r>
              <w:rPr>
                <w:rFonts w:hint="eastAsia" w:ascii="宋体" w:hAnsi="宋体" w:cs="宋体"/>
                <w:sz w:val="24"/>
              </w:rPr>
              <w:t>项目审批（核准/</w:t>
            </w:r>
          </w:p>
          <w:p w14:paraId="20781E23">
            <w:pPr>
              <w:adjustRightInd w:val="0"/>
              <w:snapToGrid w:val="0"/>
              <w:jc w:val="center"/>
              <w:rPr>
                <w:rFonts w:ascii="宋体" w:hAnsi="宋体" w:cs="宋体"/>
                <w:sz w:val="24"/>
              </w:rPr>
            </w:pPr>
            <w:r>
              <w:rPr>
                <w:rFonts w:hint="eastAsia" w:ascii="宋体" w:hAnsi="宋体" w:cs="宋体"/>
                <w:sz w:val="24"/>
              </w:rPr>
              <w:t>备案）部门（选填）</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3AC22DAA">
            <w:pPr>
              <w:adjustRightInd w:val="0"/>
              <w:snapToGrid w:val="0"/>
              <w:jc w:val="center"/>
              <w:rPr>
                <w:rFonts w:hint="eastAsia" w:ascii="宋体" w:hAnsi="宋体" w:eastAsia="宋体" w:cs="宋体"/>
                <w:sz w:val="24"/>
                <w:lang w:eastAsia="zh-CN"/>
              </w:rPr>
            </w:pPr>
            <w:r>
              <w:rPr>
                <w:rFonts w:hint="eastAsia" w:ascii="宋体" w:hAnsi="宋体" w:cs="宋体"/>
                <w:sz w:val="24"/>
                <w:lang w:val="en-US" w:eastAsia="zh-CN"/>
              </w:rPr>
              <w:t>/</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244C12D">
            <w:pPr>
              <w:adjustRightInd w:val="0"/>
              <w:snapToGrid w:val="0"/>
              <w:jc w:val="center"/>
              <w:rPr>
                <w:rFonts w:ascii="宋体" w:hAnsi="宋体" w:cs="宋体"/>
                <w:sz w:val="24"/>
              </w:rPr>
            </w:pPr>
            <w:r>
              <w:rPr>
                <w:rFonts w:hint="eastAsia" w:ascii="宋体" w:hAnsi="宋体" w:cs="宋体"/>
                <w:sz w:val="24"/>
              </w:rPr>
              <w:t>项目审批（核准/</w:t>
            </w:r>
          </w:p>
          <w:p w14:paraId="2CC490B4">
            <w:pPr>
              <w:adjustRightInd w:val="0"/>
              <w:snapToGrid w:val="0"/>
              <w:jc w:val="center"/>
              <w:rPr>
                <w:rFonts w:ascii="宋体" w:hAnsi="宋体" w:cs="宋体"/>
                <w:sz w:val="24"/>
              </w:rPr>
            </w:pPr>
            <w:r>
              <w:rPr>
                <w:rFonts w:hint="eastAsia" w:ascii="宋体" w:hAnsi="宋体" w:cs="宋体"/>
                <w:sz w:val="24"/>
              </w:rPr>
              <w:t>备案）文号（选填）</w:t>
            </w:r>
          </w:p>
        </w:tc>
        <w:tc>
          <w:tcPr>
            <w:tcW w:w="2639" w:type="dxa"/>
            <w:tcBorders>
              <w:top w:val="single" w:color="auto" w:sz="4" w:space="0"/>
              <w:left w:val="single" w:color="auto" w:sz="4" w:space="0"/>
              <w:bottom w:val="single" w:color="auto" w:sz="4" w:space="0"/>
              <w:right w:val="single" w:color="auto" w:sz="8" w:space="0"/>
            </w:tcBorders>
            <w:noWrap w:val="0"/>
            <w:vAlign w:val="center"/>
          </w:tcPr>
          <w:p w14:paraId="7160313B">
            <w:pPr>
              <w:adjustRightInd w:val="0"/>
              <w:snapToGrid w:val="0"/>
              <w:jc w:val="center"/>
              <w:rPr>
                <w:sz w:val="24"/>
              </w:rPr>
            </w:pPr>
            <w:r>
              <w:rPr>
                <w:rFonts w:hint="eastAsia"/>
                <w:sz w:val="24"/>
                <w:lang w:val="en-US" w:eastAsia="zh-CN"/>
              </w:rPr>
              <w:t>/</w:t>
            </w:r>
          </w:p>
        </w:tc>
      </w:tr>
      <w:tr w14:paraId="551EB2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437FE136">
            <w:pPr>
              <w:adjustRightInd w:val="0"/>
              <w:snapToGrid w:val="0"/>
              <w:jc w:val="center"/>
              <w:rPr>
                <w:rFonts w:ascii="宋体" w:hAnsi="宋体" w:cs="宋体"/>
                <w:sz w:val="24"/>
              </w:rPr>
            </w:pPr>
            <w:r>
              <w:rPr>
                <w:rFonts w:hint="eastAsia" w:ascii="宋体" w:hAnsi="宋体" w:cs="宋体"/>
                <w:sz w:val="24"/>
              </w:rPr>
              <w:t>总投资（万元）</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06F6F49A">
            <w:pPr>
              <w:adjustRightInd w:val="0"/>
              <w:snapToGrid w:val="0"/>
              <w:jc w:val="center"/>
              <w:rPr>
                <w:color w:val="auto"/>
                <w:sz w:val="24"/>
              </w:rPr>
            </w:pPr>
            <w:r>
              <w:rPr>
                <w:rFonts w:hint="eastAsia"/>
                <w:color w:val="auto"/>
                <w:sz w:val="24"/>
                <w:lang w:val="en-US" w:eastAsia="zh-CN"/>
              </w:rPr>
              <w:t>2</w:t>
            </w:r>
            <w:r>
              <w:rPr>
                <w:color w:val="auto"/>
                <w:sz w:val="24"/>
              </w:rPr>
              <w:t>0000</w:t>
            </w:r>
          </w:p>
        </w:tc>
        <w:tc>
          <w:tcPr>
            <w:tcW w:w="2212"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124ABC39">
            <w:pPr>
              <w:adjustRightInd w:val="0"/>
              <w:snapToGrid w:val="0"/>
              <w:jc w:val="center"/>
              <w:rPr>
                <w:color w:val="auto"/>
                <w:sz w:val="24"/>
              </w:rPr>
            </w:pPr>
            <w:r>
              <w:rPr>
                <w:color w:val="auto"/>
                <w:sz w:val="24"/>
              </w:rPr>
              <w:t>环保投资（万元）</w:t>
            </w:r>
          </w:p>
        </w:tc>
        <w:tc>
          <w:tcPr>
            <w:tcW w:w="2639" w:type="dxa"/>
            <w:tcBorders>
              <w:top w:val="single" w:color="auto" w:sz="4" w:space="0"/>
              <w:left w:val="single" w:color="auto" w:sz="4" w:space="0"/>
              <w:bottom w:val="single" w:color="auto" w:sz="4" w:space="0"/>
              <w:right w:val="single" w:color="auto" w:sz="8" w:space="0"/>
            </w:tcBorders>
            <w:noWrap w:val="0"/>
            <w:vAlign w:val="center"/>
          </w:tcPr>
          <w:p w14:paraId="64EC76DF">
            <w:pPr>
              <w:widowControl/>
              <w:jc w:val="center"/>
              <w:rPr>
                <w:rFonts w:hint="default" w:eastAsia="宋体"/>
                <w:color w:val="auto"/>
                <w:kern w:val="0"/>
                <w:sz w:val="24"/>
                <w:u w:val="single"/>
                <w:lang w:val="en-US" w:eastAsia="zh-CN"/>
              </w:rPr>
            </w:pPr>
            <w:r>
              <w:rPr>
                <w:rFonts w:hint="eastAsia"/>
                <w:color w:val="auto"/>
                <w:kern w:val="0"/>
                <w:sz w:val="24"/>
                <w:u w:val="none"/>
                <w:lang w:val="en-US" w:eastAsia="zh-CN"/>
              </w:rPr>
              <w:t>776</w:t>
            </w:r>
          </w:p>
        </w:tc>
      </w:tr>
      <w:tr w14:paraId="57E1F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335F4527">
            <w:pPr>
              <w:adjustRightInd w:val="0"/>
              <w:snapToGrid w:val="0"/>
              <w:jc w:val="center"/>
              <w:rPr>
                <w:rFonts w:ascii="宋体" w:hAnsi="宋体" w:cs="宋体"/>
                <w:sz w:val="24"/>
              </w:rPr>
            </w:pPr>
            <w:r>
              <w:rPr>
                <w:rFonts w:hint="eastAsia" w:ascii="宋体" w:hAnsi="宋体" w:cs="宋体"/>
                <w:sz w:val="24"/>
              </w:rPr>
              <w:t>环保投资占比（%）</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33F08CEC">
            <w:pPr>
              <w:widowControl/>
              <w:jc w:val="center"/>
              <w:rPr>
                <w:rFonts w:hint="default" w:eastAsia="宋体"/>
                <w:color w:val="auto"/>
                <w:kern w:val="0"/>
                <w:sz w:val="24"/>
                <w:lang w:val="en-US" w:eastAsia="zh-CN"/>
              </w:rPr>
            </w:pPr>
            <w:r>
              <w:rPr>
                <w:rFonts w:hint="eastAsia"/>
                <w:color w:val="auto"/>
                <w:kern w:val="0"/>
                <w:sz w:val="24"/>
                <w:lang w:val="en-US" w:eastAsia="zh-CN"/>
              </w:rPr>
              <w:t>3.88</w:t>
            </w:r>
          </w:p>
        </w:tc>
        <w:tc>
          <w:tcPr>
            <w:tcW w:w="2212"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135BC2F8">
            <w:pPr>
              <w:adjustRightInd w:val="0"/>
              <w:snapToGrid w:val="0"/>
              <w:jc w:val="center"/>
              <w:rPr>
                <w:color w:val="auto"/>
                <w:sz w:val="24"/>
              </w:rPr>
            </w:pPr>
            <w:r>
              <w:rPr>
                <w:color w:val="auto"/>
                <w:sz w:val="24"/>
              </w:rPr>
              <w:t>施工工期</w:t>
            </w:r>
          </w:p>
        </w:tc>
        <w:tc>
          <w:tcPr>
            <w:tcW w:w="2639" w:type="dxa"/>
            <w:tcBorders>
              <w:top w:val="single" w:color="auto" w:sz="4" w:space="0"/>
              <w:left w:val="single" w:color="auto" w:sz="4" w:space="0"/>
              <w:bottom w:val="single" w:color="auto" w:sz="4" w:space="0"/>
              <w:right w:val="single" w:color="auto" w:sz="8" w:space="0"/>
            </w:tcBorders>
            <w:noWrap w:val="0"/>
            <w:vAlign w:val="center"/>
          </w:tcPr>
          <w:p w14:paraId="11E9C727">
            <w:pPr>
              <w:adjustRightInd w:val="0"/>
              <w:snapToGrid w:val="0"/>
              <w:jc w:val="center"/>
              <w:rPr>
                <w:rFonts w:hint="eastAsia" w:eastAsia="宋体"/>
                <w:color w:val="auto"/>
                <w:sz w:val="24"/>
                <w:lang w:eastAsia="zh-CN"/>
              </w:rPr>
            </w:pPr>
            <w:r>
              <w:rPr>
                <w:rFonts w:hint="eastAsia"/>
                <w:color w:val="auto"/>
                <w:sz w:val="24"/>
                <w:lang w:val="en-US" w:eastAsia="zh-CN"/>
              </w:rPr>
              <w:t>/</w:t>
            </w:r>
          </w:p>
        </w:tc>
      </w:tr>
      <w:tr w14:paraId="5E4A98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16" w:type="dxa"/>
              <w:left w:w="16" w:type="dxa"/>
              <w:bottom w:w="0" w:type="dxa"/>
              <w:right w:w="16" w:type="dxa"/>
            </w:tcMar>
            <w:vAlign w:val="center"/>
          </w:tcPr>
          <w:p w14:paraId="32FB4D9F">
            <w:pPr>
              <w:adjustRightInd w:val="0"/>
              <w:snapToGrid w:val="0"/>
              <w:jc w:val="center"/>
              <w:rPr>
                <w:rFonts w:ascii="宋体" w:hAnsi="宋体" w:cs="宋体"/>
                <w:sz w:val="24"/>
              </w:rPr>
            </w:pPr>
            <w:r>
              <w:rPr>
                <w:rFonts w:hint="eastAsia" w:ascii="宋体" w:hAnsi="宋体" w:cs="宋体"/>
                <w:sz w:val="24"/>
              </w:rPr>
              <w:t>是否开工建设</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2A40BBD5">
            <w:pPr>
              <w:adjustRightInd w:val="0"/>
              <w:snapToGrid w:val="0"/>
              <w:rPr>
                <w:rFonts w:ascii="宋体" w:hAnsi="宋体" w:cs="宋体"/>
                <w:sz w:val="24"/>
              </w:rPr>
            </w:pPr>
            <w:r>
              <w:rPr>
                <w:rFonts w:hint="eastAsia" w:ascii="MS Mincho" w:hAnsi="MS Mincho" w:eastAsia="宋体" w:cs="MS Mincho"/>
                <w:sz w:val="24"/>
                <w:lang w:eastAsia="zh-CN"/>
              </w:rPr>
              <w:t>□</w:t>
            </w:r>
            <w:r>
              <w:rPr>
                <w:rFonts w:hint="eastAsia" w:ascii="宋体" w:hAnsi="宋体" w:cs="宋体"/>
                <w:sz w:val="24"/>
              </w:rPr>
              <w:t>否</w:t>
            </w:r>
          </w:p>
          <w:p w14:paraId="4670510F">
            <w:pPr>
              <w:adjustRightInd w:val="0"/>
              <w:snapToGrid w:val="0"/>
              <w:rPr>
                <w:rFonts w:ascii="宋体" w:hAnsi="宋体" w:cs="宋体"/>
                <w:sz w:val="24"/>
              </w:rPr>
            </w:pPr>
            <w:r>
              <w:rPr>
                <w:rFonts w:ascii="宋体" w:hAnsi="宋体" w:cs="宋体"/>
                <w:sz w:val="24"/>
              </w:rPr>
              <w:sym w:font="Wingdings 2" w:char="0052"/>
            </w:r>
            <w:r>
              <w:rPr>
                <w:rFonts w:hint="eastAsia" w:ascii="宋体" w:hAnsi="宋体" w:cs="宋体"/>
                <w:sz w:val="24"/>
              </w:rPr>
              <w:t>是：</w:t>
            </w:r>
            <w:r>
              <w:rPr>
                <w:rFonts w:hint="default" w:ascii="Times New Roman" w:hAnsi="Times New Roman" w:cs="Times New Roman"/>
                <w:sz w:val="24"/>
                <w:u w:val="single"/>
              </w:rPr>
              <w:t>项目始建于 19</w:t>
            </w:r>
            <w:r>
              <w:rPr>
                <w:rFonts w:hint="default" w:ascii="Times New Roman" w:hAnsi="Times New Roman" w:cs="Times New Roman"/>
                <w:sz w:val="24"/>
                <w:u w:val="single"/>
                <w:lang w:val="en-US" w:eastAsia="zh-CN"/>
              </w:rPr>
              <w:t>70</w:t>
            </w:r>
            <w:r>
              <w:rPr>
                <w:rFonts w:hint="default" w:ascii="Times New Roman" w:hAnsi="Times New Roman" w:cs="Times New Roman"/>
                <w:sz w:val="24"/>
                <w:u w:val="single"/>
              </w:rPr>
              <w:t>年，</w:t>
            </w:r>
            <w:r>
              <w:rPr>
                <w:rFonts w:hint="default" w:ascii="Times New Roman" w:hAnsi="Times New Roman" w:cs="Times New Roman"/>
                <w:sz w:val="24"/>
                <w:u w:val="single"/>
                <w:lang w:val="en-US" w:eastAsia="zh-CN"/>
              </w:rPr>
              <w:t>并于</w:t>
            </w:r>
            <w:r>
              <w:rPr>
                <w:rFonts w:hint="default" w:ascii="Times New Roman" w:hAnsi="Times New Roman" w:cs="Times New Roman"/>
                <w:sz w:val="24"/>
                <w:u w:val="single"/>
              </w:rPr>
              <w:t>19</w:t>
            </w:r>
            <w:r>
              <w:rPr>
                <w:rFonts w:hint="eastAsia" w:cs="Times New Roman"/>
                <w:sz w:val="24"/>
                <w:u w:val="single"/>
                <w:lang w:val="en-US" w:eastAsia="zh-CN"/>
              </w:rPr>
              <w:t>76年、19</w:t>
            </w:r>
            <w:r>
              <w:rPr>
                <w:rFonts w:hint="default" w:ascii="Times New Roman" w:hAnsi="Times New Roman" w:cs="Times New Roman"/>
                <w:sz w:val="24"/>
                <w:u w:val="single"/>
                <w:lang w:val="en-US" w:eastAsia="zh-CN"/>
              </w:rPr>
              <w:t>84</w:t>
            </w:r>
            <w:r>
              <w:rPr>
                <w:rFonts w:hint="default" w:ascii="Times New Roman" w:hAnsi="Times New Roman" w:cs="Times New Roman"/>
                <w:sz w:val="24"/>
                <w:u w:val="single"/>
              </w:rPr>
              <w:t>年</w:t>
            </w:r>
            <w:r>
              <w:rPr>
                <w:rFonts w:hint="eastAsia" w:cs="Times New Roman"/>
                <w:sz w:val="24"/>
                <w:u w:val="single"/>
                <w:lang w:val="en-US" w:eastAsia="zh-CN"/>
              </w:rPr>
              <w:t>和</w:t>
            </w:r>
            <w:r>
              <w:rPr>
                <w:rFonts w:hint="default" w:ascii="Times New Roman" w:hAnsi="Times New Roman" w:cs="Times New Roman"/>
                <w:sz w:val="24"/>
                <w:u w:val="single"/>
                <w:lang w:val="en-US" w:eastAsia="zh-CN"/>
              </w:rPr>
              <w:t>199</w:t>
            </w:r>
            <w:r>
              <w:rPr>
                <w:rFonts w:hint="eastAsia" w:cs="Times New Roman"/>
                <w:sz w:val="24"/>
                <w:u w:val="single"/>
                <w:lang w:val="en-US" w:eastAsia="zh-CN"/>
              </w:rPr>
              <w:t>2陆续</w:t>
            </w:r>
            <w:r>
              <w:rPr>
                <w:rFonts w:hint="default" w:ascii="Times New Roman" w:hAnsi="Times New Roman" w:cs="Times New Roman"/>
                <w:sz w:val="24"/>
                <w:u w:val="single"/>
                <w:lang w:val="en-US" w:eastAsia="zh-CN"/>
              </w:rPr>
              <w:t>扩建完成，供水规模达到19万吨/日</w:t>
            </w:r>
            <w:r>
              <w:rPr>
                <w:rFonts w:hint="default" w:ascii="Times New Roman" w:hAnsi="Times New Roman" w:cs="Times New Roman"/>
                <w:sz w:val="24"/>
                <w:u w:val="single"/>
              </w:rPr>
              <w:t>；20</w:t>
            </w:r>
            <w:r>
              <w:rPr>
                <w:rFonts w:hint="default" w:ascii="Times New Roman" w:hAnsi="Times New Roman" w:cs="Times New Roman"/>
                <w:sz w:val="24"/>
                <w:u w:val="single"/>
                <w:lang w:val="en-US" w:eastAsia="zh-CN"/>
              </w:rPr>
              <w:t>02</w:t>
            </w:r>
            <w:r>
              <w:rPr>
                <w:rFonts w:hint="default" w:ascii="Times New Roman" w:hAnsi="Times New Roman" w:cs="Times New Roman"/>
                <w:sz w:val="24"/>
                <w:u w:val="single"/>
              </w:rPr>
              <w:t>年</w:t>
            </w:r>
            <w:r>
              <w:rPr>
                <w:rFonts w:hint="default" w:ascii="Times New Roman" w:hAnsi="Times New Roman" w:cs="Times New Roman"/>
                <w:sz w:val="24"/>
                <w:u w:val="single"/>
                <w:lang w:val="en-US" w:eastAsia="zh-CN"/>
              </w:rPr>
              <w:t>10</w:t>
            </w:r>
            <w:r>
              <w:rPr>
                <w:rFonts w:hint="default" w:ascii="Times New Roman" w:hAnsi="Times New Roman" w:cs="Times New Roman"/>
                <w:sz w:val="24"/>
                <w:u w:val="single"/>
              </w:rPr>
              <w:t>月</w:t>
            </w:r>
            <w:r>
              <w:rPr>
                <w:rFonts w:hint="default" w:ascii="Times New Roman" w:hAnsi="Times New Roman" w:cs="Times New Roman"/>
                <w:sz w:val="24"/>
                <w:u w:val="single"/>
                <w:lang w:val="en-US" w:eastAsia="zh-CN"/>
              </w:rPr>
              <w:t>供水水源采用铁山水库水源（洞庭湖为应急备用水源）</w:t>
            </w:r>
            <w:r>
              <w:rPr>
                <w:rFonts w:hint="default" w:ascii="Times New Roman" w:hAnsi="Times New Roman" w:cs="Times New Roman"/>
                <w:sz w:val="24"/>
                <w:u w:val="single"/>
              </w:rPr>
              <w:t>，</w:t>
            </w:r>
            <w:r>
              <w:rPr>
                <w:rFonts w:hint="default" w:ascii="Times New Roman" w:hAnsi="Times New Roman" w:cs="Times New Roman"/>
                <w:sz w:val="24"/>
                <w:u w:val="single"/>
                <w:lang w:val="en-US" w:eastAsia="zh-CN"/>
              </w:rPr>
              <w:t>项目历史时期</w:t>
            </w:r>
            <w:r>
              <w:rPr>
                <w:rFonts w:hint="default" w:ascii="Times New Roman" w:hAnsi="Times New Roman" w:cs="Times New Roman"/>
                <w:sz w:val="24"/>
                <w:u w:val="single"/>
              </w:rPr>
              <w:t>陆续</w:t>
            </w:r>
            <w:r>
              <w:rPr>
                <w:rFonts w:hint="default" w:ascii="Times New Roman" w:hAnsi="Times New Roman" w:cs="Times New Roman"/>
                <w:sz w:val="24"/>
                <w:u w:val="single"/>
                <w:lang w:val="en-US" w:eastAsia="zh-CN"/>
              </w:rPr>
              <w:t>扩建</w:t>
            </w:r>
            <w:r>
              <w:rPr>
                <w:rFonts w:hint="default" w:ascii="Times New Roman" w:hAnsi="Times New Roman" w:cs="Times New Roman"/>
                <w:sz w:val="24"/>
                <w:u w:val="single"/>
              </w:rPr>
              <w:t>投产运行至今。</w:t>
            </w:r>
            <w:r>
              <w:rPr>
                <w:rFonts w:hint="default" w:ascii="Times New Roman" w:hAnsi="Times New Roman" w:cs="Times New Roman"/>
                <w:sz w:val="24"/>
                <w:u w:val="single"/>
                <w:lang w:val="en-US" w:eastAsia="zh-CN"/>
              </w:rPr>
              <w:t>本次属于补办环评手续</w:t>
            </w:r>
            <w:r>
              <w:rPr>
                <w:rFonts w:hint="eastAsia" w:ascii="宋体" w:hAnsi="宋体" w:cs="宋体"/>
                <w:sz w:val="24"/>
                <w:u w:val="single"/>
                <w:lang w:val="en-US" w:eastAsia="zh-CN"/>
              </w:rPr>
              <w:t>。</w:t>
            </w:r>
            <w:r>
              <w:rPr>
                <w:rFonts w:hint="eastAsia" w:ascii="宋体" w:hAnsi="宋体" w:cs="宋体"/>
                <w:sz w:val="24"/>
                <w:u w:val="single"/>
              </w:rPr>
              <w:t xml:space="preserve"> </w:t>
            </w:r>
          </w:p>
        </w:tc>
        <w:tc>
          <w:tcPr>
            <w:tcW w:w="2212" w:type="dxa"/>
            <w:tcBorders>
              <w:top w:val="single" w:color="auto" w:sz="4" w:space="0"/>
              <w:left w:val="single" w:color="auto" w:sz="4" w:space="0"/>
              <w:bottom w:val="single" w:color="auto" w:sz="4" w:space="0"/>
              <w:right w:val="single" w:color="auto" w:sz="4" w:space="0"/>
            </w:tcBorders>
            <w:noWrap w:val="0"/>
            <w:tcMar>
              <w:top w:w="16" w:type="dxa"/>
              <w:left w:w="16" w:type="dxa"/>
              <w:bottom w:w="0" w:type="dxa"/>
              <w:right w:w="16" w:type="dxa"/>
            </w:tcMar>
            <w:vAlign w:val="center"/>
          </w:tcPr>
          <w:p w14:paraId="041AFBB3">
            <w:pPr>
              <w:adjustRightInd w:val="0"/>
              <w:snapToGrid w:val="0"/>
              <w:jc w:val="center"/>
              <w:rPr>
                <w:rFonts w:ascii="宋体" w:hAnsi="宋体" w:cs="宋体"/>
                <w:sz w:val="24"/>
              </w:rPr>
            </w:pPr>
            <w:r>
              <w:rPr>
                <w:rFonts w:hint="eastAsia" w:ascii="宋体" w:hAnsi="宋体" w:cs="宋体"/>
                <w:spacing w:val="-6"/>
                <w:sz w:val="24"/>
              </w:rPr>
              <w:t>用地面积（m</w:t>
            </w:r>
            <w:r>
              <w:rPr>
                <w:rFonts w:hint="eastAsia" w:ascii="宋体" w:hAnsi="宋体" w:cs="宋体"/>
                <w:spacing w:val="-6"/>
                <w:sz w:val="24"/>
                <w:vertAlign w:val="superscript"/>
              </w:rPr>
              <w:t>2</w:t>
            </w:r>
            <w:r>
              <w:rPr>
                <w:rFonts w:hint="eastAsia" w:ascii="宋体" w:hAnsi="宋体" w:cs="宋体"/>
                <w:spacing w:val="-6"/>
                <w:sz w:val="24"/>
              </w:rPr>
              <w:t>）</w:t>
            </w:r>
          </w:p>
        </w:tc>
        <w:tc>
          <w:tcPr>
            <w:tcW w:w="2639" w:type="dxa"/>
            <w:tcBorders>
              <w:top w:val="single" w:color="auto" w:sz="4" w:space="0"/>
              <w:left w:val="single" w:color="auto" w:sz="4" w:space="0"/>
              <w:bottom w:val="single" w:color="auto" w:sz="4" w:space="0"/>
              <w:right w:val="single" w:color="auto" w:sz="8" w:space="0"/>
            </w:tcBorders>
            <w:noWrap w:val="0"/>
            <w:vAlign w:val="center"/>
          </w:tcPr>
          <w:p w14:paraId="2C3A3270">
            <w:pPr>
              <w:adjustRightInd w:val="0"/>
              <w:snapToGrid w:val="0"/>
              <w:jc w:val="left"/>
              <w:rPr>
                <w:rFonts w:hint="default" w:eastAsia="宋体"/>
                <w:sz w:val="24"/>
                <w:lang w:val="en-US" w:eastAsia="zh-CN"/>
              </w:rPr>
            </w:pPr>
            <w:r>
              <w:rPr>
                <w:rFonts w:hint="eastAsia"/>
                <w:sz w:val="24"/>
                <w:lang w:val="en-US" w:eastAsia="zh-CN"/>
              </w:rPr>
              <w:t>32890</w:t>
            </w:r>
          </w:p>
        </w:tc>
      </w:tr>
      <w:tr w14:paraId="0F0949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0" w:type="dxa"/>
              <w:left w:w="108" w:type="dxa"/>
              <w:bottom w:w="0" w:type="dxa"/>
              <w:right w:w="108" w:type="dxa"/>
            </w:tcMar>
            <w:vAlign w:val="center"/>
          </w:tcPr>
          <w:p w14:paraId="0C77DFE9">
            <w:pPr>
              <w:autoSpaceDE w:val="0"/>
              <w:autoSpaceDN w:val="0"/>
              <w:adjustRightInd w:val="0"/>
              <w:snapToGrid w:val="0"/>
              <w:jc w:val="center"/>
              <w:rPr>
                <w:rFonts w:ascii="宋体" w:hAnsi="宋体" w:cs="宋体"/>
                <w:kern w:val="0"/>
                <w:sz w:val="24"/>
              </w:rPr>
            </w:pPr>
            <w:r>
              <w:rPr>
                <w:rFonts w:hint="eastAsia" w:ascii="宋体" w:hAnsi="宋体" w:cs="宋体"/>
                <w:kern w:val="0"/>
                <w:sz w:val="24"/>
              </w:rPr>
              <w:t>专项评价设置情况</w:t>
            </w:r>
          </w:p>
        </w:tc>
        <w:tc>
          <w:tcPr>
            <w:tcW w:w="6603" w:type="dxa"/>
            <w:gridSpan w:val="3"/>
            <w:tcBorders>
              <w:top w:val="single" w:color="auto" w:sz="4" w:space="0"/>
              <w:left w:val="single" w:color="auto" w:sz="4" w:space="0"/>
              <w:bottom w:val="single" w:color="auto" w:sz="4" w:space="0"/>
              <w:right w:val="single" w:color="auto" w:sz="8" w:space="0"/>
            </w:tcBorders>
            <w:noWrap w:val="0"/>
            <w:tcMar>
              <w:top w:w="0" w:type="dxa"/>
              <w:left w:w="108" w:type="dxa"/>
              <w:bottom w:w="0" w:type="dxa"/>
              <w:right w:w="108" w:type="dxa"/>
            </w:tcMar>
            <w:vAlign w:val="center"/>
          </w:tcPr>
          <w:p w14:paraId="1EBF987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bCs/>
                <w:sz w:val="24"/>
                <w:lang w:val="en-US" w:eastAsia="zh-CN"/>
              </w:rPr>
            </w:pPr>
            <w:r>
              <w:rPr>
                <w:rFonts w:hint="eastAsia"/>
                <w:bCs/>
                <w:sz w:val="24"/>
                <w:lang w:val="en-US" w:eastAsia="zh-CN"/>
              </w:rPr>
              <w:t>对照《建设项目生态</w:t>
            </w:r>
            <w:bookmarkStart w:id="88" w:name="_GoBack"/>
            <w:r>
              <w:rPr>
                <w:rFonts w:hint="eastAsia"/>
                <w:bCs/>
                <w:sz w:val="24"/>
                <w:lang w:val="en-US" w:eastAsia="zh-CN"/>
              </w:rPr>
              <w:t>环境影响报告</w:t>
            </w:r>
            <w:bookmarkEnd w:id="88"/>
            <w:r>
              <w:rPr>
                <w:rFonts w:hint="eastAsia"/>
                <w:bCs/>
                <w:sz w:val="24"/>
                <w:lang w:val="en-US" w:eastAsia="zh-CN"/>
              </w:rPr>
              <w:t>表编制技术指南（污染影响类）（试行）》表1专项评价设置原则表，本项目情况对比具体分析见下表所示：</w:t>
            </w:r>
          </w:p>
          <w:tbl>
            <w:tblPr>
              <w:tblStyle w:val="24"/>
              <w:tblW w:w="499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728"/>
              <w:gridCol w:w="2441"/>
              <w:gridCol w:w="2789"/>
              <w:gridCol w:w="756"/>
            </w:tblGrid>
            <w:tr w14:paraId="1343AF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 w:hRule="atLeast"/>
                <w:jc w:val="center"/>
              </w:trPr>
              <w:tc>
                <w:tcPr>
                  <w:tcW w:w="542" w:type="pct"/>
                  <w:tcBorders>
                    <w:top w:val="single" w:color="000000" w:sz="4" w:space="0"/>
                    <w:left w:val="single" w:color="000000" w:sz="4" w:space="0"/>
                    <w:bottom w:val="single" w:color="000000" w:sz="4" w:space="0"/>
                    <w:right w:val="single" w:color="000000" w:sz="4" w:space="0"/>
                  </w:tcBorders>
                  <w:vAlign w:val="center"/>
                </w:tcPr>
                <w:p w14:paraId="5009C9F6">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专项评价的类别</w:t>
                  </w:r>
                </w:p>
              </w:tc>
              <w:tc>
                <w:tcPr>
                  <w:tcW w:w="1818" w:type="pct"/>
                  <w:tcBorders>
                    <w:top w:val="single" w:color="000000" w:sz="4" w:space="0"/>
                    <w:left w:val="single" w:color="000000" w:sz="4" w:space="0"/>
                    <w:bottom w:val="single" w:color="000000" w:sz="4" w:space="0"/>
                    <w:right w:val="single" w:color="000000" w:sz="4" w:space="0"/>
                  </w:tcBorders>
                  <w:vAlign w:val="center"/>
                </w:tcPr>
                <w:p w14:paraId="3EB8B28E">
                  <w:pPr>
                    <w:pStyle w:val="38"/>
                    <w:spacing w:before="0" w:line="240" w:lineRule="auto"/>
                    <w:ind w:left="0" w:leftChars="0"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设置原则</w:t>
                  </w:r>
                </w:p>
              </w:tc>
              <w:tc>
                <w:tcPr>
                  <w:tcW w:w="2077" w:type="pct"/>
                  <w:tcBorders>
                    <w:top w:val="single" w:color="000000" w:sz="4" w:space="0"/>
                    <w:left w:val="single" w:color="000000" w:sz="4" w:space="0"/>
                    <w:bottom w:val="single" w:color="000000" w:sz="4" w:space="0"/>
                    <w:right w:val="single" w:color="000000" w:sz="4" w:space="0"/>
                  </w:tcBorders>
                  <w:vAlign w:val="center"/>
                </w:tcPr>
                <w:p w14:paraId="0E06F6D4">
                  <w:pPr>
                    <w:pStyle w:val="38"/>
                    <w:spacing w:before="0" w:line="240" w:lineRule="auto"/>
                    <w:ind w:left="0" w:leftChars="0"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本项目情况</w:t>
                  </w:r>
                </w:p>
              </w:tc>
              <w:tc>
                <w:tcPr>
                  <w:tcW w:w="561" w:type="pct"/>
                  <w:tcBorders>
                    <w:top w:val="single" w:color="000000" w:sz="4" w:space="0"/>
                    <w:left w:val="single" w:color="000000" w:sz="4" w:space="0"/>
                    <w:bottom w:val="single" w:color="000000" w:sz="4" w:space="0"/>
                    <w:right w:val="single" w:color="000000" w:sz="4" w:space="0"/>
                  </w:tcBorders>
                  <w:vAlign w:val="center"/>
                </w:tcPr>
                <w:p w14:paraId="2486BDE0">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是否设置专项评价</w:t>
                  </w:r>
                </w:p>
              </w:tc>
            </w:tr>
            <w:tr w14:paraId="32AEDD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 w:hRule="atLeast"/>
                <w:jc w:val="center"/>
              </w:trPr>
              <w:tc>
                <w:tcPr>
                  <w:tcW w:w="542" w:type="pct"/>
                  <w:tcBorders>
                    <w:top w:val="single" w:color="000000" w:sz="4" w:space="0"/>
                    <w:left w:val="single" w:color="000000" w:sz="4" w:space="0"/>
                    <w:bottom w:val="single" w:color="000000" w:sz="4" w:space="0"/>
                    <w:right w:val="single" w:color="000000" w:sz="4" w:space="0"/>
                  </w:tcBorders>
                  <w:vAlign w:val="center"/>
                </w:tcPr>
                <w:p w14:paraId="24967A12">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大气</w:t>
                  </w:r>
                </w:p>
              </w:tc>
              <w:tc>
                <w:tcPr>
                  <w:tcW w:w="1818" w:type="pct"/>
                  <w:tcBorders>
                    <w:top w:val="single" w:color="000000" w:sz="4" w:space="0"/>
                    <w:left w:val="single" w:color="000000" w:sz="4" w:space="0"/>
                    <w:bottom w:val="single" w:color="000000" w:sz="4" w:space="0"/>
                    <w:right w:val="single" w:color="000000" w:sz="4" w:space="0"/>
                  </w:tcBorders>
                  <w:vAlign w:val="center"/>
                </w:tcPr>
                <w:p w14:paraId="7F6C1A86">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排放废气含有毒有害污染物、二噁英、苯并[a]芘、氰化物、氯气且有环境空气保护目标的建设项目</w:t>
                  </w:r>
                </w:p>
              </w:tc>
              <w:tc>
                <w:tcPr>
                  <w:tcW w:w="2077" w:type="pct"/>
                  <w:tcBorders>
                    <w:top w:val="single" w:color="000000" w:sz="4" w:space="0"/>
                    <w:left w:val="single" w:color="000000" w:sz="4" w:space="0"/>
                    <w:bottom w:val="single" w:color="000000" w:sz="4" w:space="0"/>
                    <w:right w:val="single" w:color="000000" w:sz="4" w:space="0"/>
                  </w:tcBorders>
                  <w:vAlign w:val="center"/>
                </w:tcPr>
                <w:p w14:paraId="781AF8C0">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本项目排放的废气不涉及有毒有害污染物、二噁英、苯并[a]芘、氰化物、氯气</w:t>
                  </w:r>
                </w:p>
              </w:tc>
              <w:tc>
                <w:tcPr>
                  <w:tcW w:w="561" w:type="pct"/>
                  <w:tcBorders>
                    <w:top w:val="single" w:color="000000" w:sz="4" w:space="0"/>
                    <w:left w:val="single" w:color="000000" w:sz="4" w:space="0"/>
                    <w:bottom w:val="single" w:color="000000" w:sz="4" w:space="0"/>
                    <w:right w:val="single" w:color="000000" w:sz="4" w:space="0"/>
                  </w:tcBorders>
                  <w:vAlign w:val="center"/>
                </w:tcPr>
                <w:p w14:paraId="79B41D2B">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否</w:t>
                  </w:r>
                </w:p>
              </w:tc>
            </w:tr>
            <w:tr w14:paraId="6C9CA3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 w:hRule="atLeast"/>
                <w:jc w:val="center"/>
              </w:trPr>
              <w:tc>
                <w:tcPr>
                  <w:tcW w:w="542" w:type="pct"/>
                  <w:tcBorders>
                    <w:top w:val="single" w:color="000000" w:sz="4" w:space="0"/>
                    <w:left w:val="single" w:color="000000" w:sz="4" w:space="0"/>
                    <w:bottom w:val="single" w:color="000000" w:sz="4" w:space="0"/>
                    <w:right w:val="single" w:color="000000" w:sz="4" w:space="0"/>
                  </w:tcBorders>
                  <w:vAlign w:val="center"/>
                </w:tcPr>
                <w:p w14:paraId="5F0544A8">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地表水</w:t>
                  </w:r>
                </w:p>
              </w:tc>
              <w:tc>
                <w:tcPr>
                  <w:tcW w:w="1818" w:type="pct"/>
                  <w:tcBorders>
                    <w:top w:val="single" w:color="000000" w:sz="4" w:space="0"/>
                    <w:left w:val="single" w:color="000000" w:sz="4" w:space="0"/>
                    <w:bottom w:val="single" w:color="000000" w:sz="4" w:space="0"/>
                    <w:right w:val="single" w:color="000000" w:sz="4" w:space="0"/>
                  </w:tcBorders>
                  <w:vAlign w:val="center"/>
                </w:tcPr>
                <w:p w14:paraId="5E1658CE">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新增工业废水直排建设项目（槽罐车外送污水处理厂的除外）；新增废水直排的污水集中处理厂</w:t>
                  </w:r>
                </w:p>
              </w:tc>
              <w:tc>
                <w:tcPr>
                  <w:tcW w:w="2077" w:type="pct"/>
                  <w:tcBorders>
                    <w:top w:val="single" w:color="000000" w:sz="4" w:space="0"/>
                    <w:left w:val="single" w:color="000000" w:sz="4" w:space="0"/>
                    <w:bottom w:val="single" w:color="000000" w:sz="4" w:space="0"/>
                    <w:right w:val="single" w:color="000000" w:sz="4" w:space="0"/>
                  </w:tcBorders>
                  <w:vAlign w:val="center"/>
                </w:tcPr>
                <w:p w14:paraId="33960A6B">
                  <w:pPr>
                    <w:pStyle w:val="38"/>
                    <w:spacing w:before="0" w:line="240" w:lineRule="auto"/>
                    <w:ind w:firstLine="0" w:firstLine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cs="Times New Roman"/>
                      <w:color w:val="auto"/>
                      <w:sz w:val="21"/>
                      <w:szCs w:val="21"/>
                      <w:u w:val="none"/>
                      <w:lang w:val="en-US" w:eastAsia="zh-CN"/>
                    </w:rPr>
                    <w:t>不涉及左述废水直排情形</w:t>
                  </w:r>
                </w:p>
              </w:tc>
              <w:tc>
                <w:tcPr>
                  <w:tcW w:w="561" w:type="pct"/>
                  <w:tcBorders>
                    <w:top w:val="single" w:color="000000" w:sz="4" w:space="0"/>
                    <w:left w:val="single" w:color="000000" w:sz="4" w:space="0"/>
                    <w:bottom w:val="single" w:color="000000" w:sz="4" w:space="0"/>
                    <w:right w:val="single" w:color="000000" w:sz="4" w:space="0"/>
                  </w:tcBorders>
                  <w:vAlign w:val="center"/>
                </w:tcPr>
                <w:p w14:paraId="19962DEF">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否</w:t>
                  </w:r>
                </w:p>
              </w:tc>
            </w:tr>
            <w:tr w14:paraId="307887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 w:hRule="atLeast"/>
                <w:jc w:val="center"/>
              </w:trPr>
              <w:tc>
                <w:tcPr>
                  <w:tcW w:w="542" w:type="pct"/>
                  <w:tcBorders>
                    <w:top w:val="single" w:color="000000" w:sz="4" w:space="0"/>
                    <w:left w:val="single" w:color="000000" w:sz="4" w:space="0"/>
                    <w:bottom w:val="single" w:color="000000" w:sz="4" w:space="0"/>
                    <w:right w:val="single" w:color="000000" w:sz="4" w:space="0"/>
                  </w:tcBorders>
                  <w:vAlign w:val="center"/>
                </w:tcPr>
                <w:p w14:paraId="53C16379">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环境风险</w:t>
                  </w:r>
                </w:p>
              </w:tc>
              <w:tc>
                <w:tcPr>
                  <w:tcW w:w="1818" w:type="pct"/>
                  <w:tcBorders>
                    <w:top w:val="single" w:color="000000" w:sz="4" w:space="0"/>
                    <w:left w:val="single" w:color="000000" w:sz="4" w:space="0"/>
                    <w:bottom w:val="single" w:color="000000" w:sz="4" w:space="0"/>
                    <w:right w:val="single" w:color="000000" w:sz="4" w:space="0"/>
                  </w:tcBorders>
                  <w:vAlign w:val="center"/>
                </w:tcPr>
                <w:p w14:paraId="66E237F5">
                  <w:pPr>
                    <w:pStyle w:val="38"/>
                    <w:spacing w:before="0" w:line="240" w:lineRule="auto"/>
                    <w:ind w:firstLine="0" w:firstLineChars="0"/>
                    <w:jc w:val="center"/>
                    <w:rPr>
                      <w:rFonts w:hint="default" w:ascii="Times New Roman" w:hAnsi="Times New Roman" w:cs="Times New Roman"/>
                      <w:color w:val="auto"/>
                      <w:sz w:val="21"/>
                      <w:szCs w:val="21"/>
                      <w:u w:val="none"/>
                      <w:lang w:eastAsia="zh-CN"/>
                    </w:rPr>
                  </w:pPr>
                  <w:r>
                    <w:rPr>
                      <w:rFonts w:hint="default" w:ascii="Times New Roman" w:hAnsi="Times New Roman" w:cs="Times New Roman"/>
                      <w:color w:val="auto"/>
                      <w:sz w:val="21"/>
                      <w:szCs w:val="21"/>
                      <w:u w:val="none"/>
                      <w:lang w:eastAsia="zh-CN"/>
                    </w:rPr>
                    <w:t>有毒有害和易燃易爆危险物质存储量超过临界量的建设项目</w:t>
                  </w:r>
                </w:p>
              </w:tc>
              <w:tc>
                <w:tcPr>
                  <w:tcW w:w="2077" w:type="pct"/>
                  <w:tcBorders>
                    <w:top w:val="single" w:color="000000" w:sz="4" w:space="0"/>
                    <w:left w:val="single" w:color="000000" w:sz="4" w:space="0"/>
                    <w:bottom w:val="single" w:color="000000" w:sz="4" w:space="0"/>
                    <w:right w:val="single" w:color="000000" w:sz="4" w:space="0"/>
                  </w:tcBorders>
                  <w:vAlign w:val="center"/>
                </w:tcPr>
                <w:p w14:paraId="303A00FA">
                  <w:pPr>
                    <w:pStyle w:val="38"/>
                    <w:spacing w:before="0" w:line="240" w:lineRule="auto"/>
                    <w:ind w:firstLine="0" w:firstLineChars="0"/>
                    <w:jc w:val="center"/>
                    <w:rPr>
                      <w:rFonts w:hint="default" w:ascii="Times New Roman" w:hAnsi="Times New Roman" w:cs="Times New Roman"/>
                      <w:color w:val="auto"/>
                      <w:sz w:val="21"/>
                      <w:szCs w:val="21"/>
                      <w:u w:val="none"/>
                      <w:lang w:eastAsia="zh-CN"/>
                    </w:rPr>
                  </w:pPr>
                  <w:r>
                    <w:rPr>
                      <w:rFonts w:hint="default" w:ascii="Times New Roman" w:hAnsi="Times New Roman" w:cs="Times New Roman"/>
                      <w:color w:val="auto"/>
                      <w:sz w:val="21"/>
                      <w:szCs w:val="21"/>
                      <w:u w:val="none"/>
                      <w:lang w:eastAsia="zh-CN"/>
                    </w:rPr>
                    <w:t>本项目</w:t>
                  </w:r>
                  <w:r>
                    <w:rPr>
                      <w:rFonts w:hint="default" w:ascii="Times New Roman" w:hAnsi="Times New Roman" w:cs="Times New Roman"/>
                      <w:color w:val="auto"/>
                      <w:sz w:val="21"/>
                      <w:szCs w:val="21"/>
                      <w:u w:val="none"/>
                      <w:lang w:val="en-US" w:eastAsia="zh-CN"/>
                    </w:rPr>
                    <w:t>净水工艺中使用液氯作为消毒剂，液氯在厂区内</w:t>
                  </w:r>
                  <w:r>
                    <w:rPr>
                      <w:rFonts w:hint="default" w:ascii="Times New Roman" w:hAnsi="Times New Roman" w:cs="Times New Roman"/>
                      <w:color w:val="auto"/>
                      <w:sz w:val="21"/>
                      <w:szCs w:val="21"/>
                      <w:u w:val="none"/>
                      <w:lang w:eastAsia="zh-CN"/>
                    </w:rPr>
                    <w:t>存储量超过临界量</w:t>
                  </w:r>
                </w:p>
              </w:tc>
              <w:tc>
                <w:tcPr>
                  <w:tcW w:w="561" w:type="pct"/>
                  <w:tcBorders>
                    <w:top w:val="single" w:color="000000" w:sz="4" w:space="0"/>
                    <w:left w:val="single" w:color="000000" w:sz="4" w:space="0"/>
                    <w:bottom w:val="single" w:color="000000" w:sz="4" w:space="0"/>
                    <w:right w:val="single" w:color="000000" w:sz="4" w:space="0"/>
                  </w:tcBorders>
                  <w:vAlign w:val="center"/>
                </w:tcPr>
                <w:p w14:paraId="1C7F1D85">
                  <w:pPr>
                    <w:pStyle w:val="38"/>
                    <w:spacing w:before="0" w:line="240" w:lineRule="auto"/>
                    <w:ind w:firstLine="0" w:firstLineChars="0"/>
                    <w:jc w:val="center"/>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val="en-US" w:eastAsia="zh-CN"/>
                    </w:rPr>
                    <w:t>是</w:t>
                  </w:r>
                </w:p>
              </w:tc>
            </w:tr>
            <w:tr w14:paraId="0A4AA1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 w:hRule="atLeast"/>
                <w:jc w:val="center"/>
              </w:trPr>
              <w:tc>
                <w:tcPr>
                  <w:tcW w:w="542" w:type="pct"/>
                  <w:tcBorders>
                    <w:top w:val="single" w:color="000000" w:sz="4" w:space="0"/>
                    <w:left w:val="single" w:color="000000" w:sz="4" w:space="0"/>
                    <w:bottom w:val="single" w:color="000000" w:sz="4" w:space="0"/>
                    <w:right w:val="single" w:color="000000" w:sz="4" w:space="0"/>
                  </w:tcBorders>
                  <w:vAlign w:val="center"/>
                </w:tcPr>
                <w:p w14:paraId="4B94075D">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生态</w:t>
                  </w:r>
                </w:p>
              </w:tc>
              <w:tc>
                <w:tcPr>
                  <w:tcW w:w="1818" w:type="pct"/>
                  <w:tcBorders>
                    <w:top w:val="single" w:color="000000" w:sz="4" w:space="0"/>
                    <w:left w:val="single" w:color="000000" w:sz="4" w:space="0"/>
                    <w:bottom w:val="single" w:color="000000" w:sz="4" w:space="0"/>
                    <w:right w:val="single" w:color="000000" w:sz="4" w:space="0"/>
                  </w:tcBorders>
                  <w:vAlign w:val="center"/>
                </w:tcPr>
                <w:p w14:paraId="21FD1A08">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取水口下游500米范围内有重要水生生物的自然产卵场、索饵场、越冬场和洄游通道的新增河道取水的污染类建设项目</w:t>
                  </w:r>
                </w:p>
              </w:tc>
              <w:tc>
                <w:tcPr>
                  <w:tcW w:w="2077" w:type="pct"/>
                  <w:tcBorders>
                    <w:top w:val="single" w:color="000000" w:sz="4" w:space="0"/>
                    <w:left w:val="single" w:color="000000" w:sz="4" w:space="0"/>
                    <w:bottom w:val="single" w:color="000000" w:sz="4" w:space="0"/>
                    <w:right w:val="single" w:color="000000" w:sz="4" w:space="0"/>
                  </w:tcBorders>
                  <w:vAlign w:val="center"/>
                </w:tcPr>
                <w:p w14:paraId="3874A950">
                  <w:pPr>
                    <w:pStyle w:val="38"/>
                    <w:spacing w:before="0" w:line="240" w:lineRule="auto"/>
                    <w:ind w:firstLine="0" w:firstLineChars="0"/>
                    <w:jc w:val="center"/>
                    <w:rPr>
                      <w:rFonts w:hint="default" w:ascii="Times New Roman" w:hAnsi="Times New Roman" w:cs="Times New Roman"/>
                      <w:color w:val="auto"/>
                      <w:sz w:val="21"/>
                      <w:szCs w:val="21"/>
                      <w:u w:val="none"/>
                      <w:lang w:val="en-US"/>
                    </w:rPr>
                  </w:pPr>
                  <w:r>
                    <w:rPr>
                      <w:rFonts w:hint="default" w:ascii="Times New Roman" w:hAnsi="Times New Roman" w:cs="Times New Roman"/>
                      <w:color w:val="auto"/>
                      <w:sz w:val="21"/>
                      <w:szCs w:val="21"/>
                      <w:u w:val="none"/>
                    </w:rPr>
                    <w:t>本项目</w:t>
                  </w:r>
                  <w:r>
                    <w:rPr>
                      <w:rFonts w:hint="eastAsia" w:ascii="Times New Roman" w:hAnsi="Times New Roman" w:cs="Times New Roman"/>
                      <w:color w:val="auto"/>
                      <w:sz w:val="21"/>
                      <w:szCs w:val="21"/>
                      <w:u w:val="none"/>
                      <w:lang w:val="en-US" w:eastAsia="zh-CN"/>
                    </w:rPr>
                    <w:t>于2002年启用铁山水库水源进行供水，应急</w:t>
                  </w:r>
                  <w:r>
                    <w:rPr>
                      <w:rFonts w:hint="default" w:ascii="Times New Roman" w:hAnsi="Times New Roman" w:cs="Times New Roman"/>
                      <w:color w:val="auto"/>
                      <w:sz w:val="21"/>
                      <w:szCs w:val="21"/>
                      <w:u w:val="none"/>
                      <w:lang w:val="en-US" w:eastAsia="zh-CN"/>
                    </w:rPr>
                    <w:t>备用</w:t>
                  </w:r>
                  <w:r>
                    <w:rPr>
                      <w:rFonts w:hint="eastAsia" w:ascii="Times New Roman" w:hAnsi="Times New Roman" w:cs="Times New Roman"/>
                      <w:color w:val="auto"/>
                      <w:sz w:val="21"/>
                      <w:szCs w:val="21"/>
                      <w:u w:val="none"/>
                      <w:lang w:val="en-US" w:eastAsia="zh-CN"/>
                    </w:rPr>
                    <w:t>水源取水口</w:t>
                  </w:r>
                  <w:r>
                    <w:rPr>
                      <w:rFonts w:hint="default" w:ascii="Times New Roman" w:hAnsi="Times New Roman" w:cs="Times New Roman"/>
                      <w:color w:val="auto"/>
                      <w:sz w:val="21"/>
                      <w:szCs w:val="21"/>
                      <w:u w:val="none"/>
                      <w:lang w:val="en-US" w:eastAsia="zh-CN"/>
                    </w:rPr>
                    <w:t>设在东洞庭湖</w:t>
                  </w:r>
                  <w:r>
                    <w:rPr>
                      <w:rFonts w:hint="eastAsia" w:ascii="Times New Roman" w:hAnsi="Times New Roman" w:cs="Times New Roman"/>
                      <w:color w:val="auto"/>
                      <w:sz w:val="21"/>
                      <w:szCs w:val="21"/>
                      <w:u w:val="none"/>
                      <w:lang w:val="en-US" w:eastAsia="zh-CN"/>
                    </w:rPr>
                    <w:t>岸边离岸线约10m</w:t>
                  </w:r>
                  <w:r>
                    <w:rPr>
                      <w:rFonts w:hint="default" w:ascii="Times New Roman" w:hAnsi="Times New Roman" w:cs="Times New Roman"/>
                      <w:color w:val="auto"/>
                      <w:sz w:val="21"/>
                      <w:szCs w:val="21"/>
                      <w:u w:val="none"/>
                      <w:lang w:val="en-US" w:eastAsia="zh-CN"/>
                    </w:rPr>
                    <w:t>，</w:t>
                  </w:r>
                  <w:r>
                    <w:rPr>
                      <w:rFonts w:hint="eastAsia" w:ascii="Times New Roman" w:hAnsi="Times New Roman" w:cs="Times New Roman"/>
                      <w:color w:val="auto"/>
                      <w:sz w:val="21"/>
                      <w:szCs w:val="21"/>
                      <w:u w:val="none"/>
                      <w:lang w:val="en-US" w:eastAsia="zh-CN"/>
                    </w:rPr>
                    <w:t>该水域</w:t>
                  </w:r>
                  <w:r>
                    <w:rPr>
                      <w:rFonts w:hint="default" w:ascii="Times New Roman" w:hAnsi="Times New Roman" w:cs="Times New Roman"/>
                      <w:color w:val="auto"/>
                      <w:sz w:val="21"/>
                      <w:szCs w:val="21"/>
                      <w:u w:val="none"/>
                      <w:lang w:val="en-US" w:eastAsia="zh-CN"/>
                    </w:rPr>
                    <w:t>位于</w:t>
                  </w:r>
                  <w:r>
                    <w:rPr>
                      <w:rFonts w:hint="eastAsia" w:ascii="Times New Roman" w:hAnsi="Times New Roman" w:cs="Times New Roman"/>
                      <w:color w:val="auto"/>
                      <w:sz w:val="21"/>
                      <w:szCs w:val="21"/>
                      <w:u w:val="none"/>
                      <w:lang w:val="en-US" w:eastAsia="zh-CN"/>
                    </w:rPr>
                    <w:t>东洞庭湖鲤鲫黄颡鱼</w:t>
                  </w:r>
                  <w:r>
                    <w:rPr>
                      <w:rFonts w:hint="eastAsia" w:cs="Times New Roman"/>
                      <w:color w:val="auto"/>
                      <w:sz w:val="21"/>
                      <w:szCs w:val="21"/>
                      <w:u w:val="none"/>
                      <w:lang w:val="en-US" w:eastAsia="zh-CN"/>
                    </w:rPr>
                    <w:t>种质资源保护区</w:t>
                  </w:r>
                  <w:r>
                    <w:rPr>
                      <w:rFonts w:hint="eastAsia" w:ascii="Times New Roman" w:hAnsi="Times New Roman" w:cs="Times New Roman"/>
                      <w:color w:val="auto"/>
                      <w:sz w:val="21"/>
                      <w:szCs w:val="21"/>
                      <w:u w:val="none"/>
                      <w:lang w:val="en-US" w:eastAsia="zh-CN"/>
                    </w:rPr>
                    <w:t>。由于取水口为备用水源地、且属于历史已经存在（划定保护区前已存在、始建于1970年），不属于新增取水类型</w:t>
                  </w:r>
                </w:p>
              </w:tc>
              <w:tc>
                <w:tcPr>
                  <w:tcW w:w="561" w:type="pct"/>
                  <w:tcBorders>
                    <w:top w:val="single" w:color="000000" w:sz="4" w:space="0"/>
                    <w:left w:val="single" w:color="000000" w:sz="4" w:space="0"/>
                    <w:bottom w:val="single" w:color="000000" w:sz="4" w:space="0"/>
                    <w:right w:val="single" w:color="000000" w:sz="4" w:space="0"/>
                  </w:tcBorders>
                  <w:vAlign w:val="center"/>
                </w:tcPr>
                <w:p w14:paraId="6B7DFB95">
                  <w:pPr>
                    <w:pStyle w:val="38"/>
                    <w:spacing w:before="0" w:line="240" w:lineRule="auto"/>
                    <w:ind w:firstLine="0" w:firstLineChars="0"/>
                    <w:jc w:val="center"/>
                    <w:rPr>
                      <w:rFonts w:hint="default" w:ascii="Times New Roman" w:hAnsi="Times New Roman" w:eastAsia="宋体" w:cs="Times New Roman"/>
                      <w:color w:val="auto"/>
                      <w:sz w:val="21"/>
                      <w:szCs w:val="21"/>
                      <w:u w:val="none"/>
                      <w:lang w:eastAsia="zh-CN"/>
                    </w:rPr>
                  </w:pPr>
                  <w:r>
                    <w:rPr>
                      <w:rFonts w:hint="eastAsia" w:ascii="Times New Roman" w:hAnsi="Times New Roman" w:cs="Times New Roman"/>
                      <w:color w:val="auto"/>
                      <w:sz w:val="21"/>
                      <w:szCs w:val="21"/>
                      <w:u w:val="none"/>
                      <w:lang w:val="en-US" w:eastAsia="zh-CN"/>
                    </w:rPr>
                    <w:t>否</w:t>
                  </w:r>
                </w:p>
              </w:tc>
            </w:tr>
            <w:tr w14:paraId="7D9FCE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542" w:type="pct"/>
                  <w:tcBorders>
                    <w:top w:val="single" w:color="000000" w:sz="4" w:space="0"/>
                    <w:left w:val="single" w:color="000000" w:sz="4" w:space="0"/>
                    <w:bottom w:val="single" w:color="000000" w:sz="4" w:space="0"/>
                    <w:right w:val="single" w:color="000000" w:sz="4" w:space="0"/>
                  </w:tcBorders>
                  <w:vAlign w:val="center"/>
                </w:tcPr>
                <w:p w14:paraId="4FBF105A">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海洋</w:t>
                  </w:r>
                </w:p>
              </w:tc>
              <w:tc>
                <w:tcPr>
                  <w:tcW w:w="1818" w:type="pct"/>
                  <w:tcBorders>
                    <w:top w:val="single" w:color="000000" w:sz="4" w:space="0"/>
                    <w:left w:val="single" w:color="000000" w:sz="4" w:space="0"/>
                    <w:bottom w:val="single" w:color="000000" w:sz="4" w:space="0"/>
                    <w:right w:val="single" w:color="000000" w:sz="4" w:space="0"/>
                  </w:tcBorders>
                  <w:vAlign w:val="center"/>
                </w:tcPr>
                <w:p w14:paraId="3C33E66D">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直接向海排放污染物的海洋工程建设项目</w:t>
                  </w:r>
                </w:p>
              </w:tc>
              <w:tc>
                <w:tcPr>
                  <w:tcW w:w="2077" w:type="pct"/>
                  <w:tcBorders>
                    <w:top w:val="single" w:color="000000" w:sz="4" w:space="0"/>
                    <w:left w:val="single" w:color="000000" w:sz="4" w:space="0"/>
                    <w:bottom w:val="single" w:color="000000" w:sz="4" w:space="0"/>
                    <w:right w:val="single" w:color="000000" w:sz="4" w:space="0"/>
                  </w:tcBorders>
                  <w:vAlign w:val="center"/>
                </w:tcPr>
                <w:p w14:paraId="6D79DC04">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本项目不涉及海洋，无需设置海洋专项评价</w:t>
                  </w:r>
                </w:p>
              </w:tc>
              <w:tc>
                <w:tcPr>
                  <w:tcW w:w="561" w:type="pct"/>
                  <w:tcBorders>
                    <w:top w:val="single" w:color="000000" w:sz="4" w:space="0"/>
                    <w:left w:val="single" w:color="000000" w:sz="4" w:space="0"/>
                    <w:bottom w:val="single" w:color="000000" w:sz="4" w:space="0"/>
                    <w:right w:val="single" w:color="000000" w:sz="4" w:space="0"/>
                  </w:tcBorders>
                  <w:vAlign w:val="center"/>
                </w:tcPr>
                <w:p w14:paraId="3FB6F160">
                  <w:pPr>
                    <w:pStyle w:val="38"/>
                    <w:spacing w:before="0" w:line="240" w:lineRule="auto"/>
                    <w:ind w:firstLine="0" w:firstLineChars="0"/>
                    <w:jc w:val="center"/>
                    <w:rPr>
                      <w:rFonts w:hint="default" w:ascii="Times New Roman" w:hAnsi="Times New Roman" w:cs="Times New Roman"/>
                      <w:color w:val="auto"/>
                      <w:sz w:val="21"/>
                      <w:szCs w:val="21"/>
                      <w:u w:val="none"/>
                    </w:rPr>
                  </w:pPr>
                  <w:r>
                    <w:rPr>
                      <w:rFonts w:hint="default" w:ascii="Times New Roman" w:hAnsi="Times New Roman" w:cs="Times New Roman"/>
                      <w:color w:val="auto"/>
                      <w:sz w:val="21"/>
                      <w:szCs w:val="21"/>
                      <w:u w:val="none"/>
                    </w:rPr>
                    <w:t>否</w:t>
                  </w:r>
                </w:p>
              </w:tc>
            </w:tr>
            <w:tr w14:paraId="51A202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vAlign w:val="center"/>
                </w:tcPr>
                <w:p w14:paraId="4A4B8D1E">
                  <w:pPr>
                    <w:pStyle w:val="38"/>
                    <w:spacing w:before="0" w:line="240" w:lineRule="auto"/>
                    <w:ind w:firstLine="0" w:firstLineChars="0"/>
                    <w:jc w:val="both"/>
                    <w:rPr>
                      <w:rFonts w:hint="default" w:ascii="Times New Roman" w:hAnsi="Times New Roman" w:cs="Times New Roman"/>
                      <w:color w:val="auto"/>
                      <w:sz w:val="21"/>
                      <w:szCs w:val="21"/>
                    </w:rPr>
                  </w:pPr>
                  <w:r>
                    <w:rPr>
                      <w:rFonts w:hint="default" w:ascii="Times New Roman" w:hAnsi="Times New Roman" w:cs="Times New Roman"/>
                      <w:color w:val="auto"/>
                      <w:sz w:val="18"/>
                      <w:szCs w:val="18"/>
                    </w:rPr>
                    <w:t>注：1.废气中有毒有害污染物指纳入《有毒有害大气污染物名录》的污染物（不包括无排放标准的污染物）。2.环境空气保护目标指自然保护区、风景名胜区、居住区、文化区和农村地区中人群较集中的区域。3.临界量及其计算方法可参考《建设项目环境风险评价技术导则》（HJ 169）附录B、附录C。</w:t>
                  </w:r>
                </w:p>
              </w:tc>
            </w:tr>
          </w:tbl>
          <w:p w14:paraId="3DF0F79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lang w:val="en-US" w:eastAsia="zh-CN"/>
              </w:rPr>
            </w:pPr>
            <w:r>
              <w:rPr>
                <w:rFonts w:hint="eastAsia"/>
                <w:bCs/>
                <w:sz w:val="24"/>
                <w:u w:val="single"/>
                <w:lang w:val="en-US" w:eastAsia="zh-CN"/>
              </w:rPr>
              <w:t>根据上述专项评价设置理由分析，结合本项目实际情况，本次环境影响评价需</w:t>
            </w:r>
            <w:r>
              <w:rPr>
                <w:rFonts w:hint="eastAsia"/>
                <w:bCs/>
                <w:sz w:val="24"/>
                <w:u w:val="single"/>
              </w:rPr>
              <w:t>设置环境风险评价专项</w:t>
            </w:r>
            <w:r>
              <w:rPr>
                <w:rFonts w:hint="eastAsia"/>
                <w:bCs/>
                <w:sz w:val="24"/>
                <w:u w:val="single"/>
                <w:lang w:val="en-US" w:eastAsia="zh-CN"/>
              </w:rPr>
              <w:t>评价。</w:t>
            </w:r>
          </w:p>
        </w:tc>
      </w:tr>
      <w:tr w14:paraId="407A13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267" w:type="dxa"/>
            <w:tcBorders>
              <w:top w:val="single" w:color="auto" w:sz="4" w:space="0"/>
              <w:left w:val="single" w:color="auto" w:sz="8" w:space="0"/>
              <w:bottom w:val="single" w:color="auto" w:sz="4" w:space="0"/>
              <w:right w:val="single" w:color="auto" w:sz="4" w:space="0"/>
            </w:tcBorders>
            <w:noWrap w:val="0"/>
            <w:tcMar>
              <w:top w:w="0" w:type="dxa"/>
              <w:left w:w="108" w:type="dxa"/>
              <w:bottom w:w="0" w:type="dxa"/>
              <w:right w:w="108" w:type="dxa"/>
            </w:tcMar>
            <w:vAlign w:val="center"/>
          </w:tcPr>
          <w:p w14:paraId="3D2B9AB5">
            <w:pPr>
              <w:autoSpaceDE w:val="0"/>
              <w:autoSpaceDN w:val="0"/>
              <w:adjustRightInd w:val="0"/>
              <w:snapToGrid w:val="0"/>
              <w:jc w:val="center"/>
              <w:rPr>
                <w:rFonts w:ascii="宋体" w:hAnsi="宋体" w:cs="宋体"/>
                <w:kern w:val="0"/>
                <w:sz w:val="24"/>
              </w:rPr>
            </w:pPr>
            <w:r>
              <w:rPr>
                <w:rFonts w:hint="eastAsia" w:ascii="宋体" w:hAnsi="宋体" w:cs="宋体"/>
                <w:sz w:val="24"/>
              </w:rPr>
              <w:t>规划情况</w:t>
            </w:r>
          </w:p>
        </w:tc>
        <w:tc>
          <w:tcPr>
            <w:tcW w:w="6603" w:type="dxa"/>
            <w:gridSpan w:val="3"/>
            <w:tcBorders>
              <w:top w:val="single" w:color="auto" w:sz="4" w:space="0"/>
              <w:left w:val="single" w:color="auto" w:sz="4" w:space="0"/>
              <w:bottom w:val="single" w:color="auto" w:sz="4" w:space="0"/>
              <w:right w:val="single" w:color="auto" w:sz="8" w:space="0"/>
            </w:tcBorders>
            <w:noWrap w:val="0"/>
            <w:tcMar>
              <w:top w:w="0" w:type="dxa"/>
              <w:left w:w="108" w:type="dxa"/>
              <w:bottom w:w="0" w:type="dxa"/>
              <w:right w:w="108" w:type="dxa"/>
            </w:tcMar>
            <w:vAlign w:val="center"/>
          </w:tcPr>
          <w:p w14:paraId="48FE2FF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default"/>
                <w:bCs/>
                <w:sz w:val="24"/>
                <w:u w:val="single"/>
                <w:lang w:val="en-US" w:eastAsia="zh-CN"/>
              </w:rPr>
            </w:pPr>
            <w:r>
              <w:rPr>
                <w:rFonts w:hint="eastAsia"/>
                <w:bCs/>
                <w:sz w:val="24"/>
                <w:u w:val="single"/>
                <w:lang w:val="en-US" w:eastAsia="zh-CN"/>
              </w:rPr>
              <w:t>专项规划：《岳阳市中心城区给水专项规划》（2011-2030）；审批机关：岳阳市人民政府在2014年10月对专项规划进行批复</w:t>
            </w:r>
          </w:p>
        </w:tc>
      </w:tr>
      <w:tr w14:paraId="443DFC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0" w:type="dxa"/>
              <w:left w:w="108" w:type="dxa"/>
              <w:bottom w:w="0" w:type="dxa"/>
              <w:right w:w="108" w:type="dxa"/>
            </w:tcMar>
            <w:vAlign w:val="center"/>
          </w:tcPr>
          <w:p w14:paraId="51B5F097">
            <w:pPr>
              <w:adjustRightInd w:val="0"/>
              <w:snapToGrid w:val="0"/>
              <w:jc w:val="center"/>
              <w:rPr>
                <w:rFonts w:ascii="宋体" w:hAnsi="宋体" w:cs="宋体"/>
                <w:sz w:val="24"/>
              </w:rPr>
            </w:pPr>
            <w:r>
              <w:rPr>
                <w:rFonts w:hint="eastAsia" w:ascii="宋体" w:hAnsi="宋体" w:cs="宋体"/>
                <w:sz w:val="24"/>
              </w:rPr>
              <w:t>规划环境影响</w:t>
            </w:r>
          </w:p>
          <w:p w14:paraId="3D01C04B">
            <w:pPr>
              <w:adjustRightInd w:val="0"/>
              <w:snapToGrid w:val="0"/>
              <w:jc w:val="center"/>
              <w:rPr>
                <w:rFonts w:ascii="宋体" w:hAnsi="宋体" w:cs="宋体"/>
                <w:kern w:val="0"/>
                <w:sz w:val="24"/>
              </w:rPr>
            </w:pPr>
            <w:r>
              <w:rPr>
                <w:rFonts w:hint="eastAsia" w:ascii="宋体" w:hAnsi="宋体" w:cs="宋体"/>
                <w:sz w:val="24"/>
              </w:rPr>
              <w:t>评价情况</w:t>
            </w:r>
          </w:p>
        </w:tc>
        <w:tc>
          <w:tcPr>
            <w:tcW w:w="6603" w:type="dxa"/>
            <w:gridSpan w:val="3"/>
            <w:tcBorders>
              <w:top w:val="single" w:color="auto" w:sz="4" w:space="0"/>
              <w:left w:val="single" w:color="auto" w:sz="4" w:space="0"/>
              <w:bottom w:val="single" w:color="auto" w:sz="4" w:space="0"/>
              <w:right w:val="single" w:color="auto" w:sz="8" w:space="0"/>
            </w:tcBorders>
            <w:noWrap w:val="0"/>
            <w:tcMar>
              <w:top w:w="0" w:type="dxa"/>
              <w:left w:w="108" w:type="dxa"/>
              <w:bottom w:w="0" w:type="dxa"/>
              <w:right w:w="108" w:type="dxa"/>
            </w:tcMar>
            <w:vAlign w:val="center"/>
          </w:tcPr>
          <w:p w14:paraId="6E60B58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bCs/>
                <w:sz w:val="24"/>
                <w:u w:val="single"/>
                <w:lang w:val="en-US" w:eastAsia="zh-CN"/>
              </w:rPr>
            </w:pPr>
            <w:r>
              <w:rPr>
                <w:rFonts w:hint="eastAsia"/>
                <w:bCs/>
                <w:sz w:val="24"/>
                <w:u w:val="none"/>
                <w:lang w:val="en-US" w:eastAsia="zh-CN"/>
              </w:rPr>
              <w:t>无</w:t>
            </w:r>
          </w:p>
        </w:tc>
      </w:tr>
      <w:tr w14:paraId="1EC7C4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67" w:type="dxa"/>
            <w:tcBorders>
              <w:top w:val="single" w:color="auto" w:sz="4" w:space="0"/>
              <w:left w:val="single" w:color="auto" w:sz="8" w:space="0"/>
              <w:bottom w:val="single" w:color="auto" w:sz="4" w:space="0"/>
              <w:right w:val="single" w:color="auto" w:sz="4" w:space="0"/>
            </w:tcBorders>
            <w:noWrap w:val="0"/>
            <w:tcMar>
              <w:top w:w="0" w:type="dxa"/>
              <w:left w:w="108" w:type="dxa"/>
              <w:bottom w:w="0" w:type="dxa"/>
              <w:right w:w="108" w:type="dxa"/>
            </w:tcMar>
            <w:vAlign w:val="center"/>
          </w:tcPr>
          <w:p w14:paraId="397F18D3">
            <w:pPr>
              <w:autoSpaceDE w:val="0"/>
              <w:autoSpaceDN w:val="0"/>
              <w:adjustRightInd w:val="0"/>
              <w:snapToGrid w:val="0"/>
              <w:jc w:val="center"/>
              <w:rPr>
                <w:rFonts w:ascii="宋体" w:hAnsi="宋体" w:cs="宋体"/>
                <w:kern w:val="0"/>
                <w:sz w:val="24"/>
              </w:rPr>
            </w:pPr>
            <w:r>
              <w:rPr>
                <w:rFonts w:hint="eastAsia" w:ascii="宋体" w:hAnsi="宋体" w:cs="宋体"/>
                <w:kern w:val="0"/>
                <w:sz w:val="24"/>
              </w:rPr>
              <w:t>规划及规划环境影响评价符合性分析</w:t>
            </w:r>
          </w:p>
        </w:tc>
        <w:tc>
          <w:tcPr>
            <w:tcW w:w="6603" w:type="dxa"/>
            <w:gridSpan w:val="3"/>
            <w:tcBorders>
              <w:top w:val="single" w:color="auto" w:sz="4" w:space="0"/>
              <w:left w:val="single" w:color="auto" w:sz="4" w:space="0"/>
              <w:bottom w:val="single" w:color="auto" w:sz="4" w:space="0"/>
              <w:right w:val="single" w:color="auto" w:sz="8" w:space="0"/>
            </w:tcBorders>
            <w:noWrap w:val="0"/>
            <w:tcMar>
              <w:top w:w="0" w:type="dxa"/>
              <w:left w:w="108" w:type="dxa"/>
              <w:bottom w:w="0" w:type="dxa"/>
              <w:right w:w="108" w:type="dxa"/>
            </w:tcMar>
            <w:vAlign w:val="center"/>
          </w:tcPr>
          <w:p w14:paraId="3C60FFF9">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left"/>
              <w:textAlignment w:val="auto"/>
              <w:rPr>
                <w:rFonts w:hint="default"/>
                <w:b/>
                <w:bCs w:val="0"/>
                <w:sz w:val="24"/>
                <w:u w:val="single"/>
                <w:lang w:val="en-US" w:eastAsia="zh-CN"/>
              </w:rPr>
            </w:pPr>
            <w:r>
              <w:rPr>
                <w:rFonts w:hint="eastAsia"/>
                <w:b/>
                <w:bCs w:val="0"/>
                <w:sz w:val="24"/>
                <w:u w:val="single"/>
                <w:lang w:val="en-US" w:eastAsia="zh-CN"/>
              </w:rPr>
              <w:t>与项目相关的城区供水专项规划内容：</w:t>
            </w:r>
          </w:p>
          <w:p w14:paraId="6248EA7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bCs/>
                <w:sz w:val="24"/>
                <w:u w:val="single"/>
                <w:lang w:val="en-US" w:eastAsia="zh-CN"/>
              </w:rPr>
            </w:pPr>
            <w:r>
              <w:rPr>
                <w:rFonts w:hint="eastAsia"/>
                <w:bCs/>
                <w:sz w:val="24"/>
                <w:u w:val="single"/>
                <w:lang w:val="en-US" w:eastAsia="zh-CN"/>
              </w:rPr>
              <w:t>根据《岳阳市中心城区给水专项规划》（2011-2030）有关内容：中心城区给水系统服务范围包括岳阳市中心城区的岳阳市主城区、云溪城区（不包括道仁矶分区），其中主城区范围为南起湖滨、奇家岭、北至荆岳铁路、西起洞庭湖、东至随岳高速公路的区域，以居住、商贸金融、旅游服务、文化教育、高新技术产业为主，采取紧凑发展的模式，用地布局分为金凤桥市级商业主中心、东茅岭市级商业副中心、七里山一冷水铺工业、木里港一康王工业、奇家岭一郭镇文化教育五片区，用地面积95km</w:t>
            </w:r>
            <w:r>
              <w:rPr>
                <w:rFonts w:hint="eastAsia"/>
                <w:bCs/>
                <w:sz w:val="24"/>
                <w:u w:val="single"/>
                <w:vertAlign w:val="superscript"/>
                <w:lang w:val="en-US" w:eastAsia="zh-CN"/>
              </w:rPr>
              <w:t>2</w:t>
            </w:r>
            <w:r>
              <w:rPr>
                <w:rFonts w:hint="eastAsia"/>
                <w:bCs/>
                <w:sz w:val="24"/>
                <w:u w:val="single"/>
                <w:lang w:val="en-US" w:eastAsia="zh-CN"/>
              </w:rPr>
              <w:t>。规划远期时限为2020~2030年。</w:t>
            </w:r>
          </w:p>
          <w:p w14:paraId="3CEC2EE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bCs/>
                <w:sz w:val="24"/>
                <w:u w:val="single"/>
                <w:lang w:val="en-US" w:eastAsia="zh-CN"/>
              </w:rPr>
            </w:pPr>
            <w:r>
              <w:rPr>
                <w:rFonts w:hint="eastAsia"/>
                <w:bCs/>
                <w:sz w:val="24"/>
                <w:u w:val="single"/>
                <w:lang w:val="en-US" w:eastAsia="zh-CN"/>
              </w:rPr>
              <w:t>规划中心城区岳阳主城区范围内现有水厂中，岳阳市一水厂以铁山水库为取水水源，洞庭湖为备用水源；岳阳市二水厂以铁山水库为取水水源。规划期内市一水厂保持现有20.0万m</w:t>
            </w:r>
            <w:r>
              <w:rPr>
                <w:rFonts w:hint="eastAsia"/>
                <w:bCs/>
                <w:sz w:val="24"/>
                <w:u w:val="single"/>
                <w:vertAlign w:val="superscript"/>
                <w:lang w:val="en-US" w:eastAsia="zh-CN"/>
              </w:rPr>
              <w:t>3</w:t>
            </w:r>
            <w:r>
              <w:rPr>
                <w:rFonts w:hint="eastAsia"/>
                <w:bCs/>
                <w:sz w:val="24"/>
                <w:u w:val="single"/>
                <w:lang w:val="en-US" w:eastAsia="zh-CN"/>
              </w:rPr>
              <w:t>/d规模不变，需要对水厂内部进行升级改造，增加排泥水处理系统。二水厂现有规模20.0万m</w:t>
            </w:r>
            <w:r>
              <w:rPr>
                <w:rFonts w:hint="eastAsia"/>
                <w:bCs/>
                <w:sz w:val="24"/>
                <w:u w:val="single"/>
                <w:vertAlign w:val="superscript"/>
                <w:lang w:val="en-US" w:eastAsia="zh-CN"/>
              </w:rPr>
              <w:t>3</w:t>
            </w:r>
            <w:r>
              <w:rPr>
                <w:rFonts w:hint="eastAsia"/>
                <w:bCs/>
                <w:sz w:val="24"/>
                <w:u w:val="single"/>
                <w:lang w:val="en-US" w:eastAsia="zh-CN"/>
              </w:rPr>
              <w:t>/d，需对水厂内部进行提质改造，远期扩建至规模40.0万m</w:t>
            </w:r>
            <w:r>
              <w:rPr>
                <w:rFonts w:hint="eastAsia"/>
                <w:bCs/>
                <w:sz w:val="24"/>
                <w:u w:val="single"/>
                <w:vertAlign w:val="superscript"/>
                <w:lang w:val="en-US" w:eastAsia="zh-CN"/>
              </w:rPr>
              <w:t>3</w:t>
            </w:r>
            <w:r>
              <w:rPr>
                <w:rFonts w:hint="eastAsia"/>
                <w:bCs/>
                <w:sz w:val="24"/>
                <w:u w:val="single"/>
                <w:lang w:val="en-US" w:eastAsia="zh-CN"/>
              </w:rPr>
              <w:t>/d，扩建工程采用混凝+沉淀+过滤的常规处理工艺。</w:t>
            </w:r>
          </w:p>
          <w:p w14:paraId="2B8F275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bCs/>
                <w:sz w:val="24"/>
                <w:u w:val="single"/>
                <w:lang w:val="en-US" w:eastAsia="zh-CN"/>
              </w:rPr>
            </w:pPr>
            <w:r>
              <w:rPr>
                <w:rFonts w:hint="eastAsia"/>
                <w:bCs/>
                <w:sz w:val="24"/>
                <w:u w:val="single"/>
                <w:lang w:val="en-US" w:eastAsia="zh-CN"/>
              </w:rPr>
              <w:t>地表水饮用水水源一级保护区内禁止从事可能污染水源的活动，禁止新建、改建、扩建对水源有污染危害的建设项目，保证保护区内水质符合地表水类环境质量标准。地表水饮用水源二级保护区内不得新建、扩建严重污染水域的建设项目，改建和技术改造项目必须削减污染物排放量；已有的排污口必须削减污染物排放总量，保证保护区内水质符合地表水类环境质量标准。</w:t>
            </w:r>
          </w:p>
          <w:p w14:paraId="33956A92">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left"/>
              <w:textAlignment w:val="auto"/>
              <w:rPr>
                <w:rFonts w:hint="default"/>
                <w:b/>
                <w:bCs w:val="0"/>
                <w:sz w:val="24"/>
                <w:u w:val="single"/>
                <w:lang w:val="en-US" w:eastAsia="zh-CN"/>
              </w:rPr>
            </w:pPr>
            <w:r>
              <w:rPr>
                <w:rFonts w:hint="eastAsia"/>
                <w:b/>
                <w:bCs w:val="0"/>
                <w:sz w:val="24"/>
                <w:u w:val="single"/>
                <w:lang w:val="en-US" w:eastAsia="zh-CN"/>
              </w:rPr>
              <w:t>符合性分析：</w:t>
            </w:r>
          </w:p>
          <w:p w14:paraId="7D562D7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bCs/>
                <w:sz w:val="24"/>
                <w:u w:val="single"/>
                <w:lang w:val="en-US" w:eastAsia="zh-CN"/>
              </w:rPr>
            </w:pPr>
            <w:r>
              <w:rPr>
                <w:rFonts w:hint="eastAsia"/>
                <w:bCs/>
                <w:sz w:val="24"/>
                <w:u w:val="single"/>
                <w:lang w:val="en-US" w:eastAsia="zh-CN"/>
              </w:rPr>
              <w:t>本项目属于市政供水设施，市制水一厂为历史已建成供水设施，属于《岳阳市中心城区给水专项规划》（2011-2030）中现有的制水生产设施之一，经历多次扩建改造后，至今已形成设计供水规模19万m</w:t>
            </w:r>
            <w:r>
              <w:rPr>
                <w:rFonts w:hint="eastAsia"/>
                <w:bCs/>
                <w:sz w:val="24"/>
                <w:u w:val="single"/>
                <w:vertAlign w:val="superscript"/>
                <w:lang w:val="en-US" w:eastAsia="zh-CN"/>
              </w:rPr>
              <w:t>3</w:t>
            </w:r>
            <w:r>
              <w:rPr>
                <w:rFonts w:hint="eastAsia"/>
                <w:bCs/>
                <w:sz w:val="24"/>
                <w:u w:val="single"/>
                <w:lang w:val="en-US" w:eastAsia="zh-CN"/>
              </w:rPr>
              <w:t>/d规模，采用以铁山水库为取水水源、洞庭湖为备用水源，目前制水一厂厂区内已建成一套排泥水处理系统，由排泥池（收集净水生产线排泥水）+污泥脱水处理（设置污泥浓缩、离心脱水设备，污泥贮存池，泥饼堆放区）+清水回用（污泥浓缩上清液进回收水池）组成。</w:t>
            </w:r>
          </w:p>
          <w:p w14:paraId="748A1ED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default"/>
                <w:bCs/>
                <w:sz w:val="24"/>
                <w:u w:val="single"/>
                <w:lang w:val="en-US" w:eastAsia="zh-CN"/>
              </w:rPr>
            </w:pPr>
            <w:r>
              <w:rPr>
                <w:rFonts w:hint="eastAsia"/>
                <w:bCs/>
                <w:sz w:val="24"/>
                <w:u w:val="single"/>
                <w:lang w:val="en-US" w:eastAsia="zh-CN"/>
              </w:rPr>
              <w:t>根据初步现场调查，水厂备用水源地洞庭湖饮用水源保护区范围内，没有设立对水源有污染危害的建设项目、严重污染水域的建设项目，符合饮用水源保护要求。</w:t>
            </w:r>
          </w:p>
          <w:p w14:paraId="53843E9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default"/>
                <w:bCs/>
                <w:sz w:val="24"/>
                <w:u w:val="single"/>
                <w:lang w:val="en-US" w:eastAsia="zh-CN"/>
              </w:rPr>
            </w:pPr>
            <w:r>
              <w:rPr>
                <w:rFonts w:hint="eastAsia"/>
                <w:bCs/>
                <w:sz w:val="24"/>
                <w:u w:val="single"/>
                <w:lang w:val="en-US" w:eastAsia="zh-CN"/>
              </w:rPr>
              <w:t>可见，本项目主体设计规模、水源和保护要求均与专项规划内容相符。</w:t>
            </w:r>
          </w:p>
        </w:tc>
      </w:tr>
      <w:tr w14:paraId="1814D7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85" w:hRule="atLeast"/>
          <w:jc w:val="center"/>
        </w:trPr>
        <w:tc>
          <w:tcPr>
            <w:tcW w:w="2267" w:type="dxa"/>
            <w:tcBorders>
              <w:top w:val="single" w:color="auto" w:sz="4" w:space="0"/>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6BD4CBA3">
            <w:pPr>
              <w:autoSpaceDE w:val="0"/>
              <w:autoSpaceDN w:val="0"/>
              <w:adjustRightInd w:val="0"/>
              <w:snapToGrid w:val="0"/>
              <w:jc w:val="center"/>
              <w:rPr>
                <w:rFonts w:ascii="宋体" w:hAnsi="宋体" w:cs="宋体"/>
                <w:kern w:val="0"/>
                <w:sz w:val="24"/>
              </w:rPr>
            </w:pPr>
            <w:r>
              <w:rPr>
                <w:rFonts w:hint="eastAsia" w:ascii="宋体" w:hAnsi="宋体" w:cs="宋体"/>
                <w:kern w:val="0"/>
                <w:sz w:val="24"/>
              </w:rPr>
              <w:t>其他符合性分析</w:t>
            </w:r>
          </w:p>
        </w:tc>
        <w:tc>
          <w:tcPr>
            <w:tcW w:w="6603" w:type="dxa"/>
            <w:gridSpan w:val="3"/>
            <w:tcBorders>
              <w:top w:val="single" w:color="auto" w:sz="4" w:space="0"/>
              <w:left w:val="single" w:color="auto" w:sz="4" w:space="0"/>
              <w:bottom w:val="single" w:color="auto" w:sz="8" w:space="0"/>
              <w:right w:val="single" w:color="auto" w:sz="8" w:space="0"/>
            </w:tcBorders>
            <w:noWrap w:val="0"/>
            <w:tcMar>
              <w:top w:w="0" w:type="dxa"/>
              <w:left w:w="108" w:type="dxa"/>
              <w:bottom w:w="0" w:type="dxa"/>
              <w:right w:w="108" w:type="dxa"/>
            </w:tcMar>
            <w:vAlign w:val="center"/>
          </w:tcPr>
          <w:p w14:paraId="1DDB7181">
            <w:pPr>
              <w:autoSpaceDE w:val="0"/>
              <w:autoSpaceDN w:val="0"/>
              <w:spacing w:line="360" w:lineRule="auto"/>
              <w:jc w:val="left"/>
              <w:rPr>
                <w:b/>
                <w:bCs/>
                <w:sz w:val="24"/>
              </w:rPr>
            </w:pPr>
            <w:r>
              <w:rPr>
                <w:rFonts w:hint="eastAsia"/>
                <w:b/>
                <w:bCs/>
                <w:sz w:val="24"/>
              </w:rPr>
              <w:t>一、</w:t>
            </w:r>
            <w:r>
              <w:rPr>
                <w:rFonts w:hint="eastAsia"/>
                <w:b/>
                <w:bCs/>
                <w:sz w:val="24"/>
                <w:lang w:val="en-US" w:eastAsia="zh-CN"/>
              </w:rPr>
              <w:t>项目产业政策符合性分析</w:t>
            </w:r>
          </w:p>
          <w:p w14:paraId="539AE784">
            <w:pPr>
              <w:autoSpaceDE w:val="0"/>
              <w:autoSpaceDN w:val="0"/>
              <w:spacing w:line="360" w:lineRule="auto"/>
              <w:ind w:firstLine="480" w:firstLineChars="200"/>
              <w:jc w:val="left"/>
              <w:rPr>
                <w:rFonts w:hint="eastAsia" w:ascii="Times New Roman" w:hAnsi="Times New Roman" w:eastAsia="宋体" w:cs="Times New Roman"/>
                <w:bCs/>
                <w:sz w:val="24"/>
              </w:rPr>
            </w:pPr>
            <w:r>
              <w:rPr>
                <w:rFonts w:hint="eastAsia" w:ascii="Times New Roman" w:hAnsi="Times New Roman" w:eastAsia="宋体" w:cs="Times New Roman"/>
                <w:bCs/>
                <w:sz w:val="24"/>
                <w:lang w:val="en-US" w:eastAsia="zh-CN"/>
              </w:rPr>
              <w:t>本项目为城</w:t>
            </w:r>
            <w:r>
              <w:rPr>
                <w:rFonts w:hint="eastAsia" w:ascii="Times New Roman" w:hAnsi="Times New Roman" w:eastAsia="宋体" w:cs="Times New Roman"/>
                <w:bCs/>
                <w:color w:val="auto"/>
                <w:sz w:val="24"/>
                <w:lang w:val="en-US" w:eastAsia="zh-CN"/>
              </w:rPr>
              <w:t>镇供水工程，</w:t>
            </w:r>
            <w:r>
              <w:rPr>
                <w:rFonts w:hint="default" w:ascii="Times New Roman" w:hAnsi="Times New Roman" w:eastAsia="宋体" w:cs="Times New Roman"/>
                <w:bCs/>
                <w:color w:val="auto"/>
                <w:sz w:val="24"/>
                <w:lang w:val="en-US" w:eastAsia="zh-CN"/>
              </w:rPr>
              <w:t>供水范围涵盖岳阳市</w:t>
            </w:r>
            <w:r>
              <w:rPr>
                <w:rFonts w:hint="default" w:ascii="Times New Roman" w:hAnsi="Times New Roman" w:eastAsia="Arial" w:cs="Times New Roman"/>
                <w:i w:val="0"/>
                <w:iCs w:val="0"/>
                <w:caps w:val="0"/>
                <w:color w:val="auto"/>
                <w:spacing w:val="0"/>
                <w:sz w:val="24"/>
                <w:szCs w:val="24"/>
                <w:shd w:val="clear" w:fill="FFFFFF"/>
              </w:rPr>
              <w:t>中心城区</w:t>
            </w:r>
            <w:r>
              <w:rPr>
                <w:rFonts w:hint="default" w:ascii="Times New Roman" w:hAnsi="Times New Roman" w:cs="Times New Roman"/>
                <w:i w:val="0"/>
                <w:iCs w:val="0"/>
                <w:caps w:val="0"/>
                <w:color w:val="auto"/>
                <w:spacing w:val="0"/>
                <w:sz w:val="24"/>
                <w:szCs w:val="24"/>
                <w:shd w:val="clear" w:fill="FFFFFF"/>
                <w:lang w:eastAsia="zh-CN"/>
              </w:rPr>
              <w:t>，东至经开区机械工业园，北至临港产业新区永济乡、云溪区，南至岳阳县新开镇，西沿洞庭湖至湖滨，总供水面积约230平方公里</w:t>
            </w:r>
            <w:r>
              <w:rPr>
                <w:rFonts w:hint="default" w:ascii="Times New Roman" w:hAnsi="Times New Roman" w:eastAsia="宋体" w:cs="Times New Roman"/>
                <w:bCs/>
                <w:color w:val="auto"/>
                <w:sz w:val="24"/>
                <w:lang w:val="en-US" w:eastAsia="zh-CN"/>
              </w:rPr>
              <w:t>区域。对照《产业结构调整指导目录》（2024年本）可知，本项目属于“鼓励类：二十二、城</w:t>
            </w:r>
            <w:r>
              <w:rPr>
                <w:rFonts w:hint="default" w:ascii="Times New Roman" w:hAnsi="Times New Roman" w:eastAsia="宋体" w:cs="Times New Roman"/>
                <w:bCs/>
                <w:sz w:val="24"/>
                <w:lang w:val="en-US" w:eastAsia="zh-CN"/>
              </w:rPr>
              <w:t>镇基础设施：2、市政基础设施：城镇供排水工程及相关设备生产”。因此，本</w:t>
            </w:r>
            <w:r>
              <w:rPr>
                <w:rFonts w:hint="eastAsia" w:ascii="Times New Roman" w:hAnsi="Times New Roman" w:eastAsia="宋体" w:cs="Times New Roman"/>
                <w:bCs/>
                <w:sz w:val="24"/>
                <w:lang w:val="en-US" w:eastAsia="zh-CN"/>
              </w:rPr>
              <w:t>项目建设符合国家的产业政策。</w:t>
            </w:r>
          </w:p>
          <w:p w14:paraId="7C994C68">
            <w:pPr>
              <w:keepNext w:val="0"/>
              <w:keepLines w:val="0"/>
              <w:widowControl/>
              <w:suppressLineNumbers w:val="0"/>
              <w:jc w:val="left"/>
            </w:pPr>
            <w:r>
              <w:rPr>
                <w:rFonts w:hint="eastAsia"/>
                <w:b/>
                <w:bCs/>
                <w:sz w:val="24"/>
                <w:lang w:val="en-US" w:eastAsia="zh-CN"/>
              </w:rPr>
              <w:t>二</w:t>
            </w:r>
            <w:r>
              <w:rPr>
                <w:rFonts w:hint="eastAsia"/>
                <w:b/>
                <w:bCs/>
                <w:sz w:val="24"/>
              </w:rPr>
              <w:t>、</w:t>
            </w:r>
            <w:r>
              <w:rPr>
                <w:rFonts w:hint="eastAsia" w:ascii="宋体" w:hAnsi="宋体" w:eastAsia="宋体" w:cs="宋体"/>
                <w:b/>
                <w:bCs/>
                <w:color w:val="000000"/>
                <w:kern w:val="0"/>
                <w:sz w:val="24"/>
                <w:szCs w:val="24"/>
                <w:lang w:val="en-US" w:eastAsia="zh-CN" w:bidi="ar"/>
              </w:rPr>
              <w:t>与岳阳市生态环境分区管控要求符合性分析</w:t>
            </w:r>
          </w:p>
          <w:p w14:paraId="0ACCA6A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sz w:val="24"/>
              </w:rPr>
            </w:pPr>
            <w:r>
              <w:rPr>
                <w:rFonts w:hint="eastAsia"/>
                <w:bCs/>
                <w:sz w:val="24"/>
              </w:rPr>
              <w:t>本项目位于</w:t>
            </w:r>
            <w:r>
              <w:rPr>
                <w:rFonts w:hint="eastAsia" w:ascii="宋体" w:hAnsi="宋体" w:cs="宋体"/>
                <w:sz w:val="24"/>
              </w:rPr>
              <w:t>岳阳楼区洞庭北</w:t>
            </w:r>
            <w:r>
              <w:rPr>
                <w:rFonts w:hint="default" w:ascii="Times New Roman" w:hAnsi="Times New Roman" w:cs="Times New Roman"/>
                <w:sz w:val="24"/>
              </w:rPr>
              <w:t>路383号</w:t>
            </w:r>
            <w:r>
              <w:rPr>
                <w:rFonts w:hint="eastAsia"/>
                <w:bCs/>
                <w:sz w:val="24"/>
              </w:rPr>
              <w:t>，属于岳阳市岳阳楼区</w:t>
            </w:r>
            <w:r>
              <w:rPr>
                <w:rFonts w:hint="eastAsia"/>
                <w:bCs/>
                <w:sz w:val="24"/>
                <w:lang w:val="en-US" w:eastAsia="zh-CN"/>
              </w:rPr>
              <w:t>岳阳楼</w:t>
            </w:r>
            <w:r>
              <w:rPr>
                <w:rFonts w:hint="eastAsia"/>
                <w:bCs/>
                <w:sz w:val="24"/>
              </w:rPr>
              <w:t>街道，根据《岳阳市生态环境局关于发布岳阳市生态环境分区管控动态更新成果（2023年版）的通知》（岳环发〔2024〕14号），</w:t>
            </w:r>
            <w:r>
              <w:rPr>
                <w:rFonts w:hint="eastAsia"/>
                <w:bCs/>
                <w:sz w:val="24"/>
                <w:lang w:val="en-US" w:eastAsia="zh-CN"/>
              </w:rPr>
              <w:t>岳阳楼街道</w:t>
            </w:r>
            <w:r>
              <w:rPr>
                <w:rFonts w:hint="eastAsia"/>
                <w:bCs/>
                <w:sz w:val="24"/>
              </w:rPr>
              <w:t>属于重点管控单元，环境管控单元编码为ZH43060220003，本项目与其分析如下</w:t>
            </w:r>
            <w:r>
              <w:rPr>
                <w:rFonts w:hint="eastAsia"/>
                <w:sz w:val="24"/>
              </w:rPr>
              <w:t>：</w:t>
            </w:r>
          </w:p>
          <w:tbl>
            <w:tblPr>
              <w:tblStyle w:val="24"/>
              <w:tblW w:w="67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3577"/>
              <w:gridCol w:w="2452"/>
            </w:tblGrid>
            <w:tr w14:paraId="2675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Borders>
                    <w:top w:val="single" w:color="auto" w:sz="4" w:space="0"/>
                    <w:left w:val="single" w:color="auto" w:sz="4" w:space="0"/>
                    <w:bottom w:val="single" w:color="auto" w:sz="4" w:space="0"/>
                    <w:right w:val="single" w:color="auto" w:sz="4" w:space="0"/>
                  </w:tcBorders>
                  <w:noWrap w:val="0"/>
                  <w:vAlign w:val="center"/>
                </w:tcPr>
                <w:p w14:paraId="6A76E38C">
                  <w:pPr>
                    <w:pStyle w:val="12"/>
                    <w:snapToGrid/>
                    <w:spacing w:before="0" w:after="0" w:line="240" w:lineRule="auto"/>
                    <w:ind w:right="0"/>
                    <w:contextualSpacing/>
                    <w:jc w:val="center"/>
                    <w:rPr>
                      <w:rFonts w:ascii="Times New Roman" w:hAnsi="Times New Roman"/>
                      <w:b/>
                      <w:bCs/>
                      <w:sz w:val="21"/>
                      <w:szCs w:val="21"/>
                      <w:highlight w:val="none"/>
                    </w:rPr>
                  </w:pPr>
                  <w:r>
                    <w:rPr>
                      <w:rFonts w:hint="eastAsia" w:ascii="Times New Roman" w:hAnsi="Times New Roman"/>
                      <w:b/>
                      <w:bCs/>
                      <w:sz w:val="21"/>
                      <w:szCs w:val="21"/>
                      <w:highlight w:val="none"/>
                    </w:rPr>
                    <w:t>管控类别</w:t>
                  </w:r>
                </w:p>
              </w:tc>
              <w:tc>
                <w:tcPr>
                  <w:tcW w:w="3577" w:type="dxa"/>
                  <w:tcBorders>
                    <w:top w:val="single" w:color="auto" w:sz="4" w:space="0"/>
                    <w:left w:val="single" w:color="auto" w:sz="4" w:space="0"/>
                    <w:bottom w:val="single" w:color="auto" w:sz="4" w:space="0"/>
                    <w:right w:val="single" w:color="auto" w:sz="4" w:space="0"/>
                  </w:tcBorders>
                  <w:noWrap w:val="0"/>
                  <w:vAlign w:val="center"/>
                </w:tcPr>
                <w:p w14:paraId="23CC67CD">
                  <w:pPr>
                    <w:pStyle w:val="12"/>
                    <w:snapToGrid/>
                    <w:spacing w:before="0" w:after="0" w:line="240" w:lineRule="auto"/>
                    <w:ind w:right="0"/>
                    <w:contextualSpacing/>
                    <w:jc w:val="center"/>
                    <w:rPr>
                      <w:rFonts w:ascii="Times New Roman" w:hAnsi="Times New Roman"/>
                      <w:b/>
                      <w:bCs/>
                      <w:sz w:val="21"/>
                      <w:szCs w:val="21"/>
                      <w:highlight w:val="none"/>
                    </w:rPr>
                  </w:pPr>
                  <w:r>
                    <w:rPr>
                      <w:rFonts w:hint="eastAsia" w:ascii="Times New Roman" w:hAnsi="Times New Roman"/>
                      <w:b/>
                      <w:bCs/>
                      <w:sz w:val="21"/>
                      <w:szCs w:val="21"/>
                      <w:highlight w:val="none"/>
                    </w:rPr>
                    <w:t>管控要求</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591150F2">
                  <w:pPr>
                    <w:pStyle w:val="12"/>
                    <w:snapToGrid/>
                    <w:spacing w:before="0" w:after="0" w:line="240" w:lineRule="auto"/>
                    <w:ind w:right="0"/>
                    <w:contextualSpacing/>
                    <w:jc w:val="center"/>
                    <w:rPr>
                      <w:rFonts w:ascii="Times New Roman" w:hAnsi="Times New Roman"/>
                      <w:b/>
                      <w:bCs/>
                      <w:sz w:val="21"/>
                      <w:szCs w:val="21"/>
                      <w:highlight w:val="none"/>
                    </w:rPr>
                  </w:pPr>
                  <w:r>
                    <w:rPr>
                      <w:rFonts w:hint="eastAsia" w:ascii="Times New Roman" w:hAnsi="Times New Roman"/>
                      <w:b/>
                      <w:bCs/>
                      <w:sz w:val="21"/>
                      <w:szCs w:val="21"/>
                      <w:highlight w:val="none"/>
                    </w:rPr>
                    <w:t>相符性分析</w:t>
                  </w:r>
                </w:p>
              </w:tc>
            </w:tr>
            <w:tr w14:paraId="57B4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restart"/>
                  <w:tcBorders>
                    <w:top w:val="single" w:color="auto" w:sz="4" w:space="0"/>
                    <w:left w:val="single" w:color="auto" w:sz="4" w:space="0"/>
                    <w:bottom w:val="single" w:color="auto" w:sz="4" w:space="0"/>
                    <w:right w:val="single" w:color="auto" w:sz="4" w:space="0"/>
                  </w:tcBorders>
                  <w:noWrap w:val="0"/>
                  <w:vAlign w:val="center"/>
                </w:tcPr>
                <w:p w14:paraId="3E969D14">
                  <w:pPr>
                    <w:pStyle w:val="12"/>
                    <w:snapToGrid/>
                    <w:spacing w:before="0" w:after="0" w:line="240" w:lineRule="auto"/>
                    <w:ind w:right="0"/>
                    <w:contextualSpacing/>
                    <w:jc w:val="center"/>
                    <w:rPr>
                      <w:rFonts w:ascii="Times New Roman" w:hAnsi="Times New Roman"/>
                      <w:sz w:val="21"/>
                      <w:szCs w:val="21"/>
                    </w:rPr>
                  </w:pPr>
                  <w:r>
                    <w:rPr>
                      <w:rFonts w:hint="eastAsia" w:ascii="Times New Roman" w:hAnsi="Times New Roman"/>
                      <w:sz w:val="21"/>
                      <w:szCs w:val="21"/>
                    </w:rPr>
                    <w:t>空间布局约束</w:t>
                  </w:r>
                </w:p>
              </w:tc>
              <w:tc>
                <w:tcPr>
                  <w:tcW w:w="3577" w:type="dxa"/>
                  <w:tcBorders>
                    <w:top w:val="single" w:color="auto" w:sz="4" w:space="0"/>
                    <w:left w:val="single" w:color="auto" w:sz="4" w:space="0"/>
                    <w:bottom w:val="single" w:color="auto" w:sz="4" w:space="0"/>
                    <w:right w:val="single" w:color="auto" w:sz="4" w:space="0"/>
                  </w:tcBorders>
                  <w:noWrap w:val="0"/>
                  <w:vAlign w:val="center"/>
                </w:tcPr>
                <w:p w14:paraId="636A8E10">
                  <w:pPr>
                    <w:autoSpaceDE w:val="0"/>
                    <w:autoSpaceDN w:val="0"/>
                    <w:adjustRightInd w:val="0"/>
                    <w:jc w:val="left"/>
                    <w:rPr>
                      <w:szCs w:val="21"/>
                    </w:rPr>
                  </w:pPr>
                  <w:r>
                    <w:rPr>
                      <w:szCs w:val="21"/>
                    </w:rPr>
                    <w:t>1.1</w:t>
                  </w:r>
                  <w:r>
                    <w:rPr>
                      <w:rFonts w:hint="default" w:ascii="Times New Roman" w:hAnsi="Times New Roman" w:eastAsia="宋体" w:cs="Times New Roman"/>
                      <w:kern w:val="2"/>
                      <w:sz w:val="21"/>
                      <w:szCs w:val="21"/>
                      <w:u w:val="none"/>
                    </w:rPr>
                    <w:t>岳阳楼洞庭湖风景名胜区城陵矶景点：以恢复植被和风景建设为主，要保护和管理好有价值的风景资源。可以适当设置为风景区游览服务的配套设施，并做好详细规划，禁止破坏风景环境的其他工程建设与生产活动</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038E4586">
                  <w:pPr>
                    <w:pStyle w:val="12"/>
                    <w:snapToGrid/>
                    <w:spacing w:before="0" w:after="0" w:line="240" w:lineRule="auto"/>
                    <w:ind w:right="0"/>
                    <w:contextualSpacing/>
                    <w:jc w:val="left"/>
                    <w:rPr>
                      <w:rFonts w:hint="default" w:ascii="Times New Roman" w:hAnsi="Times New Roman" w:eastAsia="宋体"/>
                      <w:sz w:val="21"/>
                      <w:szCs w:val="21"/>
                      <w:lang w:val="en-US" w:eastAsia="zh-CN"/>
                    </w:rPr>
                  </w:pPr>
                  <w:r>
                    <w:rPr>
                      <w:rFonts w:hint="eastAsia" w:ascii="Times New Roman" w:hAnsi="Times New Roman"/>
                      <w:sz w:val="21"/>
                      <w:szCs w:val="21"/>
                    </w:rPr>
                    <w:t>项目</w:t>
                  </w:r>
                  <w:r>
                    <w:rPr>
                      <w:rFonts w:hint="eastAsia" w:ascii="Times New Roman" w:hAnsi="Times New Roman"/>
                      <w:sz w:val="21"/>
                      <w:szCs w:val="21"/>
                      <w:lang w:val="en-US" w:eastAsia="zh-CN"/>
                    </w:rPr>
                    <w:t>自来水生产厂区属于岳阳楼洞庭湖风景名胜区岳阳楼景区外围保护地带范围，洞庭湖水源取水点及泵站位于岳阳楼景区的二级保护区内，在岳阳楼景区规划之前已存在（属于市政供水设施），不属于</w:t>
                  </w:r>
                  <w:r>
                    <w:rPr>
                      <w:rFonts w:hint="default" w:ascii="Times New Roman" w:hAnsi="Times New Roman" w:eastAsia="宋体" w:cs="Times New Roman"/>
                      <w:kern w:val="2"/>
                      <w:sz w:val="21"/>
                      <w:szCs w:val="21"/>
                      <w:u w:val="none"/>
                    </w:rPr>
                    <w:t>破坏风景环境的工程</w:t>
                  </w:r>
                  <w:r>
                    <w:rPr>
                      <w:rFonts w:hint="eastAsia" w:ascii="Times New Roman" w:hAnsi="Times New Roman" w:cs="Times New Roman"/>
                      <w:kern w:val="2"/>
                      <w:sz w:val="21"/>
                      <w:szCs w:val="21"/>
                      <w:u w:val="none"/>
                      <w:lang w:val="en-US" w:eastAsia="zh-CN"/>
                    </w:rPr>
                    <w:t>和生产设施</w:t>
                  </w:r>
                </w:p>
              </w:tc>
            </w:tr>
            <w:tr w14:paraId="7A00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5684C5D5">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7B13A804">
                  <w:pPr>
                    <w:autoSpaceDE w:val="0"/>
                    <w:autoSpaceDN w:val="0"/>
                    <w:adjustRightInd w:val="0"/>
                    <w:jc w:val="left"/>
                    <w:rPr>
                      <w:szCs w:val="21"/>
                    </w:rPr>
                  </w:pPr>
                  <w:r>
                    <w:rPr>
                      <w:szCs w:val="21"/>
                    </w:rPr>
                    <w:t>1.2</w:t>
                  </w:r>
                  <w:r>
                    <w:rPr>
                      <w:rFonts w:hint="eastAsia"/>
                      <w:szCs w:val="21"/>
                      <w:lang w:val="en-US" w:eastAsia="zh-CN"/>
                    </w:rPr>
                    <w:t>岳阳</w:t>
                  </w:r>
                  <w:r>
                    <w:rPr>
                      <w:rFonts w:hint="default" w:ascii="Times New Roman" w:hAnsi="Times New Roman" w:eastAsia="宋体" w:cs="Times New Roman"/>
                      <w:kern w:val="2"/>
                      <w:sz w:val="21"/>
                      <w:szCs w:val="21"/>
                      <w:u w:val="none"/>
                    </w:rPr>
                    <w:t>楼街道：严禁生活污水、工业废水直排入湖和向湖内倾倒垃圾</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14E52992">
                  <w:pPr>
                    <w:pStyle w:val="12"/>
                    <w:snapToGrid/>
                    <w:spacing w:before="0" w:after="0" w:line="240" w:lineRule="auto"/>
                    <w:ind w:right="0"/>
                    <w:contextualSpacing/>
                    <w:jc w:val="left"/>
                    <w:rPr>
                      <w:rFonts w:ascii="Times New Roman" w:hAnsi="Times New Roman"/>
                      <w:sz w:val="21"/>
                      <w:szCs w:val="21"/>
                    </w:rPr>
                  </w:pPr>
                  <w:r>
                    <w:rPr>
                      <w:rFonts w:hint="eastAsia" w:ascii="Times New Roman" w:hAnsi="Times New Roman"/>
                      <w:sz w:val="21"/>
                      <w:szCs w:val="21"/>
                    </w:rPr>
                    <w:t>本项目</w:t>
                  </w:r>
                  <w:r>
                    <w:rPr>
                      <w:rFonts w:hint="eastAsia" w:ascii="Times New Roman" w:hAnsi="Times New Roman"/>
                      <w:sz w:val="21"/>
                      <w:szCs w:val="21"/>
                      <w:lang w:val="en-US" w:eastAsia="zh-CN"/>
                    </w:rPr>
                    <w:t>运营期废水经收集预处理后</w:t>
                  </w:r>
                  <w:r>
                    <w:rPr>
                      <w:rFonts w:hint="eastAsia" w:ascii="Times New Roman" w:hAnsi="Times New Roman"/>
                      <w:sz w:val="21"/>
                      <w:szCs w:val="21"/>
                    </w:rPr>
                    <w:t>排放</w:t>
                  </w:r>
                  <w:r>
                    <w:rPr>
                      <w:rFonts w:hint="eastAsia" w:ascii="Times New Roman" w:hAnsi="Times New Roman"/>
                      <w:sz w:val="21"/>
                      <w:szCs w:val="21"/>
                      <w:lang w:val="en-US" w:eastAsia="zh-CN"/>
                    </w:rPr>
                    <w:t>至区域市政污水收集管网，最终进入</w:t>
                  </w:r>
                  <w:r>
                    <w:rPr>
                      <w:rFonts w:hint="eastAsia" w:ascii="Times New Roman" w:cs="Times New Roman"/>
                      <w:b w:val="0"/>
                      <w:bCs/>
                      <w:color w:val="auto"/>
                      <w:sz w:val="21"/>
                      <w:szCs w:val="21"/>
                      <w:u w:val="none"/>
                      <w:lang w:val="en-US" w:eastAsia="zh-CN"/>
                    </w:rPr>
                    <w:t>岳阳马壕水质净化中心污水处理厂</w:t>
                  </w:r>
                  <w:r>
                    <w:rPr>
                      <w:rFonts w:hint="eastAsia" w:ascii="Times New Roman" w:hAnsi="Times New Roman"/>
                      <w:sz w:val="21"/>
                      <w:szCs w:val="21"/>
                      <w:lang w:val="en-US" w:eastAsia="zh-CN"/>
                    </w:rPr>
                    <w:t>进行深度处理；固体废物经分类收集后合理处置，不对外直接排放固废</w:t>
                  </w:r>
                </w:p>
              </w:tc>
            </w:tr>
            <w:tr w14:paraId="2F7C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072A32B6">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267457A4">
                  <w:pPr>
                    <w:autoSpaceDE w:val="0"/>
                    <w:autoSpaceDN w:val="0"/>
                    <w:adjustRightInd w:val="0"/>
                    <w:jc w:val="left"/>
                    <w:rPr>
                      <w:szCs w:val="21"/>
                    </w:rPr>
                  </w:pPr>
                  <w:r>
                    <w:rPr>
                      <w:rFonts w:hint="eastAsia"/>
                      <w:szCs w:val="21"/>
                    </w:rPr>
                    <w:t>1.3</w:t>
                  </w:r>
                  <w:r>
                    <w:rPr>
                      <w:rFonts w:hint="default" w:ascii="Times New Roman" w:hAnsi="Times New Roman" w:eastAsia="宋体" w:cs="Times New Roman"/>
                      <w:kern w:val="2"/>
                      <w:sz w:val="21"/>
                      <w:szCs w:val="21"/>
                      <w:u w:val="none"/>
                    </w:rPr>
                    <w:t>严格落实河长制、湖长制，实施好长江十年禁渔</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51F95BFD">
                  <w:pPr>
                    <w:pStyle w:val="12"/>
                    <w:snapToGrid/>
                    <w:spacing w:before="0" w:after="0" w:line="240" w:lineRule="auto"/>
                    <w:ind w:right="0"/>
                    <w:contextualSpacing/>
                    <w:jc w:val="left"/>
                    <w:rPr>
                      <w:rFonts w:hint="eastAsia" w:ascii="Times New Roman" w:hAnsi="Times New Roman"/>
                      <w:sz w:val="21"/>
                      <w:szCs w:val="21"/>
                    </w:rPr>
                  </w:pPr>
                  <w:r>
                    <w:rPr>
                      <w:rFonts w:hint="eastAsia" w:ascii="Times New Roman" w:hAnsi="Times New Roman"/>
                      <w:sz w:val="21"/>
                      <w:szCs w:val="21"/>
                    </w:rPr>
                    <w:t>本项目</w:t>
                  </w:r>
                  <w:r>
                    <w:rPr>
                      <w:rFonts w:hint="eastAsia" w:ascii="Times New Roman" w:hAnsi="Times New Roman"/>
                      <w:sz w:val="21"/>
                      <w:szCs w:val="21"/>
                      <w:lang w:val="en-US" w:eastAsia="zh-CN"/>
                    </w:rPr>
                    <w:t>不涉及渔业资源破坏</w:t>
                  </w:r>
                </w:p>
              </w:tc>
            </w:tr>
            <w:tr w14:paraId="0445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767962E7">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4E8D6EAC">
                  <w:pPr>
                    <w:autoSpaceDE w:val="0"/>
                    <w:autoSpaceDN w:val="0"/>
                    <w:adjustRightInd w:val="0"/>
                    <w:jc w:val="left"/>
                    <w:rPr>
                      <w:szCs w:val="21"/>
                    </w:rPr>
                  </w:pPr>
                  <w:r>
                    <w:rPr>
                      <w:rFonts w:hint="eastAsia"/>
                      <w:szCs w:val="21"/>
                    </w:rPr>
                    <w:t>1.4</w:t>
                  </w:r>
                  <w:r>
                    <w:rPr>
                      <w:rFonts w:hint="default" w:ascii="Times New Roman" w:hAnsi="Times New Roman" w:eastAsia="宋体" w:cs="Times New Roman"/>
                      <w:kern w:val="2"/>
                      <w:sz w:val="21"/>
                      <w:szCs w:val="21"/>
                      <w:u w:val="none"/>
                    </w:rPr>
                    <w:t>禁止投肥（粪）投饵养殖的范围为全区范围（不含经济技术开发区、南湖新区）内所有天然湖泊和小Ⅱ型以上水库。严禁在全区天然水域内进行投肥（化肥、生物有机肥等）、投粪（生活垃圾、各类畜禽养殖废弃物、沼气池废液废渣等）、投饵等污染水体的行为，严禁进行违法围网、网箱和珍珠养殖</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5E4FFB90">
                  <w:pPr>
                    <w:pStyle w:val="12"/>
                    <w:snapToGrid/>
                    <w:spacing w:before="0" w:after="0" w:line="240" w:lineRule="auto"/>
                    <w:ind w:right="0"/>
                    <w:contextualSpacing/>
                    <w:jc w:val="left"/>
                    <w:rPr>
                      <w:rFonts w:hint="default" w:ascii="Times New Roman" w:hAnsi="Times New Roman" w:eastAsia="宋体"/>
                      <w:sz w:val="21"/>
                      <w:szCs w:val="21"/>
                      <w:lang w:val="en-US" w:eastAsia="zh-CN"/>
                    </w:rPr>
                  </w:pPr>
                  <w:r>
                    <w:rPr>
                      <w:rFonts w:hint="eastAsia" w:ascii="Times New Roman" w:hAnsi="Times New Roman"/>
                      <w:sz w:val="21"/>
                      <w:szCs w:val="21"/>
                    </w:rPr>
                    <w:t>项目</w:t>
                  </w:r>
                  <w:r>
                    <w:rPr>
                      <w:rFonts w:hint="eastAsia" w:ascii="Times New Roman" w:hAnsi="Times New Roman"/>
                      <w:sz w:val="21"/>
                      <w:szCs w:val="21"/>
                      <w:lang w:val="en-US" w:eastAsia="zh-CN"/>
                    </w:rPr>
                    <w:t>不涉及</w:t>
                  </w:r>
                  <w:r>
                    <w:rPr>
                      <w:rFonts w:hint="default" w:ascii="Times New Roman" w:hAnsi="Times New Roman" w:eastAsia="宋体" w:cs="Times New Roman"/>
                      <w:kern w:val="2"/>
                      <w:sz w:val="21"/>
                      <w:szCs w:val="21"/>
                      <w:u w:val="none"/>
                    </w:rPr>
                    <w:t>围网、网箱和珍珠</w:t>
                  </w:r>
                  <w:r>
                    <w:rPr>
                      <w:rFonts w:hint="eastAsia" w:ascii="Times New Roman" w:hAnsi="Times New Roman" w:cs="Times New Roman"/>
                      <w:kern w:val="2"/>
                      <w:sz w:val="21"/>
                      <w:szCs w:val="21"/>
                      <w:u w:val="none"/>
                      <w:lang w:val="en-US" w:eastAsia="zh-CN"/>
                    </w:rPr>
                    <w:t>等</w:t>
                  </w:r>
                  <w:r>
                    <w:rPr>
                      <w:rFonts w:hint="eastAsia" w:ascii="Times New Roman" w:hAnsi="Times New Roman"/>
                      <w:sz w:val="21"/>
                      <w:szCs w:val="21"/>
                      <w:lang w:val="en-US" w:eastAsia="zh-CN"/>
                    </w:rPr>
                    <w:t>养殖行为、</w:t>
                  </w:r>
                  <w:r>
                    <w:rPr>
                      <w:rFonts w:hint="default" w:ascii="Times New Roman" w:hAnsi="Times New Roman" w:eastAsia="宋体" w:cs="Times New Roman"/>
                      <w:kern w:val="2"/>
                      <w:sz w:val="21"/>
                      <w:szCs w:val="21"/>
                      <w:u w:val="none"/>
                    </w:rPr>
                    <w:t>在天然水域内进行投肥、投粪、投饵等</w:t>
                  </w:r>
                  <w:r>
                    <w:rPr>
                      <w:rFonts w:hint="eastAsia" w:ascii="Times New Roman" w:hAnsi="Times New Roman" w:cs="Times New Roman"/>
                      <w:kern w:val="2"/>
                      <w:sz w:val="21"/>
                      <w:szCs w:val="21"/>
                      <w:u w:val="none"/>
                      <w:lang w:val="en-US" w:eastAsia="zh-CN"/>
                    </w:rPr>
                    <w:t>行为</w:t>
                  </w:r>
                </w:p>
              </w:tc>
            </w:tr>
            <w:tr w14:paraId="010C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restart"/>
                  <w:tcBorders>
                    <w:top w:val="single" w:color="auto" w:sz="4" w:space="0"/>
                    <w:left w:val="single" w:color="auto" w:sz="4" w:space="0"/>
                    <w:bottom w:val="single" w:color="auto" w:sz="4" w:space="0"/>
                    <w:right w:val="single" w:color="auto" w:sz="4" w:space="0"/>
                  </w:tcBorders>
                  <w:noWrap w:val="0"/>
                  <w:vAlign w:val="center"/>
                </w:tcPr>
                <w:p w14:paraId="3EFD2441">
                  <w:pPr>
                    <w:pStyle w:val="12"/>
                    <w:snapToGrid/>
                    <w:spacing w:before="0" w:after="0" w:line="240" w:lineRule="auto"/>
                    <w:ind w:right="0"/>
                    <w:contextualSpacing/>
                    <w:jc w:val="center"/>
                    <w:rPr>
                      <w:rFonts w:ascii="Times New Roman" w:hAnsi="Times New Roman"/>
                      <w:sz w:val="21"/>
                      <w:szCs w:val="21"/>
                    </w:rPr>
                  </w:pPr>
                  <w:r>
                    <w:rPr>
                      <w:rFonts w:hint="eastAsia" w:ascii="Times New Roman" w:hAnsi="Times New Roman"/>
                      <w:sz w:val="21"/>
                      <w:szCs w:val="21"/>
                    </w:rPr>
                    <w:t>污染物排放管控</w:t>
                  </w:r>
                </w:p>
              </w:tc>
              <w:tc>
                <w:tcPr>
                  <w:tcW w:w="3577" w:type="dxa"/>
                  <w:tcBorders>
                    <w:top w:val="single" w:color="auto" w:sz="4" w:space="0"/>
                    <w:left w:val="single" w:color="auto" w:sz="4" w:space="0"/>
                    <w:bottom w:val="single" w:color="auto" w:sz="4" w:space="0"/>
                    <w:right w:val="single" w:color="auto" w:sz="4" w:space="0"/>
                  </w:tcBorders>
                  <w:noWrap w:val="0"/>
                  <w:vAlign w:val="center"/>
                </w:tcPr>
                <w:p w14:paraId="4EA2FB02">
                  <w:pPr>
                    <w:autoSpaceDE w:val="0"/>
                    <w:autoSpaceDN w:val="0"/>
                    <w:adjustRightInd w:val="0"/>
                    <w:jc w:val="left"/>
                    <w:rPr>
                      <w:szCs w:val="21"/>
                    </w:rPr>
                  </w:pPr>
                  <w:r>
                    <w:rPr>
                      <w:szCs w:val="21"/>
                    </w:rPr>
                    <w:t>2.1</w:t>
                  </w:r>
                  <w:r>
                    <w:rPr>
                      <w:rFonts w:hint="default" w:ascii="Times New Roman" w:hAnsi="Times New Roman" w:eastAsia="宋体" w:cs="Times New Roman"/>
                      <w:kern w:val="2"/>
                      <w:sz w:val="21"/>
                      <w:szCs w:val="21"/>
                      <w:u w:val="none"/>
                    </w:rPr>
                    <w:t>废气：聚焦臭氧前体物VOCs和氮氧化物，加快推进含VOCs原辅材料源头替代，实施清洁能源替代，强化石化、化工、工业涂装、包装印刷等重点行业及油品储运销VOCs深度治理</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01CD9AC5">
                  <w:pPr>
                    <w:pStyle w:val="12"/>
                    <w:snapToGrid/>
                    <w:spacing w:before="0" w:after="0" w:line="240" w:lineRule="auto"/>
                    <w:ind w:right="0"/>
                    <w:contextualSpacing/>
                    <w:jc w:val="left"/>
                    <w:rPr>
                      <w:rFonts w:ascii="Times New Roman" w:hAnsi="Times New Roman"/>
                      <w:sz w:val="21"/>
                      <w:szCs w:val="21"/>
                    </w:rPr>
                  </w:pPr>
                  <w:r>
                    <w:rPr>
                      <w:rFonts w:hint="eastAsia" w:ascii="Times New Roman" w:hAnsi="Times New Roman"/>
                      <w:sz w:val="21"/>
                      <w:szCs w:val="21"/>
                    </w:rPr>
                    <w:t>项目建设内容中无锅炉供热设施，运营期废气中无石化类燃料废气外排（含二氧化硫、氮氧化物因子等）、项目</w:t>
                  </w:r>
                  <w:r>
                    <w:rPr>
                      <w:rFonts w:hint="eastAsia" w:ascii="Times New Roman" w:hAnsi="Times New Roman"/>
                      <w:sz w:val="21"/>
                      <w:szCs w:val="21"/>
                      <w:lang w:val="en-US" w:eastAsia="zh-CN"/>
                    </w:rPr>
                    <w:t>不属于</w:t>
                  </w:r>
                  <w:r>
                    <w:rPr>
                      <w:rFonts w:hint="default" w:ascii="Times New Roman" w:hAnsi="Times New Roman" w:eastAsia="宋体" w:cs="Times New Roman"/>
                      <w:kern w:val="2"/>
                      <w:sz w:val="21"/>
                      <w:szCs w:val="21"/>
                      <w:u w:val="none"/>
                    </w:rPr>
                    <w:t>石化、化工、工业涂装、包装印刷等重点行业及油品储运销</w:t>
                  </w:r>
                  <w:r>
                    <w:rPr>
                      <w:rFonts w:hint="eastAsia" w:ascii="Times New Roman" w:hAnsi="Times New Roman"/>
                      <w:sz w:val="21"/>
                      <w:szCs w:val="21"/>
                      <w:lang w:val="en-US" w:eastAsia="zh-CN"/>
                    </w:rPr>
                    <w:t>等</w:t>
                  </w:r>
                </w:p>
              </w:tc>
            </w:tr>
            <w:tr w14:paraId="0E8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1BA13B58">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0F6E2D49">
                  <w:pPr>
                    <w:autoSpaceDE w:val="0"/>
                    <w:autoSpaceDN w:val="0"/>
                    <w:adjustRightInd w:val="0"/>
                    <w:jc w:val="left"/>
                    <w:rPr>
                      <w:szCs w:val="21"/>
                    </w:rPr>
                  </w:pPr>
                  <w:r>
                    <w:rPr>
                      <w:szCs w:val="21"/>
                    </w:rPr>
                    <w:t>2.2</w:t>
                  </w:r>
                  <w:r>
                    <w:rPr>
                      <w:rFonts w:hint="default" w:ascii="Times New Roman" w:hAnsi="Times New Roman" w:eastAsia="宋体" w:cs="Times New Roman"/>
                      <w:kern w:val="2"/>
                      <w:sz w:val="21"/>
                      <w:szCs w:val="21"/>
                      <w:u w:val="none"/>
                    </w:rPr>
                    <w:t>废水：加快城镇水环境治理设施建设，在城市及乡镇污水处理设施全覆盖的基础上，加速城市老旧管网改造，实施雨污分流，提高生活污水集中收集率；加强农村生活污水治理，加快建设农村污水处理设施，提升农村污水处理率；强化渔业养殖尾水治理，做到养殖尾水资源化利用或达标排放</w:t>
                  </w:r>
                </w:p>
              </w:tc>
              <w:tc>
                <w:tcPr>
                  <w:tcW w:w="24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B441B1">
                  <w:pPr>
                    <w:pStyle w:val="12"/>
                    <w:snapToGrid/>
                    <w:spacing w:before="0" w:after="0" w:line="240" w:lineRule="auto"/>
                    <w:ind w:right="0" w:rightChars="0"/>
                    <w:contextualSpacing/>
                    <w:jc w:val="left"/>
                    <w:rPr>
                      <w:rFonts w:ascii="Times New Roman" w:hAnsi="Times New Roman" w:eastAsia="宋体" w:cs="Times New Roman"/>
                      <w:kern w:val="0"/>
                      <w:sz w:val="21"/>
                      <w:szCs w:val="21"/>
                      <w:lang w:val="en-US" w:eastAsia="zh-CN" w:bidi="ar-SA"/>
                    </w:rPr>
                  </w:pPr>
                  <w:r>
                    <w:rPr>
                      <w:rFonts w:hint="eastAsia" w:ascii="Times New Roman" w:hAnsi="Times New Roman"/>
                      <w:sz w:val="21"/>
                      <w:szCs w:val="21"/>
                    </w:rPr>
                    <w:t>项目厂区内部按照雨污分流体制建设，外排废水主要为职工</w:t>
                  </w:r>
                  <w:r>
                    <w:rPr>
                      <w:rFonts w:hint="eastAsia" w:ascii="Times New Roman" w:hAnsi="Times New Roman"/>
                      <w:sz w:val="21"/>
                      <w:szCs w:val="21"/>
                      <w:highlight w:val="none"/>
                    </w:rPr>
                    <w:t>办公生活废水</w:t>
                  </w:r>
                  <w:r>
                    <w:rPr>
                      <w:rFonts w:hint="eastAsia" w:ascii="Times New Roman" w:hAnsi="Times New Roman"/>
                      <w:sz w:val="21"/>
                      <w:szCs w:val="21"/>
                      <w:highlight w:val="none"/>
                      <w:lang w:val="en-US" w:eastAsia="zh-CN"/>
                    </w:rPr>
                    <w:t>和净水</w:t>
                  </w:r>
                  <w:r>
                    <w:rPr>
                      <w:rFonts w:hint="eastAsia" w:ascii="Times New Roman" w:hAnsi="Times New Roman"/>
                      <w:sz w:val="21"/>
                      <w:szCs w:val="21"/>
                      <w:highlight w:val="none"/>
                    </w:rPr>
                    <w:t>生产废水，通过预处理后</w:t>
                  </w:r>
                  <w:r>
                    <w:rPr>
                      <w:rFonts w:hint="eastAsia" w:ascii="Times New Roman" w:hAnsi="Times New Roman"/>
                      <w:sz w:val="21"/>
                      <w:szCs w:val="21"/>
                      <w:highlight w:val="none"/>
                      <w:lang w:val="en-US" w:eastAsia="zh-CN"/>
                    </w:rPr>
                    <w:t>外排</w:t>
                  </w:r>
                  <w:r>
                    <w:rPr>
                      <w:rFonts w:hint="eastAsia" w:ascii="Times New Roman" w:hAnsi="Times New Roman"/>
                      <w:sz w:val="21"/>
                      <w:szCs w:val="21"/>
                      <w:lang w:val="en-US" w:eastAsia="zh-CN"/>
                    </w:rPr>
                    <w:t>市政污水收集管网，最终进入</w:t>
                  </w:r>
                  <w:r>
                    <w:rPr>
                      <w:rFonts w:hint="eastAsia" w:ascii="Times New Roman" w:cs="Times New Roman"/>
                      <w:b w:val="0"/>
                      <w:bCs/>
                      <w:color w:val="auto"/>
                      <w:sz w:val="21"/>
                      <w:szCs w:val="21"/>
                      <w:u w:val="none"/>
                      <w:lang w:val="en-US" w:eastAsia="zh-CN"/>
                    </w:rPr>
                    <w:t>岳阳马壕水质净化中心</w:t>
                  </w:r>
                  <w:r>
                    <w:rPr>
                      <w:rFonts w:hint="eastAsia" w:ascii="Times New Roman" w:hAnsi="Times New Roman"/>
                      <w:sz w:val="21"/>
                      <w:szCs w:val="21"/>
                      <w:lang w:val="en-US" w:eastAsia="zh-CN"/>
                    </w:rPr>
                    <w:t>进行深度处理</w:t>
                  </w:r>
                  <w:r>
                    <w:rPr>
                      <w:rFonts w:hint="eastAsia" w:ascii="Times New Roman" w:hAnsi="Times New Roman"/>
                      <w:sz w:val="21"/>
                      <w:szCs w:val="21"/>
                    </w:rPr>
                    <w:t>；</w:t>
                  </w:r>
                  <w:r>
                    <w:rPr>
                      <w:rFonts w:hint="eastAsia" w:ascii="Times New Roman" w:hAnsi="Times New Roman"/>
                      <w:sz w:val="21"/>
                      <w:szCs w:val="21"/>
                      <w:lang w:val="en-US" w:eastAsia="zh-CN"/>
                    </w:rPr>
                    <w:t>本项目不涉及</w:t>
                  </w:r>
                  <w:r>
                    <w:rPr>
                      <w:rFonts w:hint="default" w:ascii="Times New Roman" w:hAnsi="Times New Roman" w:eastAsia="宋体" w:cs="Times New Roman"/>
                      <w:kern w:val="2"/>
                      <w:sz w:val="21"/>
                      <w:szCs w:val="21"/>
                      <w:u w:val="none"/>
                    </w:rPr>
                    <w:t>渔业养殖</w:t>
                  </w:r>
                </w:p>
              </w:tc>
            </w:tr>
            <w:tr w14:paraId="63E6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69521675">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7B9B8180">
                  <w:pPr>
                    <w:autoSpaceDE w:val="0"/>
                    <w:autoSpaceDN w:val="0"/>
                    <w:adjustRightInd w:val="0"/>
                    <w:jc w:val="left"/>
                    <w:rPr>
                      <w:szCs w:val="21"/>
                    </w:rPr>
                  </w:pPr>
                  <w:r>
                    <w:rPr>
                      <w:szCs w:val="21"/>
                    </w:rPr>
                    <w:t>2.3</w:t>
                  </w:r>
                  <w:r>
                    <w:rPr>
                      <w:rFonts w:hint="default" w:ascii="Times New Roman" w:hAnsi="Times New Roman" w:eastAsia="宋体" w:cs="Times New Roman"/>
                      <w:kern w:val="2"/>
                      <w:sz w:val="21"/>
                      <w:szCs w:val="21"/>
                      <w:u w:val="none"/>
                    </w:rPr>
                    <w:t>固体废物：推进农村生活垃圾源头分类收集、减量化。推进强化危险废物监管和利用处置能力改革，逐步建立“源头严防、过程严管、后果严惩”危险废物监管体系</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228CA8E8">
                  <w:pPr>
                    <w:pStyle w:val="12"/>
                    <w:snapToGrid/>
                    <w:spacing w:before="0" w:after="0" w:line="240" w:lineRule="auto"/>
                    <w:ind w:right="0"/>
                    <w:contextualSpacing/>
                    <w:jc w:val="left"/>
                    <w:rPr>
                      <w:rFonts w:ascii="Times New Roman" w:hAnsi="Times New Roman"/>
                      <w:sz w:val="21"/>
                      <w:szCs w:val="21"/>
                    </w:rPr>
                  </w:pPr>
                  <w:r>
                    <w:rPr>
                      <w:rFonts w:hint="eastAsia" w:ascii="Times New Roman" w:hAnsi="Times New Roman"/>
                      <w:sz w:val="21"/>
                      <w:szCs w:val="21"/>
                    </w:rPr>
                    <w:t>项目产生的生活垃圾定点分类收集，定期由当地环卫部门统一清运；一般固废能做到合理综合利用，危险废物在厂区采用专用包装容器在危险废物暂存间暂存后，定期交由有资质单位处置，落实危险废物转移制度有关要求</w:t>
                  </w:r>
                </w:p>
              </w:tc>
            </w:tr>
            <w:tr w14:paraId="39AF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715F9902">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5944CBD1">
                  <w:pPr>
                    <w:autoSpaceDE w:val="0"/>
                    <w:autoSpaceDN w:val="0"/>
                    <w:adjustRightInd w:val="0"/>
                    <w:jc w:val="left"/>
                    <w:rPr>
                      <w:szCs w:val="21"/>
                    </w:rPr>
                  </w:pPr>
                  <w:r>
                    <w:rPr>
                      <w:szCs w:val="21"/>
                    </w:rPr>
                    <w:t>2.4</w:t>
                  </w:r>
                  <w:r>
                    <w:rPr>
                      <w:rFonts w:hint="default" w:ascii="Times New Roman" w:hAnsi="Times New Roman" w:eastAsia="宋体" w:cs="Times New Roman"/>
                      <w:kern w:val="2"/>
                      <w:sz w:val="21"/>
                      <w:szCs w:val="21"/>
                      <w:u w:val="none"/>
                    </w:rPr>
                    <w:t>农业面源：深入推进化肥农药减量增效。科学用药，提高农药利用率。推进农膜秸秆回收利用。推进以种养结合为重点的畜禽养殖废弃物资源利用</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43CE6E42">
                  <w:pPr>
                    <w:pStyle w:val="12"/>
                    <w:snapToGrid/>
                    <w:spacing w:before="0" w:after="0" w:line="240" w:lineRule="auto"/>
                    <w:ind w:right="0"/>
                    <w:contextualSpacing/>
                    <w:jc w:val="left"/>
                    <w:rPr>
                      <w:rFonts w:hint="eastAsia" w:ascii="Times New Roman" w:hAnsi="Times New Roman" w:eastAsia="宋体"/>
                      <w:sz w:val="21"/>
                      <w:szCs w:val="21"/>
                      <w:lang w:val="en-US" w:eastAsia="zh-CN"/>
                    </w:rPr>
                  </w:pPr>
                  <w:r>
                    <w:rPr>
                      <w:rFonts w:hint="eastAsia" w:ascii="Times New Roman" w:hAnsi="Times New Roman"/>
                      <w:sz w:val="21"/>
                      <w:szCs w:val="21"/>
                    </w:rPr>
                    <w:t>项目</w:t>
                  </w:r>
                  <w:r>
                    <w:rPr>
                      <w:rFonts w:hint="eastAsia" w:ascii="Times New Roman" w:hAnsi="Times New Roman"/>
                      <w:sz w:val="21"/>
                      <w:szCs w:val="21"/>
                      <w:lang w:val="en-US" w:eastAsia="zh-CN"/>
                    </w:rPr>
                    <w:t>不涉及</w:t>
                  </w:r>
                  <w:r>
                    <w:rPr>
                      <w:rFonts w:hint="default" w:ascii="Times New Roman" w:hAnsi="Times New Roman" w:eastAsia="宋体" w:cs="Times New Roman"/>
                      <w:kern w:val="2"/>
                      <w:sz w:val="21"/>
                      <w:szCs w:val="21"/>
                      <w:u w:val="none"/>
                    </w:rPr>
                    <w:t>农业</w:t>
                  </w:r>
                  <w:r>
                    <w:rPr>
                      <w:rFonts w:hint="eastAsia" w:ascii="Times New Roman" w:hAnsi="Times New Roman" w:cs="Times New Roman"/>
                      <w:kern w:val="2"/>
                      <w:sz w:val="21"/>
                      <w:szCs w:val="21"/>
                      <w:u w:val="none"/>
                      <w:lang w:val="en-US" w:eastAsia="zh-CN"/>
                    </w:rPr>
                    <w:t>内容</w:t>
                  </w:r>
                </w:p>
              </w:tc>
            </w:tr>
            <w:tr w14:paraId="2B59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restart"/>
                  <w:tcBorders>
                    <w:top w:val="single" w:color="auto" w:sz="4" w:space="0"/>
                    <w:left w:val="single" w:color="auto" w:sz="4" w:space="0"/>
                    <w:bottom w:val="single" w:color="auto" w:sz="4" w:space="0"/>
                    <w:right w:val="single" w:color="auto" w:sz="4" w:space="0"/>
                  </w:tcBorders>
                  <w:noWrap w:val="0"/>
                  <w:vAlign w:val="center"/>
                </w:tcPr>
                <w:p w14:paraId="77C0CD66">
                  <w:pPr>
                    <w:pStyle w:val="12"/>
                    <w:snapToGrid/>
                    <w:spacing w:before="0" w:after="0" w:line="240" w:lineRule="auto"/>
                    <w:ind w:right="0"/>
                    <w:contextualSpacing/>
                    <w:jc w:val="center"/>
                    <w:rPr>
                      <w:rFonts w:ascii="Times New Roman" w:hAnsi="Times New Roman"/>
                      <w:sz w:val="21"/>
                      <w:szCs w:val="21"/>
                    </w:rPr>
                  </w:pPr>
                  <w:r>
                    <w:rPr>
                      <w:rFonts w:hint="eastAsia" w:ascii="Times New Roman" w:hAnsi="Times New Roman"/>
                      <w:sz w:val="21"/>
                      <w:szCs w:val="21"/>
                    </w:rPr>
                    <w:t>环境风险防控</w:t>
                  </w:r>
                </w:p>
              </w:tc>
              <w:tc>
                <w:tcPr>
                  <w:tcW w:w="3577" w:type="dxa"/>
                  <w:tcBorders>
                    <w:top w:val="single" w:color="auto" w:sz="4" w:space="0"/>
                    <w:left w:val="single" w:color="auto" w:sz="4" w:space="0"/>
                    <w:bottom w:val="single" w:color="auto" w:sz="4" w:space="0"/>
                    <w:right w:val="single" w:color="auto" w:sz="4" w:space="0"/>
                  </w:tcBorders>
                  <w:noWrap w:val="0"/>
                  <w:vAlign w:val="center"/>
                </w:tcPr>
                <w:p w14:paraId="01482335">
                  <w:pPr>
                    <w:autoSpaceDE w:val="0"/>
                    <w:autoSpaceDN w:val="0"/>
                    <w:adjustRightInd w:val="0"/>
                    <w:jc w:val="left"/>
                    <w:rPr>
                      <w:szCs w:val="21"/>
                    </w:rPr>
                  </w:pPr>
                  <w:r>
                    <w:rPr>
                      <w:szCs w:val="21"/>
                    </w:rPr>
                    <w:t>3.1</w:t>
                  </w:r>
                  <w:r>
                    <w:rPr>
                      <w:rFonts w:hint="default" w:ascii="Times New Roman" w:hAnsi="Times New Roman" w:eastAsia="宋体" w:cs="Times New Roman"/>
                      <w:kern w:val="2"/>
                      <w:sz w:val="21"/>
                      <w:szCs w:val="21"/>
                      <w:u w:val="none"/>
                    </w:rPr>
                    <w:t>开展重点涉农街道（乡）受污染耕地土壤重金属成因排查试点，督促开展污染源头风险管控</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331142A8">
                  <w:pPr>
                    <w:pStyle w:val="12"/>
                    <w:snapToGrid/>
                    <w:spacing w:before="0" w:after="0" w:line="240" w:lineRule="auto"/>
                    <w:ind w:right="0"/>
                    <w:contextualSpacing/>
                    <w:jc w:val="left"/>
                    <w:rPr>
                      <w:rFonts w:hint="eastAsia" w:ascii="Times New Roman" w:hAnsi="Times New Roman" w:eastAsia="宋体"/>
                      <w:sz w:val="21"/>
                      <w:szCs w:val="21"/>
                      <w:lang w:eastAsia="zh-CN"/>
                    </w:rPr>
                  </w:pPr>
                  <w:r>
                    <w:rPr>
                      <w:rFonts w:hint="eastAsia" w:ascii="Times New Roman" w:hAnsi="Times New Roman"/>
                      <w:sz w:val="21"/>
                      <w:szCs w:val="21"/>
                    </w:rPr>
                    <w:t>项目</w:t>
                  </w:r>
                  <w:r>
                    <w:rPr>
                      <w:rFonts w:hint="eastAsia" w:ascii="Times New Roman" w:hAnsi="Times New Roman"/>
                      <w:sz w:val="21"/>
                      <w:szCs w:val="21"/>
                      <w:lang w:val="en-US" w:eastAsia="zh-CN"/>
                    </w:rPr>
                    <w:t>不涉及</w:t>
                  </w:r>
                </w:p>
              </w:tc>
            </w:tr>
            <w:tr w14:paraId="4F6C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2DCB6857">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135BC4B6">
                  <w:pPr>
                    <w:autoSpaceDE w:val="0"/>
                    <w:autoSpaceDN w:val="0"/>
                    <w:adjustRightInd w:val="0"/>
                    <w:jc w:val="left"/>
                    <w:rPr>
                      <w:szCs w:val="21"/>
                    </w:rPr>
                  </w:pPr>
                  <w:r>
                    <w:rPr>
                      <w:szCs w:val="21"/>
                    </w:rPr>
                    <w:t>3.2</w:t>
                  </w:r>
                  <w:r>
                    <w:rPr>
                      <w:rFonts w:hint="default" w:ascii="Times New Roman" w:hAnsi="Times New Roman" w:eastAsia="宋体" w:cs="Times New Roman"/>
                      <w:kern w:val="2"/>
                      <w:sz w:val="21"/>
                      <w:szCs w:val="21"/>
                      <w:u w:val="none"/>
                    </w:rPr>
                    <w:t>有效管控建设用地土壤污染风险。严格土壤污染重点监管单位和沿江化工企业搬迁腾退用地土壤污染风险管控。以用途变更为“一住两公”的地块为重</w:t>
                  </w:r>
                  <w:r>
                    <w:rPr>
                      <w:rFonts w:hint="eastAsia" w:ascii="Times New Roman" w:hAnsi="Times New Roman" w:eastAsia="宋体" w:cs="Times New Roman"/>
                      <w:kern w:val="2"/>
                      <w:sz w:val="21"/>
                      <w:szCs w:val="21"/>
                      <w:u w:val="none"/>
                      <w:lang w:val="en-US" w:eastAsia="zh-CN"/>
                    </w:rPr>
                    <w:t>10</w:t>
                  </w:r>
                  <w:r>
                    <w:rPr>
                      <w:rFonts w:hint="default" w:ascii="Times New Roman" w:hAnsi="Times New Roman" w:eastAsia="宋体" w:cs="Times New Roman"/>
                      <w:kern w:val="2"/>
                      <w:sz w:val="21"/>
                      <w:szCs w:val="21"/>
                      <w:u w:val="none"/>
                    </w:rPr>
                    <w:t>点，依法开展土壤污染状况调查和风险评估。对纳入建设用地土壤污染风险管控和修复名录内的地块，移出名录前，不得核发建设工程规划许可证。从严管控农药、化工等行业中重度污染地块规划用途，确需开发利用的，鼓励用于拓展生态空间。对列入优先监管清单的地块，开展土壤污染调查和风险评估，按要求采取风险防控措施</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3EEEEFD6">
                  <w:pPr>
                    <w:pStyle w:val="12"/>
                    <w:snapToGrid/>
                    <w:spacing w:before="0" w:after="0" w:line="240" w:lineRule="auto"/>
                    <w:ind w:right="0"/>
                    <w:contextualSpacing/>
                    <w:jc w:val="left"/>
                    <w:rPr>
                      <w:rFonts w:hint="eastAsia" w:ascii="Times New Roman" w:hAnsi="Times New Roman" w:eastAsia="宋体"/>
                      <w:sz w:val="21"/>
                      <w:szCs w:val="21"/>
                      <w:lang w:eastAsia="zh-CN"/>
                    </w:rPr>
                  </w:pPr>
                  <w:r>
                    <w:rPr>
                      <w:rFonts w:hint="eastAsia" w:ascii="Times New Roman" w:hAnsi="Times New Roman"/>
                      <w:sz w:val="21"/>
                      <w:szCs w:val="21"/>
                    </w:rPr>
                    <w:t>项目</w:t>
                  </w:r>
                  <w:r>
                    <w:rPr>
                      <w:rFonts w:hint="eastAsia" w:ascii="Times New Roman" w:hAnsi="Times New Roman"/>
                      <w:sz w:val="21"/>
                      <w:szCs w:val="21"/>
                      <w:lang w:val="en-US" w:eastAsia="zh-CN"/>
                    </w:rPr>
                    <w:t>不涉及</w:t>
                  </w:r>
                </w:p>
              </w:tc>
            </w:tr>
            <w:tr w14:paraId="7742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4C2D7801">
                  <w:pPr>
                    <w:widowControl/>
                    <w:jc w:val="left"/>
                    <w:rPr>
                      <w:kern w:val="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3BFEC218">
                  <w:pPr>
                    <w:pStyle w:val="12"/>
                    <w:snapToGrid/>
                    <w:spacing w:before="0" w:after="0" w:line="240" w:lineRule="auto"/>
                    <w:ind w:right="0"/>
                    <w:contextualSpacing/>
                    <w:jc w:val="left"/>
                    <w:rPr>
                      <w:rFonts w:ascii="Times New Roman" w:hAnsi="Times New Roman"/>
                      <w:sz w:val="21"/>
                      <w:szCs w:val="21"/>
                    </w:rPr>
                  </w:pPr>
                  <w:r>
                    <w:rPr>
                      <w:rFonts w:ascii="Times New Roman" w:hAnsi="Times New Roman"/>
                      <w:sz w:val="21"/>
                      <w:szCs w:val="21"/>
                    </w:rPr>
                    <w:t>3.3</w:t>
                  </w:r>
                  <w:r>
                    <w:rPr>
                      <w:rFonts w:hint="default" w:ascii="Times New Roman" w:hAnsi="Times New Roman" w:eastAsia="宋体" w:cs="Times New Roman"/>
                      <w:kern w:val="2"/>
                      <w:sz w:val="21"/>
                      <w:szCs w:val="21"/>
                      <w:u w:val="none"/>
                    </w:rPr>
                    <w:t>推进农用地土壤污染防治和安全利用。开展受污染耕地土壤重金属成因排查试点，督促开展污染源头风险管控。确保受污染耕地安全利用率达到91%</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35763D37">
                  <w:pPr>
                    <w:pStyle w:val="12"/>
                    <w:snapToGrid/>
                    <w:spacing w:before="0" w:after="0" w:line="240" w:lineRule="auto"/>
                    <w:ind w:right="0"/>
                    <w:contextualSpacing/>
                    <w:jc w:val="left"/>
                    <w:rPr>
                      <w:rFonts w:ascii="Times New Roman" w:hAnsi="Times New Roman"/>
                      <w:sz w:val="21"/>
                      <w:szCs w:val="21"/>
                    </w:rPr>
                  </w:pPr>
                  <w:r>
                    <w:rPr>
                      <w:rFonts w:hint="eastAsia" w:ascii="Times New Roman" w:hAnsi="Times New Roman"/>
                      <w:sz w:val="21"/>
                      <w:szCs w:val="21"/>
                    </w:rPr>
                    <w:t>项目</w:t>
                  </w:r>
                  <w:r>
                    <w:rPr>
                      <w:rFonts w:hint="eastAsia" w:ascii="Times New Roman" w:hAnsi="Times New Roman"/>
                      <w:sz w:val="21"/>
                      <w:szCs w:val="21"/>
                      <w:lang w:val="en-US" w:eastAsia="zh-CN"/>
                    </w:rPr>
                    <w:t>不涉及</w:t>
                  </w:r>
                </w:p>
              </w:tc>
            </w:tr>
            <w:tr w14:paraId="37C5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restart"/>
                  <w:tcBorders>
                    <w:top w:val="single" w:color="auto" w:sz="4" w:space="0"/>
                    <w:left w:val="single" w:color="auto" w:sz="4" w:space="0"/>
                    <w:bottom w:val="single" w:color="auto" w:sz="4" w:space="0"/>
                    <w:right w:val="single" w:color="auto" w:sz="4" w:space="0"/>
                  </w:tcBorders>
                  <w:noWrap w:val="0"/>
                  <w:vAlign w:val="center"/>
                </w:tcPr>
                <w:p w14:paraId="5F72E682">
                  <w:pPr>
                    <w:pStyle w:val="12"/>
                    <w:snapToGrid/>
                    <w:spacing w:before="0" w:after="0" w:line="240" w:lineRule="auto"/>
                    <w:ind w:right="0"/>
                    <w:contextualSpacing/>
                    <w:jc w:val="center"/>
                    <w:rPr>
                      <w:rFonts w:ascii="Times New Roman" w:hAnsi="Times New Roman"/>
                      <w:sz w:val="21"/>
                      <w:szCs w:val="21"/>
                    </w:rPr>
                  </w:pPr>
                  <w:r>
                    <w:rPr>
                      <w:rFonts w:hint="eastAsia" w:ascii="Times New Roman" w:hAnsi="Times New Roman"/>
                      <w:sz w:val="21"/>
                      <w:szCs w:val="21"/>
                    </w:rPr>
                    <w:t>资源开发效率要求</w:t>
                  </w:r>
                </w:p>
              </w:tc>
              <w:tc>
                <w:tcPr>
                  <w:tcW w:w="3577" w:type="dxa"/>
                  <w:tcBorders>
                    <w:top w:val="single" w:color="auto" w:sz="4" w:space="0"/>
                    <w:left w:val="single" w:color="auto" w:sz="4" w:space="0"/>
                    <w:bottom w:val="single" w:color="auto" w:sz="4" w:space="0"/>
                    <w:right w:val="single" w:color="auto" w:sz="4" w:space="0"/>
                  </w:tcBorders>
                  <w:noWrap w:val="0"/>
                  <w:vAlign w:val="center"/>
                </w:tcPr>
                <w:p w14:paraId="73DB6804">
                  <w:pPr>
                    <w:pStyle w:val="23"/>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both"/>
                    <w:textAlignment w:val="auto"/>
                    <w:rPr>
                      <w:rFonts w:ascii="Times New Roman" w:hAnsi="Times New Roman"/>
                      <w:sz w:val="21"/>
                      <w:szCs w:val="21"/>
                    </w:rPr>
                  </w:pPr>
                  <w:r>
                    <w:rPr>
                      <w:rFonts w:hint="default" w:ascii="Times New Roman" w:hAnsi="Times New Roman" w:eastAsia="宋体" w:cs="Times New Roman"/>
                      <w:kern w:val="2"/>
                      <w:sz w:val="21"/>
                      <w:szCs w:val="21"/>
                      <w:u w:val="none"/>
                    </w:rPr>
                    <w:t>4.1水资源：2025年，岳阳楼区用水总量6.04亿立方米，万元地区生产总值用水量比2020年下降13.36%，万元工业增加值用水量比2020年下降4.25%。</w:t>
                  </w:r>
                </w:p>
              </w:tc>
              <w:tc>
                <w:tcPr>
                  <w:tcW w:w="2452" w:type="dxa"/>
                  <w:vMerge w:val="restart"/>
                  <w:tcBorders>
                    <w:top w:val="single" w:color="auto" w:sz="4" w:space="0"/>
                    <w:left w:val="single" w:color="auto" w:sz="4" w:space="0"/>
                    <w:bottom w:val="single" w:color="auto" w:sz="4" w:space="0"/>
                    <w:right w:val="single" w:color="auto" w:sz="4" w:space="0"/>
                  </w:tcBorders>
                  <w:noWrap w:val="0"/>
                  <w:vAlign w:val="center"/>
                </w:tcPr>
                <w:p w14:paraId="0816CD1B">
                  <w:pPr>
                    <w:pStyle w:val="12"/>
                    <w:snapToGrid/>
                    <w:spacing w:before="0" w:after="0" w:line="240" w:lineRule="auto"/>
                    <w:ind w:right="0"/>
                    <w:contextualSpacing/>
                    <w:jc w:val="left"/>
                    <w:rPr>
                      <w:rFonts w:ascii="Times New Roman" w:hAnsi="Times New Roman"/>
                      <w:sz w:val="21"/>
                      <w:szCs w:val="21"/>
                    </w:rPr>
                  </w:pPr>
                  <w:r>
                    <w:rPr>
                      <w:rFonts w:hint="eastAsia" w:ascii="Times New Roman" w:hAnsi="Times New Roman"/>
                      <w:sz w:val="21"/>
                      <w:szCs w:val="21"/>
                    </w:rPr>
                    <w:t>项目不属于高能耗型建设项目，运营期生产上不使用热源进行加热生产，使用能耗类型为电能、</w:t>
                  </w:r>
                  <w:r>
                    <w:rPr>
                      <w:rFonts w:hint="eastAsia" w:ascii="Times New Roman" w:hAnsi="Times New Roman"/>
                      <w:sz w:val="21"/>
                      <w:szCs w:val="21"/>
                      <w:lang w:val="en-US" w:eastAsia="zh-CN"/>
                    </w:rPr>
                    <w:t>水资源</w:t>
                  </w:r>
                  <w:r>
                    <w:rPr>
                      <w:rFonts w:hint="eastAsia" w:ascii="Times New Roman" w:hAnsi="Times New Roman"/>
                      <w:sz w:val="21"/>
                      <w:szCs w:val="21"/>
                    </w:rPr>
                    <w:t>等，</w:t>
                  </w:r>
                  <w:r>
                    <w:rPr>
                      <w:rFonts w:hint="eastAsia" w:ascii="Times New Roman" w:hAnsi="Times New Roman"/>
                      <w:sz w:val="21"/>
                      <w:szCs w:val="21"/>
                      <w:lang w:val="en-US" w:eastAsia="zh-CN"/>
                    </w:rPr>
                    <w:t>为城镇生活供水工程，不涉及工业用水环节</w:t>
                  </w:r>
                  <w:r>
                    <w:rPr>
                      <w:rFonts w:hint="eastAsia" w:ascii="Times New Roman" w:hAnsi="Times New Roman"/>
                      <w:sz w:val="21"/>
                      <w:szCs w:val="21"/>
                    </w:rPr>
                    <w:t>，因此不会对区域资源消耗管控要求造成负面影响</w:t>
                  </w:r>
                </w:p>
              </w:tc>
            </w:tr>
            <w:tr w14:paraId="1329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5FE8EFD5">
                  <w:pPr>
                    <w:widowControl/>
                    <w:jc w:val="left"/>
                    <w:rPr>
                      <w:kern w:val="0"/>
                      <w:sz w:val="2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75157279">
                  <w:pPr>
                    <w:pStyle w:val="23"/>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both"/>
                    <w:textAlignment w:val="auto"/>
                    <w:rPr>
                      <w:rFonts w:ascii="Times New Roman" w:hAnsi="Times New Roman"/>
                      <w:sz w:val="21"/>
                      <w:szCs w:val="21"/>
                    </w:rPr>
                  </w:pPr>
                  <w:r>
                    <w:rPr>
                      <w:rFonts w:hint="default" w:ascii="Times New Roman" w:hAnsi="Times New Roman" w:eastAsia="宋体" w:cs="Times New Roman"/>
                      <w:kern w:val="2"/>
                      <w:sz w:val="21"/>
                      <w:szCs w:val="21"/>
                      <w:u w:val="none"/>
                    </w:rPr>
                    <w:t>4.2能源：能耗按照各区（岳阳楼区、经开区、新港区、南湖新区）总综合能源消费量除以各区GDP总和测算，“十四五”时期能耗强度降低基本目标16%，激励目标16.5%。</w:t>
                  </w:r>
                </w:p>
              </w:tc>
              <w:tc>
                <w:tcPr>
                  <w:tcW w:w="2452" w:type="dxa"/>
                  <w:vMerge w:val="continue"/>
                  <w:tcBorders>
                    <w:top w:val="single" w:color="auto" w:sz="4" w:space="0"/>
                    <w:left w:val="single" w:color="auto" w:sz="4" w:space="0"/>
                    <w:bottom w:val="single" w:color="auto" w:sz="4" w:space="0"/>
                    <w:right w:val="single" w:color="auto" w:sz="4" w:space="0"/>
                  </w:tcBorders>
                  <w:noWrap w:val="0"/>
                  <w:vAlign w:val="center"/>
                </w:tcPr>
                <w:p w14:paraId="55FAA494">
                  <w:pPr>
                    <w:widowControl/>
                    <w:jc w:val="left"/>
                    <w:rPr>
                      <w:kern w:val="0"/>
                      <w:szCs w:val="21"/>
                    </w:rPr>
                  </w:pPr>
                </w:p>
              </w:tc>
            </w:tr>
            <w:tr w14:paraId="6037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40414B03">
                  <w:pPr>
                    <w:widowControl/>
                    <w:jc w:val="left"/>
                    <w:rPr>
                      <w:kern w:val="0"/>
                      <w:sz w:val="20"/>
                      <w:szCs w:val="21"/>
                    </w:rPr>
                  </w:pPr>
                </w:p>
              </w:tc>
              <w:tc>
                <w:tcPr>
                  <w:tcW w:w="3577" w:type="dxa"/>
                  <w:tcBorders>
                    <w:top w:val="single" w:color="auto" w:sz="4" w:space="0"/>
                    <w:left w:val="single" w:color="auto" w:sz="4" w:space="0"/>
                    <w:bottom w:val="single" w:color="auto" w:sz="4" w:space="0"/>
                    <w:right w:val="single" w:color="auto" w:sz="4" w:space="0"/>
                  </w:tcBorders>
                  <w:noWrap w:val="0"/>
                  <w:vAlign w:val="center"/>
                </w:tcPr>
                <w:p w14:paraId="4228AE51">
                  <w:pPr>
                    <w:pStyle w:val="23"/>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both"/>
                    <w:textAlignment w:val="auto"/>
                    <w:rPr>
                      <w:rFonts w:ascii="Times New Roman" w:hAnsi="Times New Roman"/>
                      <w:sz w:val="21"/>
                      <w:szCs w:val="21"/>
                    </w:rPr>
                  </w:pPr>
                  <w:r>
                    <w:rPr>
                      <w:rFonts w:hint="default" w:ascii="Times New Roman" w:hAnsi="Times New Roman" w:eastAsia="宋体" w:cs="Times New Roman"/>
                      <w:kern w:val="2"/>
                      <w:sz w:val="21"/>
                      <w:szCs w:val="21"/>
                      <w:u w:val="none"/>
                    </w:rPr>
                    <w:t>4.3土地资源：岳阳楼区耕地保有量52.55平方千米，永久基本农田保护面积30.64平方千米。生态保护红线面积7.05平方千米，城镇开发边界146.96平方千米。</w:t>
                  </w:r>
                </w:p>
              </w:tc>
              <w:tc>
                <w:tcPr>
                  <w:tcW w:w="2452" w:type="dxa"/>
                  <w:tcBorders>
                    <w:top w:val="single" w:color="auto" w:sz="4" w:space="0"/>
                    <w:left w:val="single" w:color="auto" w:sz="4" w:space="0"/>
                    <w:bottom w:val="single" w:color="auto" w:sz="4" w:space="0"/>
                    <w:right w:val="single" w:color="auto" w:sz="4" w:space="0"/>
                  </w:tcBorders>
                  <w:noWrap w:val="0"/>
                  <w:vAlign w:val="center"/>
                </w:tcPr>
                <w:p w14:paraId="315ED161">
                  <w:pPr>
                    <w:pStyle w:val="12"/>
                    <w:snapToGrid/>
                    <w:spacing w:before="0" w:after="0" w:line="240" w:lineRule="auto"/>
                    <w:ind w:right="0"/>
                    <w:contextualSpacing/>
                    <w:jc w:val="left"/>
                    <w:rPr>
                      <w:rFonts w:ascii="Times New Roman" w:hAnsi="Times New Roman"/>
                      <w:sz w:val="21"/>
                      <w:szCs w:val="21"/>
                    </w:rPr>
                  </w:pPr>
                  <w:r>
                    <w:rPr>
                      <w:rFonts w:hint="eastAsia" w:ascii="Times New Roman" w:hAnsi="Times New Roman"/>
                      <w:sz w:val="21"/>
                      <w:szCs w:val="21"/>
                    </w:rPr>
                    <w:t>本项目占地区块属于</w:t>
                  </w:r>
                  <w:r>
                    <w:rPr>
                      <w:rFonts w:hint="eastAsia" w:ascii="Times New Roman" w:hAnsi="Times New Roman"/>
                      <w:sz w:val="21"/>
                      <w:szCs w:val="21"/>
                      <w:lang w:val="en-US" w:eastAsia="zh-CN"/>
                    </w:rPr>
                    <w:t>公共设施</w:t>
                  </w:r>
                  <w:r>
                    <w:rPr>
                      <w:rFonts w:hint="eastAsia" w:ascii="Times New Roman" w:hAnsi="Times New Roman"/>
                      <w:sz w:val="21"/>
                      <w:szCs w:val="21"/>
                    </w:rPr>
                    <w:t>用地，占地手续已办理，不属于禁止类工业项目</w:t>
                  </w:r>
                </w:p>
              </w:tc>
            </w:tr>
          </w:tbl>
          <w:p w14:paraId="628B0DBB">
            <w:pPr>
              <w:autoSpaceDE w:val="0"/>
              <w:autoSpaceDN w:val="0"/>
              <w:spacing w:line="360" w:lineRule="auto"/>
              <w:ind w:firstLine="480" w:firstLineChars="200"/>
              <w:jc w:val="left"/>
              <w:rPr>
                <w:rFonts w:hint="eastAsia"/>
                <w:sz w:val="24"/>
              </w:rPr>
            </w:pPr>
            <w:r>
              <w:rPr>
                <w:rFonts w:hint="eastAsia"/>
                <w:sz w:val="24"/>
              </w:rPr>
              <w:t>根据上表分析内容可知，本项</w:t>
            </w:r>
            <w:r>
              <w:rPr>
                <w:rFonts w:hint="eastAsia"/>
                <w:sz w:val="24"/>
                <w:lang w:eastAsia="zh-CN"/>
              </w:rPr>
              <w:t>目建</w:t>
            </w:r>
            <w:r>
              <w:rPr>
                <w:rFonts w:hint="eastAsia"/>
                <w:sz w:val="24"/>
              </w:rPr>
              <w:t>设符合</w:t>
            </w:r>
            <w:r>
              <w:rPr>
                <w:rFonts w:hint="eastAsia"/>
                <w:bCs/>
                <w:sz w:val="24"/>
              </w:rPr>
              <w:t>岳环发〔2024〕14号</w:t>
            </w:r>
            <w:r>
              <w:rPr>
                <w:rFonts w:hint="eastAsia"/>
                <w:bCs/>
                <w:sz w:val="24"/>
                <w:lang w:val="en-US" w:eastAsia="zh-CN"/>
              </w:rPr>
              <w:t>文件中岳阳楼街道</w:t>
            </w:r>
            <w:r>
              <w:rPr>
                <w:rFonts w:hint="eastAsia"/>
                <w:sz w:val="24"/>
              </w:rPr>
              <w:t>生态环境管控单元中的相关管控要求。</w:t>
            </w:r>
          </w:p>
          <w:p w14:paraId="0EC68D93">
            <w:pPr>
              <w:autoSpaceDE w:val="0"/>
              <w:autoSpaceDN w:val="0"/>
              <w:spacing w:line="360" w:lineRule="auto"/>
              <w:jc w:val="left"/>
              <w:rPr>
                <w:rFonts w:hint="eastAsia"/>
                <w:b/>
                <w:bCs/>
                <w:sz w:val="24"/>
                <w:highlight w:val="none"/>
              </w:rPr>
            </w:pPr>
            <w:r>
              <w:rPr>
                <w:rFonts w:hint="eastAsia"/>
                <w:b/>
                <w:bCs/>
                <w:sz w:val="24"/>
                <w:lang w:val="en-US" w:eastAsia="zh-CN"/>
              </w:rPr>
              <w:t>三</w:t>
            </w:r>
            <w:r>
              <w:rPr>
                <w:rFonts w:hint="eastAsia"/>
                <w:b/>
                <w:bCs/>
                <w:sz w:val="24"/>
              </w:rPr>
              <w:t>、</w:t>
            </w:r>
            <w:r>
              <w:rPr>
                <w:rFonts w:hint="eastAsia"/>
                <w:b/>
                <w:bCs/>
                <w:sz w:val="24"/>
                <w:highlight w:val="none"/>
              </w:rPr>
              <w:t>项目与《湖南省长江经济带发展负面清单实施细则（试行，</w:t>
            </w:r>
          </w:p>
          <w:p w14:paraId="03C3296A">
            <w:pPr>
              <w:autoSpaceDE w:val="0"/>
              <w:autoSpaceDN w:val="0"/>
              <w:spacing w:line="360" w:lineRule="auto"/>
              <w:jc w:val="left"/>
              <w:rPr>
                <w:rFonts w:hint="eastAsia" w:eastAsia="宋体"/>
                <w:b/>
                <w:bCs/>
                <w:sz w:val="24"/>
                <w:highlight w:val="red"/>
                <w:lang w:val="en-US" w:eastAsia="zh-CN"/>
              </w:rPr>
            </w:pPr>
            <w:r>
              <w:rPr>
                <w:rFonts w:hint="eastAsia"/>
                <w:b/>
                <w:bCs/>
                <w:sz w:val="24"/>
                <w:highlight w:val="none"/>
              </w:rPr>
              <w:t>2022 年版）》符合性</w:t>
            </w:r>
            <w:r>
              <w:rPr>
                <w:rFonts w:hint="eastAsia"/>
                <w:b/>
                <w:bCs/>
                <w:sz w:val="24"/>
                <w:highlight w:val="none"/>
                <w:lang w:val="en-US" w:eastAsia="zh-CN"/>
              </w:rPr>
              <w:t>分析</w:t>
            </w:r>
          </w:p>
          <w:p w14:paraId="4AFB5D42">
            <w:pPr>
              <w:autoSpaceDE w:val="0"/>
              <w:autoSpaceDN w:val="0"/>
              <w:spacing w:line="360" w:lineRule="auto"/>
              <w:ind w:firstLine="480" w:firstLineChars="200"/>
              <w:jc w:val="left"/>
              <w:rPr>
                <w:rFonts w:hint="eastAsia"/>
                <w:sz w:val="24"/>
              </w:rPr>
            </w:pPr>
            <w:r>
              <w:rPr>
                <w:rFonts w:hint="eastAsia"/>
                <w:sz w:val="24"/>
              </w:rPr>
              <w:t>本项目实际建设内容、选址地与《湖南省长江经济带发展负面清单实施细则（试行，2022年版）》中有关条款要求符合情况分析见下表：</w:t>
            </w:r>
          </w:p>
          <w:tbl>
            <w:tblPr>
              <w:tblStyle w:val="2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2060"/>
              <w:gridCol w:w="599"/>
            </w:tblGrid>
            <w:tr w14:paraId="4CC8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026" w:type="pct"/>
                  <w:noWrap w:val="0"/>
                  <w:vAlign w:val="center"/>
                </w:tcPr>
                <w:p w14:paraId="3C968653">
                  <w:pPr>
                    <w:keepNext w:val="0"/>
                    <w:keepLines w:val="0"/>
                    <w:pageBreakBefore w:val="0"/>
                    <w:tabs>
                      <w:tab w:val="left" w:pos="7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b/>
                      <w:bCs/>
                      <w:color w:val="auto"/>
                      <w:sz w:val="21"/>
                      <w:szCs w:val="21"/>
                      <w:highlight w:val="none"/>
                      <w:u w:val="none" w:color="auto"/>
                    </w:rPr>
                    <w:t>政策要求</w:t>
                  </w:r>
                </w:p>
              </w:tc>
              <w:tc>
                <w:tcPr>
                  <w:tcW w:w="1529" w:type="pct"/>
                  <w:noWrap w:val="0"/>
                  <w:vAlign w:val="center"/>
                </w:tcPr>
                <w:p w14:paraId="0D1CDB5A">
                  <w:pPr>
                    <w:keepNext w:val="0"/>
                    <w:keepLines w:val="0"/>
                    <w:pageBreakBefore w:val="0"/>
                    <w:tabs>
                      <w:tab w:val="left" w:pos="7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b/>
                      <w:bCs/>
                      <w:color w:val="auto"/>
                      <w:sz w:val="21"/>
                      <w:szCs w:val="21"/>
                      <w:highlight w:val="none"/>
                      <w:u w:val="none" w:color="auto"/>
                    </w:rPr>
                    <w:t>项目情况</w:t>
                  </w:r>
                </w:p>
              </w:tc>
              <w:tc>
                <w:tcPr>
                  <w:tcW w:w="444" w:type="pct"/>
                  <w:noWrap w:val="0"/>
                  <w:vAlign w:val="center"/>
                </w:tcPr>
                <w:p w14:paraId="7C7BD917">
                  <w:pPr>
                    <w:keepNext w:val="0"/>
                    <w:keepLines w:val="0"/>
                    <w:pageBreakBefore w:val="0"/>
                    <w:tabs>
                      <w:tab w:val="left" w:pos="72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eastAsia="宋体" w:cs="Times New Roman"/>
                      <w:b/>
                      <w:bCs/>
                      <w:color w:val="auto"/>
                      <w:sz w:val="21"/>
                      <w:szCs w:val="21"/>
                      <w:highlight w:val="none"/>
                      <w:u w:val="none" w:color="auto"/>
                    </w:rPr>
                    <w:t>符合性</w:t>
                  </w:r>
                </w:p>
              </w:tc>
            </w:tr>
            <w:tr w14:paraId="62F9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48017757">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strike w:val="0"/>
                      <w:dstrike w:val="0"/>
                      <w:color w:val="auto"/>
                      <w:kern w:val="0"/>
                      <w:sz w:val="21"/>
                      <w:szCs w:val="21"/>
                      <w:highlight w:val="none"/>
                      <w:u w:val="none" w:color="auto"/>
                      <w:lang w:val="en-US" w:eastAsia="zh-CN" w:bidi="ar"/>
                    </w:rPr>
                  </w:pPr>
                  <w:r>
                    <w:rPr>
                      <w:rFonts w:hint="default" w:ascii="Times New Roman" w:hAnsi="Times New Roman" w:eastAsia="宋体" w:cs="Times New Roman"/>
                      <w:b w:val="0"/>
                      <w:bCs w:val="0"/>
                      <w:color w:val="auto"/>
                      <w:kern w:val="0"/>
                      <w:sz w:val="21"/>
                      <w:szCs w:val="21"/>
                      <w:highlight w:val="none"/>
                      <w:u w:val="none" w:color="auto"/>
                      <w:lang w:bidi="ar"/>
                    </w:rPr>
                    <w:t>禁止建设不符合全国和省级港口布局规划以及港口总体规划的码头项目。对不符合港口总体规划的新建、改建和扩建的码头工程（含舾装码头工程）及其同时建设的配套设施、防波堤、锚地、护岸等工程，投资主管部门不得审批或核准。码头工程建设项目需要使用港口岸线的，项目单位应当按照国省港口岸线使用的管理规定办理港口岸线使用手续。未取得岸线使用批准文件或者岸线使用意见的，不得开工建设。禁止建设不符合《长江</w:t>
                  </w:r>
                  <w:r>
                    <w:rPr>
                      <w:rFonts w:hint="default" w:ascii="Times New Roman" w:hAnsi="Times New Roman" w:cs="Times New Roman"/>
                      <w:b w:val="0"/>
                      <w:bCs w:val="0"/>
                      <w:color w:val="auto"/>
                      <w:kern w:val="0"/>
                      <w:sz w:val="21"/>
                      <w:szCs w:val="21"/>
                      <w:highlight w:val="none"/>
                      <w:u w:val="none" w:color="auto"/>
                      <w:lang w:eastAsia="zh-CN" w:bidi="ar"/>
                    </w:rPr>
                    <w:t>干线</w:t>
                  </w:r>
                  <w:r>
                    <w:rPr>
                      <w:rFonts w:hint="default" w:ascii="Times New Roman" w:hAnsi="Times New Roman" w:eastAsia="宋体" w:cs="Times New Roman"/>
                      <w:b w:val="0"/>
                      <w:bCs w:val="0"/>
                      <w:color w:val="auto"/>
                      <w:kern w:val="0"/>
                      <w:sz w:val="21"/>
                      <w:szCs w:val="21"/>
                      <w:highlight w:val="none"/>
                      <w:u w:val="none" w:color="auto"/>
                      <w:lang w:bidi="ar"/>
                    </w:rPr>
                    <w:t>过江通道布局规划（2020-2035年）》的过长江通道项目。</w:t>
                  </w:r>
                </w:p>
              </w:tc>
              <w:tc>
                <w:tcPr>
                  <w:tcW w:w="1529" w:type="pct"/>
                  <w:noWrap w:val="0"/>
                  <w:vAlign w:val="center"/>
                </w:tcPr>
                <w:p w14:paraId="47E6AB26">
                  <w:pPr>
                    <w:keepNext w:val="0"/>
                    <w:keepLines w:val="0"/>
                    <w:pageBreakBefore w:val="0"/>
                    <w:widowControl/>
                    <w:suppressLineNumbers w:val="0"/>
                    <w:kinsoku/>
                    <w:wordWrap/>
                    <w:overflowPunct/>
                    <w:topLinePunct w:val="0"/>
                    <w:autoSpaceDE/>
                    <w:bidi w:val="0"/>
                    <w:snapToGrid/>
                    <w:spacing w:line="240" w:lineRule="auto"/>
                    <w:ind w:left="0" w:leftChars="0" w:firstLine="0" w:firstLineChars="0"/>
                    <w:jc w:val="center"/>
                    <w:rPr>
                      <w:rFonts w:hint="default" w:ascii="Times New Roman" w:hAnsi="Times New Roman" w:eastAsia="宋体" w:cs="Times New Roman"/>
                      <w:color w:val="auto"/>
                      <w:kern w:val="0"/>
                      <w:sz w:val="21"/>
                      <w:szCs w:val="21"/>
                      <w:highlight w:val="none"/>
                      <w:u w:val="none" w:color="auto"/>
                      <w:lang w:val="en-US" w:eastAsia="zh-CN" w:bidi="ar"/>
                    </w:rPr>
                  </w:pPr>
                  <w:r>
                    <w:rPr>
                      <w:rFonts w:hint="default" w:ascii="Times New Roman" w:hAnsi="Times New Roman" w:eastAsia="宋体" w:cs="Times New Roman"/>
                      <w:color w:val="auto"/>
                      <w:kern w:val="0"/>
                      <w:sz w:val="21"/>
                      <w:szCs w:val="21"/>
                      <w:highlight w:val="none"/>
                      <w:u w:val="none" w:color="auto"/>
                      <w:lang w:val="en-US" w:eastAsia="zh-CN" w:bidi="ar"/>
                    </w:rPr>
                    <w:t>本项目为城镇供水行业，不属于码头、过江通道类型项目</w:t>
                  </w:r>
                </w:p>
              </w:tc>
              <w:tc>
                <w:tcPr>
                  <w:tcW w:w="444" w:type="pct"/>
                  <w:vMerge w:val="restart"/>
                  <w:noWrap w:val="0"/>
                  <w:vAlign w:val="center"/>
                </w:tcPr>
                <w:p w14:paraId="389C8D2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highlight w:val="none"/>
                      <w:u w:val="none" w:color="auto"/>
                      <w:lang w:val="en-US" w:eastAsia="zh-CN"/>
                    </w:rPr>
                  </w:pPr>
                  <w:r>
                    <w:rPr>
                      <w:rFonts w:hint="eastAsia" w:eastAsia="宋体" w:cs="Times New Roman"/>
                      <w:color w:val="auto"/>
                      <w:sz w:val="21"/>
                      <w:szCs w:val="21"/>
                      <w:highlight w:val="none"/>
                      <w:u w:val="none" w:color="auto"/>
                      <w:lang w:val="en-US" w:eastAsia="zh-CN"/>
                    </w:rPr>
                    <w:t>不属于禁止建设内容</w:t>
                  </w:r>
                </w:p>
              </w:tc>
            </w:tr>
            <w:tr w14:paraId="68E0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6D22C4A1">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在自然保护区核心区、缓冲区的岸线和河段范围内投资建设以下项目：（一）高尔夫球场开发、房地产开发、索道建设、会所建设等项目；（二）光伏发电、风力发电、火力发电建设项目；（三）社会资金进行商业性探矿勘查，以及不属于国家紧缺矿种资源的基础地质调查和矿产远景调查等公益性工作的设施建设；（四）野生动物驯养繁殖、展览基地建设项目；（五）污染环境、破坏自然资源或自然景观的建设设施；（六）对自然保护区主要保护对象产生重大影响、改变自然生态系统完整性、原真性、破坏自然景观的设施；（七）其他不符合自然保护区主体功能定位和国家禁止的设施。</w:t>
                  </w:r>
                </w:p>
              </w:tc>
              <w:tc>
                <w:tcPr>
                  <w:tcW w:w="1529" w:type="pct"/>
                  <w:noWrap w:val="0"/>
                  <w:vAlign w:val="center"/>
                </w:tcPr>
                <w:p w14:paraId="5B069B8F">
                  <w:pPr>
                    <w:keepNext w:val="0"/>
                    <w:keepLines w:val="0"/>
                    <w:pageBreakBefore w:val="0"/>
                    <w:widowControl/>
                    <w:suppressLineNumbers w:val="0"/>
                    <w:kinsoku/>
                    <w:wordWrap/>
                    <w:overflowPunct/>
                    <w:topLinePunct w:val="0"/>
                    <w:autoSpaceDE/>
                    <w:bidi w:val="0"/>
                    <w:snapToGrid/>
                    <w:spacing w:line="240" w:lineRule="auto"/>
                    <w:ind w:firstLine="0" w:firstLineChars="0"/>
                    <w:jc w:val="center"/>
                    <w:rPr>
                      <w:rFonts w:hint="eastAsia" w:ascii="Times New Roman" w:hAnsi="Times New Roman" w:eastAsia="宋体" w:cs="Times New Roman"/>
                      <w:b w:val="0"/>
                      <w:bCs w:val="0"/>
                      <w:color w:val="auto"/>
                      <w:kern w:val="0"/>
                      <w:sz w:val="21"/>
                      <w:szCs w:val="21"/>
                      <w:highlight w:val="none"/>
                      <w:u w:val="none" w:color="auto"/>
                      <w:lang w:val="en-US" w:eastAsia="zh-CN" w:bidi="ar"/>
                    </w:rPr>
                  </w:pPr>
                  <w:r>
                    <w:rPr>
                      <w:rFonts w:hint="eastAsia" w:ascii="Times New Roman" w:hAnsi="Times New Roman" w:eastAsia="宋体" w:cs="Times New Roman"/>
                      <w:color w:val="auto"/>
                      <w:sz w:val="21"/>
                      <w:szCs w:val="21"/>
                      <w:u w:val="none" w:color="auto"/>
                      <w:lang w:val="en-US" w:eastAsia="zh-CN"/>
                    </w:rPr>
                    <w:t>本项目选址地不属于自然保护区范围，且不属于高尔夫球场开发、房地产开发、索道建设、会所、光伏发电、风力发电、火力发电等左述类别项目</w:t>
                  </w:r>
                </w:p>
              </w:tc>
              <w:tc>
                <w:tcPr>
                  <w:tcW w:w="444" w:type="pct"/>
                  <w:vMerge w:val="continue"/>
                  <w:noWrap w:val="0"/>
                  <w:vAlign w:val="center"/>
                </w:tcPr>
                <w:p w14:paraId="65D34E57">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0DBA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3026" w:type="pct"/>
                  <w:noWrap w:val="0"/>
                  <w:vAlign w:val="center"/>
                </w:tcPr>
                <w:p w14:paraId="205EBC60">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机场、铁路、公路、水利、航运、围堰等公益性基础设施的选址选线应多方案优化比选，尽量避让相关自然保护区域、野生动物迁徙洄游通道；无法避让的，应当采取修建野生动物通道、过鱼设施等措施，消除或者减少对野生动物的不利影响。</w:t>
                  </w:r>
                </w:p>
              </w:tc>
              <w:tc>
                <w:tcPr>
                  <w:tcW w:w="1529" w:type="pct"/>
                  <w:noWrap w:val="0"/>
                  <w:vAlign w:val="center"/>
                </w:tcPr>
                <w:p w14:paraId="40E187D7">
                  <w:pPr>
                    <w:pStyle w:val="32"/>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r>
                    <w:rPr>
                      <w:rFonts w:hint="eastAsia" w:ascii="Times New Roman" w:hAnsi="Times New Roman" w:eastAsia="宋体" w:cs="Times New Roman"/>
                      <w:bCs/>
                      <w:color w:val="auto"/>
                      <w:kern w:val="2"/>
                      <w:sz w:val="21"/>
                      <w:szCs w:val="21"/>
                      <w:u w:val="none" w:color="auto"/>
                      <w:lang w:val="en-US" w:eastAsia="zh-CN" w:bidi="ar"/>
                    </w:rPr>
                    <w:t>本项目</w:t>
                  </w:r>
                  <w:r>
                    <w:rPr>
                      <w:rFonts w:hint="eastAsia" w:ascii="Times New Roman" w:eastAsia="宋体" w:cs="Times New Roman"/>
                      <w:bCs/>
                      <w:color w:val="auto"/>
                      <w:kern w:val="2"/>
                      <w:sz w:val="21"/>
                      <w:szCs w:val="21"/>
                      <w:u w:val="none" w:color="auto"/>
                      <w:lang w:val="en-US" w:eastAsia="zh-CN" w:bidi="ar"/>
                    </w:rPr>
                    <w:t>属于自来水生产和供应工程，占地区域内不属于</w:t>
                  </w:r>
                  <w:r>
                    <w:rPr>
                      <w:rFonts w:hint="default" w:ascii="Times New Roman" w:hAnsi="Times New Roman" w:eastAsia="宋体" w:cs="Times New Roman"/>
                      <w:b w:val="0"/>
                      <w:bCs w:val="0"/>
                      <w:color w:val="auto"/>
                      <w:kern w:val="0"/>
                      <w:sz w:val="21"/>
                      <w:szCs w:val="21"/>
                      <w:highlight w:val="none"/>
                      <w:u w:val="none" w:color="auto"/>
                      <w:lang w:bidi="ar"/>
                    </w:rPr>
                    <w:t>自然保护区域、野生动物迁徙洄游通道</w:t>
                  </w:r>
                </w:p>
              </w:tc>
              <w:tc>
                <w:tcPr>
                  <w:tcW w:w="444" w:type="pct"/>
                  <w:vMerge w:val="continue"/>
                  <w:noWrap w:val="0"/>
                  <w:vAlign w:val="center"/>
                </w:tcPr>
                <w:p w14:paraId="51A31F6B">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614D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3277480C">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禁止违反风景名胜区规划，在风景名胜区内设立各类开发区和在核心景区内建设宾馆、招待所、培训中心、疗养院以及与风景名胜资源保护无关的其他建筑物；已经建设的，应当按照风景名胜区规划，逐步迁出。</w:t>
                  </w:r>
                </w:p>
              </w:tc>
              <w:tc>
                <w:tcPr>
                  <w:tcW w:w="1529" w:type="pct"/>
                  <w:noWrap w:val="0"/>
                  <w:vAlign w:val="center"/>
                </w:tcPr>
                <w:p w14:paraId="4F10EB63">
                  <w:pPr>
                    <w:pStyle w:val="32"/>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r>
                    <w:rPr>
                      <w:rFonts w:hint="eastAsia" w:ascii="Times New Roman" w:eastAsia="宋体" w:cs="Times New Roman"/>
                      <w:color w:val="auto"/>
                      <w:kern w:val="2"/>
                      <w:sz w:val="21"/>
                      <w:szCs w:val="21"/>
                      <w:u w:val="none" w:color="auto"/>
                      <w:lang w:val="en-US" w:eastAsia="zh-CN" w:bidi="ar-SA"/>
                    </w:rPr>
                    <w:t>本项目</w:t>
                  </w:r>
                  <w:r>
                    <w:rPr>
                      <w:rFonts w:hint="default" w:ascii="Times New Roman" w:hAnsi="Times New Roman" w:eastAsia="宋体" w:cs="Times New Roman"/>
                      <w:color w:val="auto"/>
                      <w:kern w:val="2"/>
                      <w:sz w:val="21"/>
                      <w:szCs w:val="21"/>
                      <w:u w:val="none" w:color="auto"/>
                      <w:lang w:val="en-US" w:eastAsia="zh-CN" w:bidi="ar-SA"/>
                    </w:rPr>
                    <w:t>洞庭湖水源取水点及泵站位于岳阳楼景区的二级保护区内</w:t>
                  </w:r>
                  <w:r>
                    <w:rPr>
                      <w:rFonts w:hint="eastAsia" w:ascii="Times New Roman" w:eastAsia="宋体" w:cs="Times New Roman"/>
                      <w:color w:val="auto"/>
                      <w:kern w:val="2"/>
                      <w:sz w:val="21"/>
                      <w:szCs w:val="21"/>
                      <w:u w:val="none" w:color="auto"/>
                      <w:lang w:val="en-US" w:eastAsia="zh-CN" w:bidi="ar-SA"/>
                    </w:rPr>
                    <w:t>（净水厂位于外围保护地带）</w:t>
                  </w:r>
                  <w:r>
                    <w:rPr>
                      <w:rFonts w:hint="default" w:ascii="Times New Roman" w:hAnsi="Times New Roman" w:eastAsia="宋体" w:cs="Times New Roman"/>
                      <w:color w:val="auto"/>
                      <w:kern w:val="2"/>
                      <w:sz w:val="21"/>
                      <w:szCs w:val="21"/>
                      <w:u w:val="none" w:color="auto"/>
                      <w:lang w:val="en-US" w:eastAsia="zh-CN" w:bidi="ar-SA"/>
                    </w:rPr>
                    <w:t>，在岳阳楼景区规划之前已存在，不属于破坏风景环境的工程和生产设施</w:t>
                  </w:r>
                </w:p>
              </w:tc>
              <w:tc>
                <w:tcPr>
                  <w:tcW w:w="444" w:type="pct"/>
                  <w:vMerge w:val="continue"/>
                  <w:noWrap w:val="0"/>
                  <w:vAlign w:val="center"/>
                </w:tcPr>
                <w:p w14:paraId="385D0670">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2B70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4EB530E8">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饮用水水源一级保护区内禁止新建、改建、扩建与供水设施和保护水源无关的建设项目，以及网箱养殖、畜禽养殖、旅游等可能污染饮用水水体的投资建设项目；禁止向水域排放污水，已设置的排污口必须拆除；不得设置与供水需要无关的码头，禁止停靠船舶；禁止堆置和存放工业废渣、城市垃圾、粪便和其它废弃物；禁止设置油库；禁止使用含磷洗涤用品。</w:t>
                  </w:r>
                </w:p>
              </w:tc>
              <w:tc>
                <w:tcPr>
                  <w:tcW w:w="1529" w:type="pct"/>
                  <w:vMerge w:val="restart"/>
                  <w:noWrap w:val="0"/>
                  <w:vAlign w:val="center"/>
                </w:tcPr>
                <w:p w14:paraId="2E954A92">
                  <w:pPr>
                    <w:pStyle w:val="32"/>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r>
                    <w:rPr>
                      <w:rFonts w:hint="eastAsia" w:ascii="宋体" w:eastAsia="宋体" w:cs="Times New Roman"/>
                      <w:color w:val="auto"/>
                      <w:sz w:val="21"/>
                      <w:szCs w:val="21"/>
                      <w:lang w:val="en-US" w:eastAsia="zh-CN"/>
                    </w:rPr>
                    <w:t>本项目选址区域的洞庭湖备用取水设施位于饮用水水源保护区内，</w:t>
                  </w:r>
                  <w:r>
                    <w:rPr>
                      <w:rFonts w:hint="eastAsia" w:ascii="宋体" w:eastAsia="宋体" w:cs="Times New Roman"/>
                      <w:color w:val="auto"/>
                      <w:sz w:val="21"/>
                      <w:szCs w:val="21"/>
                      <w:u w:val="single"/>
                      <w:lang w:val="en-US" w:eastAsia="zh-CN"/>
                    </w:rPr>
                    <w:t>备用水源地取水供水设施符合饮用水源地保护区相关保护及管理要求，</w:t>
                  </w:r>
                  <w:r>
                    <w:rPr>
                      <w:rFonts w:hint="eastAsia" w:ascii="宋体" w:eastAsia="宋体" w:cs="Times New Roman"/>
                      <w:color w:val="auto"/>
                      <w:sz w:val="21"/>
                      <w:szCs w:val="21"/>
                      <w:lang w:val="en-US" w:eastAsia="zh-CN"/>
                    </w:rPr>
                    <w:t>项目建设不涉及在水域直接排放污水和新改扩排污口设施，不涉及</w:t>
                  </w:r>
                  <w:r>
                    <w:rPr>
                      <w:rFonts w:hint="default" w:ascii="Times New Roman" w:hAnsi="Times New Roman" w:eastAsia="宋体" w:cs="Times New Roman"/>
                      <w:b w:val="0"/>
                      <w:bCs w:val="0"/>
                      <w:color w:val="auto"/>
                      <w:kern w:val="0"/>
                      <w:sz w:val="21"/>
                      <w:szCs w:val="21"/>
                      <w:highlight w:val="none"/>
                      <w:u w:val="none" w:color="auto"/>
                      <w:lang w:bidi="ar"/>
                    </w:rPr>
                    <w:t>堆置和存放工业废渣、城市垃圾、粪便和其它废弃物；</w:t>
                  </w:r>
                  <w:r>
                    <w:rPr>
                      <w:rFonts w:hint="eastAsia" w:ascii="Times New Roman" w:eastAsia="宋体" w:cs="Times New Roman"/>
                      <w:b w:val="0"/>
                      <w:bCs w:val="0"/>
                      <w:color w:val="auto"/>
                      <w:kern w:val="0"/>
                      <w:sz w:val="21"/>
                      <w:szCs w:val="21"/>
                      <w:highlight w:val="none"/>
                      <w:u w:val="none" w:color="auto"/>
                      <w:lang w:val="en-US" w:eastAsia="zh-CN" w:bidi="ar"/>
                    </w:rPr>
                    <w:t>不设立码头设施，不属于</w:t>
                  </w:r>
                  <w:r>
                    <w:rPr>
                      <w:rFonts w:hint="default" w:ascii="Times New Roman" w:hAnsi="Times New Roman" w:eastAsia="宋体" w:cs="Times New Roman"/>
                      <w:b w:val="0"/>
                      <w:bCs w:val="0"/>
                      <w:color w:val="auto"/>
                      <w:kern w:val="0"/>
                      <w:sz w:val="21"/>
                      <w:szCs w:val="21"/>
                      <w:highlight w:val="none"/>
                      <w:u w:val="none" w:color="auto"/>
                      <w:lang w:bidi="ar"/>
                    </w:rPr>
                    <w:t>油库</w:t>
                  </w:r>
                  <w:r>
                    <w:rPr>
                      <w:rFonts w:hint="eastAsia" w:ascii="Times New Roman" w:eastAsia="宋体" w:cs="Times New Roman"/>
                      <w:b w:val="0"/>
                      <w:bCs w:val="0"/>
                      <w:color w:val="auto"/>
                      <w:kern w:val="0"/>
                      <w:sz w:val="21"/>
                      <w:szCs w:val="21"/>
                      <w:highlight w:val="none"/>
                      <w:u w:val="none" w:color="auto"/>
                      <w:lang w:val="en-US" w:eastAsia="zh-CN" w:bidi="ar"/>
                    </w:rPr>
                    <w:t>设施</w:t>
                  </w:r>
                </w:p>
              </w:tc>
              <w:tc>
                <w:tcPr>
                  <w:tcW w:w="444" w:type="pct"/>
                  <w:vMerge w:val="continue"/>
                  <w:noWrap w:val="0"/>
                  <w:vAlign w:val="center"/>
                </w:tcPr>
                <w:p w14:paraId="003758C3">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7F50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502FE25A">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饮用水水源二级保护区内禁止新建、改建、扩建向水体排放污染物的投资建设项目。原有排污口依法拆除或关闭。禁止设立装卸垃圾、粪便、油类和有毒物品的码头。</w:t>
                  </w:r>
                </w:p>
              </w:tc>
              <w:tc>
                <w:tcPr>
                  <w:tcW w:w="1529" w:type="pct"/>
                  <w:vMerge w:val="continue"/>
                  <w:noWrap w:val="0"/>
                  <w:vAlign w:val="center"/>
                </w:tcPr>
                <w:p w14:paraId="32360286">
                  <w:pPr>
                    <w:pStyle w:val="32"/>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p>
              </w:tc>
              <w:tc>
                <w:tcPr>
                  <w:tcW w:w="444" w:type="pct"/>
                  <w:vMerge w:val="continue"/>
                  <w:noWrap w:val="0"/>
                  <w:vAlign w:val="center"/>
                </w:tcPr>
                <w:p w14:paraId="45DDD94F">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57F7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57A1F587">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禁止在水产种质资源保护区的岸线和河段范围内新建排污口、实施非法围垦河道和围湖造田造地等投资建设项目。</w:t>
                  </w:r>
                </w:p>
              </w:tc>
              <w:tc>
                <w:tcPr>
                  <w:tcW w:w="1529" w:type="pct"/>
                  <w:noWrap w:val="0"/>
                  <w:vAlign w:val="center"/>
                </w:tcPr>
                <w:p w14:paraId="7AF603BF">
                  <w:pPr>
                    <w:contextualSpacing/>
                    <w:jc w:val="left"/>
                    <w:rPr>
                      <w:rFonts w:hint="default" w:ascii="Times New Roman" w:hAnsi="Times New Roman" w:eastAsia="宋体" w:cs="Times New Roman"/>
                      <w:bCs/>
                      <w:kern w:val="2"/>
                      <w:sz w:val="21"/>
                      <w:szCs w:val="21"/>
                      <w:lang w:val="en-US" w:eastAsia="zh-CN" w:bidi="ar-SA"/>
                    </w:rPr>
                  </w:pPr>
                  <w:r>
                    <w:rPr>
                      <w:rFonts w:hint="eastAsia" w:ascii="宋体" w:hAnsi="Courier New" w:eastAsia="宋体" w:cs="Times New Roman"/>
                      <w:color w:val="auto"/>
                      <w:kern w:val="2"/>
                      <w:sz w:val="21"/>
                      <w:szCs w:val="21"/>
                      <w:lang w:val="en-US" w:eastAsia="zh-CN" w:bidi="ar-SA"/>
                    </w:rPr>
                    <w:t>本项目不</w:t>
                  </w:r>
                  <w:r>
                    <w:rPr>
                      <w:rFonts w:hint="eastAsia" w:ascii="宋体" w:eastAsia="宋体" w:cs="Times New Roman"/>
                      <w:color w:val="auto"/>
                      <w:sz w:val="21"/>
                      <w:szCs w:val="21"/>
                      <w:lang w:val="en-US" w:eastAsia="zh-CN"/>
                    </w:rPr>
                    <w:t>新改扩排污口设施</w:t>
                  </w:r>
                  <w:r>
                    <w:rPr>
                      <w:rFonts w:hint="eastAsia" w:ascii="宋体" w:hAnsi="Courier New" w:eastAsia="宋体" w:cs="Times New Roman"/>
                      <w:color w:val="auto"/>
                      <w:kern w:val="2"/>
                      <w:sz w:val="21"/>
                      <w:szCs w:val="21"/>
                      <w:lang w:val="en-US" w:eastAsia="zh-CN" w:bidi="ar-SA"/>
                    </w:rPr>
                    <w:t>，不涉及非法围垦河道和围湖造田造地建设内容</w:t>
                  </w:r>
                </w:p>
              </w:tc>
              <w:tc>
                <w:tcPr>
                  <w:tcW w:w="444" w:type="pct"/>
                  <w:vMerge w:val="continue"/>
                  <w:noWrap w:val="0"/>
                  <w:vAlign w:val="center"/>
                </w:tcPr>
                <w:p w14:paraId="2E984896">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1287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6B3466FA">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除《中华人民共和国防洪法》规定的紧急防汛期采取的紧急措施外，禁止在国家湿地公园的岸线和河段范围内挖沙、采矿，以及以下不符合主体功能定位的行为和活动：</w:t>
                  </w:r>
                </w:p>
                <w:p w14:paraId="06F0F665">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一</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开</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围</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垦、填埋或者排干湿地。</w:t>
                  </w:r>
                </w:p>
                <w:p w14:paraId="67D1B149">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二</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截断湿地水源。</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三</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倾倒有毒有害物质、废弃物、垃圾。</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四</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从事房地产、度假村、高尔夫球场、风力发电、光伏发电等任何不符合主体功能定位的建设项目和开发活动。</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五</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破坏野生动物栖息地和迁徙通道、鱼类洄游通道滥采滥捕野生动植物。</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六</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引入外来物种。</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七</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擅自放牧、捕捞、取土、取水、排污、放生。</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八</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其他破坏湿地及其生态功能的活动。</w:t>
                  </w:r>
                </w:p>
              </w:tc>
              <w:tc>
                <w:tcPr>
                  <w:tcW w:w="1529" w:type="pct"/>
                  <w:noWrap w:val="0"/>
                  <w:vAlign w:val="center"/>
                </w:tcPr>
                <w:p w14:paraId="5E63A36E">
                  <w:pPr>
                    <w:pStyle w:val="32"/>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bCs/>
                      <w:color w:val="auto"/>
                      <w:kern w:val="2"/>
                      <w:sz w:val="21"/>
                      <w:szCs w:val="21"/>
                      <w:u w:val="none" w:color="auto"/>
                      <w:lang w:val="en-US" w:eastAsia="zh-CN" w:bidi="ar"/>
                    </w:rPr>
                    <w:t>本项目选址不在国家湿地公园范围内</w:t>
                  </w:r>
                  <w:r>
                    <w:rPr>
                      <w:rFonts w:hint="eastAsia" w:ascii="Times New Roman" w:eastAsia="宋体" w:cs="Times New Roman"/>
                      <w:bCs/>
                      <w:color w:val="auto"/>
                      <w:kern w:val="2"/>
                      <w:sz w:val="21"/>
                      <w:szCs w:val="21"/>
                      <w:u w:val="none" w:color="auto"/>
                      <w:lang w:val="en-US" w:eastAsia="zh-CN" w:bidi="ar"/>
                    </w:rPr>
                    <w:t>，未</w:t>
                  </w:r>
                  <w:r>
                    <w:rPr>
                      <w:rFonts w:hint="default" w:ascii="Times New Roman" w:hAnsi="Times New Roman" w:eastAsia="宋体" w:cs="Times New Roman"/>
                      <w:b w:val="0"/>
                      <w:bCs w:val="0"/>
                      <w:color w:val="auto"/>
                      <w:kern w:val="0"/>
                      <w:sz w:val="21"/>
                      <w:szCs w:val="21"/>
                      <w:highlight w:val="none"/>
                      <w:u w:val="none" w:color="auto"/>
                      <w:lang w:bidi="ar"/>
                    </w:rPr>
                    <w:t>破坏野生动物栖息地和迁徙通道、鱼类洄游通道滥采滥捕野生动植物</w:t>
                  </w:r>
                </w:p>
              </w:tc>
              <w:tc>
                <w:tcPr>
                  <w:tcW w:w="444" w:type="pct"/>
                  <w:vMerge w:val="continue"/>
                  <w:noWrap w:val="0"/>
                  <w:vAlign w:val="center"/>
                </w:tcPr>
                <w:p w14:paraId="312BE1A0">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38A3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3026" w:type="pct"/>
                  <w:noWrap w:val="0"/>
                  <w:vAlign w:val="center"/>
                </w:tcPr>
                <w:p w14:paraId="1B7502FD">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填湖造地、围湖造田及非法围垦河道，禁止非法建设矮围网围、填埋湿地等侵占河湖水域或者违法利用、占用河湖岸线的行为。</w:t>
                  </w:r>
                </w:p>
              </w:tc>
              <w:tc>
                <w:tcPr>
                  <w:tcW w:w="1529" w:type="pct"/>
                  <w:noWrap w:val="0"/>
                  <w:vAlign w:val="center"/>
                </w:tcPr>
                <w:p w14:paraId="6982A320">
                  <w:pPr>
                    <w:pStyle w:val="32"/>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bCs/>
                      <w:color w:val="auto"/>
                      <w:kern w:val="2"/>
                      <w:sz w:val="21"/>
                      <w:szCs w:val="21"/>
                      <w:u w:val="none" w:color="auto"/>
                      <w:lang w:val="en-US" w:eastAsia="zh-CN" w:bidi="ar"/>
                    </w:rPr>
                    <w:t>本项目选址不在长江岸线保护区和保留区</w:t>
                  </w:r>
                </w:p>
              </w:tc>
              <w:tc>
                <w:tcPr>
                  <w:tcW w:w="444" w:type="pct"/>
                  <w:vMerge w:val="continue"/>
                  <w:noWrap w:val="0"/>
                  <w:vAlign w:val="center"/>
                </w:tcPr>
                <w:p w14:paraId="4C6484D7">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0F61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1F8E493D">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禁止在《全国重要江河湖泊水功能区划》划定的河段及湖泊保护区、保留区内投资建设不利于水资源及自然生态保护的项目。</w:t>
                  </w:r>
                </w:p>
              </w:tc>
              <w:tc>
                <w:tcPr>
                  <w:tcW w:w="1529" w:type="pct"/>
                  <w:noWrap w:val="0"/>
                  <w:vAlign w:val="center"/>
                </w:tcPr>
                <w:p w14:paraId="406CC0D3">
                  <w:pPr>
                    <w:pStyle w:val="32"/>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bCs/>
                      <w:color w:val="auto"/>
                      <w:kern w:val="2"/>
                      <w:sz w:val="21"/>
                      <w:szCs w:val="21"/>
                      <w:u w:val="none" w:color="auto"/>
                      <w:lang w:val="en-US" w:eastAsia="zh-CN" w:bidi="ar"/>
                    </w:rPr>
                    <w:t>本项目位于岳阳楼区洞庭北路383号</w:t>
                  </w:r>
                  <w:r>
                    <w:rPr>
                      <w:rFonts w:hint="default" w:ascii="Times New Roman" w:hAnsi="Times New Roman" w:eastAsia="宋体" w:cs="Times New Roman"/>
                      <w:color w:val="auto"/>
                      <w:sz w:val="21"/>
                      <w:szCs w:val="21"/>
                      <w:u w:val="none" w:color="auto"/>
                    </w:rPr>
                    <w:t>，不</w:t>
                  </w:r>
                  <w:r>
                    <w:rPr>
                      <w:rFonts w:hint="eastAsia" w:ascii="Times New Roman" w:hAnsi="Times New Roman" w:eastAsia="宋体" w:cs="Times New Roman"/>
                      <w:color w:val="auto"/>
                      <w:sz w:val="21"/>
                      <w:szCs w:val="21"/>
                      <w:u w:val="none" w:color="auto"/>
                      <w:lang w:val="en-US" w:eastAsia="zh-CN"/>
                    </w:rPr>
                    <w:t>在</w:t>
                  </w:r>
                  <w:r>
                    <w:rPr>
                      <w:rFonts w:hint="default" w:ascii="Times New Roman" w:hAnsi="Times New Roman" w:eastAsia="宋体" w:cs="Times New Roman"/>
                      <w:color w:val="auto"/>
                      <w:sz w:val="21"/>
                      <w:szCs w:val="21"/>
                      <w:u w:val="none" w:color="auto"/>
                    </w:rPr>
                    <w:t>《全国重要江河湖泊水功能区划》划定的河段及湖泊保护区、保留区</w:t>
                  </w:r>
                </w:p>
              </w:tc>
              <w:tc>
                <w:tcPr>
                  <w:tcW w:w="444" w:type="pct"/>
                  <w:vMerge w:val="continue"/>
                  <w:noWrap w:val="0"/>
                  <w:vAlign w:val="center"/>
                </w:tcPr>
                <w:p w14:paraId="63703A60">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242D2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255340F6">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Cs/>
                      <w:color w:val="auto"/>
                      <w:kern w:val="2"/>
                      <w:sz w:val="21"/>
                      <w:szCs w:val="21"/>
                      <w:u w:val="none" w:color="auto"/>
                      <w:lang w:val="en-US" w:eastAsia="zh-CN" w:bidi="ar"/>
                    </w:rPr>
                  </w:pPr>
                  <w:r>
                    <w:rPr>
                      <w:rFonts w:hint="default" w:ascii="Times New Roman" w:hAnsi="Times New Roman" w:eastAsia="宋体" w:cs="Times New Roman"/>
                      <w:bCs/>
                      <w:color w:val="auto"/>
                      <w:kern w:val="2"/>
                      <w:sz w:val="21"/>
                      <w:szCs w:val="21"/>
                      <w:u w:val="none" w:color="auto"/>
                      <w:lang w:val="en-US" w:eastAsia="zh-CN" w:bidi="ar"/>
                    </w:rPr>
                    <w:t>禁止未经许可在长江干支流及湖泊新设、改设或扩大排污口。</w:t>
                  </w:r>
                </w:p>
              </w:tc>
              <w:tc>
                <w:tcPr>
                  <w:tcW w:w="1529" w:type="pct"/>
                  <w:noWrap w:val="0"/>
                  <w:vAlign w:val="center"/>
                </w:tcPr>
                <w:p w14:paraId="60313952">
                  <w:pPr>
                    <w:pStyle w:val="32"/>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bCs/>
                      <w:color w:val="auto"/>
                      <w:kern w:val="2"/>
                      <w:sz w:val="21"/>
                      <w:szCs w:val="21"/>
                      <w:u w:val="none" w:color="auto"/>
                      <w:lang w:val="en-US" w:eastAsia="zh-CN" w:bidi="ar"/>
                    </w:rPr>
                  </w:pPr>
                  <w:r>
                    <w:rPr>
                      <w:rFonts w:hint="eastAsia" w:ascii="Times New Roman" w:hAnsi="Times New Roman" w:eastAsia="宋体" w:cs="Times New Roman"/>
                      <w:bCs/>
                      <w:color w:val="auto"/>
                      <w:kern w:val="2"/>
                      <w:sz w:val="21"/>
                      <w:szCs w:val="21"/>
                      <w:u w:val="none" w:color="auto"/>
                      <w:lang w:val="en-US" w:eastAsia="zh-CN" w:bidi="ar"/>
                    </w:rPr>
                    <w:t>本</w:t>
                  </w:r>
                  <w:r>
                    <w:rPr>
                      <w:rFonts w:hint="eastAsia" w:ascii="宋体" w:hAnsi="Courier New" w:eastAsia="宋体" w:cs="Times New Roman"/>
                      <w:color w:val="auto"/>
                      <w:kern w:val="2"/>
                      <w:sz w:val="21"/>
                      <w:szCs w:val="21"/>
                      <w:lang w:val="en-US" w:eastAsia="zh-CN" w:bidi="ar-SA"/>
                    </w:rPr>
                    <w:t>项目不</w:t>
                  </w:r>
                  <w:r>
                    <w:rPr>
                      <w:rFonts w:hint="eastAsia" w:ascii="宋体" w:eastAsia="宋体" w:cs="Times New Roman"/>
                      <w:color w:val="auto"/>
                      <w:sz w:val="21"/>
                      <w:szCs w:val="21"/>
                      <w:lang w:val="en-US" w:eastAsia="zh-CN"/>
                    </w:rPr>
                    <w:t>新改扩排污口设施</w:t>
                  </w:r>
                </w:p>
              </w:tc>
              <w:tc>
                <w:tcPr>
                  <w:tcW w:w="444" w:type="pct"/>
                  <w:vMerge w:val="continue"/>
                  <w:noWrap w:val="0"/>
                  <w:vAlign w:val="center"/>
                </w:tcPr>
                <w:p w14:paraId="7AC0BEE6">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4209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28E5C919">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在洞庭湖、湘江、资江、沅江、澧水干流和45个水生生物保护区开展生产性捕捞。在相关自然保护区域和禁猎（渔）区、禁猎（渔）期内，禁止猎捕以及其他妨碍野生动物生息繁衍的活动，但法律法规另有规定的除外。</w:t>
                  </w:r>
                </w:p>
              </w:tc>
              <w:tc>
                <w:tcPr>
                  <w:tcW w:w="1529" w:type="pct"/>
                  <w:noWrap w:val="0"/>
                  <w:vAlign w:val="center"/>
                </w:tcPr>
                <w:p w14:paraId="566B14CC">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val="en-US" w:eastAsia="zh-CN" w:bidi="ar"/>
                    </w:rPr>
                  </w:pPr>
                  <w:r>
                    <w:rPr>
                      <w:rFonts w:hint="eastAsia" w:ascii="Times New Roman" w:hAnsi="Times New Roman" w:eastAsia="宋体" w:cs="Times New Roman"/>
                      <w:b w:val="0"/>
                      <w:bCs w:val="0"/>
                      <w:color w:val="auto"/>
                      <w:kern w:val="0"/>
                      <w:sz w:val="21"/>
                      <w:szCs w:val="21"/>
                      <w:highlight w:val="none"/>
                      <w:u w:val="none" w:color="auto"/>
                      <w:lang w:bidi="ar"/>
                    </w:rPr>
                    <w:t>本项目不涉及生产性捕捞、猎捕和妨碍野生动物生息繁衍的活动</w:t>
                  </w:r>
                </w:p>
              </w:tc>
              <w:tc>
                <w:tcPr>
                  <w:tcW w:w="444" w:type="pct"/>
                  <w:vMerge w:val="continue"/>
                  <w:noWrap w:val="0"/>
                  <w:vAlign w:val="center"/>
                </w:tcPr>
                <w:p w14:paraId="1BDE87E1">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2D1B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313E8818">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在长江湖南段和洞庭湖、湘江、资江、沅江、澧水干流岸线一公里范围内新建、扩建化工园区和化工项目。禁止在长江湖南段岸线三公里范围内和湘江、资江、沅江、澧水岸线一公里范围内新建、改建、扩建尾矿库、冶炼渣库和磷石膏库，以提升安全、生态环境保护水平为目的的改建除外。</w:t>
                  </w:r>
                </w:p>
              </w:tc>
              <w:tc>
                <w:tcPr>
                  <w:tcW w:w="1529" w:type="pct"/>
                  <w:noWrap w:val="0"/>
                  <w:vAlign w:val="center"/>
                </w:tcPr>
                <w:p w14:paraId="208551B6">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val="en-US" w:eastAsia="zh-CN" w:bidi="ar"/>
                    </w:rPr>
                  </w:pPr>
                  <w:r>
                    <w:rPr>
                      <w:rFonts w:hint="eastAsia" w:ascii="Times New Roman" w:hAnsi="Times New Roman" w:eastAsia="宋体" w:cs="Times New Roman"/>
                      <w:b w:val="0"/>
                      <w:bCs w:val="0"/>
                      <w:color w:val="auto"/>
                      <w:kern w:val="0"/>
                      <w:sz w:val="21"/>
                      <w:szCs w:val="21"/>
                      <w:highlight w:val="none"/>
                      <w:u w:val="none" w:color="auto"/>
                      <w:lang w:bidi="ar"/>
                    </w:rPr>
                    <w:t>本项目</w:t>
                  </w:r>
                  <w:r>
                    <w:rPr>
                      <w:rFonts w:hint="eastAsia" w:ascii="Times New Roman" w:hAnsi="Times New Roman" w:eastAsia="宋体" w:cs="Times New Roman"/>
                      <w:b w:val="0"/>
                      <w:bCs w:val="0"/>
                      <w:color w:val="auto"/>
                      <w:kern w:val="0"/>
                      <w:sz w:val="21"/>
                      <w:szCs w:val="21"/>
                      <w:highlight w:val="none"/>
                      <w:u w:val="none" w:color="auto"/>
                      <w:lang w:val="en-US" w:eastAsia="zh-CN" w:bidi="ar"/>
                    </w:rPr>
                    <w:t>属于</w:t>
                  </w:r>
                  <w:r>
                    <w:rPr>
                      <w:rFonts w:hint="eastAsia" w:cs="Times New Roman"/>
                      <w:b w:val="0"/>
                      <w:bCs w:val="0"/>
                      <w:color w:val="auto"/>
                      <w:kern w:val="0"/>
                      <w:sz w:val="21"/>
                      <w:szCs w:val="21"/>
                      <w:highlight w:val="none"/>
                      <w:u w:val="none" w:color="auto"/>
                      <w:lang w:val="en-US" w:eastAsia="zh-CN" w:bidi="ar"/>
                    </w:rPr>
                    <w:t>城镇供水设施</w:t>
                  </w:r>
                  <w:r>
                    <w:rPr>
                      <w:rFonts w:hint="eastAsia" w:ascii="Times New Roman" w:hAnsi="Times New Roman" w:eastAsia="宋体" w:cs="Times New Roman"/>
                      <w:b w:val="0"/>
                      <w:bCs w:val="0"/>
                      <w:color w:val="auto"/>
                      <w:kern w:val="0"/>
                      <w:sz w:val="21"/>
                      <w:szCs w:val="21"/>
                      <w:highlight w:val="none"/>
                      <w:u w:val="none" w:color="auto"/>
                      <w:lang w:bidi="ar"/>
                    </w:rPr>
                    <w:t>，不属于钢铁、石化、化工、焦化、建材、有色等高污染项目，且不属于尾矿库、冶炼渣库和磷石膏库</w:t>
                  </w:r>
                </w:p>
              </w:tc>
              <w:tc>
                <w:tcPr>
                  <w:tcW w:w="444" w:type="pct"/>
                  <w:vMerge w:val="continue"/>
                  <w:noWrap w:val="0"/>
                  <w:vAlign w:val="center"/>
                </w:tcPr>
                <w:p w14:paraId="5D49A3EC">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572F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19F15CAB">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禁止在合规园区外新建、扩建钢铁、石化、化工、焦化、建材、有色、制浆造纸等高污染项目。高污染项目严格按照生态环境部《环境保护综合名录</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2021年版</w:t>
                  </w:r>
                  <w:r>
                    <w:rPr>
                      <w:rFonts w:hint="default" w:ascii="Times New Roman" w:hAnsi="Times New Roman"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》有关要求执行。</w:t>
                  </w:r>
                </w:p>
              </w:tc>
              <w:tc>
                <w:tcPr>
                  <w:tcW w:w="1529" w:type="pct"/>
                  <w:noWrap w:val="0"/>
                  <w:vAlign w:val="center"/>
                </w:tcPr>
                <w:p w14:paraId="7703D27B">
                  <w:pPr>
                    <w:pStyle w:val="32"/>
                    <w:keepNext w:val="0"/>
                    <w:keepLines w:val="0"/>
                    <w:pageBreakBefore w:val="0"/>
                    <w:widowControl w:val="0"/>
                    <w:kinsoku/>
                    <w:wordWrap/>
                    <w:overflowPunct/>
                    <w:topLinePunct w:val="0"/>
                    <w:autoSpaceDE w:val="0"/>
                    <w:autoSpaceDN w:val="0"/>
                    <w:bidi w:val="0"/>
                    <w:adjustRightInd w:val="0"/>
                    <w:snapToGrid w:val="0"/>
                    <w:spacing w:line="240" w:lineRule="exact"/>
                    <w:ind w:firstLine="0" w:firstLineChars="0"/>
                    <w:jc w:val="center"/>
                    <w:textAlignment w:val="baseline"/>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bCs/>
                      <w:color w:val="auto"/>
                      <w:kern w:val="2"/>
                      <w:sz w:val="21"/>
                      <w:szCs w:val="21"/>
                      <w:u w:val="none" w:color="auto"/>
                      <w:lang w:val="en-US" w:eastAsia="zh-CN" w:bidi="ar"/>
                    </w:rPr>
                    <w:t>本项目</w:t>
                  </w:r>
                  <w:r>
                    <w:rPr>
                      <w:rFonts w:hint="eastAsia" w:ascii="Times New Roman" w:eastAsia="宋体" w:cs="Times New Roman"/>
                      <w:bCs/>
                      <w:color w:val="auto"/>
                      <w:kern w:val="2"/>
                      <w:sz w:val="21"/>
                      <w:szCs w:val="21"/>
                      <w:u w:val="none" w:color="auto"/>
                      <w:lang w:val="en-US" w:eastAsia="zh-CN" w:bidi="ar"/>
                    </w:rPr>
                    <w:t>不属于</w:t>
                  </w:r>
                  <w:r>
                    <w:rPr>
                      <w:rFonts w:hint="default" w:ascii="Times New Roman" w:hAnsi="Times New Roman" w:eastAsia="宋体" w:cs="Times New Roman"/>
                      <w:b w:val="0"/>
                      <w:bCs w:val="0"/>
                      <w:color w:val="auto"/>
                      <w:kern w:val="0"/>
                      <w:sz w:val="21"/>
                      <w:szCs w:val="21"/>
                      <w:highlight w:val="none"/>
                      <w:u w:val="none" w:color="auto"/>
                      <w:lang w:bidi="ar"/>
                    </w:rPr>
                    <w:t>钢铁、石化、化工、焦化、建材、有色、制浆造纸等高污染项目</w:t>
                  </w:r>
                </w:p>
              </w:tc>
              <w:tc>
                <w:tcPr>
                  <w:tcW w:w="444" w:type="pct"/>
                  <w:vMerge w:val="continue"/>
                  <w:noWrap w:val="0"/>
                  <w:vAlign w:val="center"/>
                </w:tcPr>
                <w:p w14:paraId="089CD84C">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7EB3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529E1951">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禁止新建、扩建不符合国家石化、现代煤化工等产业布局规划的项目。未通过认定的化工园区，不得新建、改扩建化工项目（安全、环保、节能和智能化改造项目除外</w:t>
                  </w:r>
                  <w:r>
                    <w:rPr>
                      <w:rFonts w:hint="default" w:ascii="Times New Roman" w:hAnsi="Times New Roman" w:eastAsia="宋体" w:cs="Times New Roman"/>
                      <w:b w:val="0"/>
                      <w:bCs w:val="0"/>
                      <w:color w:val="auto"/>
                      <w:kern w:val="0"/>
                      <w:sz w:val="21"/>
                      <w:szCs w:val="21"/>
                      <w:highlight w:val="none"/>
                      <w:u w:val="none" w:color="auto"/>
                      <w:lang w:eastAsia="zh-CN" w:bidi="ar"/>
                    </w:rPr>
                    <w:t>）</w:t>
                  </w:r>
                  <w:r>
                    <w:rPr>
                      <w:rFonts w:hint="default" w:ascii="Times New Roman" w:hAnsi="Times New Roman" w:eastAsia="宋体" w:cs="Times New Roman"/>
                      <w:b w:val="0"/>
                      <w:bCs w:val="0"/>
                      <w:color w:val="auto"/>
                      <w:kern w:val="0"/>
                      <w:sz w:val="21"/>
                      <w:szCs w:val="21"/>
                      <w:highlight w:val="none"/>
                      <w:u w:val="none" w:color="auto"/>
                      <w:lang w:bidi="ar"/>
                    </w:rPr>
                    <w:t>。</w:t>
                  </w:r>
                </w:p>
              </w:tc>
              <w:tc>
                <w:tcPr>
                  <w:tcW w:w="1529" w:type="pct"/>
                  <w:noWrap w:val="0"/>
                  <w:vAlign w:val="center"/>
                </w:tcPr>
                <w:p w14:paraId="505CC094">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val="en-US" w:eastAsia="zh-CN" w:bidi="ar"/>
                    </w:rPr>
                  </w:pPr>
                  <w:r>
                    <w:rPr>
                      <w:rFonts w:hint="eastAsia" w:ascii="Times New Roman" w:hAnsi="Times New Roman" w:eastAsia="宋体" w:cs="Times New Roman"/>
                      <w:b w:val="0"/>
                      <w:bCs w:val="0"/>
                      <w:color w:val="auto"/>
                      <w:kern w:val="0"/>
                      <w:sz w:val="21"/>
                      <w:szCs w:val="21"/>
                      <w:highlight w:val="none"/>
                      <w:u w:val="none" w:color="auto"/>
                      <w:lang w:bidi="ar"/>
                    </w:rPr>
                    <w:t>本项目不属于化工、石化和现代煤化工项目</w:t>
                  </w:r>
                </w:p>
              </w:tc>
              <w:tc>
                <w:tcPr>
                  <w:tcW w:w="444" w:type="pct"/>
                  <w:vMerge w:val="continue"/>
                  <w:noWrap w:val="0"/>
                  <w:vAlign w:val="center"/>
                </w:tcPr>
                <w:p w14:paraId="2BAEEBB1">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r w14:paraId="79E3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3026" w:type="pct"/>
                  <w:noWrap w:val="0"/>
                  <w:vAlign w:val="center"/>
                </w:tcPr>
                <w:p w14:paraId="366FE5C4">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r>
                    <w:rPr>
                      <w:rFonts w:hint="default" w:ascii="Times New Roman" w:hAnsi="Times New Roman" w:eastAsia="宋体" w:cs="Times New Roman"/>
                      <w:b w:val="0"/>
                      <w:bCs w:val="0"/>
                      <w:color w:val="auto"/>
                      <w:kern w:val="0"/>
                      <w:sz w:val="21"/>
                      <w:szCs w:val="21"/>
                      <w:highlight w:val="none"/>
                      <w:u w:val="none" w:color="auto"/>
                      <w:lang w:bidi="ar"/>
                    </w:rPr>
                    <w:t>禁止新建、扩建法律法规和相关政策明令禁止的落后产能项目；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1529" w:type="pct"/>
                  <w:noWrap w:val="0"/>
                  <w:vAlign w:val="center"/>
                </w:tcPr>
                <w:p w14:paraId="6D5F9BF8">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val="en-US" w:eastAsia="zh-CN" w:bidi="ar"/>
                    </w:rPr>
                  </w:pPr>
                  <w:r>
                    <w:rPr>
                      <w:rFonts w:hint="eastAsia" w:ascii="Times New Roman" w:hAnsi="Times New Roman" w:eastAsia="宋体" w:cs="Times New Roman"/>
                      <w:b w:val="0"/>
                      <w:bCs w:val="0"/>
                      <w:color w:val="auto"/>
                      <w:kern w:val="0"/>
                      <w:sz w:val="21"/>
                      <w:szCs w:val="21"/>
                      <w:highlight w:val="none"/>
                      <w:u w:val="none" w:color="auto"/>
                      <w:lang w:bidi="ar"/>
                    </w:rPr>
                    <w:t>本项目不属于国家产能置换要求的严重过剩产能行业的项目，也不属于高污染项目</w:t>
                  </w:r>
                </w:p>
              </w:tc>
              <w:tc>
                <w:tcPr>
                  <w:tcW w:w="444" w:type="pct"/>
                  <w:vMerge w:val="continue"/>
                  <w:noWrap w:val="0"/>
                  <w:vAlign w:val="center"/>
                </w:tcPr>
                <w:p w14:paraId="065C11CC">
                  <w:pPr>
                    <w:keepNext w:val="0"/>
                    <w:keepLines w:val="0"/>
                    <w:pageBreakBefore w:val="0"/>
                    <w:widowControl/>
                    <w:suppressLineNumbers w:val="0"/>
                    <w:kinsoku/>
                    <w:wordWrap/>
                    <w:overflowPunct/>
                    <w:topLinePunct w:val="0"/>
                    <w:autoSpaceDE/>
                    <w:bidi w:val="0"/>
                    <w:snapToGrid/>
                    <w:spacing w:line="240" w:lineRule="auto"/>
                    <w:ind w:firstLine="0" w:firstLineChars="0"/>
                    <w:jc w:val="left"/>
                    <w:rPr>
                      <w:rFonts w:hint="default" w:ascii="Times New Roman" w:hAnsi="Times New Roman" w:eastAsia="宋体" w:cs="Times New Roman"/>
                      <w:b w:val="0"/>
                      <w:bCs w:val="0"/>
                      <w:color w:val="auto"/>
                      <w:kern w:val="0"/>
                      <w:sz w:val="21"/>
                      <w:szCs w:val="21"/>
                      <w:highlight w:val="none"/>
                      <w:u w:val="none" w:color="auto"/>
                      <w:lang w:bidi="ar"/>
                    </w:rPr>
                  </w:pPr>
                </w:p>
              </w:tc>
            </w:tr>
          </w:tbl>
          <w:p w14:paraId="48F71146">
            <w:pPr>
              <w:autoSpaceDE w:val="0"/>
              <w:autoSpaceDN w:val="0"/>
              <w:spacing w:line="360" w:lineRule="auto"/>
              <w:ind w:firstLine="480" w:firstLineChars="200"/>
              <w:jc w:val="left"/>
              <w:rPr>
                <w:rFonts w:hint="eastAsia"/>
                <w:sz w:val="24"/>
                <w:highlight w:val="none"/>
              </w:rPr>
            </w:pPr>
            <w:r>
              <w:rPr>
                <w:rFonts w:hint="eastAsia"/>
                <w:sz w:val="24"/>
                <w:highlight w:val="none"/>
              </w:rPr>
              <w:t>根据上表分析</w:t>
            </w:r>
            <w:r>
              <w:rPr>
                <w:rFonts w:hint="eastAsia"/>
                <w:sz w:val="24"/>
                <w:highlight w:val="none"/>
                <w:lang w:val="en-US" w:eastAsia="zh-CN"/>
              </w:rPr>
              <w:t>负面清单与</w:t>
            </w:r>
            <w:r>
              <w:rPr>
                <w:rFonts w:hint="eastAsia"/>
                <w:sz w:val="24"/>
                <w:highlight w:val="none"/>
              </w:rPr>
              <w:t>本项目</w:t>
            </w:r>
            <w:r>
              <w:rPr>
                <w:rFonts w:hint="eastAsia"/>
                <w:sz w:val="24"/>
                <w:highlight w:val="none"/>
                <w:lang w:val="en-US" w:eastAsia="zh-CN"/>
              </w:rPr>
              <w:t>实际内容情况可知，项目实施内容</w:t>
            </w:r>
            <w:r>
              <w:rPr>
                <w:rFonts w:hint="eastAsia"/>
                <w:sz w:val="24"/>
                <w:highlight w:val="none"/>
              </w:rPr>
              <w:t>不属于《湖南省长江经济带发展负面清单实施细则（试行，2022年版）》中禁止建设项目类型，符合负面清单中的相关要求。</w:t>
            </w:r>
          </w:p>
          <w:p w14:paraId="3AC98152">
            <w:pPr>
              <w:autoSpaceDE w:val="0"/>
              <w:autoSpaceDN w:val="0"/>
              <w:spacing w:line="360" w:lineRule="auto"/>
              <w:jc w:val="left"/>
              <w:rPr>
                <w:b/>
                <w:bCs/>
                <w:sz w:val="24"/>
              </w:rPr>
            </w:pPr>
            <w:r>
              <w:rPr>
                <w:rFonts w:hint="eastAsia"/>
                <w:b/>
                <w:bCs/>
                <w:sz w:val="24"/>
                <w:lang w:val="en-US" w:eastAsia="zh-CN"/>
              </w:rPr>
              <w:t>四</w:t>
            </w:r>
            <w:r>
              <w:rPr>
                <w:rFonts w:hint="eastAsia"/>
                <w:b/>
                <w:bCs/>
                <w:sz w:val="24"/>
              </w:rPr>
              <w:t>、</w:t>
            </w:r>
            <w:r>
              <w:rPr>
                <w:rFonts w:hint="eastAsia" w:ascii="Times New Roman" w:hAnsi="Times New Roman" w:eastAsia="宋体" w:cs="Times New Roman"/>
                <w:b/>
                <w:bCs/>
                <w:color w:val="000000"/>
                <w:sz w:val="24"/>
                <w:szCs w:val="24"/>
                <w:lang w:val="en-US" w:eastAsia="zh-CN"/>
              </w:rPr>
              <w:t>与《风景名胜区条例》</w:t>
            </w:r>
            <w:r>
              <w:rPr>
                <w:rFonts w:hint="eastAsia" w:ascii="Times New Roman" w:hAnsi="Times New Roman" w:eastAsia="宋体" w:cs="Times New Roman"/>
                <w:b w:val="0"/>
                <w:bCs w:val="0"/>
                <w:color w:val="000000"/>
                <w:sz w:val="24"/>
                <w:szCs w:val="24"/>
                <w:lang w:val="en-US" w:eastAsia="zh-CN"/>
              </w:rPr>
              <w:t>（2026年修订）</w:t>
            </w:r>
            <w:r>
              <w:rPr>
                <w:rFonts w:hint="eastAsia" w:ascii="Times New Roman" w:hAnsi="Times New Roman" w:eastAsia="宋体" w:cs="Times New Roman"/>
                <w:b/>
                <w:bCs/>
                <w:color w:val="000000"/>
                <w:sz w:val="24"/>
                <w:szCs w:val="24"/>
                <w:lang w:val="en-US" w:eastAsia="zh-CN"/>
              </w:rPr>
              <w:t>符合性分析</w:t>
            </w:r>
          </w:p>
          <w:p w14:paraId="2BFAFC2D">
            <w:pPr>
              <w:autoSpaceDE w:val="0"/>
              <w:autoSpaceDN w:val="0"/>
              <w:spacing w:line="360" w:lineRule="auto"/>
              <w:ind w:firstLine="480" w:firstLineChars="200"/>
              <w:jc w:val="left"/>
              <w:rPr>
                <w:rFonts w:hint="eastAsia"/>
                <w:sz w:val="24"/>
              </w:rPr>
            </w:pPr>
            <w:r>
              <w:rPr>
                <w:rFonts w:hint="eastAsia"/>
                <w:sz w:val="24"/>
              </w:rPr>
              <w:t>本项目与《风景名胜区条例》</w:t>
            </w:r>
            <w:r>
              <w:rPr>
                <w:rFonts w:hint="eastAsia" w:cs="Times New Roman"/>
                <w:b w:val="0"/>
                <w:bCs w:val="0"/>
                <w:color w:val="000000"/>
                <w:sz w:val="24"/>
                <w:szCs w:val="24"/>
                <w:lang w:val="en-US" w:eastAsia="zh-CN"/>
              </w:rPr>
              <w:t>(</w:t>
            </w:r>
            <w:r>
              <w:rPr>
                <w:rFonts w:hint="eastAsia" w:ascii="Times New Roman" w:hAnsi="Times New Roman" w:eastAsia="宋体" w:cs="Times New Roman"/>
                <w:b w:val="0"/>
                <w:bCs w:val="0"/>
                <w:color w:val="000000"/>
                <w:sz w:val="24"/>
                <w:szCs w:val="24"/>
                <w:lang w:val="en-US" w:eastAsia="zh-CN"/>
              </w:rPr>
              <w:t>2026年修订</w:t>
            </w:r>
            <w:r>
              <w:rPr>
                <w:rFonts w:hint="eastAsia" w:cs="Times New Roman"/>
                <w:b w:val="0"/>
                <w:bCs w:val="0"/>
                <w:color w:val="000000"/>
                <w:sz w:val="24"/>
                <w:szCs w:val="24"/>
                <w:lang w:val="en-US" w:eastAsia="zh-CN"/>
              </w:rPr>
              <w:t>)</w:t>
            </w:r>
            <w:r>
              <w:rPr>
                <w:rFonts w:hint="eastAsia"/>
                <w:sz w:val="24"/>
              </w:rPr>
              <w:t>中有关条款要求符合情况分析见下表：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78"/>
              <w:gridCol w:w="2491"/>
              <w:gridCol w:w="568"/>
            </w:tblGrid>
            <w:tr w14:paraId="1B43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2730" w:type="pct"/>
                  <w:noWrap w:val="0"/>
                  <w:vAlign w:val="center"/>
                </w:tcPr>
                <w:p w14:paraId="563BEBE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none" w:color="auto"/>
                      <w:lang w:val="en-US" w:eastAsia="zh-CN" w:bidi="ar-SA"/>
                    </w:rPr>
                  </w:pPr>
                  <w:r>
                    <w:rPr>
                      <w:rFonts w:hint="eastAsia" w:ascii="Times New Roman" w:hAnsi="Times New Roman" w:eastAsia="宋体" w:cs="Times New Roman"/>
                      <w:b/>
                      <w:bCs/>
                      <w:color w:val="auto"/>
                      <w:kern w:val="2"/>
                      <w:sz w:val="21"/>
                      <w:szCs w:val="21"/>
                      <w:highlight w:val="none"/>
                      <w:u w:val="none" w:color="auto"/>
                      <w:lang w:val="en-US" w:eastAsia="zh-CN" w:bidi="ar-SA"/>
                    </w:rPr>
                    <w:t>条款规定</w:t>
                  </w:r>
                </w:p>
              </w:tc>
              <w:tc>
                <w:tcPr>
                  <w:tcW w:w="1849" w:type="pct"/>
                  <w:noWrap w:val="0"/>
                  <w:vAlign w:val="center"/>
                </w:tcPr>
                <w:p w14:paraId="3D6A215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none" w:color="auto"/>
                      <w:lang w:val="en-US" w:eastAsia="zh-CN" w:bidi="ar-SA"/>
                    </w:rPr>
                  </w:pPr>
                  <w:r>
                    <w:rPr>
                      <w:rFonts w:hint="eastAsia" w:ascii="Times New Roman" w:hAnsi="Times New Roman" w:eastAsia="宋体" w:cs="Times New Roman"/>
                      <w:b/>
                      <w:bCs/>
                      <w:color w:val="auto"/>
                      <w:kern w:val="2"/>
                      <w:sz w:val="21"/>
                      <w:szCs w:val="21"/>
                      <w:highlight w:val="none"/>
                      <w:u w:val="none" w:color="auto"/>
                      <w:lang w:val="en-US" w:eastAsia="zh-CN" w:bidi="ar-SA"/>
                    </w:rPr>
                    <w:t>本项目情形</w:t>
                  </w:r>
                </w:p>
              </w:tc>
              <w:tc>
                <w:tcPr>
                  <w:tcW w:w="421" w:type="pct"/>
                  <w:noWrap w:val="0"/>
                  <w:vAlign w:val="center"/>
                </w:tcPr>
                <w:p w14:paraId="48C9136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none" w:color="auto"/>
                      <w:lang w:val="en-US" w:eastAsia="zh-CN" w:bidi="ar-SA"/>
                    </w:rPr>
                  </w:pPr>
                  <w:r>
                    <w:rPr>
                      <w:rFonts w:hint="eastAsia" w:ascii="Times New Roman" w:hAnsi="Times New Roman" w:eastAsia="宋体" w:cs="Times New Roman"/>
                      <w:b/>
                      <w:bCs/>
                      <w:color w:val="auto"/>
                      <w:kern w:val="2"/>
                      <w:sz w:val="21"/>
                      <w:szCs w:val="21"/>
                      <w:highlight w:val="none"/>
                      <w:u w:val="none" w:color="auto"/>
                      <w:lang w:val="en-US" w:eastAsia="zh-CN" w:bidi="ar-SA"/>
                    </w:rPr>
                    <w:t>分析</w:t>
                  </w:r>
                </w:p>
                <w:p w14:paraId="59BBF20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none" w:color="auto"/>
                      <w:lang w:val="en-US" w:eastAsia="zh-CN" w:bidi="ar-SA"/>
                    </w:rPr>
                  </w:pPr>
                  <w:r>
                    <w:rPr>
                      <w:rFonts w:hint="eastAsia" w:ascii="Times New Roman" w:hAnsi="Times New Roman" w:eastAsia="宋体" w:cs="Times New Roman"/>
                      <w:b/>
                      <w:bCs/>
                      <w:color w:val="auto"/>
                      <w:kern w:val="2"/>
                      <w:sz w:val="21"/>
                      <w:szCs w:val="21"/>
                      <w:highlight w:val="none"/>
                      <w:u w:val="none" w:color="auto"/>
                      <w:lang w:val="en-US" w:eastAsia="zh-CN" w:bidi="ar-SA"/>
                    </w:rPr>
                    <w:t>结论</w:t>
                  </w:r>
                </w:p>
              </w:tc>
            </w:tr>
            <w:tr w14:paraId="3936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30" w:type="pct"/>
                  <w:noWrap w:val="0"/>
                  <w:vAlign w:val="center"/>
                </w:tcPr>
                <w:p w14:paraId="78BA5DE4">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b/>
                      <w:bCs/>
                      <w:sz w:val="21"/>
                      <w:szCs w:val="21"/>
                    </w:rPr>
                    <w:t>第二十六条</w:t>
                  </w:r>
                  <w:r>
                    <w:rPr>
                      <w:rFonts w:ascii="Times New Roman" w:hAnsi="Times New Roman"/>
                      <w:sz w:val="21"/>
                      <w:szCs w:val="21"/>
                    </w:rPr>
                    <w:t xml:space="preserve">  在风景名胜区内禁止进行下列活动：</w:t>
                  </w:r>
                </w:p>
                <w:p w14:paraId="61C94AA8">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（一）开山、采石、开矿、开荒、修坟立碑等破坏景观、植被和地形地貌的活动；</w:t>
                  </w:r>
                </w:p>
                <w:p w14:paraId="5A92F202">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（二）修建储存爆炸性、易燃性、放射性、毒害性、腐蚀性物品的设施；</w:t>
                  </w:r>
                </w:p>
                <w:p w14:paraId="4F7BB373">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（三）在景物或者设施上刻划、涂污；</w:t>
                  </w:r>
                </w:p>
                <w:p w14:paraId="197DFD71">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b/>
                      <w:sz w:val="21"/>
                      <w:szCs w:val="21"/>
                    </w:rPr>
                  </w:pPr>
                  <w:r>
                    <w:rPr>
                      <w:rFonts w:ascii="Times New Roman" w:hAnsi="Times New Roman"/>
                      <w:sz w:val="21"/>
                      <w:szCs w:val="21"/>
                    </w:rPr>
                    <w:t>（四）乱扔垃圾。</w:t>
                  </w:r>
                </w:p>
              </w:tc>
              <w:tc>
                <w:tcPr>
                  <w:tcW w:w="1849" w:type="pct"/>
                  <w:noWrap w:val="0"/>
                  <w:vAlign w:val="center"/>
                </w:tcPr>
                <w:p w14:paraId="47A02E2A">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本项目</w:t>
                  </w:r>
                  <w:r>
                    <w:rPr>
                      <w:rFonts w:hint="eastAsia"/>
                      <w:sz w:val="21"/>
                      <w:szCs w:val="21"/>
                      <w:lang w:val="en-US" w:eastAsia="zh-CN"/>
                    </w:rPr>
                    <w:t>净水厂厂区位于岳阳楼景区外围保护地带，备用水源取水口和泵站等设施位于</w:t>
                  </w:r>
                  <w:r>
                    <w:rPr>
                      <w:rFonts w:hint="eastAsia" w:ascii="Times New Roman" w:hAnsi="Times New Roman"/>
                      <w:sz w:val="21"/>
                      <w:szCs w:val="21"/>
                      <w:lang w:val="en-US" w:eastAsia="zh-CN"/>
                    </w:rPr>
                    <w:t>岳阳楼景区的二级保护区内，</w:t>
                  </w:r>
                  <w:r>
                    <w:rPr>
                      <w:rFonts w:hint="eastAsia"/>
                      <w:sz w:val="21"/>
                      <w:szCs w:val="21"/>
                      <w:lang w:val="en-US" w:eastAsia="zh-CN"/>
                    </w:rPr>
                    <w:t>且</w:t>
                  </w:r>
                  <w:r>
                    <w:rPr>
                      <w:rFonts w:ascii="Times New Roman" w:hAnsi="Times New Roman"/>
                      <w:sz w:val="21"/>
                      <w:szCs w:val="21"/>
                    </w:rPr>
                    <w:t>不涉及</w:t>
                  </w:r>
                  <w:r>
                    <w:rPr>
                      <w:rFonts w:hint="eastAsia" w:ascii="Times New Roman" w:hAnsi="Times New Roman"/>
                      <w:sz w:val="21"/>
                      <w:szCs w:val="21"/>
                    </w:rPr>
                    <w:t>左述</w:t>
                  </w:r>
                  <w:r>
                    <w:rPr>
                      <w:rFonts w:ascii="Times New Roman" w:hAnsi="Times New Roman"/>
                      <w:sz w:val="21"/>
                      <w:szCs w:val="21"/>
                    </w:rPr>
                    <w:t>条款中禁止活动。</w:t>
                  </w:r>
                </w:p>
              </w:tc>
              <w:tc>
                <w:tcPr>
                  <w:tcW w:w="421" w:type="pct"/>
                  <w:noWrap w:val="0"/>
                  <w:vAlign w:val="center"/>
                </w:tcPr>
                <w:p w14:paraId="0ABBEDA7">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rPr>
                  </w:pPr>
                  <w:r>
                    <w:rPr>
                      <w:rFonts w:ascii="Times New Roman" w:hAnsi="Times New Roman"/>
                      <w:sz w:val="21"/>
                      <w:szCs w:val="21"/>
                    </w:rPr>
                    <w:t>符合</w:t>
                  </w:r>
                </w:p>
              </w:tc>
            </w:tr>
            <w:tr w14:paraId="1D45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30" w:type="pct"/>
                  <w:noWrap w:val="0"/>
                  <w:vAlign w:val="center"/>
                </w:tcPr>
                <w:p w14:paraId="371CCAF9">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b/>
                      <w:bCs/>
                      <w:sz w:val="21"/>
                      <w:szCs w:val="21"/>
                    </w:rPr>
                    <w:t>第二十七条</w:t>
                  </w:r>
                  <w:r>
                    <w:rPr>
                      <w:rFonts w:ascii="Times New Roman" w:hAnsi="Times New Roman"/>
                      <w:sz w:val="21"/>
                      <w:szCs w:val="21"/>
                    </w:rPr>
                    <w:t xml:space="preserve">  禁止违反风景名胜区规划，在风景名胜区内设立各类开发区和在核心景区内建设宾馆、招待所、培训中心、疗养院以及与风景名胜资源保护无关的其他建筑物；已经建设的，应当按照风景名胜区规划，逐步迁出。</w:t>
                  </w:r>
                </w:p>
              </w:tc>
              <w:tc>
                <w:tcPr>
                  <w:tcW w:w="1849" w:type="pct"/>
                  <w:noWrap w:val="0"/>
                  <w:vAlign w:val="center"/>
                </w:tcPr>
                <w:p w14:paraId="362CA4CB">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sz w:val="21"/>
                      <w:szCs w:val="21"/>
                      <w:lang w:eastAsia="zh-CN"/>
                    </w:rPr>
                  </w:pPr>
                  <w:r>
                    <w:rPr>
                      <w:rFonts w:hint="eastAsia"/>
                      <w:sz w:val="21"/>
                      <w:szCs w:val="21"/>
                      <w:lang w:val="en-US" w:eastAsia="zh-CN"/>
                    </w:rPr>
                    <w:t>本项目属于历史存在的取水供水设施，不涉及</w:t>
                  </w:r>
                  <w:r>
                    <w:rPr>
                      <w:rFonts w:ascii="Times New Roman" w:hAnsi="Times New Roman"/>
                      <w:sz w:val="21"/>
                      <w:szCs w:val="21"/>
                    </w:rPr>
                    <w:t>宾馆、招待所、培训中心、疗养院以及与风景名胜资源保护无关的其他建筑物</w:t>
                  </w:r>
                </w:p>
              </w:tc>
              <w:tc>
                <w:tcPr>
                  <w:tcW w:w="421" w:type="pct"/>
                  <w:noWrap w:val="0"/>
                  <w:vAlign w:val="center"/>
                </w:tcPr>
                <w:p w14:paraId="49177EB8">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rPr>
                  </w:pPr>
                  <w:r>
                    <w:rPr>
                      <w:rFonts w:ascii="Times New Roman" w:hAnsi="Times New Roman"/>
                      <w:sz w:val="21"/>
                      <w:szCs w:val="21"/>
                    </w:rPr>
                    <w:t>符合</w:t>
                  </w:r>
                </w:p>
              </w:tc>
            </w:tr>
            <w:tr w14:paraId="71FC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30" w:type="pct"/>
                  <w:noWrap w:val="0"/>
                  <w:vAlign w:val="center"/>
                </w:tcPr>
                <w:p w14:paraId="295FA7CD">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b/>
                      <w:bCs/>
                      <w:sz w:val="21"/>
                      <w:szCs w:val="21"/>
                    </w:rPr>
                    <w:t>第二十九条</w:t>
                  </w:r>
                  <w:r>
                    <w:rPr>
                      <w:rFonts w:ascii="Times New Roman" w:hAnsi="Times New Roman"/>
                      <w:sz w:val="21"/>
                      <w:szCs w:val="21"/>
                    </w:rPr>
                    <w:t xml:space="preserve">  在风景名胜区内进行下列活动，应当经风景名胜区管理机构审核后，依照有关法律、法规的规定报有关主管部门批准：</w:t>
                  </w:r>
                </w:p>
                <w:p w14:paraId="2C784FC7">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（一）设置、张贴商业广告；</w:t>
                  </w:r>
                </w:p>
                <w:p w14:paraId="4F9A64BD">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（二）举办大型游乐等活动；</w:t>
                  </w:r>
                </w:p>
                <w:p w14:paraId="7E4F12B3">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（三）改变水资源、水环境自然状态的活动；</w:t>
                  </w:r>
                </w:p>
                <w:p w14:paraId="255F42DB">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b/>
                      <w:sz w:val="21"/>
                      <w:szCs w:val="21"/>
                    </w:rPr>
                  </w:pPr>
                  <w:r>
                    <w:rPr>
                      <w:rFonts w:ascii="Times New Roman" w:hAnsi="Times New Roman"/>
                      <w:sz w:val="21"/>
                      <w:szCs w:val="21"/>
                    </w:rPr>
                    <w:t>（四）其他影响生态和景观的活动。</w:t>
                  </w:r>
                </w:p>
              </w:tc>
              <w:tc>
                <w:tcPr>
                  <w:tcW w:w="1849" w:type="pct"/>
                  <w:noWrap w:val="0"/>
                  <w:vAlign w:val="center"/>
                </w:tcPr>
                <w:p w14:paraId="1783395C">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sz w:val="21"/>
                      <w:szCs w:val="21"/>
                      <w:lang w:eastAsia="zh-CN"/>
                    </w:rPr>
                  </w:pPr>
                  <w:r>
                    <w:rPr>
                      <w:rFonts w:ascii="Times New Roman" w:hAnsi="Times New Roman"/>
                      <w:sz w:val="21"/>
                      <w:szCs w:val="21"/>
                    </w:rPr>
                    <w:t>本项目</w:t>
                  </w:r>
                  <w:r>
                    <w:rPr>
                      <w:rFonts w:hint="eastAsia"/>
                      <w:sz w:val="21"/>
                      <w:szCs w:val="21"/>
                      <w:lang w:val="en-US" w:eastAsia="zh-CN"/>
                    </w:rPr>
                    <w:t>不属于影响</w:t>
                  </w:r>
                  <w:r>
                    <w:rPr>
                      <w:rFonts w:ascii="Times New Roman" w:hAnsi="Times New Roman"/>
                      <w:sz w:val="21"/>
                      <w:szCs w:val="21"/>
                    </w:rPr>
                    <w:t>生态和景观的活动</w:t>
                  </w:r>
                  <w:r>
                    <w:rPr>
                      <w:rFonts w:hint="eastAsia" w:ascii="Times New Roman" w:hAnsi="Times New Roman"/>
                      <w:sz w:val="21"/>
                      <w:szCs w:val="21"/>
                    </w:rPr>
                    <w:t>，</w:t>
                  </w:r>
                  <w:r>
                    <w:rPr>
                      <w:rFonts w:hint="eastAsia"/>
                      <w:sz w:val="21"/>
                      <w:szCs w:val="21"/>
                      <w:lang w:val="en-US" w:eastAsia="zh-CN"/>
                    </w:rPr>
                    <w:t>项目实施不涉及</w:t>
                  </w:r>
                  <w:r>
                    <w:rPr>
                      <w:rFonts w:hint="eastAsia" w:ascii="Times New Roman" w:hAnsi="Times New Roman"/>
                      <w:sz w:val="21"/>
                      <w:szCs w:val="21"/>
                    </w:rPr>
                    <w:t>施工期</w:t>
                  </w:r>
                </w:p>
              </w:tc>
              <w:tc>
                <w:tcPr>
                  <w:tcW w:w="421" w:type="pct"/>
                  <w:noWrap w:val="0"/>
                  <w:vAlign w:val="center"/>
                </w:tcPr>
                <w:p w14:paraId="7228FC9A">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rPr>
                  </w:pPr>
                  <w:r>
                    <w:rPr>
                      <w:rFonts w:ascii="Times New Roman" w:hAnsi="Times New Roman"/>
                      <w:sz w:val="21"/>
                      <w:szCs w:val="21"/>
                    </w:rPr>
                    <w:t>符合</w:t>
                  </w:r>
                </w:p>
              </w:tc>
            </w:tr>
            <w:tr w14:paraId="6252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30" w:type="pct"/>
                  <w:noWrap w:val="0"/>
                  <w:vAlign w:val="center"/>
                </w:tcPr>
                <w:p w14:paraId="0EF7A191">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b/>
                      <w:bCs/>
                      <w:sz w:val="21"/>
                      <w:szCs w:val="21"/>
                    </w:rPr>
                    <w:t>第三十条</w:t>
                  </w:r>
                  <w:r>
                    <w:rPr>
                      <w:rFonts w:ascii="Times New Roman" w:hAnsi="Times New Roman"/>
                      <w:sz w:val="21"/>
                      <w:szCs w:val="21"/>
                    </w:rPr>
                    <w:t xml:space="preserve">  风景名胜区内的建设项目应当符合风景名胜区规划，并与景观相协调，不得破坏景观、污染环境、妨碍游览。</w:t>
                  </w:r>
                </w:p>
                <w:p w14:paraId="4860C6A4">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在风景名胜区内进行建设活动的，建设单位、施工单位应当制定污染防治和水土保持方案，并采取有效措施，保护好周围景物、水体、林草植被、野生动物资源和地形地貌。</w:t>
                  </w:r>
                </w:p>
              </w:tc>
              <w:tc>
                <w:tcPr>
                  <w:tcW w:w="1849" w:type="pct"/>
                  <w:noWrap w:val="0"/>
                  <w:vAlign w:val="center"/>
                </w:tcPr>
                <w:p w14:paraId="2859ECB4">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rPr>
                  </w:pPr>
                  <w:r>
                    <w:rPr>
                      <w:rFonts w:ascii="Times New Roman" w:hAnsi="Times New Roman"/>
                      <w:sz w:val="21"/>
                      <w:szCs w:val="21"/>
                    </w:rPr>
                    <w:t>本项目</w:t>
                  </w:r>
                  <w:r>
                    <w:rPr>
                      <w:rFonts w:hint="eastAsia"/>
                      <w:sz w:val="21"/>
                      <w:szCs w:val="21"/>
                      <w:lang w:val="en-US" w:eastAsia="zh-CN"/>
                    </w:rPr>
                    <w:t>位于景区范围内的取水设施</w:t>
                  </w:r>
                  <w:r>
                    <w:rPr>
                      <w:rFonts w:hint="eastAsia" w:ascii="Times New Roman" w:hAnsi="Times New Roman"/>
                      <w:sz w:val="21"/>
                      <w:szCs w:val="21"/>
                      <w:lang w:val="en-US" w:eastAsia="zh-CN"/>
                    </w:rPr>
                    <w:t>在岳阳楼景区规划之前已存在，不属于</w:t>
                  </w:r>
                  <w:r>
                    <w:rPr>
                      <w:rFonts w:hint="default" w:ascii="Times New Roman" w:hAnsi="Times New Roman" w:eastAsia="宋体" w:cs="Times New Roman"/>
                      <w:kern w:val="2"/>
                      <w:sz w:val="21"/>
                      <w:szCs w:val="21"/>
                      <w:u w:val="none"/>
                    </w:rPr>
                    <w:t>破坏风景环境的工程</w:t>
                  </w:r>
                  <w:r>
                    <w:rPr>
                      <w:rFonts w:hint="eastAsia" w:ascii="Times New Roman" w:hAnsi="Times New Roman" w:cs="Times New Roman"/>
                      <w:kern w:val="2"/>
                      <w:sz w:val="21"/>
                      <w:szCs w:val="21"/>
                      <w:u w:val="none"/>
                      <w:lang w:val="en-US" w:eastAsia="zh-CN"/>
                    </w:rPr>
                    <w:t>和生产设施</w:t>
                  </w:r>
                </w:p>
              </w:tc>
              <w:tc>
                <w:tcPr>
                  <w:tcW w:w="421" w:type="pct"/>
                  <w:noWrap w:val="0"/>
                  <w:vAlign w:val="center"/>
                </w:tcPr>
                <w:p w14:paraId="0A47CEE0">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rPr>
                  </w:pPr>
                  <w:r>
                    <w:rPr>
                      <w:rFonts w:ascii="Times New Roman" w:hAnsi="Times New Roman"/>
                      <w:sz w:val="21"/>
                      <w:szCs w:val="21"/>
                    </w:rPr>
                    <w:t>符合</w:t>
                  </w:r>
                </w:p>
              </w:tc>
            </w:tr>
          </w:tbl>
          <w:p w14:paraId="1EFC5CEA">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ascii="Times New Roman" w:hAnsi="Times New Roman"/>
                <w:sz w:val="24"/>
                <w:u w:val="single"/>
              </w:rPr>
            </w:pPr>
            <w:r>
              <w:rPr>
                <w:rFonts w:ascii="Times New Roman" w:hAnsi="Times New Roman"/>
                <w:sz w:val="24"/>
              </w:rPr>
              <w:t>经上述分析，</w:t>
            </w:r>
            <w:r>
              <w:rPr>
                <w:rFonts w:ascii="Times New Roman" w:hAnsi="Times New Roman"/>
                <w:sz w:val="24"/>
                <w:u w:val="single"/>
              </w:rPr>
              <w:t>本项目</w:t>
            </w:r>
            <w:r>
              <w:rPr>
                <w:rFonts w:hint="eastAsia" w:ascii="Times New Roman" w:hAnsi="Times New Roman"/>
                <w:sz w:val="24"/>
                <w:u w:val="single"/>
              </w:rPr>
              <w:t>在岳阳楼景区规划之前已存在，不属于破坏风景环境的工程和生产设施，</w:t>
            </w:r>
            <w:r>
              <w:rPr>
                <w:rFonts w:hint="eastAsia" w:ascii="Times New Roman" w:hAnsi="Times New Roman"/>
                <w:sz w:val="24"/>
                <w:u w:val="single"/>
                <w:lang w:val="en-US" w:eastAsia="zh-CN"/>
              </w:rPr>
              <w:t>项目不存在大型土石方施工期，</w:t>
            </w:r>
            <w:r>
              <w:rPr>
                <w:rFonts w:ascii="Times New Roman" w:hAnsi="Times New Roman"/>
                <w:sz w:val="24"/>
                <w:u w:val="single"/>
              </w:rPr>
              <w:t>运营期</w:t>
            </w:r>
            <w:r>
              <w:rPr>
                <w:rFonts w:hint="eastAsia" w:ascii="Times New Roman" w:hAnsi="Times New Roman"/>
                <w:sz w:val="24"/>
                <w:u w:val="single"/>
                <w:lang w:val="en-US" w:eastAsia="zh-CN"/>
              </w:rPr>
              <w:t>在</w:t>
            </w:r>
            <w:r>
              <w:rPr>
                <w:rFonts w:ascii="Times New Roman" w:hAnsi="Times New Roman"/>
                <w:sz w:val="24"/>
                <w:u w:val="single"/>
              </w:rPr>
              <w:t>做好相应的防护措施和风险防范措施后，不会对岳阳楼-洞庭湖风景名胜区的</w:t>
            </w:r>
            <w:r>
              <w:rPr>
                <w:rFonts w:hint="eastAsia" w:ascii="Times New Roman" w:hAnsi="Times New Roman"/>
                <w:sz w:val="24"/>
                <w:u w:val="single"/>
                <w:lang w:val="en-US" w:eastAsia="zh-CN"/>
              </w:rPr>
              <w:t>岳阳楼景区</w:t>
            </w:r>
            <w:r>
              <w:rPr>
                <w:rFonts w:ascii="Times New Roman" w:hAnsi="Times New Roman"/>
                <w:sz w:val="24"/>
                <w:u w:val="single"/>
              </w:rPr>
              <w:t>造成直接影响，项目建设与《风景名胜区条例》要求是不相冲突的。</w:t>
            </w:r>
          </w:p>
          <w:p w14:paraId="7546482A">
            <w:pPr>
              <w:autoSpaceDE w:val="0"/>
              <w:autoSpaceDN w:val="0"/>
              <w:spacing w:line="360" w:lineRule="auto"/>
              <w:jc w:val="left"/>
              <w:rPr>
                <w:b/>
                <w:bCs/>
                <w:sz w:val="24"/>
                <w:u w:val="single" w:color="auto"/>
              </w:rPr>
            </w:pPr>
            <w:r>
              <w:rPr>
                <w:rFonts w:hint="eastAsia"/>
                <w:b/>
                <w:bCs/>
                <w:sz w:val="24"/>
                <w:u w:val="single" w:color="auto"/>
                <w:lang w:val="en-US" w:eastAsia="zh-CN"/>
              </w:rPr>
              <w:t>五</w:t>
            </w:r>
            <w:r>
              <w:rPr>
                <w:rFonts w:hint="eastAsia"/>
                <w:b/>
                <w:bCs/>
                <w:sz w:val="24"/>
                <w:u w:val="single" w:color="auto"/>
              </w:rPr>
              <w:t>、</w:t>
            </w:r>
            <w:r>
              <w:rPr>
                <w:rFonts w:hint="eastAsia" w:ascii="Times New Roman" w:hAnsi="Times New Roman" w:eastAsia="宋体" w:cs="Times New Roman"/>
                <w:b/>
                <w:bCs/>
                <w:color w:val="000000"/>
                <w:sz w:val="24"/>
                <w:szCs w:val="24"/>
                <w:u w:val="single" w:color="auto"/>
                <w:lang w:val="en-US" w:eastAsia="zh-CN"/>
              </w:rPr>
              <w:t>与《湖南省洞庭湖保护条例》符合性分析</w:t>
            </w:r>
          </w:p>
          <w:p w14:paraId="21D49D28">
            <w:pPr>
              <w:autoSpaceDE w:val="0"/>
              <w:autoSpaceDN w:val="0"/>
              <w:spacing w:line="360" w:lineRule="auto"/>
              <w:ind w:firstLine="480" w:firstLineChars="200"/>
              <w:jc w:val="left"/>
              <w:rPr>
                <w:rFonts w:hint="eastAsia"/>
                <w:sz w:val="24"/>
                <w:u w:val="single" w:color="auto"/>
              </w:rPr>
            </w:pPr>
            <w:r>
              <w:rPr>
                <w:rFonts w:hint="eastAsia"/>
                <w:sz w:val="24"/>
                <w:u w:val="single" w:color="auto"/>
              </w:rPr>
              <w:t>本项目与《湖南省洞庭湖保护条例》中有关条款要求符合情况分析见下表：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275"/>
              <w:gridCol w:w="2894"/>
              <w:gridCol w:w="568"/>
            </w:tblGrid>
            <w:tr w14:paraId="5EDA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2430" w:type="pct"/>
                  <w:noWrap w:val="0"/>
                  <w:vAlign w:val="center"/>
                </w:tcPr>
                <w:p w14:paraId="336D31C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single" w:color="auto"/>
                      <w:lang w:val="en-US" w:eastAsia="zh-CN" w:bidi="ar-SA"/>
                    </w:rPr>
                  </w:pPr>
                  <w:r>
                    <w:rPr>
                      <w:rFonts w:hint="eastAsia" w:ascii="Times New Roman" w:hAnsi="Times New Roman" w:eastAsia="宋体" w:cs="Times New Roman"/>
                      <w:b/>
                      <w:bCs/>
                      <w:color w:val="auto"/>
                      <w:kern w:val="2"/>
                      <w:sz w:val="21"/>
                      <w:szCs w:val="21"/>
                      <w:highlight w:val="none"/>
                      <w:u w:val="single" w:color="auto"/>
                      <w:lang w:val="en-US" w:eastAsia="zh-CN" w:bidi="ar-SA"/>
                    </w:rPr>
                    <w:t>条款规定</w:t>
                  </w:r>
                </w:p>
              </w:tc>
              <w:tc>
                <w:tcPr>
                  <w:tcW w:w="2147" w:type="pct"/>
                  <w:noWrap w:val="0"/>
                  <w:vAlign w:val="center"/>
                </w:tcPr>
                <w:p w14:paraId="7E7F614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single" w:color="auto"/>
                      <w:lang w:val="en-US" w:eastAsia="zh-CN" w:bidi="ar-SA"/>
                    </w:rPr>
                  </w:pPr>
                  <w:r>
                    <w:rPr>
                      <w:rFonts w:hint="eastAsia" w:ascii="Times New Roman" w:hAnsi="Times New Roman" w:eastAsia="宋体" w:cs="Times New Roman"/>
                      <w:b/>
                      <w:bCs/>
                      <w:color w:val="auto"/>
                      <w:kern w:val="2"/>
                      <w:sz w:val="21"/>
                      <w:szCs w:val="21"/>
                      <w:highlight w:val="none"/>
                      <w:u w:val="single" w:color="auto"/>
                      <w:lang w:val="en-US" w:eastAsia="zh-CN" w:bidi="ar-SA"/>
                    </w:rPr>
                    <w:t>本项目情形</w:t>
                  </w:r>
                </w:p>
              </w:tc>
              <w:tc>
                <w:tcPr>
                  <w:tcW w:w="421" w:type="pct"/>
                  <w:noWrap w:val="0"/>
                  <w:vAlign w:val="center"/>
                </w:tcPr>
                <w:p w14:paraId="553B791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single" w:color="auto"/>
                      <w:lang w:val="en-US" w:eastAsia="zh-CN" w:bidi="ar-SA"/>
                    </w:rPr>
                  </w:pPr>
                  <w:r>
                    <w:rPr>
                      <w:rFonts w:hint="eastAsia" w:ascii="Times New Roman" w:hAnsi="Times New Roman" w:eastAsia="宋体" w:cs="Times New Roman"/>
                      <w:b/>
                      <w:bCs/>
                      <w:color w:val="auto"/>
                      <w:kern w:val="2"/>
                      <w:sz w:val="21"/>
                      <w:szCs w:val="21"/>
                      <w:highlight w:val="none"/>
                      <w:u w:val="single" w:color="auto"/>
                      <w:lang w:val="en-US" w:eastAsia="zh-CN" w:bidi="ar-SA"/>
                    </w:rPr>
                    <w:t>分析</w:t>
                  </w:r>
                </w:p>
                <w:p w14:paraId="4CEA989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single" w:color="auto"/>
                      <w:lang w:val="en-US" w:eastAsia="zh-CN" w:bidi="ar-SA"/>
                    </w:rPr>
                  </w:pPr>
                  <w:r>
                    <w:rPr>
                      <w:rFonts w:hint="eastAsia" w:ascii="Times New Roman" w:hAnsi="Times New Roman" w:eastAsia="宋体" w:cs="Times New Roman"/>
                      <w:b/>
                      <w:bCs/>
                      <w:color w:val="auto"/>
                      <w:kern w:val="2"/>
                      <w:sz w:val="21"/>
                      <w:szCs w:val="21"/>
                      <w:highlight w:val="none"/>
                      <w:u w:val="single" w:color="auto"/>
                      <w:lang w:val="en-US" w:eastAsia="zh-CN" w:bidi="ar-SA"/>
                    </w:rPr>
                    <w:t>结论</w:t>
                  </w:r>
                </w:p>
              </w:tc>
            </w:tr>
            <w:tr w14:paraId="4061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430" w:type="pct"/>
                  <w:noWrap w:val="0"/>
                  <w:vAlign w:val="center"/>
                </w:tcPr>
                <w:p w14:paraId="6A9908CA">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b/>
                      <w:sz w:val="21"/>
                      <w:szCs w:val="21"/>
                      <w:u w:val="single" w:color="auto"/>
                    </w:rPr>
                  </w:pPr>
                  <w:r>
                    <w:rPr>
                      <w:rFonts w:ascii="Times New Roman" w:hAnsi="Times New Roman"/>
                      <w:b/>
                      <w:bCs/>
                      <w:sz w:val="21"/>
                      <w:szCs w:val="21"/>
                      <w:u w:val="single" w:color="auto"/>
                    </w:rPr>
                    <w:t>第</w:t>
                  </w:r>
                  <w:r>
                    <w:rPr>
                      <w:rFonts w:hint="eastAsia" w:ascii="Times New Roman" w:hAnsi="Times New Roman"/>
                      <w:b/>
                      <w:bCs/>
                      <w:sz w:val="21"/>
                      <w:szCs w:val="21"/>
                      <w:u w:val="single" w:color="auto"/>
                    </w:rPr>
                    <w:t>二十八</w:t>
                  </w:r>
                  <w:r>
                    <w:rPr>
                      <w:rFonts w:ascii="Times New Roman" w:hAnsi="Times New Roman"/>
                      <w:b/>
                      <w:bCs/>
                      <w:sz w:val="21"/>
                      <w:szCs w:val="21"/>
                      <w:u w:val="single" w:color="auto"/>
                    </w:rPr>
                    <w:t>条</w:t>
                  </w:r>
                  <w:r>
                    <w:rPr>
                      <w:rFonts w:ascii="Times New Roman" w:hAnsi="Times New Roman"/>
                      <w:sz w:val="21"/>
                      <w:szCs w:val="21"/>
                      <w:u w:val="single" w:color="auto"/>
                    </w:rPr>
                    <w:t xml:space="preserve"> </w:t>
                  </w:r>
                  <w:r>
                    <w:rPr>
                      <w:rFonts w:hint="eastAsia" w:ascii="Times New Roman" w:hAnsi="Times New Roman"/>
                      <w:sz w:val="21"/>
                      <w:szCs w:val="21"/>
                      <w:u w:val="single" w:color="auto"/>
                    </w:rPr>
                    <w:t>湖区市、县（市、区）人民政府应当按照国家、省有关标准统筹安排城乡排水与污水收集处理管网建设、改造和运行，确保生产生活污水全面收集，达标排放。</w:t>
                  </w:r>
                </w:p>
              </w:tc>
              <w:tc>
                <w:tcPr>
                  <w:tcW w:w="2147" w:type="pct"/>
                  <w:noWrap w:val="0"/>
                  <w:vAlign w:val="center"/>
                </w:tcPr>
                <w:p w14:paraId="528FB9C8">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sz w:val="21"/>
                      <w:szCs w:val="21"/>
                      <w:u w:val="single" w:color="auto"/>
                      <w:lang w:val="en-US" w:eastAsia="zh-CN"/>
                    </w:rPr>
                  </w:pPr>
                  <w:r>
                    <w:rPr>
                      <w:rFonts w:ascii="Times New Roman" w:hAnsi="Times New Roman"/>
                      <w:sz w:val="21"/>
                      <w:szCs w:val="21"/>
                      <w:u w:val="single" w:color="auto"/>
                    </w:rPr>
                    <w:t>本项目</w:t>
                  </w:r>
                  <w:r>
                    <w:rPr>
                      <w:rFonts w:hint="eastAsia"/>
                      <w:sz w:val="21"/>
                      <w:szCs w:val="21"/>
                      <w:u w:val="single" w:color="auto"/>
                      <w:lang w:val="en-US" w:eastAsia="zh-CN"/>
                    </w:rPr>
                    <w:t>运行过程中产生的制水过程的排泥水经厂区内自建的排泥水处理设施后，符合《污水综合排放标准》（GB 8978-1996）中表4三级标准和岳阳马壕水质净化中心进水水质标准，生活污水经化粪池处理后，与预处理后排泥水一同通过厂区废水排放口接入区域市政污水管网，经马壕水质净化中心污水处理厂深度处理</w:t>
                  </w:r>
                  <w:r>
                    <w:rPr>
                      <w:rFonts w:ascii="Times New Roman" w:hAnsi="Times New Roman"/>
                      <w:sz w:val="21"/>
                      <w:szCs w:val="21"/>
                      <w:u w:val="single" w:color="auto"/>
                    </w:rPr>
                    <w:t>。</w:t>
                  </w:r>
                  <w:r>
                    <w:rPr>
                      <w:rFonts w:hint="eastAsia"/>
                      <w:sz w:val="21"/>
                      <w:szCs w:val="21"/>
                      <w:u w:val="single" w:color="auto"/>
                      <w:lang w:val="en-US" w:eastAsia="zh-CN"/>
                    </w:rPr>
                    <w:t>排放废水纳入污水收集处理管网，确保污水全面收集和达标外排</w:t>
                  </w:r>
                </w:p>
              </w:tc>
              <w:tc>
                <w:tcPr>
                  <w:tcW w:w="421" w:type="pct"/>
                  <w:noWrap w:val="0"/>
                  <w:vAlign w:val="center"/>
                </w:tcPr>
                <w:p w14:paraId="6EB388E8">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u w:val="single" w:color="auto"/>
                    </w:rPr>
                  </w:pPr>
                  <w:r>
                    <w:rPr>
                      <w:rFonts w:ascii="Times New Roman" w:hAnsi="Times New Roman"/>
                      <w:sz w:val="21"/>
                      <w:szCs w:val="21"/>
                      <w:u w:val="single" w:color="auto"/>
                    </w:rPr>
                    <w:t>符合</w:t>
                  </w:r>
                </w:p>
              </w:tc>
            </w:tr>
            <w:tr w14:paraId="229D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430" w:type="pct"/>
                  <w:noWrap w:val="0"/>
                  <w:vAlign w:val="center"/>
                </w:tcPr>
                <w:p w14:paraId="140131E8">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u w:val="single" w:color="auto"/>
                    </w:rPr>
                  </w:pPr>
                  <w:r>
                    <w:rPr>
                      <w:rFonts w:ascii="Times New Roman" w:hAnsi="Times New Roman"/>
                      <w:b/>
                      <w:bCs/>
                      <w:sz w:val="21"/>
                      <w:szCs w:val="21"/>
                      <w:u w:val="single" w:color="auto"/>
                    </w:rPr>
                    <w:t>第</w:t>
                  </w:r>
                  <w:r>
                    <w:rPr>
                      <w:rFonts w:hint="eastAsia" w:ascii="Times New Roman" w:hAnsi="Times New Roman"/>
                      <w:b/>
                      <w:bCs/>
                      <w:sz w:val="21"/>
                      <w:szCs w:val="21"/>
                      <w:u w:val="single" w:color="auto"/>
                    </w:rPr>
                    <w:t>二十九</w:t>
                  </w:r>
                  <w:r>
                    <w:rPr>
                      <w:rFonts w:ascii="Times New Roman" w:hAnsi="Times New Roman"/>
                      <w:b/>
                      <w:bCs/>
                      <w:sz w:val="21"/>
                      <w:szCs w:val="21"/>
                      <w:u w:val="single" w:color="auto"/>
                    </w:rPr>
                    <w:t>条</w:t>
                  </w:r>
                  <w:r>
                    <w:rPr>
                      <w:rFonts w:ascii="Times New Roman" w:hAnsi="Times New Roman"/>
                      <w:sz w:val="21"/>
                      <w:szCs w:val="21"/>
                      <w:u w:val="single" w:color="auto"/>
                    </w:rPr>
                    <w:t xml:space="preserve"> </w:t>
                  </w:r>
                  <w:r>
                    <w:rPr>
                      <w:rFonts w:hint="eastAsia" w:ascii="Times New Roman" w:hAnsi="Times New Roman"/>
                      <w:sz w:val="21"/>
                      <w:szCs w:val="21"/>
                      <w:u w:val="single" w:color="auto"/>
                    </w:rPr>
                    <w:t>湖区市、县（市、区）人民政府应当实施生活废弃物分类处理制度，建设生活废弃物分类投放、收集、中转和运输设施，完善城乡垃圾收集转运体系，推进城乡垃圾一体化处理，实行综合利用和无害化处理。</w:t>
                  </w:r>
                </w:p>
              </w:tc>
              <w:tc>
                <w:tcPr>
                  <w:tcW w:w="2147" w:type="pct"/>
                  <w:noWrap w:val="0"/>
                  <w:vAlign w:val="center"/>
                </w:tcPr>
                <w:p w14:paraId="65A569C9">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sz w:val="21"/>
                      <w:szCs w:val="21"/>
                      <w:u w:val="single" w:color="auto"/>
                      <w:lang w:eastAsia="zh-CN"/>
                    </w:rPr>
                  </w:pPr>
                  <w:r>
                    <w:rPr>
                      <w:rFonts w:hint="eastAsia"/>
                      <w:sz w:val="21"/>
                      <w:szCs w:val="21"/>
                      <w:u w:val="single" w:color="auto"/>
                      <w:lang w:val="en-US" w:eastAsia="zh-CN"/>
                    </w:rPr>
                    <w:t>本项目位于岳阳主城区的城北地块，承诺书的生活垃圾在厂区内分类收集后，定期由环卫部门统一清运，排放的固废纳入城区垃圾收集和转运体系，实现综合利用和无害化处理</w:t>
                  </w:r>
                </w:p>
              </w:tc>
              <w:tc>
                <w:tcPr>
                  <w:tcW w:w="421" w:type="pct"/>
                  <w:noWrap w:val="0"/>
                  <w:vAlign w:val="center"/>
                </w:tcPr>
                <w:p w14:paraId="4770E507">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u w:val="single" w:color="auto"/>
                    </w:rPr>
                  </w:pPr>
                  <w:r>
                    <w:rPr>
                      <w:rFonts w:ascii="Times New Roman" w:hAnsi="Times New Roman"/>
                      <w:sz w:val="21"/>
                      <w:szCs w:val="21"/>
                      <w:u w:val="single" w:color="auto"/>
                    </w:rPr>
                    <w:t>符合</w:t>
                  </w:r>
                </w:p>
              </w:tc>
            </w:tr>
            <w:tr w14:paraId="73B7F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430" w:type="pct"/>
                  <w:noWrap w:val="0"/>
                  <w:vAlign w:val="center"/>
                </w:tcPr>
                <w:p w14:paraId="69E645D9">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sz w:val="21"/>
                      <w:szCs w:val="21"/>
                      <w:u w:val="single" w:color="auto"/>
                    </w:rPr>
                  </w:pPr>
                  <w:r>
                    <w:rPr>
                      <w:rFonts w:ascii="Times New Roman" w:hAnsi="Times New Roman"/>
                      <w:b/>
                      <w:bCs/>
                      <w:sz w:val="21"/>
                      <w:szCs w:val="21"/>
                      <w:u w:val="single" w:color="auto"/>
                    </w:rPr>
                    <w:t>第</w:t>
                  </w:r>
                  <w:r>
                    <w:rPr>
                      <w:rFonts w:hint="eastAsia" w:ascii="Times New Roman" w:hAnsi="Times New Roman"/>
                      <w:sz w:val="21"/>
                      <w:szCs w:val="21"/>
                      <w:u w:val="single" w:color="auto"/>
                    </w:rPr>
                    <w:t>三十二</w:t>
                  </w:r>
                  <w:r>
                    <w:rPr>
                      <w:rFonts w:ascii="Times New Roman" w:hAnsi="Times New Roman"/>
                      <w:b/>
                      <w:bCs/>
                      <w:sz w:val="21"/>
                      <w:szCs w:val="21"/>
                      <w:u w:val="single" w:color="auto"/>
                    </w:rPr>
                    <w:t>条</w:t>
                  </w:r>
                  <w:r>
                    <w:rPr>
                      <w:rFonts w:ascii="Times New Roman" w:hAnsi="Times New Roman"/>
                      <w:sz w:val="21"/>
                      <w:szCs w:val="21"/>
                      <w:u w:val="single" w:color="auto"/>
                    </w:rPr>
                    <w:t xml:space="preserve"> </w:t>
                  </w:r>
                  <w:r>
                    <w:rPr>
                      <w:rFonts w:hint="eastAsia" w:ascii="Times New Roman" w:hAnsi="Times New Roman"/>
                      <w:sz w:val="21"/>
                      <w:szCs w:val="21"/>
                      <w:u w:val="single" w:color="auto"/>
                    </w:rPr>
                    <w:t>湖区用水实行总量控制、统一调度、分级负责的原则，应当兼顾上、下游用水需求，科学制定水量分配方案，优先满足城乡居民生活用水，保障基本生态用水，统筹农业、工业以及航运等需要。</w:t>
                  </w:r>
                </w:p>
                <w:p w14:paraId="186A02B7">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b/>
                      <w:sz w:val="21"/>
                      <w:szCs w:val="21"/>
                      <w:u w:val="single" w:color="auto"/>
                    </w:rPr>
                  </w:pPr>
                  <w:r>
                    <w:rPr>
                      <w:rFonts w:hint="eastAsia" w:ascii="Times New Roman" w:hAnsi="Times New Roman"/>
                      <w:sz w:val="21"/>
                      <w:szCs w:val="21"/>
                      <w:u w:val="single" w:color="auto"/>
                    </w:rPr>
                    <w:t>省人民政府水行政主管部门应当制定湖区水量分配方案，征求有关部门及湖区市人民政府的意见，经省人民政府批准后实施。湖区市人民政府水行政主管部门可以制定本行政区域的水量分配方案，征求有关部门及县（市、区）人民政府的意见，经本级人民政府批准后实施。经批准的水量分配方案需修改或调整时，应当按照方案制定程序经原批准机关批准</w:t>
                  </w:r>
                  <w:r>
                    <w:rPr>
                      <w:rFonts w:ascii="Times New Roman" w:hAnsi="Times New Roman"/>
                      <w:sz w:val="21"/>
                      <w:szCs w:val="21"/>
                      <w:u w:val="single" w:color="auto"/>
                    </w:rPr>
                    <w:t>。</w:t>
                  </w:r>
                </w:p>
              </w:tc>
              <w:tc>
                <w:tcPr>
                  <w:tcW w:w="2147" w:type="pct"/>
                  <w:noWrap w:val="0"/>
                  <w:vAlign w:val="center"/>
                </w:tcPr>
                <w:p w14:paraId="2FECE62C">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sz w:val="21"/>
                      <w:szCs w:val="21"/>
                      <w:u w:val="single" w:color="auto"/>
                      <w:lang w:eastAsia="zh-CN"/>
                    </w:rPr>
                  </w:pPr>
                  <w:r>
                    <w:rPr>
                      <w:rFonts w:ascii="Times New Roman" w:hAnsi="Times New Roman"/>
                      <w:sz w:val="21"/>
                      <w:szCs w:val="21"/>
                      <w:u w:val="single" w:color="auto"/>
                    </w:rPr>
                    <w:t>本项目</w:t>
                  </w:r>
                  <w:r>
                    <w:rPr>
                      <w:rFonts w:hint="eastAsia"/>
                      <w:sz w:val="21"/>
                      <w:szCs w:val="21"/>
                      <w:u w:val="single" w:color="auto"/>
                      <w:lang w:val="en-US" w:eastAsia="zh-CN"/>
                    </w:rPr>
                    <w:t>在东洞庭湖水源地内取水符合片区水资源总量控制要求，并已取得水利行政主管部门下达的取水许可证</w:t>
                  </w:r>
                </w:p>
              </w:tc>
              <w:tc>
                <w:tcPr>
                  <w:tcW w:w="421" w:type="pct"/>
                  <w:noWrap w:val="0"/>
                  <w:vAlign w:val="center"/>
                </w:tcPr>
                <w:p w14:paraId="0DEE2BC1">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u w:val="single" w:color="auto"/>
                    </w:rPr>
                  </w:pPr>
                  <w:r>
                    <w:rPr>
                      <w:rFonts w:ascii="Times New Roman" w:hAnsi="Times New Roman"/>
                      <w:sz w:val="21"/>
                      <w:szCs w:val="21"/>
                      <w:u w:val="single" w:color="auto"/>
                    </w:rPr>
                    <w:t>符合</w:t>
                  </w:r>
                </w:p>
              </w:tc>
            </w:tr>
          </w:tbl>
          <w:p w14:paraId="667FDDF6">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ascii="Times New Roman" w:hAnsi="Times New Roman"/>
                <w:sz w:val="24"/>
                <w:u w:val="single" w:color="auto"/>
              </w:rPr>
            </w:pPr>
            <w:r>
              <w:rPr>
                <w:rFonts w:ascii="Times New Roman" w:hAnsi="Times New Roman"/>
                <w:sz w:val="24"/>
                <w:u w:val="single" w:color="auto"/>
              </w:rPr>
              <w:t>经上述分析，本项目建设与</w:t>
            </w:r>
            <w:r>
              <w:rPr>
                <w:rFonts w:hint="eastAsia" w:ascii="Times New Roman" w:hAnsi="Times New Roman"/>
                <w:sz w:val="24"/>
                <w:u w:val="single" w:color="auto"/>
              </w:rPr>
              <w:t>《湖南省洞庭湖保护条例》</w:t>
            </w:r>
            <w:r>
              <w:rPr>
                <w:rFonts w:hint="eastAsia" w:ascii="Times New Roman" w:hAnsi="Times New Roman"/>
                <w:sz w:val="24"/>
                <w:u w:val="single" w:color="auto"/>
                <w:lang w:val="en-US" w:eastAsia="zh-CN"/>
              </w:rPr>
              <w:t>相关</w:t>
            </w:r>
            <w:r>
              <w:rPr>
                <w:rFonts w:ascii="Times New Roman" w:hAnsi="Times New Roman"/>
                <w:sz w:val="24"/>
                <w:u w:val="single" w:color="auto"/>
              </w:rPr>
              <w:t>要求是</w:t>
            </w:r>
            <w:r>
              <w:rPr>
                <w:rFonts w:hint="eastAsia" w:ascii="Times New Roman" w:hAnsi="Times New Roman"/>
                <w:sz w:val="24"/>
                <w:u w:val="single" w:color="auto"/>
                <w:lang w:val="en-US" w:eastAsia="zh-CN"/>
              </w:rPr>
              <w:t>相符</w:t>
            </w:r>
            <w:r>
              <w:rPr>
                <w:rFonts w:ascii="Times New Roman" w:hAnsi="Times New Roman"/>
                <w:sz w:val="24"/>
                <w:u w:val="single" w:color="auto"/>
              </w:rPr>
              <w:t>的。</w:t>
            </w:r>
          </w:p>
          <w:p w14:paraId="01B84F85">
            <w:pPr>
              <w:autoSpaceDE w:val="0"/>
              <w:autoSpaceDN w:val="0"/>
              <w:spacing w:line="360" w:lineRule="auto"/>
              <w:jc w:val="left"/>
              <w:rPr>
                <w:b/>
                <w:bCs/>
                <w:sz w:val="24"/>
                <w:u w:val="single" w:color="auto"/>
              </w:rPr>
            </w:pPr>
            <w:r>
              <w:rPr>
                <w:rFonts w:hint="eastAsia"/>
                <w:b/>
                <w:bCs/>
                <w:sz w:val="24"/>
                <w:u w:val="single" w:color="auto"/>
                <w:lang w:val="en-US" w:eastAsia="zh-CN"/>
              </w:rPr>
              <w:t>六</w:t>
            </w:r>
            <w:r>
              <w:rPr>
                <w:rFonts w:hint="eastAsia"/>
                <w:b/>
                <w:bCs/>
                <w:sz w:val="24"/>
                <w:u w:val="single" w:color="auto"/>
              </w:rPr>
              <w:t>、</w:t>
            </w:r>
            <w:r>
              <w:rPr>
                <w:rFonts w:hint="eastAsia" w:ascii="Times New Roman" w:hAnsi="Times New Roman" w:eastAsia="宋体" w:cs="Times New Roman"/>
                <w:b/>
                <w:bCs/>
                <w:color w:val="000000"/>
                <w:sz w:val="24"/>
                <w:szCs w:val="24"/>
                <w:u w:val="single" w:color="auto"/>
                <w:lang w:val="en-US" w:eastAsia="zh-CN"/>
              </w:rPr>
              <w:t>与《湖南省水污染防治条例》符合性分析</w:t>
            </w:r>
          </w:p>
          <w:p w14:paraId="28A1D097">
            <w:pPr>
              <w:autoSpaceDE w:val="0"/>
              <w:autoSpaceDN w:val="0"/>
              <w:spacing w:line="360" w:lineRule="auto"/>
              <w:ind w:firstLine="480" w:firstLineChars="200"/>
              <w:jc w:val="left"/>
              <w:rPr>
                <w:rFonts w:hint="eastAsia"/>
                <w:sz w:val="24"/>
                <w:u w:val="single" w:color="auto"/>
              </w:rPr>
            </w:pPr>
            <w:r>
              <w:rPr>
                <w:rFonts w:hint="eastAsia"/>
                <w:sz w:val="24"/>
                <w:u w:val="single" w:color="auto"/>
              </w:rPr>
              <w:t>本项目与《湖南省水污染防治条例》中有关条款要求符合情况分析见下表：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275"/>
              <w:gridCol w:w="2894"/>
              <w:gridCol w:w="568"/>
            </w:tblGrid>
            <w:tr w14:paraId="706D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2430" w:type="pct"/>
                  <w:noWrap w:val="0"/>
                  <w:vAlign w:val="center"/>
                </w:tcPr>
                <w:p w14:paraId="42B364A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single" w:color="auto"/>
                      <w:lang w:val="en-US" w:eastAsia="zh-CN" w:bidi="ar-SA"/>
                    </w:rPr>
                  </w:pPr>
                  <w:r>
                    <w:rPr>
                      <w:rFonts w:hint="eastAsia" w:ascii="Times New Roman" w:hAnsi="Times New Roman" w:eastAsia="宋体" w:cs="Times New Roman"/>
                      <w:b/>
                      <w:bCs/>
                      <w:color w:val="auto"/>
                      <w:kern w:val="2"/>
                      <w:sz w:val="21"/>
                      <w:szCs w:val="21"/>
                      <w:highlight w:val="none"/>
                      <w:u w:val="single" w:color="auto"/>
                      <w:lang w:val="en-US" w:eastAsia="zh-CN" w:bidi="ar-SA"/>
                    </w:rPr>
                    <w:t>条款规定</w:t>
                  </w:r>
                </w:p>
              </w:tc>
              <w:tc>
                <w:tcPr>
                  <w:tcW w:w="2147" w:type="pct"/>
                  <w:noWrap w:val="0"/>
                  <w:vAlign w:val="center"/>
                </w:tcPr>
                <w:p w14:paraId="0867CEE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single" w:color="auto"/>
                      <w:lang w:val="en-US" w:eastAsia="zh-CN" w:bidi="ar-SA"/>
                    </w:rPr>
                  </w:pPr>
                  <w:r>
                    <w:rPr>
                      <w:rFonts w:hint="eastAsia" w:ascii="Times New Roman" w:hAnsi="Times New Roman" w:eastAsia="宋体" w:cs="Times New Roman"/>
                      <w:b/>
                      <w:bCs/>
                      <w:color w:val="auto"/>
                      <w:kern w:val="2"/>
                      <w:sz w:val="21"/>
                      <w:szCs w:val="21"/>
                      <w:highlight w:val="none"/>
                      <w:u w:val="single" w:color="auto"/>
                      <w:lang w:val="en-US" w:eastAsia="zh-CN" w:bidi="ar-SA"/>
                    </w:rPr>
                    <w:t>本项目情形</w:t>
                  </w:r>
                </w:p>
              </w:tc>
              <w:tc>
                <w:tcPr>
                  <w:tcW w:w="421" w:type="pct"/>
                  <w:noWrap w:val="0"/>
                  <w:vAlign w:val="center"/>
                </w:tcPr>
                <w:p w14:paraId="14D351B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single" w:color="auto"/>
                      <w:lang w:val="en-US" w:eastAsia="zh-CN" w:bidi="ar-SA"/>
                    </w:rPr>
                  </w:pPr>
                  <w:r>
                    <w:rPr>
                      <w:rFonts w:hint="eastAsia" w:ascii="Times New Roman" w:hAnsi="Times New Roman" w:eastAsia="宋体" w:cs="Times New Roman"/>
                      <w:b/>
                      <w:bCs/>
                      <w:color w:val="auto"/>
                      <w:kern w:val="2"/>
                      <w:sz w:val="21"/>
                      <w:szCs w:val="21"/>
                      <w:highlight w:val="none"/>
                      <w:u w:val="single" w:color="auto"/>
                      <w:lang w:val="en-US" w:eastAsia="zh-CN" w:bidi="ar-SA"/>
                    </w:rPr>
                    <w:t>分析</w:t>
                  </w:r>
                </w:p>
                <w:p w14:paraId="003F8AB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bCs/>
                      <w:color w:val="auto"/>
                      <w:kern w:val="2"/>
                      <w:sz w:val="21"/>
                      <w:szCs w:val="21"/>
                      <w:highlight w:val="none"/>
                      <w:u w:val="single" w:color="auto"/>
                      <w:lang w:val="en-US" w:eastAsia="zh-CN" w:bidi="ar-SA"/>
                    </w:rPr>
                  </w:pPr>
                  <w:r>
                    <w:rPr>
                      <w:rFonts w:hint="eastAsia" w:ascii="Times New Roman" w:hAnsi="Times New Roman" w:eastAsia="宋体" w:cs="Times New Roman"/>
                      <w:b/>
                      <w:bCs/>
                      <w:color w:val="auto"/>
                      <w:kern w:val="2"/>
                      <w:sz w:val="21"/>
                      <w:szCs w:val="21"/>
                      <w:highlight w:val="none"/>
                      <w:u w:val="single" w:color="auto"/>
                      <w:lang w:val="en-US" w:eastAsia="zh-CN" w:bidi="ar-SA"/>
                    </w:rPr>
                    <w:t>结论</w:t>
                  </w:r>
                </w:p>
              </w:tc>
            </w:tr>
            <w:tr w14:paraId="688F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430" w:type="pct"/>
                  <w:noWrap w:val="0"/>
                  <w:vAlign w:val="center"/>
                </w:tcPr>
                <w:p w14:paraId="4A432A2A">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b/>
                      <w:sz w:val="21"/>
                      <w:szCs w:val="21"/>
                      <w:u w:val="single" w:color="auto"/>
                    </w:rPr>
                  </w:pPr>
                  <w:r>
                    <w:rPr>
                      <w:rFonts w:ascii="Times New Roman" w:hAnsi="Times New Roman"/>
                      <w:b/>
                      <w:bCs/>
                      <w:sz w:val="21"/>
                      <w:szCs w:val="21"/>
                      <w:u w:val="single" w:color="auto"/>
                    </w:rPr>
                    <w:t>第</w:t>
                  </w:r>
                  <w:r>
                    <w:rPr>
                      <w:rFonts w:hint="eastAsia" w:ascii="Times New Roman" w:hAnsi="Times New Roman"/>
                      <w:b/>
                      <w:bCs/>
                      <w:sz w:val="21"/>
                      <w:szCs w:val="21"/>
                      <w:u w:val="single" w:color="auto"/>
                    </w:rPr>
                    <w:t>五</w:t>
                  </w:r>
                  <w:r>
                    <w:rPr>
                      <w:rFonts w:ascii="Times New Roman" w:hAnsi="Times New Roman"/>
                      <w:b/>
                      <w:bCs/>
                      <w:sz w:val="21"/>
                      <w:szCs w:val="21"/>
                      <w:u w:val="single" w:color="auto"/>
                    </w:rPr>
                    <w:t>条</w:t>
                  </w:r>
                  <w:r>
                    <w:rPr>
                      <w:rFonts w:ascii="Times New Roman" w:hAnsi="Times New Roman"/>
                      <w:sz w:val="21"/>
                      <w:szCs w:val="21"/>
                      <w:u w:val="single" w:color="auto"/>
                    </w:rPr>
                    <w:t xml:space="preserve"> </w:t>
                  </w:r>
                  <w:r>
                    <w:rPr>
                      <w:rFonts w:hint="eastAsia" w:ascii="Times New Roman" w:hAnsi="Times New Roman"/>
                      <w:sz w:val="21"/>
                      <w:szCs w:val="21"/>
                      <w:u w:val="single" w:color="auto"/>
                    </w:rPr>
                    <w:t>排放水污染物的企业事业单位和其他生产经营者应当承担水污染防治的主体责任</w:t>
                  </w:r>
                  <w:r>
                    <w:rPr>
                      <w:rFonts w:hint="eastAsia"/>
                      <w:sz w:val="21"/>
                      <w:szCs w:val="21"/>
                      <w:u w:val="single" w:color="auto"/>
                      <w:lang w:eastAsia="zh-CN"/>
                    </w:rPr>
                    <w:t>，</w:t>
                  </w:r>
                  <w:r>
                    <w:rPr>
                      <w:rFonts w:hint="eastAsia" w:ascii="Times New Roman" w:hAnsi="Times New Roman"/>
                      <w:sz w:val="21"/>
                      <w:szCs w:val="21"/>
                      <w:u w:val="single" w:color="auto"/>
                    </w:rPr>
                    <w:t>健全水污染防治管理制度</w:t>
                  </w:r>
                  <w:r>
                    <w:rPr>
                      <w:rFonts w:hint="eastAsia"/>
                      <w:sz w:val="21"/>
                      <w:szCs w:val="21"/>
                      <w:u w:val="single" w:color="auto"/>
                      <w:lang w:eastAsia="zh-CN"/>
                    </w:rPr>
                    <w:t>，</w:t>
                  </w:r>
                  <w:r>
                    <w:rPr>
                      <w:rFonts w:hint="eastAsia" w:ascii="Times New Roman" w:hAnsi="Times New Roman"/>
                      <w:sz w:val="21"/>
                      <w:szCs w:val="21"/>
                      <w:u w:val="single" w:color="auto"/>
                    </w:rPr>
                    <w:t>采取有效措施防止、减少水环境污染和生态破坏</w:t>
                  </w:r>
                  <w:r>
                    <w:rPr>
                      <w:rFonts w:hint="eastAsia"/>
                      <w:sz w:val="21"/>
                      <w:szCs w:val="21"/>
                      <w:u w:val="single" w:color="auto"/>
                      <w:lang w:eastAsia="zh-CN"/>
                    </w:rPr>
                    <w:t>，</w:t>
                  </w:r>
                  <w:r>
                    <w:rPr>
                      <w:rFonts w:hint="eastAsia" w:ascii="Times New Roman" w:hAnsi="Times New Roman"/>
                      <w:sz w:val="21"/>
                      <w:szCs w:val="21"/>
                      <w:u w:val="single" w:color="auto"/>
                    </w:rPr>
                    <w:t>对所造成的生态环境损害依法承担责任。</w:t>
                  </w:r>
                </w:p>
              </w:tc>
              <w:tc>
                <w:tcPr>
                  <w:tcW w:w="2147" w:type="pct"/>
                  <w:noWrap w:val="0"/>
                  <w:vAlign w:val="center"/>
                </w:tcPr>
                <w:p w14:paraId="6DAE633C">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sz w:val="21"/>
                      <w:szCs w:val="21"/>
                      <w:u w:val="single" w:color="auto"/>
                      <w:lang w:val="en-US" w:eastAsia="zh-CN"/>
                    </w:rPr>
                  </w:pPr>
                  <w:r>
                    <w:rPr>
                      <w:rFonts w:ascii="Times New Roman" w:hAnsi="Times New Roman"/>
                      <w:sz w:val="21"/>
                      <w:szCs w:val="21"/>
                      <w:u w:val="single" w:color="auto"/>
                    </w:rPr>
                    <w:t>本项目</w:t>
                  </w:r>
                  <w:r>
                    <w:rPr>
                      <w:rFonts w:hint="eastAsia"/>
                      <w:sz w:val="21"/>
                      <w:szCs w:val="21"/>
                      <w:u w:val="single" w:color="auto"/>
                      <w:lang w:val="en-US" w:eastAsia="zh-CN"/>
                    </w:rPr>
                    <w:t>运行过程中产生的制水过程的排泥水经厂区内自建的排泥水处理设施后，符合《污水综合排放标准》（GB 8978-1996）中表4三级标准和岳阳马壕水质净化中心进水水质标准，可通过厂区废水排放口接入区域市政污水管网，经马壕水质净化中心污水处理厂深度处理，能确保项目运行产生的污水全面收集和达标外排</w:t>
                  </w:r>
                </w:p>
              </w:tc>
              <w:tc>
                <w:tcPr>
                  <w:tcW w:w="421" w:type="pct"/>
                  <w:noWrap w:val="0"/>
                  <w:vAlign w:val="center"/>
                </w:tcPr>
                <w:p w14:paraId="3A4B38BC">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u w:val="single" w:color="auto"/>
                    </w:rPr>
                  </w:pPr>
                  <w:r>
                    <w:rPr>
                      <w:rFonts w:ascii="Times New Roman" w:hAnsi="Times New Roman"/>
                      <w:sz w:val="21"/>
                      <w:szCs w:val="21"/>
                      <w:u w:val="single" w:color="auto"/>
                    </w:rPr>
                    <w:t>符合</w:t>
                  </w:r>
                </w:p>
              </w:tc>
            </w:tr>
            <w:tr w14:paraId="0038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430" w:type="pct"/>
                  <w:noWrap w:val="0"/>
                  <w:vAlign w:val="center"/>
                </w:tcPr>
                <w:p w14:paraId="2B4FD83B">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sz w:val="21"/>
                      <w:szCs w:val="21"/>
                      <w:u w:val="single" w:color="auto"/>
                    </w:rPr>
                  </w:pPr>
                  <w:r>
                    <w:rPr>
                      <w:rFonts w:ascii="Times New Roman" w:hAnsi="Times New Roman"/>
                      <w:b/>
                      <w:bCs/>
                      <w:sz w:val="21"/>
                      <w:szCs w:val="21"/>
                      <w:u w:val="single" w:color="auto"/>
                    </w:rPr>
                    <w:t>第</w:t>
                  </w:r>
                  <w:r>
                    <w:rPr>
                      <w:rFonts w:hint="eastAsia" w:ascii="Times New Roman" w:hAnsi="Times New Roman"/>
                      <w:b/>
                      <w:bCs/>
                      <w:sz w:val="21"/>
                      <w:szCs w:val="21"/>
                      <w:u w:val="single" w:color="auto"/>
                    </w:rPr>
                    <w:t>八条</w:t>
                  </w:r>
                  <w:r>
                    <w:rPr>
                      <w:rFonts w:ascii="Times New Roman" w:hAnsi="Times New Roman"/>
                      <w:sz w:val="21"/>
                      <w:szCs w:val="21"/>
                      <w:u w:val="single" w:color="auto"/>
                    </w:rPr>
                    <w:t xml:space="preserve"> </w:t>
                  </w:r>
                  <w:r>
                    <w:rPr>
                      <w:rFonts w:hint="eastAsia" w:ascii="Times New Roman" w:hAnsi="Times New Roman"/>
                      <w:sz w:val="21"/>
                      <w:szCs w:val="21"/>
                      <w:u w:val="single" w:color="auto"/>
                    </w:rPr>
                    <w:t>县级以上人民政府应当根据国土空间规划及重点流域水生态环境保护规划</w:t>
                  </w:r>
                  <w:r>
                    <w:rPr>
                      <w:rFonts w:hint="eastAsia"/>
                      <w:sz w:val="21"/>
                      <w:szCs w:val="21"/>
                      <w:u w:val="single" w:color="auto"/>
                      <w:lang w:eastAsia="zh-CN"/>
                    </w:rPr>
                    <w:t>，</w:t>
                  </w:r>
                  <w:r>
                    <w:rPr>
                      <w:rFonts w:hint="eastAsia" w:ascii="Times New Roman" w:hAnsi="Times New Roman"/>
                      <w:sz w:val="21"/>
                      <w:szCs w:val="21"/>
                      <w:u w:val="single" w:color="auto"/>
                    </w:rPr>
                    <w:t>优化产业布局</w:t>
                  </w:r>
                  <w:r>
                    <w:rPr>
                      <w:rFonts w:hint="eastAsia"/>
                      <w:sz w:val="21"/>
                      <w:szCs w:val="21"/>
                      <w:u w:val="single" w:color="auto"/>
                      <w:lang w:eastAsia="zh-CN"/>
                    </w:rPr>
                    <w:t>，</w:t>
                  </w:r>
                  <w:r>
                    <w:rPr>
                      <w:rFonts w:hint="eastAsia" w:ascii="Times New Roman" w:hAnsi="Times New Roman"/>
                      <w:sz w:val="21"/>
                      <w:szCs w:val="21"/>
                      <w:u w:val="single" w:color="auto"/>
                    </w:rPr>
                    <w:t>调整经济结构,规范开发建设</w:t>
                  </w:r>
                  <w:r>
                    <w:rPr>
                      <w:rFonts w:hint="eastAsia"/>
                      <w:sz w:val="21"/>
                      <w:szCs w:val="21"/>
                      <w:u w:val="single" w:color="auto"/>
                      <w:lang w:eastAsia="zh-CN"/>
                    </w:rPr>
                    <w:t>，</w:t>
                  </w:r>
                  <w:r>
                    <w:rPr>
                      <w:rFonts w:hint="eastAsia" w:ascii="Times New Roman" w:hAnsi="Times New Roman"/>
                      <w:sz w:val="21"/>
                      <w:szCs w:val="21"/>
                      <w:u w:val="single" w:color="auto"/>
                    </w:rPr>
                    <w:t>协调推进区域经济社会发展和水污染防治。</w:t>
                  </w:r>
                </w:p>
                <w:p w14:paraId="70DD354F">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sz w:val="21"/>
                      <w:szCs w:val="21"/>
                      <w:u w:val="single" w:color="auto"/>
                    </w:rPr>
                  </w:pPr>
                  <w:r>
                    <w:rPr>
                      <w:rFonts w:hint="eastAsia" w:ascii="Times New Roman" w:hAnsi="Times New Roman"/>
                      <w:sz w:val="21"/>
                      <w:szCs w:val="21"/>
                      <w:u w:val="single" w:color="auto"/>
                    </w:rPr>
                    <w:t>省、设区的市(自治州)人民政府生态环境主管部门应当依据相关标准规范组织制定生态环境分区管控方案</w:t>
                  </w:r>
                  <w:r>
                    <w:rPr>
                      <w:rFonts w:hint="eastAsia"/>
                      <w:sz w:val="21"/>
                      <w:szCs w:val="21"/>
                      <w:u w:val="single" w:color="auto"/>
                      <w:lang w:eastAsia="zh-CN"/>
                    </w:rPr>
                    <w:t>，</w:t>
                  </w:r>
                  <w:r>
                    <w:rPr>
                      <w:rFonts w:hint="eastAsia" w:ascii="Times New Roman" w:hAnsi="Times New Roman"/>
                      <w:sz w:val="21"/>
                      <w:szCs w:val="21"/>
                      <w:u w:val="single" w:color="auto"/>
                    </w:rPr>
                    <w:t>明确水生态环境质量底线、生态环境准入清单等内容。</w:t>
                  </w:r>
                </w:p>
              </w:tc>
              <w:tc>
                <w:tcPr>
                  <w:tcW w:w="2147" w:type="pct"/>
                  <w:noWrap w:val="0"/>
                  <w:vAlign w:val="center"/>
                </w:tcPr>
                <w:p w14:paraId="279AEB9F">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sz w:val="21"/>
                      <w:szCs w:val="21"/>
                      <w:u w:val="single" w:color="auto"/>
                      <w:lang w:eastAsia="zh-CN"/>
                    </w:rPr>
                  </w:pPr>
                  <w:r>
                    <w:rPr>
                      <w:rFonts w:hint="eastAsia"/>
                      <w:sz w:val="21"/>
                      <w:szCs w:val="21"/>
                      <w:u w:val="single" w:color="auto"/>
                      <w:lang w:val="en-US" w:eastAsia="zh-CN"/>
                    </w:rPr>
                    <w:t>本项目位于岳阳主城区的城北地块，属于生态环境分区管控中的岳阳楼街道管控单元，根据与所在地分区管控要求，项目废气、废水和固废污染经防治措施处理处置后，能满足片区对污染类设施建设要求，符合片区生态环境分区管控要求</w:t>
                  </w:r>
                </w:p>
              </w:tc>
              <w:tc>
                <w:tcPr>
                  <w:tcW w:w="421" w:type="pct"/>
                  <w:noWrap w:val="0"/>
                  <w:vAlign w:val="center"/>
                </w:tcPr>
                <w:p w14:paraId="1E66B940">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u w:val="single" w:color="auto"/>
                    </w:rPr>
                  </w:pPr>
                  <w:r>
                    <w:rPr>
                      <w:rFonts w:ascii="Times New Roman" w:hAnsi="Times New Roman"/>
                      <w:sz w:val="21"/>
                      <w:szCs w:val="21"/>
                      <w:u w:val="single" w:color="auto"/>
                    </w:rPr>
                    <w:t>符合</w:t>
                  </w:r>
                </w:p>
              </w:tc>
            </w:tr>
            <w:tr w14:paraId="6A16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430" w:type="pct"/>
                  <w:noWrap w:val="0"/>
                  <w:vAlign w:val="center"/>
                </w:tcPr>
                <w:p w14:paraId="02FEC5C7">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sz w:val="21"/>
                      <w:szCs w:val="21"/>
                      <w:u w:val="single" w:color="auto"/>
                    </w:rPr>
                  </w:pPr>
                  <w:r>
                    <w:rPr>
                      <w:rFonts w:hint="eastAsia" w:ascii="Times New Roman" w:hAnsi="Times New Roman"/>
                      <w:b/>
                      <w:bCs/>
                      <w:sz w:val="21"/>
                      <w:szCs w:val="21"/>
                      <w:u w:val="single" w:color="auto"/>
                    </w:rPr>
                    <w:t>第十八条</w:t>
                  </w:r>
                  <w:r>
                    <w:rPr>
                      <w:rFonts w:hint="eastAsia"/>
                      <w:sz w:val="21"/>
                      <w:szCs w:val="21"/>
                      <w:u w:val="single" w:color="auto"/>
                      <w:lang w:val="en-US" w:eastAsia="zh-CN"/>
                    </w:rPr>
                    <w:t xml:space="preserve"> </w:t>
                  </w:r>
                  <w:r>
                    <w:rPr>
                      <w:rFonts w:hint="eastAsia" w:ascii="Times New Roman" w:hAnsi="Times New Roman"/>
                      <w:sz w:val="21"/>
                      <w:szCs w:val="21"/>
                      <w:u w:val="single" w:color="auto"/>
                    </w:rPr>
                    <w:t>城镇新区建设和旧城区改建的排水设施应当实行雨水、污水分流,并与建设项目同步建设。在公共排水设施覆盖区域内</w:t>
                  </w:r>
                  <w:r>
                    <w:rPr>
                      <w:rFonts w:hint="eastAsia"/>
                      <w:sz w:val="21"/>
                      <w:szCs w:val="21"/>
                      <w:u w:val="single" w:color="auto"/>
                      <w:lang w:eastAsia="zh-CN"/>
                    </w:rPr>
                    <w:t>，</w:t>
                  </w:r>
                  <w:r>
                    <w:rPr>
                      <w:rFonts w:hint="eastAsia" w:ascii="Times New Roman" w:hAnsi="Times New Roman"/>
                      <w:sz w:val="21"/>
                      <w:szCs w:val="21"/>
                      <w:u w:val="single" w:color="auto"/>
                    </w:rPr>
                    <w:t>不得将雨水管网、污水管网相互混接</w:t>
                  </w:r>
                </w:p>
              </w:tc>
              <w:tc>
                <w:tcPr>
                  <w:tcW w:w="2147" w:type="pct"/>
                  <w:noWrap w:val="0"/>
                  <w:vAlign w:val="center"/>
                </w:tcPr>
                <w:p w14:paraId="1220956D">
                  <w:pPr>
                    <w:keepNext w:val="0"/>
                    <w:keepLines w:val="0"/>
                    <w:pageBreakBefore w:val="0"/>
                    <w:widowControl w:val="0"/>
                    <w:kinsoku/>
                    <w:wordWrap/>
                    <w:overflowPunct/>
                    <w:topLinePunct w:val="0"/>
                    <w:autoSpaceDE/>
                    <w:autoSpaceDN/>
                    <w:bidi w:val="0"/>
                    <w:adjustRightInd w:val="0"/>
                    <w:snapToGrid w:val="0"/>
                    <w:textAlignment w:val="auto"/>
                    <w:rPr>
                      <w:rFonts w:hint="default"/>
                      <w:sz w:val="21"/>
                      <w:szCs w:val="21"/>
                      <w:u w:val="single" w:color="auto"/>
                      <w:lang w:val="en-US" w:eastAsia="zh-CN"/>
                    </w:rPr>
                  </w:pPr>
                  <w:r>
                    <w:rPr>
                      <w:rFonts w:hint="eastAsia"/>
                      <w:sz w:val="21"/>
                      <w:szCs w:val="21"/>
                      <w:u w:val="single" w:color="auto"/>
                      <w:lang w:val="en-US" w:eastAsia="zh-CN"/>
                    </w:rPr>
                    <w:t>项目厂区范围内已实施雨污分流，分开收集处理后外排，分别接入片区内的市政雨水收集管网、污水收集管网</w:t>
                  </w:r>
                </w:p>
              </w:tc>
              <w:tc>
                <w:tcPr>
                  <w:tcW w:w="421" w:type="pct"/>
                  <w:noWrap w:val="0"/>
                  <w:vAlign w:val="center"/>
                </w:tcPr>
                <w:p w14:paraId="77C6E059">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u w:val="single" w:color="auto"/>
                    </w:rPr>
                  </w:pPr>
                  <w:r>
                    <w:rPr>
                      <w:rFonts w:ascii="Times New Roman" w:hAnsi="Times New Roman"/>
                      <w:sz w:val="21"/>
                      <w:szCs w:val="21"/>
                      <w:u w:val="single" w:color="auto"/>
                    </w:rPr>
                    <w:t>符合</w:t>
                  </w:r>
                </w:p>
              </w:tc>
            </w:tr>
            <w:tr w14:paraId="05BC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430" w:type="pct"/>
                  <w:noWrap w:val="0"/>
                  <w:vAlign w:val="center"/>
                </w:tcPr>
                <w:p w14:paraId="55D29801">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sz w:val="21"/>
                      <w:szCs w:val="21"/>
                      <w:u w:val="single" w:color="auto"/>
                    </w:rPr>
                  </w:pPr>
                  <w:r>
                    <w:rPr>
                      <w:rFonts w:hint="eastAsia" w:ascii="Times New Roman" w:hAnsi="Times New Roman"/>
                      <w:b/>
                      <w:bCs/>
                      <w:sz w:val="21"/>
                      <w:szCs w:val="21"/>
                      <w:u w:val="single" w:color="auto"/>
                    </w:rPr>
                    <w:t>第二十九条</w:t>
                  </w:r>
                  <w:r>
                    <w:rPr>
                      <w:rFonts w:hint="eastAsia"/>
                      <w:sz w:val="21"/>
                      <w:szCs w:val="21"/>
                      <w:u w:val="single" w:color="auto"/>
                      <w:lang w:val="en-US" w:eastAsia="zh-CN"/>
                    </w:rPr>
                    <w:t xml:space="preserve"> </w:t>
                  </w:r>
                  <w:r>
                    <w:rPr>
                      <w:rFonts w:hint="eastAsia" w:ascii="Times New Roman" w:hAnsi="Times New Roman"/>
                      <w:sz w:val="21"/>
                      <w:szCs w:val="21"/>
                      <w:u w:val="single" w:color="auto"/>
                    </w:rPr>
                    <w:t>县级以上人民政府应当加强枯水期地表水水质监测断面和饮用水水源保护区上游三公里内的河道整治、取排水、交通运输等涉水活动的监管</w:t>
                  </w:r>
                  <w:r>
                    <w:rPr>
                      <w:rFonts w:hint="eastAsia"/>
                      <w:sz w:val="21"/>
                      <w:szCs w:val="21"/>
                      <w:u w:val="single" w:color="auto"/>
                      <w:lang w:eastAsia="zh-CN"/>
                    </w:rPr>
                    <w:t>，</w:t>
                  </w:r>
                  <w:r>
                    <w:rPr>
                      <w:rFonts w:hint="eastAsia" w:ascii="Times New Roman" w:hAnsi="Times New Roman"/>
                      <w:sz w:val="21"/>
                      <w:szCs w:val="21"/>
                      <w:u w:val="single" w:color="auto"/>
                    </w:rPr>
                    <w:t>防止施工活动造成水体污染</w:t>
                  </w:r>
                </w:p>
              </w:tc>
              <w:tc>
                <w:tcPr>
                  <w:tcW w:w="2147" w:type="pct"/>
                  <w:noWrap w:val="0"/>
                  <w:vAlign w:val="center"/>
                </w:tcPr>
                <w:p w14:paraId="3BF6019E">
                  <w:pPr>
                    <w:keepNext w:val="0"/>
                    <w:keepLines w:val="0"/>
                    <w:pageBreakBefore w:val="0"/>
                    <w:widowControl w:val="0"/>
                    <w:kinsoku/>
                    <w:wordWrap/>
                    <w:overflowPunct/>
                    <w:topLinePunct w:val="0"/>
                    <w:autoSpaceDE/>
                    <w:autoSpaceDN/>
                    <w:bidi w:val="0"/>
                    <w:adjustRightInd w:val="0"/>
                    <w:snapToGrid w:val="0"/>
                    <w:textAlignment w:val="auto"/>
                    <w:rPr>
                      <w:rFonts w:hint="default"/>
                      <w:sz w:val="21"/>
                      <w:szCs w:val="21"/>
                      <w:u w:val="single" w:color="auto"/>
                      <w:lang w:val="en-US" w:eastAsia="zh-CN"/>
                    </w:rPr>
                  </w:pPr>
                  <w:r>
                    <w:rPr>
                      <w:rFonts w:hint="eastAsia"/>
                      <w:sz w:val="21"/>
                      <w:szCs w:val="21"/>
                      <w:u w:val="single" w:color="auto"/>
                      <w:lang w:val="en-US" w:eastAsia="zh-CN"/>
                    </w:rPr>
                    <w:t>项目取水水源的洞庭湖属于备用水源地，日常配合水利部门、交通部门和生态环境部门在饮用水源地内加强保护和监测工作，杜绝对饮用水水源地的污染影响</w:t>
                  </w:r>
                </w:p>
              </w:tc>
              <w:tc>
                <w:tcPr>
                  <w:tcW w:w="421" w:type="pct"/>
                  <w:noWrap w:val="0"/>
                  <w:vAlign w:val="center"/>
                </w:tcPr>
                <w:p w14:paraId="2B657681">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u w:val="single" w:color="auto"/>
                    </w:rPr>
                  </w:pPr>
                  <w:r>
                    <w:rPr>
                      <w:rFonts w:ascii="Times New Roman" w:hAnsi="Times New Roman"/>
                      <w:sz w:val="21"/>
                      <w:szCs w:val="21"/>
                      <w:u w:val="single" w:color="auto"/>
                    </w:rPr>
                    <w:t>符合</w:t>
                  </w:r>
                </w:p>
              </w:tc>
            </w:tr>
            <w:tr w14:paraId="10F8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430" w:type="pct"/>
                  <w:noWrap w:val="0"/>
                  <w:vAlign w:val="center"/>
                </w:tcPr>
                <w:p w14:paraId="308D70C0">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sz w:val="21"/>
                      <w:szCs w:val="21"/>
                      <w:u w:val="single" w:color="auto"/>
                    </w:rPr>
                  </w:pPr>
                  <w:r>
                    <w:rPr>
                      <w:rFonts w:hint="eastAsia" w:ascii="Times New Roman" w:hAnsi="Times New Roman"/>
                      <w:b/>
                      <w:bCs/>
                      <w:sz w:val="21"/>
                      <w:szCs w:val="21"/>
                      <w:u w:val="single" w:color="auto"/>
                    </w:rPr>
                    <w:t>第三十条</w:t>
                  </w:r>
                  <w:r>
                    <w:rPr>
                      <w:rFonts w:hint="eastAsia"/>
                      <w:sz w:val="21"/>
                      <w:szCs w:val="21"/>
                      <w:u w:val="single" w:color="auto"/>
                      <w:lang w:val="en-US" w:eastAsia="zh-CN"/>
                    </w:rPr>
                    <w:t xml:space="preserve"> </w:t>
                  </w:r>
                  <w:r>
                    <w:rPr>
                      <w:rFonts w:hint="eastAsia" w:ascii="Times New Roman" w:hAnsi="Times New Roman"/>
                      <w:sz w:val="21"/>
                      <w:szCs w:val="21"/>
                      <w:u w:val="single" w:color="auto"/>
                    </w:rPr>
                    <w:t>县级以上人民政府应当合理控制区域用水总量,加强河道外取用水、水工程水量调度等监督管理,推进河湖连通,保障区域内重点河段生态流量、重点湖泊生态水位。</w:t>
                  </w:r>
                </w:p>
              </w:tc>
              <w:tc>
                <w:tcPr>
                  <w:tcW w:w="2147" w:type="pct"/>
                  <w:noWrap w:val="0"/>
                  <w:vAlign w:val="center"/>
                </w:tcPr>
                <w:p w14:paraId="4BC29D20">
                  <w:pPr>
                    <w:keepNext w:val="0"/>
                    <w:keepLines w:val="0"/>
                    <w:pageBreakBefore w:val="0"/>
                    <w:widowControl w:val="0"/>
                    <w:kinsoku/>
                    <w:wordWrap/>
                    <w:overflowPunct/>
                    <w:topLinePunct w:val="0"/>
                    <w:autoSpaceDE/>
                    <w:autoSpaceDN/>
                    <w:bidi w:val="0"/>
                    <w:adjustRightInd w:val="0"/>
                    <w:snapToGrid w:val="0"/>
                    <w:textAlignment w:val="auto"/>
                    <w:rPr>
                      <w:rFonts w:hint="eastAsia"/>
                      <w:sz w:val="21"/>
                      <w:szCs w:val="21"/>
                      <w:u w:val="single" w:color="auto"/>
                      <w:lang w:val="en-US" w:eastAsia="zh-CN"/>
                    </w:rPr>
                  </w:pPr>
                  <w:r>
                    <w:rPr>
                      <w:rFonts w:ascii="Times New Roman" w:hAnsi="Times New Roman"/>
                      <w:sz w:val="21"/>
                      <w:szCs w:val="21"/>
                      <w:u w:val="single" w:color="auto"/>
                    </w:rPr>
                    <w:t>项目</w:t>
                  </w:r>
                  <w:r>
                    <w:rPr>
                      <w:rFonts w:hint="eastAsia"/>
                      <w:sz w:val="21"/>
                      <w:szCs w:val="21"/>
                      <w:u w:val="single" w:color="auto"/>
                      <w:lang w:val="en-US" w:eastAsia="zh-CN"/>
                    </w:rPr>
                    <w:t>在东洞庭湖水源地内取水符合片区水资源总量控制要求，并已取得水利行政主管部门下达的取水许可证</w:t>
                  </w:r>
                </w:p>
              </w:tc>
              <w:tc>
                <w:tcPr>
                  <w:tcW w:w="421" w:type="pct"/>
                  <w:noWrap w:val="0"/>
                  <w:vAlign w:val="center"/>
                </w:tcPr>
                <w:p w14:paraId="77D348E6">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u w:val="single" w:color="auto"/>
                    </w:rPr>
                  </w:pPr>
                  <w:r>
                    <w:rPr>
                      <w:rFonts w:ascii="Times New Roman" w:hAnsi="Times New Roman"/>
                      <w:sz w:val="21"/>
                      <w:szCs w:val="21"/>
                      <w:u w:val="single" w:color="auto"/>
                    </w:rPr>
                    <w:t>符合</w:t>
                  </w:r>
                </w:p>
              </w:tc>
            </w:tr>
            <w:tr w14:paraId="796A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430" w:type="pct"/>
                  <w:noWrap w:val="0"/>
                  <w:vAlign w:val="center"/>
                </w:tcPr>
                <w:p w14:paraId="12D232C2">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b w:val="0"/>
                      <w:bCs w:val="0"/>
                      <w:sz w:val="21"/>
                      <w:szCs w:val="21"/>
                      <w:u w:val="single" w:color="auto"/>
                    </w:rPr>
                  </w:pPr>
                  <w:r>
                    <w:rPr>
                      <w:rFonts w:hint="eastAsia" w:ascii="Times New Roman" w:hAnsi="Times New Roman"/>
                      <w:b/>
                      <w:bCs/>
                      <w:sz w:val="21"/>
                      <w:szCs w:val="21"/>
                      <w:u w:val="single" w:color="auto"/>
                    </w:rPr>
                    <w:t>第三十六条</w:t>
                  </w:r>
                  <w:r>
                    <w:rPr>
                      <w:rFonts w:hint="eastAsia"/>
                      <w:b/>
                      <w:bCs/>
                      <w:sz w:val="21"/>
                      <w:szCs w:val="21"/>
                      <w:u w:val="single" w:color="auto"/>
                      <w:lang w:val="en-US" w:eastAsia="zh-CN"/>
                    </w:rPr>
                    <w:t xml:space="preserve"> </w:t>
                  </w:r>
                  <w:r>
                    <w:rPr>
                      <w:rFonts w:hint="eastAsia" w:ascii="Times New Roman" w:hAnsi="Times New Roman"/>
                      <w:b w:val="0"/>
                      <w:bCs w:val="0"/>
                      <w:sz w:val="21"/>
                      <w:szCs w:val="21"/>
                      <w:u w:val="single" w:color="auto"/>
                    </w:rPr>
                    <w:t>县级以上人民政府应当建立水环境风险防范体系</w:t>
                  </w:r>
                  <w:r>
                    <w:rPr>
                      <w:rFonts w:hint="eastAsia"/>
                      <w:b w:val="0"/>
                      <w:bCs w:val="0"/>
                      <w:sz w:val="21"/>
                      <w:szCs w:val="21"/>
                      <w:u w:val="single" w:color="auto"/>
                      <w:lang w:eastAsia="zh-CN"/>
                    </w:rPr>
                    <w:t>，</w:t>
                  </w:r>
                  <w:r>
                    <w:rPr>
                      <w:rFonts w:hint="eastAsia" w:ascii="Times New Roman" w:hAnsi="Times New Roman"/>
                      <w:b w:val="0"/>
                      <w:bCs w:val="0"/>
                      <w:sz w:val="21"/>
                      <w:szCs w:val="21"/>
                      <w:u w:val="single" w:color="auto"/>
                    </w:rPr>
                    <w:t>建立健全水污染隐患排查和整治机制</w:t>
                  </w:r>
                  <w:r>
                    <w:rPr>
                      <w:rFonts w:hint="eastAsia"/>
                      <w:b w:val="0"/>
                      <w:bCs w:val="0"/>
                      <w:sz w:val="21"/>
                      <w:szCs w:val="21"/>
                      <w:u w:val="single" w:color="auto"/>
                      <w:lang w:eastAsia="zh-CN"/>
                    </w:rPr>
                    <w:t>，</w:t>
                  </w:r>
                  <w:r>
                    <w:rPr>
                      <w:rFonts w:hint="eastAsia" w:ascii="Times New Roman" w:hAnsi="Times New Roman"/>
                      <w:b w:val="0"/>
                      <w:bCs w:val="0"/>
                      <w:sz w:val="21"/>
                      <w:szCs w:val="21"/>
                      <w:u w:val="single" w:color="auto"/>
                    </w:rPr>
                    <w:t>组织有关部门开展本行政区域内水生态环境基础情况调查和风险评估。</w:t>
                  </w:r>
                </w:p>
                <w:p w14:paraId="3B489CD5">
                  <w:pPr>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b/>
                      <w:bCs/>
                      <w:sz w:val="21"/>
                      <w:szCs w:val="21"/>
                      <w:u w:val="single" w:color="auto"/>
                    </w:rPr>
                  </w:pPr>
                  <w:r>
                    <w:rPr>
                      <w:rFonts w:hint="eastAsia" w:ascii="Times New Roman" w:hAnsi="Times New Roman"/>
                      <w:b w:val="0"/>
                      <w:bCs w:val="0"/>
                      <w:sz w:val="21"/>
                      <w:szCs w:val="21"/>
                      <w:u w:val="single" w:color="auto"/>
                    </w:rPr>
                    <w:t>县级以上人民政府应当组织有关部门编制水污染事故、饮用水安全突发事件、城乡供水突发事件等相关应急预案并按照有关规定备案,定期进行演练</w:t>
                  </w:r>
                  <w:r>
                    <w:rPr>
                      <w:rFonts w:hint="eastAsia"/>
                      <w:b w:val="0"/>
                      <w:bCs w:val="0"/>
                      <w:sz w:val="21"/>
                      <w:szCs w:val="21"/>
                      <w:u w:val="single" w:color="auto"/>
                      <w:lang w:eastAsia="zh-CN"/>
                    </w:rPr>
                    <w:t>，</w:t>
                  </w:r>
                  <w:r>
                    <w:rPr>
                      <w:rFonts w:hint="eastAsia" w:ascii="Times New Roman" w:hAnsi="Times New Roman"/>
                      <w:b w:val="0"/>
                      <w:bCs w:val="0"/>
                      <w:sz w:val="21"/>
                      <w:szCs w:val="21"/>
                      <w:u w:val="single" w:color="auto"/>
                    </w:rPr>
                    <w:t>加强应急物资储备</w:t>
                  </w:r>
                  <w:r>
                    <w:rPr>
                      <w:rFonts w:hint="eastAsia"/>
                      <w:b w:val="0"/>
                      <w:bCs w:val="0"/>
                      <w:sz w:val="21"/>
                      <w:szCs w:val="21"/>
                      <w:u w:val="single" w:color="auto"/>
                      <w:lang w:eastAsia="zh-CN"/>
                    </w:rPr>
                    <w:t>，</w:t>
                  </w:r>
                  <w:r>
                    <w:rPr>
                      <w:rFonts w:hint="eastAsia" w:ascii="Times New Roman" w:hAnsi="Times New Roman"/>
                      <w:b w:val="0"/>
                      <w:bCs w:val="0"/>
                      <w:sz w:val="21"/>
                      <w:szCs w:val="21"/>
                      <w:u w:val="single" w:color="auto"/>
                    </w:rPr>
                    <w:t>做好应对突发事件的应急准备、应急处置和事后恢复等工作</w:t>
                  </w:r>
                </w:p>
              </w:tc>
              <w:tc>
                <w:tcPr>
                  <w:tcW w:w="2147" w:type="pct"/>
                  <w:noWrap w:val="0"/>
                  <w:vAlign w:val="center"/>
                </w:tcPr>
                <w:p w14:paraId="0563A15A">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sz w:val="21"/>
                      <w:szCs w:val="21"/>
                      <w:u w:val="single" w:color="auto"/>
                      <w:lang w:val="en-US" w:eastAsia="zh-CN"/>
                    </w:rPr>
                  </w:pPr>
                  <w:r>
                    <w:rPr>
                      <w:rFonts w:hint="eastAsia"/>
                      <w:sz w:val="21"/>
                      <w:szCs w:val="21"/>
                      <w:u w:val="single" w:color="auto"/>
                      <w:lang w:val="en-US" w:eastAsia="zh-CN"/>
                    </w:rPr>
                    <w:t>项目配合区域主管单位岳阳楼区政府、水利资源部门、生态环境部门、交通运管部门做好饮用水源地突发环境事件的预案编制、演练和物资储备工作</w:t>
                  </w:r>
                </w:p>
              </w:tc>
              <w:tc>
                <w:tcPr>
                  <w:tcW w:w="421" w:type="pct"/>
                  <w:noWrap w:val="0"/>
                  <w:vAlign w:val="center"/>
                </w:tcPr>
                <w:p w14:paraId="6EE13113">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sz w:val="21"/>
                      <w:szCs w:val="21"/>
                      <w:u w:val="single" w:color="auto"/>
                    </w:rPr>
                  </w:pPr>
                  <w:r>
                    <w:rPr>
                      <w:rFonts w:ascii="Times New Roman" w:hAnsi="Times New Roman"/>
                      <w:sz w:val="21"/>
                      <w:szCs w:val="21"/>
                      <w:u w:val="single" w:color="auto"/>
                    </w:rPr>
                    <w:t>符合</w:t>
                  </w:r>
                </w:p>
              </w:tc>
            </w:tr>
          </w:tbl>
          <w:p w14:paraId="4C34C9A4">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ascii="Times New Roman" w:hAnsi="Times New Roman"/>
                <w:sz w:val="24"/>
                <w:u w:val="single" w:color="auto"/>
              </w:rPr>
            </w:pPr>
            <w:r>
              <w:rPr>
                <w:rFonts w:ascii="Times New Roman" w:hAnsi="Times New Roman"/>
                <w:sz w:val="24"/>
                <w:u w:val="single" w:color="auto"/>
              </w:rPr>
              <w:t>经上述分析，本项目建设与</w:t>
            </w:r>
            <w:r>
              <w:rPr>
                <w:rFonts w:hint="eastAsia" w:ascii="Times New Roman" w:hAnsi="Times New Roman"/>
                <w:sz w:val="24"/>
                <w:u w:val="single" w:color="auto"/>
              </w:rPr>
              <w:t>《湖南省水污染防治条例》</w:t>
            </w:r>
            <w:r>
              <w:rPr>
                <w:rFonts w:hint="eastAsia" w:ascii="Times New Roman" w:hAnsi="Times New Roman"/>
                <w:sz w:val="24"/>
                <w:u w:val="single" w:color="auto"/>
                <w:lang w:val="en-US" w:eastAsia="zh-CN"/>
              </w:rPr>
              <w:t>相关</w:t>
            </w:r>
            <w:r>
              <w:rPr>
                <w:rFonts w:ascii="Times New Roman" w:hAnsi="Times New Roman"/>
                <w:sz w:val="24"/>
                <w:u w:val="single" w:color="auto"/>
              </w:rPr>
              <w:t>要求是</w:t>
            </w:r>
            <w:r>
              <w:rPr>
                <w:rFonts w:hint="eastAsia" w:ascii="Times New Roman" w:hAnsi="Times New Roman"/>
                <w:sz w:val="24"/>
                <w:u w:val="single" w:color="auto"/>
                <w:lang w:val="en-US" w:eastAsia="zh-CN"/>
              </w:rPr>
              <w:t>相符</w:t>
            </w:r>
            <w:r>
              <w:rPr>
                <w:rFonts w:ascii="Times New Roman" w:hAnsi="Times New Roman"/>
                <w:sz w:val="24"/>
                <w:u w:val="single" w:color="auto"/>
              </w:rPr>
              <w:t>的。</w:t>
            </w:r>
          </w:p>
          <w:p w14:paraId="493D37F3">
            <w:pPr>
              <w:autoSpaceDE w:val="0"/>
              <w:autoSpaceDN w:val="0"/>
              <w:spacing w:line="360" w:lineRule="auto"/>
              <w:jc w:val="left"/>
              <w:rPr>
                <w:b/>
                <w:bCs/>
                <w:sz w:val="24"/>
              </w:rPr>
            </w:pPr>
            <w:r>
              <w:rPr>
                <w:rFonts w:hint="eastAsia"/>
                <w:b/>
                <w:bCs/>
                <w:sz w:val="24"/>
                <w:lang w:val="en-US" w:eastAsia="zh-CN"/>
              </w:rPr>
              <w:t>七</w:t>
            </w:r>
            <w:r>
              <w:rPr>
                <w:rFonts w:hint="eastAsia"/>
                <w:b/>
                <w:bCs/>
                <w:sz w:val="24"/>
              </w:rPr>
              <w:t>、</w:t>
            </w:r>
            <w:r>
              <w:rPr>
                <w:rFonts w:hint="eastAsia" w:ascii="Times New Roman" w:hAnsi="Times New Roman" w:eastAsia="宋体" w:cs="Times New Roman"/>
                <w:b/>
                <w:bCs/>
                <w:color w:val="auto"/>
                <w:sz w:val="24"/>
                <w:highlight w:val="none"/>
                <w:u w:val="none"/>
                <w:lang w:val="en-US" w:eastAsia="zh-CN"/>
              </w:rPr>
              <w:t>项目选址合理性分析</w:t>
            </w:r>
          </w:p>
          <w:p w14:paraId="2383CF74">
            <w:pPr>
              <w:autoSpaceDE w:val="0"/>
              <w:autoSpaceDN w:val="0"/>
              <w:spacing w:line="360" w:lineRule="auto"/>
              <w:ind w:firstLine="480" w:firstLineChars="200"/>
              <w:jc w:val="left"/>
              <w:rPr>
                <w:rFonts w:hint="eastAsia"/>
                <w:sz w:val="24"/>
                <w:lang w:bidi="ar"/>
              </w:rPr>
            </w:pPr>
            <w:r>
              <w:rPr>
                <w:rFonts w:hint="eastAsia"/>
                <w:sz w:val="24"/>
                <w:lang w:bidi="ar"/>
              </w:rPr>
              <w:t>项目</w:t>
            </w:r>
            <w:r>
              <w:rPr>
                <w:rFonts w:hint="eastAsia"/>
                <w:sz w:val="24"/>
                <w:lang w:val="en-US" w:eastAsia="zh-CN" w:bidi="ar"/>
              </w:rPr>
              <w:t>位于东洞庭湖岸边（应急备用水源）的取水点、取水管道、集水池和取水泵房，</w:t>
            </w:r>
            <w:r>
              <w:rPr>
                <w:rFonts w:hint="eastAsia"/>
                <w:sz w:val="24"/>
                <w:lang w:bidi="ar"/>
              </w:rPr>
              <w:t>东侧、北侧、西侧均为空地</w:t>
            </w:r>
            <w:r>
              <w:rPr>
                <w:rFonts w:hint="eastAsia"/>
                <w:sz w:val="24"/>
                <w:lang w:eastAsia="zh-CN" w:bidi="ar"/>
              </w:rPr>
              <w:t>（</w:t>
            </w:r>
            <w:r>
              <w:rPr>
                <w:rFonts w:hint="eastAsia"/>
                <w:sz w:val="24"/>
                <w:lang w:val="en-US" w:eastAsia="zh-CN" w:bidi="ar"/>
              </w:rPr>
              <w:t>岸域</w:t>
            </w:r>
            <w:r>
              <w:rPr>
                <w:rFonts w:hint="eastAsia"/>
                <w:sz w:val="24"/>
                <w:lang w:eastAsia="zh-CN" w:bidi="ar"/>
              </w:rPr>
              <w:t>）</w:t>
            </w:r>
            <w:r>
              <w:rPr>
                <w:rFonts w:hint="eastAsia"/>
                <w:sz w:val="24"/>
                <w:lang w:bidi="ar"/>
              </w:rPr>
              <w:t>，南侧</w:t>
            </w:r>
            <w:r>
              <w:rPr>
                <w:rFonts w:hint="eastAsia"/>
                <w:sz w:val="24"/>
                <w:lang w:val="en-US" w:eastAsia="zh-CN" w:bidi="ar"/>
              </w:rPr>
              <w:t>相隔40m</w:t>
            </w:r>
            <w:r>
              <w:rPr>
                <w:rFonts w:hint="eastAsia"/>
                <w:sz w:val="24"/>
                <w:lang w:bidi="ar"/>
              </w:rPr>
              <w:t>为</w:t>
            </w:r>
            <w:r>
              <w:rPr>
                <w:rFonts w:hint="eastAsia"/>
                <w:sz w:val="24"/>
                <w:lang w:val="en-US" w:eastAsia="zh-CN" w:bidi="ar"/>
              </w:rPr>
              <w:t>东洞庭湖管理局家属楼。</w:t>
            </w:r>
            <w:r>
              <w:rPr>
                <w:rFonts w:hint="eastAsia"/>
                <w:sz w:val="24"/>
                <w:lang w:bidi="ar"/>
              </w:rPr>
              <w:t>引水管线由取水口处取水，</w:t>
            </w:r>
            <w:r>
              <w:rPr>
                <w:rFonts w:hint="eastAsia"/>
                <w:sz w:val="24"/>
                <w:lang w:val="en-US" w:eastAsia="zh-CN" w:bidi="ar"/>
              </w:rPr>
              <w:t>向东</w:t>
            </w:r>
            <w:r>
              <w:rPr>
                <w:rFonts w:hint="eastAsia"/>
                <w:sz w:val="24"/>
                <w:lang w:bidi="ar"/>
              </w:rPr>
              <w:t>沿</w:t>
            </w:r>
            <w:r>
              <w:rPr>
                <w:rFonts w:hint="eastAsia"/>
                <w:sz w:val="24"/>
                <w:lang w:val="en-US" w:eastAsia="zh-CN" w:bidi="ar"/>
              </w:rPr>
              <w:t>输水管线11</w:t>
            </w:r>
            <w:r>
              <w:rPr>
                <w:rFonts w:hint="eastAsia"/>
                <w:sz w:val="24"/>
                <w:lang w:bidi="ar"/>
              </w:rPr>
              <w:t>0m后敷设至水厂。</w:t>
            </w:r>
            <w:r>
              <w:rPr>
                <w:rFonts w:hint="eastAsia"/>
                <w:sz w:val="24"/>
                <w:u w:val="single"/>
                <w:lang w:bidi="ar"/>
              </w:rPr>
              <w:t>项目</w:t>
            </w:r>
            <w:r>
              <w:rPr>
                <w:rFonts w:hint="eastAsia"/>
                <w:sz w:val="24"/>
                <w:u w:val="single"/>
                <w:lang w:val="en-US" w:eastAsia="zh-CN" w:bidi="ar"/>
              </w:rPr>
              <w:t>主体工程自来水生产净化水</w:t>
            </w:r>
            <w:r>
              <w:rPr>
                <w:rFonts w:hint="eastAsia"/>
                <w:sz w:val="24"/>
                <w:u w:val="single"/>
                <w:lang w:bidi="ar"/>
              </w:rPr>
              <w:t>厂</w:t>
            </w:r>
            <w:r>
              <w:rPr>
                <w:rFonts w:hint="eastAsia"/>
                <w:sz w:val="24"/>
                <w:u w:val="single"/>
                <w:lang w:val="en-US" w:eastAsia="zh-CN" w:bidi="ar"/>
              </w:rPr>
              <w:t>厂区和位于东洞庭湖备用饮用水源地的取水设施在1970年已建成投入使用，</w:t>
            </w:r>
            <w:r>
              <w:rPr>
                <w:rFonts w:hint="eastAsia"/>
                <w:sz w:val="24"/>
                <w:u w:val="single"/>
                <w:lang w:bidi="ar"/>
              </w:rPr>
              <w:t>不在</w:t>
            </w:r>
            <w:r>
              <w:rPr>
                <w:rFonts w:hint="eastAsia"/>
                <w:sz w:val="24"/>
                <w:u w:val="single"/>
                <w:lang w:val="en-US" w:eastAsia="zh-CN" w:bidi="ar"/>
              </w:rPr>
              <w:t>东洞庭湖自然保护区范围</w:t>
            </w:r>
            <w:r>
              <w:rPr>
                <w:rFonts w:hint="eastAsia"/>
                <w:sz w:val="24"/>
                <w:u w:val="single"/>
                <w:lang w:bidi="ar"/>
              </w:rPr>
              <w:t>内</w:t>
            </w:r>
            <w:r>
              <w:rPr>
                <w:rFonts w:hint="eastAsia"/>
                <w:sz w:val="24"/>
                <w:u w:val="single"/>
                <w:lang w:eastAsia="zh-CN" w:bidi="ar"/>
              </w:rPr>
              <w:t>；</w:t>
            </w:r>
            <w:r>
              <w:rPr>
                <w:rFonts w:hint="eastAsia"/>
                <w:sz w:val="24"/>
                <w:u w:val="single"/>
                <w:lang w:val="en-US" w:eastAsia="zh-CN" w:bidi="ar"/>
              </w:rPr>
              <w:t>位于岳阳楼洞庭湖国家级风景名胜区-岳阳楼景区（1988年批复成立）的外围保护地带、取水和输水</w:t>
            </w:r>
            <w:r>
              <w:rPr>
                <w:rFonts w:hint="eastAsia"/>
                <w:sz w:val="24"/>
                <w:u w:val="single"/>
                <w:lang w:bidi="ar"/>
              </w:rPr>
              <w:t>管线属于供水设施</w:t>
            </w:r>
            <w:r>
              <w:rPr>
                <w:rFonts w:hint="eastAsia"/>
                <w:sz w:val="24"/>
                <w:u w:val="single"/>
                <w:lang w:val="en-US" w:eastAsia="zh-CN" w:bidi="ar"/>
              </w:rPr>
              <w:t>位于景区的二级保护区范围内</w:t>
            </w:r>
            <w:r>
              <w:rPr>
                <w:rFonts w:hint="eastAsia"/>
                <w:sz w:val="24"/>
                <w:u w:val="single"/>
                <w:lang w:bidi="ar"/>
              </w:rPr>
              <w:t>，</w:t>
            </w:r>
            <w:r>
              <w:rPr>
                <w:rFonts w:hint="eastAsia"/>
                <w:sz w:val="24"/>
                <w:u w:val="single"/>
                <w:lang w:val="en-US" w:eastAsia="zh-CN" w:bidi="ar"/>
              </w:rPr>
              <w:t>项目选址符合现行的《风景名胜区条例》（2026年修订）和《中华人民共和国生态环境法典》关于集中式饮用水水源保护区保护管理的有关规定。同时，本项目自来水净水生产厂区经历多次扩建改造，目前取水设施的输水</w:t>
            </w:r>
            <w:r>
              <w:rPr>
                <w:rFonts w:hint="eastAsia"/>
                <w:sz w:val="24"/>
                <w:u w:val="single"/>
                <w:lang w:bidi="ar"/>
              </w:rPr>
              <w:t>管线上方占地均已恢复其本身的土地属性，不存在遗留</w:t>
            </w:r>
            <w:r>
              <w:rPr>
                <w:rFonts w:hint="eastAsia"/>
                <w:sz w:val="24"/>
                <w:u w:val="single"/>
                <w:lang w:val="en-US" w:eastAsia="zh-CN" w:bidi="ar"/>
              </w:rPr>
              <w:t>生态</w:t>
            </w:r>
            <w:r>
              <w:rPr>
                <w:rFonts w:hint="eastAsia"/>
                <w:sz w:val="24"/>
                <w:u w:val="single"/>
                <w:lang w:bidi="ar"/>
              </w:rPr>
              <w:t>环境问题。</w:t>
            </w:r>
          </w:p>
          <w:p w14:paraId="24BD29A0">
            <w:pPr>
              <w:autoSpaceDE w:val="0"/>
              <w:autoSpaceDN w:val="0"/>
              <w:spacing w:line="360" w:lineRule="auto"/>
              <w:ind w:firstLine="480" w:firstLineChars="200"/>
              <w:jc w:val="left"/>
              <w:rPr>
                <w:rFonts w:hint="eastAsia"/>
                <w:sz w:val="24"/>
                <w:u w:val="single"/>
                <w:lang w:val="en-US" w:eastAsia="zh-CN" w:bidi="ar"/>
              </w:rPr>
            </w:pPr>
            <w:r>
              <w:rPr>
                <w:rFonts w:hint="eastAsia"/>
                <w:sz w:val="24"/>
                <w:lang w:bidi="ar"/>
              </w:rPr>
              <w:t>本项目</w:t>
            </w:r>
            <w:r>
              <w:rPr>
                <w:rFonts w:hint="eastAsia"/>
                <w:sz w:val="24"/>
                <w:lang w:val="en-US" w:eastAsia="zh-CN" w:bidi="ar"/>
              </w:rPr>
              <w:t>取水设施、净化水</w:t>
            </w:r>
            <w:r>
              <w:rPr>
                <w:rFonts w:hint="eastAsia"/>
                <w:sz w:val="24"/>
                <w:lang w:bidi="ar"/>
              </w:rPr>
              <w:t>厂</w:t>
            </w:r>
            <w:r>
              <w:rPr>
                <w:rFonts w:hint="eastAsia"/>
                <w:sz w:val="24"/>
                <w:lang w:val="en-US" w:eastAsia="zh-CN" w:bidi="ar"/>
              </w:rPr>
              <w:t>占地区域已</w:t>
            </w:r>
            <w:r>
              <w:rPr>
                <w:rFonts w:hint="eastAsia"/>
                <w:sz w:val="24"/>
                <w:lang w:bidi="ar"/>
              </w:rPr>
              <w:t>于取得建设用地批准书，土地用途用于建设</w:t>
            </w:r>
            <w:r>
              <w:rPr>
                <w:rFonts w:hint="eastAsia"/>
                <w:sz w:val="24"/>
                <w:lang w:val="en-US" w:eastAsia="zh-CN" w:bidi="ar"/>
              </w:rPr>
              <w:t>市政公共设施</w:t>
            </w:r>
            <w:r>
              <w:rPr>
                <w:rFonts w:hint="eastAsia"/>
                <w:sz w:val="24"/>
                <w:lang w:bidi="ar"/>
              </w:rPr>
              <w:t>净水厂，</w:t>
            </w:r>
            <w:r>
              <w:rPr>
                <w:rFonts w:hint="eastAsia"/>
                <w:sz w:val="24"/>
                <w:lang w:val="en-US" w:eastAsia="zh-CN" w:bidi="ar"/>
              </w:rPr>
              <w:t>净水</w:t>
            </w:r>
            <w:r>
              <w:rPr>
                <w:rFonts w:hint="eastAsia"/>
                <w:sz w:val="24"/>
                <w:lang w:bidi="ar"/>
              </w:rPr>
              <w:t>厂区周边无野生保护动物和文物古迹等需要特殊保护的环境</w:t>
            </w:r>
            <w:r>
              <w:rPr>
                <w:rFonts w:hint="eastAsia"/>
                <w:sz w:val="24"/>
                <w:lang w:val="en-US" w:eastAsia="zh-CN" w:bidi="ar"/>
              </w:rPr>
              <w:t>保护</w:t>
            </w:r>
            <w:r>
              <w:rPr>
                <w:rFonts w:hint="eastAsia"/>
                <w:sz w:val="24"/>
                <w:lang w:bidi="ar"/>
              </w:rPr>
              <w:t>目标，地表水环境保护目标为</w:t>
            </w:r>
            <w:r>
              <w:rPr>
                <w:rFonts w:hint="eastAsia"/>
                <w:sz w:val="24"/>
                <w:lang w:val="en-US" w:eastAsia="zh-CN" w:bidi="ar"/>
              </w:rPr>
              <w:t>备用取水水源地东洞庭湖，周边环境风险保护目标为学校、居民区等</w:t>
            </w:r>
            <w:r>
              <w:rPr>
                <w:rFonts w:hint="eastAsia"/>
                <w:sz w:val="24"/>
                <w:lang w:bidi="ar"/>
              </w:rPr>
              <w:t>。</w:t>
            </w:r>
            <w:r>
              <w:rPr>
                <w:rFonts w:hint="eastAsia"/>
                <w:sz w:val="24"/>
                <w:u w:val="single"/>
                <w:lang w:val="en-US" w:eastAsia="zh-CN" w:bidi="ar"/>
              </w:rPr>
              <w:t>考虑到水厂采用二次加氯工艺和液氯（氯气）危险化学品的存储和使用，根据大型自来水厂净水工艺采用氯气或次氯酸钠进行加氯消毒工艺条件对比，本项目选用液氯（氯气）进行净水工艺过程的二次加氯工艺。</w:t>
            </w:r>
          </w:p>
          <w:p w14:paraId="5B3928FC">
            <w:pPr>
              <w:autoSpaceDE w:val="0"/>
              <w:autoSpaceDN w:val="0"/>
              <w:spacing w:line="360" w:lineRule="auto"/>
              <w:ind w:firstLine="480" w:firstLineChars="200"/>
              <w:jc w:val="left"/>
              <w:rPr>
                <w:rFonts w:hint="default" w:eastAsia="宋体"/>
                <w:sz w:val="24"/>
                <w:u w:val="single"/>
                <w:lang w:val="en-US" w:eastAsia="zh-CN" w:bidi="ar"/>
              </w:rPr>
            </w:pPr>
            <w:r>
              <w:rPr>
                <w:rFonts w:hint="eastAsia"/>
                <w:sz w:val="24"/>
                <w:u w:val="single"/>
                <w:lang w:val="en-US" w:eastAsia="zh-CN" w:bidi="ar"/>
              </w:rPr>
              <w:t>考虑液氯气化产生氯气在项目运行期存在一定环境风险，根据环境风险影响分析内容，发生氯气泄漏环境风险事件时，应立即启动企业和区域的突发环境风险事件应急预案，结合现场实际情况采取有效应对措施，把泄漏风险影响控制在厂区内；若在应急反应时限内得不到有效控制，应立即启动对下风向临近环境风险敏感保护目标的应急疏散工作，确保周边人员生命安全。</w:t>
            </w:r>
          </w:p>
          <w:p w14:paraId="3B0F81AA">
            <w:pPr>
              <w:autoSpaceDE w:val="0"/>
              <w:autoSpaceDN w:val="0"/>
              <w:spacing w:line="360" w:lineRule="auto"/>
              <w:ind w:firstLine="480" w:firstLineChars="200"/>
              <w:jc w:val="left"/>
              <w:rPr>
                <w:kern w:val="0"/>
                <w:szCs w:val="21"/>
              </w:rPr>
            </w:pPr>
            <w:r>
              <w:rPr>
                <w:rFonts w:hint="eastAsia"/>
                <w:sz w:val="24"/>
                <w:u w:val="single"/>
                <w:lang w:bidi="ar"/>
              </w:rPr>
              <w:t>项目在落实本环评提出的各项环保措施后，运营期产生的废气、废水、固体废物、噪声等环境影响在可接受的范围内，</w:t>
            </w:r>
            <w:r>
              <w:rPr>
                <w:rFonts w:hint="eastAsia"/>
                <w:sz w:val="24"/>
                <w:u w:val="single"/>
                <w:lang w:val="en-US" w:eastAsia="zh-CN" w:bidi="ar"/>
              </w:rPr>
              <w:t>最大影响为环境风险影响，在做好各项环境风险防范措施、配置相应应急物资和应急响应的前提下，项目选址</w:t>
            </w:r>
            <w:r>
              <w:rPr>
                <w:rFonts w:hint="eastAsia"/>
                <w:sz w:val="24"/>
                <w:u w:val="single"/>
                <w:lang w:bidi="ar"/>
              </w:rPr>
              <w:t>与周边环境相容。</w:t>
            </w:r>
          </w:p>
        </w:tc>
      </w:tr>
    </w:tbl>
    <w:p w14:paraId="46CC1000"/>
    <w:p w14:paraId="3E0681F4">
      <w:r>
        <w:br w:type="page"/>
      </w:r>
    </w:p>
    <w:p w14:paraId="40BB8673">
      <w:pPr>
        <w:pStyle w:val="23"/>
        <w:jc w:val="center"/>
        <w:outlineLvl w:val="0"/>
        <w:rPr>
          <w:rFonts w:hint="eastAsia" w:ascii="黑体" w:hAnsi="黑体" w:eastAsia="黑体" w:cs="Times New Roman"/>
          <w:snapToGrid w:val="0"/>
          <w:sz w:val="30"/>
          <w:szCs w:val="30"/>
        </w:rPr>
      </w:pPr>
      <w:bookmarkStart w:id="5" w:name="_Toc16129"/>
      <w:bookmarkStart w:id="6" w:name="_Toc1498"/>
      <w:bookmarkStart w:id="7" w:name="_Toc13642"/>
      <w:bookmarkStart w:id="8" w:name="_Toc22952"/>
      <w:r>
        <w:rPr>
          <w:rFonts w:hint="eastAsia" w:ascii="黑体" w:hAnsi="黑体" w:eastAsia="黑体" w:cs="Times New Roman"/>
          <w:snapToGrid w:val="0"/>
          <w:sz w:val="30"/>
          <w:szCs w:val="30"/>
        </w:rPr>
        <w:t>二、建设项目工程分析</w:t>
      </w:r>
      <w:bookmarkEnd w:id="5"/>
      <w:bookmarkEnd w:id="6"/>
      <w:bookmarkEnd w:id="7"/>
      <w:bookmarkEnd w:id="8"/>
    </w:p>
    <w:tbl>
      <w:tblPr>
        <w:tblStyle w:val="24"/>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6DD26F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3" w:type="dxa"/>
            <w:noWrap w:val="0"/>
            <w:vAlign w:val="center"/>
          </w:tcPr>
          <w:p w14:paraId="0A8FE7C2">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sz w:val="24"/>
                <w:szCs w:val="24"/>
              </w:rPr>
            </w:pPr>
            <w:r>
              <w:rPr>
                <w:rFonts w:hint="eastAsia"/>
                <w:sz w:val="24"/>
                <w:szCs w:val="24"/>
              </w:rPr>
              <w:t>建设</w:t>
            </w:r>
          </w:p>
          <w:p w14:paraId="6B239FC1">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sz w:val="24"/>
                <w:szCs w:val="24"/>
              </w:rPr>
            </w:pPr>
            <w:r>
              <w:rPr>
                <w:rFonts w:hint="eastAsia"/>
                <w:sz w:val="24"/>
                <w:szCs w:val="24"/>
              </w:rPr>
              <w:t>内容</w:t>
            </w:r>
          </w:p>
        </w:tc>
        <w:tc>
          <w:tcPr>
            <w:tcW w:w="8161" w:type="dxa"/>
            <w:noWrap w:val="0"/>
            <w:vAlign w:val="top"/>
          </w:tcPr>
          <w:p w14:paraId="686707D9">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eastAsia="宋体"/>
                <w:b/>
                <w:bCs w:val="0"/>
                <w:sz w:val="24"/>
                <w:szCs w:val="24"/>
                <w:lang w:val="en-US" w:eastAsia="zh-CN"/>
              </w:rPr>
            </w:pPr>
            <w:r>
              <w:rPr>
                <w:rFonts w:hint="eastAsia"/>
                <w:b/>
                <w:bCs w:val="0"/>
                <w:sz w:val="24"/>
                <w:szCs w:val="24"/>
                <w:lang w:val="en-US" w:eastAsia="zh-CN"/>
              </w:rPr>
              <w:t>一、项目由来</w:t>
            </w:r>
          </w:p>
          <w:p w14:paraId="0D408E7B">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single"/>
                <w:lang w:val="en-US" w:eastAsia="zh-CN"/>
              </w:rPr>
            </w:pPr>
            <w:r>
              <w:rPr>
                <w:rFonts w:hint="eastAsia" w:ascii="Times New Roman" w:hAnsi="Times New Roman" w:cs="Times New Roman"/>
                <w:color w:val="auto"/>
                <w:sz w:val="24"/>
                <w:szCs w:val="24"/>
                <w:u w:val="single"/>
                <w:lang w:val="en-US" w:eastAsia="zh-CN"/>
              </w:rPr>
              <w:t>1970年岳阳市北门水厂（制水一厂的前身）建成投产，1976年进行首次扩建改造，当时日供水能力为‌1.5万立方。1984年，原水厂随主体单位更名为岳阳市自来水公司，并进行扩建改造至日供水能力在4.5万立方米；同时在1985年再次启动扩建，日供水能力增至9.5万立方米；1992年再次扩建改造完成，制水一厂供水规模已达到19万吨/日。</w:t>
            </w:r>
          </w:p>
          <w:p w14:paraId="0727E259">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highlight w:val="none"/>
                <w:u w:val="single"/>
                <w:lang w:val="en-US" w:eastAsia="zh-CN"/>
              </w:rPr>
            </w:pPr>
            <w:r>
              <w:rPr>
                <w:rFonts w:hint="eastAsia" w:ascii="Times New Roman" w:hAnsi="Times New Roman" w:cs="Times New Roman"/>
                <w:color w:val="auto"/>
                <w:sz w:val="24"/>
                <w:szCs w:val="24"/>
                <w:u w:val="none"/>
                <w:lang w:val="en-US" w:eastAsia="zh-CN"/>
              </w:rPr>
              <w:t>1992年岳阳市委、市政府正式决定启动‌岳阳市引铁山水工程‌，从铁山水库引水解决城市饮水问题。经过10年建设，2002年10月18日制水一厂原水干管管道工程竣工通水，标志着岳阳市引铁山水工程全线完工</w:t>
            </w:r>
            <w:r>
              <w:rPr>
                <w:rFonts w:hint="eastAsia" w:ascii="Times New Roman" w:hAnsi="Times New Roman" w:cs="Times New Roman"/>
                <w:color w:val="auto"/>
                <w:sz w:val="24"/>
                <w:szCs w:val="24"/>
                <w:u w:val="single"/>
                <w:lang w:val="en-US" w:eastAsia="zh-CN"/>
              </w:rPr>
              <w:t>（从铁山水库建设引水渠至岳阳市中心城区主城区的金凤水库，金凤水库建设输送水管至岳阳市制水一厂。铁山水库、金凤水库已划定地表水饮用水源保护区（详见附件），政府已对保护区按法律法规的要求进行强制保护）</w:t>
            </w:r>
            <w:r>
              <w:rPr>
                <w:rFonts w:hint="eastAsia" w:ascii="Times New Roman" w:hAnsi="Times New Roman" w:cs="Times New Roman"/>
                <w:color w:val="auto"/>
                <w:sz w:val="24"/>
                <w:szCs w:val="24"/>
                <w:u w:val="none"/>
                <w:lang w:val="en-US" w:eastAsia="zh-CN"/>
              </w:rPr>
              <w:t>，水厂正式全面采用铁山水库水源；</w:t>
            </w:r>
            <w:r>
              <w:rPr>
                <w:rFonts w:hint="eastAsia" w:ascii="Times New Roman" w:hAnsi="Times New Roman" w:cs="Times New Roman"/>
                <w:color w:val="auto"/>
                <w:sz w:val="24"/>
                <w:szCs w:val="24"/>
                <w:u w:val="single"/>
                <w:lang w:val="en-US" w:eastAsia="zh-CN"/>
              </w:rPr>
              <w:t>制水一厂的洞庭湖水源被保留为城市应急备用水源（在洞庭湖岸域建设取水设施，含取水口、虹吸输送管道、集水池和取水泵房设施，再通过约110m输水管道接入本项目净水厂厂区的进水池。</w:t>
            </w:r>
            <w:r>
              <w:rPr>
                <w:rFonts w:hint="eastAsia" w:ascii="Times New Roman" w:hAnsi="Times New Roman" w:cs="Times New Roman"/>
                <w:color w:val="auto"/>
                <w:sz w:val="24"/>
                <w:szCs w:val="24"/>
                <w:highlight w:val="none"/>
                <w:u w:val="single"/>
                <w:lang w:val="en-US" w:eastAsia="zh-CN"/>
              </w:rPr>
              <w:t>备用水源地东洞庭湖在本项目建成时期已作为地表水饮用水源地进行取水（始建于1970年），政府在取水地历史时期已进行多项保护政策，如：1982年湖南省人民政府批准建立东洞庭湖省级自然保护区，1988年国务院正式批复岳阳楼洞庭湖国家级风景名胜区（含岳阳楼景区）；‌1994年经国务院批准正式升格为东洞庭湖国家级自然保护区（目前取水口设施已调出保护区范围，2018年调整后保护区沿河岸线缓冲300m区域调出实验区范围）；‌2007年经农业部批准东洞庭湖鲤鲫黄颡鱼种质资源保护区。</w:t>
            </w:r>
          </w:p>
          <w:p w14:paraId="2791E21E">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single"/>
                <w:lang w:val="en-US" w:eastAsia="zh-CN"/>
              </w:rPr>
            </w:pPr>
            <w:r>
              <w:rPr>
                <w:rFonts w:hint="eastAsia" w:ascii="Times New Roman" w:hAnsi="Times New Roman" w:cs="Times New Roman"/>
                <w:color w:val="auto"/>
                <w:sz w:val="24"/>
                <w:szCs w:val="24"/>
                <w:highlight w:val="none"/>
                <w:u w:val="single"/>
                <w:lang w:val="en-US" w:eastAsia="zh-CN"/>
              </w:rPr>
              <w:t>目前，</w:t>
            </w:r>
            <w:r>
              <w:rPr>
                <w:rFonts w:hint="eastAsia" w:ascii="Times New Roman" w:hAnsi="Times New Roman" w:cs="Times New Roman"/>
                <w:color w:val="auto"/>
                <w:sz w:val="24"/>
                <w:szCs w:val="24"/>
                <w:u w:val="single"/>
                <w:lang w:val="en-US" w:eastAsia="zh-CN"/>
              </w:rPr>
              <w:t>制水一厂已形成双水源供水保障格局。2021年5月岳阳市水务集团完成企业化改制，正式注册成立‌岳阳市水务集团有限公司制水一厂（属于‌岳阳市水务集团有限公司的下属分公司），目前一厂日供水能力为19万吨。建厂至今一直未办理环评手续，本次为补办环评手续，环评评价范围为市制水一厂净水厂厂区和备用水源地取水设施工程内容范围，不含金凤水库输送原水管线至净水厂的工程区域内容。</w:t>
            </w:r>
          </w:p>
          <w:p w14:paraId="5D84EEEA">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根据《建设项目环境影响评价分类管理名录》（2021版），本项目属于“四十三、水的生产和供应业、94、自来水生产和供应461（不含供应工程；不含村庄供应工程）”，项目属于自来水生产和供应项目，应编制</w:t>
            </w:r>
            <w:r>
              <w:rPr>
                <w:rFonts w:hint="eastAsia" w:ascii="Times New Roman" w:hAnsi="Times New Roman" w:cs="Times New Roman"/>
                <w:color w:val="auto"/>
                <w:sz w:val="24"/>
                <w:szCs w:val="24"/>
                <w:u w:val="none"/>
                <w:lang w:val="en-US" w:eastAsia="zh-CN"/>
              </w:rPr>
              <w:t>生态环境影响报告表</w:t>
            </w:r>
            <w:r>
              <w:rPr>
                <w:rFonts w:hint="default" w:ascii="Times New Roman" w:hAnsi="Times New Roman" w:cs="Times New Roman"/>
                <w:color w:val="auto"/>
                <w:sz w:val="24"/>
                <w:szCs w:val="24"/>
                <w:u w:val="none"/>
                <w:lang w:val="en-US" w:eastAsia="zh-CN"/>
              </w:rPr>
              <w:t>。受岳阳市水务集团</w:t>
            </w:r>
            <w:r>
              <w:rPr>
                <w:rFonts w:hint="eastAsia" w:ascii="Times New Roman" w:hAnsi="Times New Roman" w:cs="Times New Roman"/>
                <w:color w:val="auto"/>
                <w:sz w:val="24"/>
                <w:szCs w:val="24"/>
                <w:u w:val="none"/>
                <w:lang w:val="en-US" w:eastAsia="zh-CN"/>
              </w:rPr>
              <w:t>有限公司</w:t>
            </w:r>
            <w:r>
              <w:rPr>
                <w:rFonts w:hint="default" w:ascii="Times New Roman" w:hAnsi="Times New Roman" w:cs="Times New Roman"/>
                <w:color w:val="auto"/>
                <w:sz w:val="24"/>
                <w:szCs w:val="24"/>
                <w:u w:val="none"/>
                <w:lang w:val="en-US" w:eastAsia="zh-CN"/>
              </w:rPr>
              <w:t>（以下简称“建设单位”）的委托，湖南聚星励志环保科技有限公司（以下简称“我单位”）承担了本项目</w:t>
            </w:r>
            <w:r>
              <w:rPr>
                <w:rFonts w:hint="eastAsia" w:ascii="Times New Roman" w:hAnsi="Times New Roman" w:cs="Times New Roman"/>
                <w:color w:val="auto"/>
                <w:sz w:val="24"/>
                <w:szCs w:val="24"/>
                <w:u w:val="none"/>
                <w:lang w:val="en-US" w:eastAsia="zh-CN"/>
              </w:rPr>
              <w:t>生态环境影响报告表</w:t>
            </w:r>
            <w:r>
              <w:rPr>
                <w:rFonts w:hint="default" w:ascii="Times New Roman" w:hAnsi="Times New Roman" w:cs="Times New Roman"/>
                <w:color w:val="auto"/>
                <w:sz w:val="24"/>
                <w:szCs w:val="24"/>
                <w:u w:val="none"/>
                <w:lang w:val="en-US" w:eastAsia="zh-CN"/>
              </w:rPr>
              <w:t>的编制工作。接受委托后，我单位相关人员立即开展了现场踏勘、资料收集等工作，并按照相关要求编制完成《岳阳市制水一厂建设项目</w:t>
            </w:r>
            <w:r>
              <w:rPr>
                <w:rFonts w:hint="eastAsia" w:ascii="Times New Roman" w:hAnsi="Times New Roman" w:cs="Times New Roman"/>
                <w:color w:val="auto"/>
                <w:sz w:val="24"/>
                <w:szCs w:val="24"/>
                <w:u w:val="none"/>
                <w:lang w:val="en-US" w:eastAsia="zh-CN"/>
              </w:rPr>
              <w:t>生态环境影响报告表</w:t>
            </w:r>
            <w:r>
              <w:rPr>
                <w:rFonts w:hint="default" w:ascii="Times New Roman" w:hAnsi="Times New Roman" w:cs="Times New Roman"/>
                <w:color w:val="auto"/>
                <w:sz w:val="24"/>
                <w:szCs w:val="24"/>
                <w:u w:val="none"/>
                <w:lang w:val="en-US" w:eastAsia="zh-CN"/>
              </w:rPr>
              <w:t>》，供建设单位上报审批。</w:t>
            </w:r>
          </w:p>
          <w:p w14:paraId="79D14032">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eastAsia"/>
                <w:b/>
                <w:bCs w:val="0"/>
                <w:sz w:val="24"/>
                <w:szCs w:val="24"/>
                <w:lang w:val="en-US" w:eastAsia="zh-CN"/>
              </w:rPr>
              <w:t>二、建设内容</w:t>
            </w:r>
          </w:p>
          <w:p w14:paraId="20B9CE40">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1</w:t>
            </w:r>
            <w:r>
              <w:rPr>
                <w:rFonts w:hint="default" w:ascii="Times New Roman" w:hAnsi="Times New Roman" w:cs="Times New Roman"/>
                <w:b/>
                <w:bCs w:val="0"/>
                <w:color w:val="auto"/>
                <w:sz w:val="24"/>
                <w:szCs w:val="24"/>
                <w:u w:val="none"/>
                <w:lang w:val="en-US" w:eastAsia="zh-CN"/>
              </w:rPr>
              <w:t>、</w:t>
            </w:r>
            <w:r>
              <w:rPr>
                <w:rFonts w:hint="eastAsia" w:ascii="Times New Roman" w:hAnsi="Times New Roman" w:cs="Times New Roman"/>
                <w:b/>
                <w:bCs w:val="0"/>
                <w:color w:val="auto"/>
                <w:sz w:val="24"/>
                <w:szCs w:val="24"/>
                <w:u w:val="none"/>
                <w:lang w:val="en-US" w:eastAsia="zh-CN"/>
              </w:rPr>
              <w:t>主要建设内容规模</w:t>
            </w:r>
          </w:p>
          <w:p w14:paraId="0F425969">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本项目厂区总占地面积</w:t>
            </w:r>
            <w:r>
              <w:rPr>
                <w:rFonts w:hint="eastAsia" w:ascii="Times New Roman" w:hAnsi="Times New Roman" w:cs="Times New Roman"/>
                <w:color w:val="auto"/>
                <w:sz w:val="24"/>
                <w:szCs w:val="24"/>
                <w:u w:val="none"/>
                <w:lang w:val="en-US" w:eastAsia="zh-CN"/>
              </w:rPr>
              <w:t>32890m</w:t>
            </w:r>
            <w:r>
              <w:rPr>
                <w:rFonts w:hint="eastAsia" w:ascii="Times New Roman" w:hAnsi="Times New Roman" w:cs="Times New Roman"/>
                <w:color w:val="auto"/>
                <w:sz w:val="24"/>
                <w:szCs w:val="24"/>
                <w:u w:val="none"/>
                <w:vertAlign w:val="superscript"/>
                <w:lang w:val="en-US" w:eastAsia="zh-CN"/>
              </w:rPr>
              <w:t>2</w:t>
            </w:r>
            <w:r>
              <w:rPr>
                <w:rFonts w:hint="default" w:ascii="Times New Roman" w:hAnsi="Times New Roman" w:cs="Times New Roman"/>
                <w:color w:val="auto"/>
                <w:sz w:val="24"/>
                <w:szCs w:val="24"/>
                <w:u w:val="none"/>
                <w:lang w:val="en-US" w:eastAsia="zh-CN"/>
              </w:rPr>
              <w:t>，</w:t>
            </w:r>
            <w:r>
              <w:rPr>
                <w:rFonts w:hint="eastAsia" w:ascii="Times New Roman" w:hAnsi="Times New Roman" w:cs="Times New Roman"/>
                <w:color w:val="auto"/>
                <w:sz w:val="24"/>
                <w:szCs w:val="24"/>
                <w:u w:val="none"/>
                <w:lang w:val="en-US" w:eastAsia="zh-CN"/>
              </w:rPr>
              <w:t>设计</w:t>
            </w:r>
            <w:r>
              <w:rPr>
                <w:rFonts w:hint="default" w:ascii="Times New Roman" w:hAnsi="Times New Roman" w:cs="Times New Roman"/>
                <w:color w:val="auto"/>
                <w:sz w:val="24"/>
                <w:szCs w:val="24"/>
                <w:u w:val="none"/>
                <w:lang w:val="en-US" w:eastAsia="zh-CN"/>
              </w:rPr>
              <w:t>供水能力</w:t>
            </w:r>
            <w:r>
              <w:rPr>
                <w:rFonts w:hint="eastAsia" w:ascii="Times New Roman" w:hAnsi="Times New Roman" w:cs="Times New Roman"/>
                <w:color w:val="auto"/>
                <w:sz w:val="24"/>
                <w:szCs w:val="24"/>
                <w:u w:val="none"/>
                <w:lang w:val="en-US" w:eastAsia="zh-CN"/>
              </w:rPr>
              <w:t>19</w:t>
            </w:r>
            <w:r>
              <w:rPr>
                <w:rFonts w:hint="default" w:ascii="Times New Roman" w:hAnsi="Times New Roman" w:cs="Times New Roman"/>
                <w:color w:val="auto"/>
                <w:sz w:val="24"/>
                <w:szCs w:val="24"/>
                <w:u w:val="none"/>
                <w:lang w:val="en-US" w:eastAsia="zh-CN"/>
              </w:rPr>
              <w:t>万m</w:t>
            </w:r>
            <w:r>
              <w:rPr>
                <w:rFonts w:hint="eastAsia" w:ascii="Times New Roman" w:hAnsi="Times New Roman" w:cs="Times New Roman"/>
                <w:color w:val="auto"/>
                <w:sz w:val="24"/>
                <w:szCs w:val="24"/>
                <w:u w:val="none"/>
                <w:vertAlign w:val="superscript"/>
                <w:lang w:val="en-US" w:eastAsia="zh-CN"/>
              </w:rPr>
              <w:t>3</w:t>
            </w:r>
            <w:r>
              <w:rPr>
                <w:rFonts w:hint="default" w:ascii="Times New Roman" w:hAnsi="Times New Roman" w:cs="Times New Roman"/>
                <w:color w:val="auto"/>
                <w:sz w:val="24"/>
                <w:szCs w:val="24"/>
                <w:u w:val="none"/>
                <w:lang w:val="en-US" w:eastAsia="zh-CN"/>
              </w:rPr>
              <w:t>/d</w:t>
            </w:r>
            <w:r>
              <w:rPr>
                <w:rFonts w:hint="eastAsia" w:ascii="Times New Roman" w:hAnsi="Times New Roman" w:cs="Times New Roman"/>
                <w:color w:val="auto"/>
                <w:sz w:val="24"/>
                <w:szCs w:val="24"/>
                <w:u w:val="none"/>
                <w:lang w:val="en-US" w:eastAsia="zh-CN"/>
              </w:rPr>
              <w:t>（最大能力为19.5</w:t>
            </w:r>
            <w:r>
              <w:rPr>
                <w:rFonts w:hint="default" w:ascii="Times New Roman" w:hAnsi="Times New Roman" w:cs="Times New Roman"/>
                <w:color w:val="auto"/>
                <w:sz w:val="24"/>
                <w:szCs w:val="24"/>
                <w:u w:val="none"/>
                <w:lang w:val="en-US" w:eastAsia="zh-CN"/>
              </w:rPr>
              <w:t>万m</w:t>
            </w:r>
            <w:r>
              <w:rPr>
                <w:rFonts w:hint="eastAsia" w:ascii="Times New Roman" w:hAnsi="Times New Roman" w:cs="Times New Roman"/>
                <w:color w:val="auto"/>
                <w:sz w:val="24"/>
                <w:szCs w:val="24"/>
                <w:u w:val="none"/>
                <w:vertAlign w:val="superscript"/>
                <w:lang w:val="en-US" w:eastAsia="zh-CN"/>
              </w:rPr>
              <w:t>3</w:t>
            </w:r>
            <w:r>
              <w:rPr>
                <w:rFonts w:hint="default" w:ascii="Times New Roman" w:hAnsi="Times New Roman" w:cs="Times New Roman"/>
                <w:color w:val="auto"/>
                <w:sz w:val="24"/>
                <w:szCs w:val="24"/>
                <w:u w:val="none"/>
                <w:lang w:val="en-US" w:eastAsia="zh-CN"/>
              </w:rPr>
              <w:t>/d</w:t>
            </w:r>
            <w:r>
              <w:rPr>
                <w:rFonts w:hint="eastAsia" w:ascii="Times New Roman" w:hAnsi="Times New Roman" w:cs="Times New Roman"/>
                <w:color w:val="auto"/>
                <w:sz w:val="24"/>
                <w:szCs w:val="24"/>
                <w:u w:val="none"/>
                <w:lang w:val="en-US" w:eastAsia="zh-CN"/>
              </w:rPr>
              <w:t>）</w:t>
            </w:r>
            <w:r>
              <w:rPr>
                <w:rFonts w:hint="default" w:ascii="Times New Roman" w:hAnsi="Times New Roman" w:cs="Times New Roman"/>
                <w:color w:val="auto"/>
                <w:sz w:val="24"/>
                <w:szCs w:val="24"/>
                <w:u w:val="none"/>
                <w:lang w:val="en-US" w:eastAsia="zh-CN"/>
              </w:rPr>
              <w:t>，配套</w:t>
            </w:r>
            <w:r>
              <w:rPr>
                <w:rFonts w:hint="eastAsia" w:ascii="Times New Roman" w:hAnsi="Times New Roman" w:cs="Times New Roman"/>
                <w:color w:val="auto"/>
                <w:sz w:val="24"/>
                <w:szCs w:val="24"/>
                <w:u w:val="none"/>
                <w:lang w:val="en-US" w:eastAsia="zh-CN"/>
              </w:rPr>
              <w:t>相应主要</w:t>
            </w:r>
            <w:r>
              <w:rPr>
                <w:rFonts w:hint="default" w:ascii="Times New Roman" w:hAnsi="Times New Roman" w:cs="Times New Roman"/>
                <w:color w:val="auto"/>
                <w:sz w:val="24"/>
                <w:szCs w:val="24"/>
                <w:u w:val="none"/>
                <w:lang w:val="en-US" w:eastAsia="zh-CN"/>
              </w:rPr>
              <w:t>生产设备</w:t>
            </w:r>
            <w:r>
              <w:rPr>
                <w:rFonts w:hint="eastAsia" w:ascii="Times New Roman" w:hAnsi="Times New Roman" w:cs="Times New Roman"/>
                <w:color w:val="auto"/>
                <w:sz w:val="24"/>
                <w:szCs w:val="24"/>
                <w:u w:val="none"/>
                <w:lang w:val="en-US" w:eastAsia="zh-CN"/>
              </w:rPr>
              <w:t>、</w:t>
            </w:r>
            <w:r>
              <w:rPr>
                <w:rFonts w:hint="default" w:ascii="Times New Roman" w:hAnsi="Times New Roman" w:cs="Times New Roman"/>
                <w:color w:val="auto"/>
                <w:sz w:val="24"/>
                <w:szCs w:val="24"/>
                <w:u w:val="none"/>
                <w:lang w:val="en-US" w:eastAsia="zh-CN"/>
              </w:rPr>
              <w:t>公辅设施、环保工程</w:t>
            </w:r>
            <w:r>
              <w:rPr>
                <w:rFonts w:hint="eastAsia" w:ascii="Times New Roman" w:hAnsi="Times New Roman" w:cs="Times New Roman"/>
                <w:color w:val="auto"/>
                <w:sz w:val="24"/>
                <w:szCs w:val="24"/>
                <w:u w:val="none"/>
                <w:lang w:val="en-US" w:eastAsia="zh-CN"/>
              </w:rPr>
              <w:t>等</w:t>
            </w:r>
            <w:r>
              <w:rPr>
                <w:rFonts w:hint="default" w:ascii="Times New Roman" w:hAnsi="Times New Roman" w:cs="Times New Roman"/>
                <w:color w:val="auto"/>
                <w:sz w:val="24"/>
                <w:szCs w:val="24"/>
                <w:u w:val="none"/>
                <w:lang w:val="en-US" w:eastAsia="zh-CN"/>
              </w:rPr>
              <w:t>。现状</w:t>
            </w:r>
            <w:r>
              <w:rPr>
                <w:rFonts w:hint="eastAsia" w:ascii="Times New Roman" w:hAnsi="Times New Roman" w:cs="Times New Roman"/>
                <w:color w:val="auto"/>
                <w:sz w:val="24"/>
                <w:szCs w:val="24"/>
                <w:u w:val="none"/>
                <w:lang w:val="en-US" w:eastAsia="zh-CN"/>
              </w:rPr>
              <w:t>岳阳市制水一厂的厂区范围</w:t>
            </w:r>
            <w:r>
              <w:rPr>
                <w:rFonts w:hint="default" w:ascii="Times New Roman" w:hAnsi="Times New Roman" w:cs="Times New Roman"/>
                <w:color w:val="auto"/>
                <w:sz w:val="24"/>
                <w:szCs w:val="24"/>
                <w:u w:val="none"/>
                <w:lang w:val="en-US" w:eastAsia="zh-CN"/>
              </w:rPr>
              <w:t>内建筑包括：综合楼、</w:t>
            </w:r>
            <w:r>
              <w:rPr>
                <w:rFonts w:hint="eastAsia" w:ascii="Times New Roman" w:hAnsi="Times New Roman" w:cs="Times New Roman"/>
                <w:color w:val="auto"/>
                <w:sz w:val="24"/>
                <w:szCs w:val="24"/>
                <w:u w:val="none"/>
                <w:lang w:val="en-US" w:eastAsia="zh-CN"/>
              </w:rPr>
              <w:t>门卫</w:t>
            </w:r>
            <w:r>
              <w:rPr>
                <w:rFonts w:hint="default" w:ascii="Times New Roman" w:hAnsi="Times New Roman" w:cs="Times New Roman"/>
                <w:color w:val="auto"/>
                <w:sz w:val="24"/>
                <w:szCs w:val="24"/>
                <w:u w:val="none"/>
                <w:lang w:val="en-US" w:eastAsia="zh-CN"/>
              </w:rPr>
              <w:t>、</w:t>
            </w:r>
            <w:r>
              <w:rPr>
                <w:rFonts w:hint="eastAsia" w:ascii="Times New Roman" w:hAnsi="Times New Roman" w:cs="Times New Roman"/>
                <w:color w:val="auto"/>
                <w:sz w:val="24"/>
                <w:szCs w:val="24"/>
                <w:u w:val="none"/>
                <w:lang w:val="en-US" w:eastAsia="zh-CN"/>
              </w:rPr>
              <w:t>进水取水口及取水</w:t>
            </w:r>
            <w:r>
              <w:rPr>
                <w:rFonts w:hint="default" w:ascii="Times New Roman" w:hAnsi="Times New Roman" w:cs="Times New Roman"/>
                <w:color w:val="auto"/>
                <w:sz w:val="24"/>
                <w:szCs w:val="24"/>
                <w:u w:val="none"/>
                <w:lang w:val="en-US" w:eastAsia="zh-CN"/>
              </w:rPr>
              <w:t>泵房、配电室、</w:t>
            </w:r>
            <w:r>
              <w:rPr>
                <w:rFonts w:hint="eastAsia" w:ascii="Times New Roman" w:hAnsi="Times New Roman" w:cs="Times New Roman"/>
                <w:color w:val="auto"/>
                <w:sz w:val="24"/>
                <w:szCs w:val="24"/>
                <w:u w:val="none"/>
                <w:lang w:val="en-US" w:eastAsia="zh-CN"/>
              </w:rPr>
              <w:t>净水生产设施3套</w:t>
            </w:r>
            <w:r>
              <w:rPr>
                <w:rFonts w:hint="default" w:ascii="Times New Roman" w:hAnsi="Times New Roman" w:cs="Times New Roman"/>
                <w:color w:val="auto"/>
                <w:sz w:val="24"/>
                <w:szCs w:val="24"/>
                <w:u w:val="none"/>
                <w:lang w:val="en-US" w:eastAsia="zh-CN"/>
              </w:rPr>
              <w:t>、</w:t>
            </w:r>
            <w:r>
              <w:rPr>
                <w:rFonts w:hint="eastAsia" w:ascii="Times New Roman" w:hAnsi="Times New Roman" w:cs="Times New Roman"/>
                <w:color w:val="auto"/>
                <w:sz w:val="24"/>
                <w:szCs w:val="24"/>
                <w:u w:val="none"/>
                <w:lang w:val="en-US" w:eastAsia="zh-CN"/>
              </w:rPr>
              <w:t>送水加压泵房、</w:t>
            </w:r>
            <w:r>
              <w:rPr>
                <w:rFonts w:hint="default" w:ascii="Times New Roman" w:hAnsi="Times New Roman" w:cs="Times New Roman"/>
                <w:color w:val="auto"/>
                <w:sz w:val="24"/>
                <w:szCs w:val="24"/>
                <w:u w:val="none"/>
                <w:lang w:val="en-US" w:eastAsia="zh-CN"/>
              </w:rPr>
              <w:t>加药间、</w:t>
            </w:r>
            <w:r>
              <w:rPr>
                <w:rFonts w:hint="eastAsia" w:ascii="Times New Roman" w:hAnsi="Times New Roman" w:cs="Times New Roman"/>
                <w:color w:val="auto"/>
                <w:sz w:val="24"/>
                <w:szCs w:val="24"/>
                <w:u w:val="none"/>
                <w:lang w:val="en-US" w:eastAsia="zh-CN"/>
              </w:rPr>
              <w:t>加氯间、排泥水处理设施1套、库房（仓库）、</w:t>
            </w:r>
            <w:r>
              <w:rPr>
                <w:rFonts w:hint="default" w:ascii="Times New Roman" w:hAnsi="Times New Roman" w:cs="Times New Roman"/>
                <w:color w:val="auto"/>
                <w:sz w:val="24"/>
                <w:szCs w:val="24"/>
                <w:u w:val="none"/>
                <w:lang w:val="en-US" w:eastAsia="zh-CN"/>
              </w:rPr>
              <w:t>绿化等。</w:t>
            </w:r>
          </w:p>
          <w:p w14:paraId="36BF6827">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single"/>
                <w:lang w:val="en-US" w:eastAsia="zh-CN"/>
              </w:rPr>
            </w:pPr>
            <w:r>
              <w:rPr>
                <w:rFonts w:hint="eastAsia" w:ascii="Times New Roman" w:hAnsi="Times New Roman" w:cs="Times New Roman"/>
                <w:color w:val="auto"/>
                <w:sz w:val="24"/>
                <w:szCs w:val="24"/>
                <w:u w:val="single"/>
                <w:lang w:val="en-US" w:eastAsia="zh-CN"/>
              </w:rPr>
              <w:t>制水一厂取水目前以采用铁山水库水源为主（从铁山水库铺设引水渠至岳阳市主城区的金凤水库，由金凤水库铺设输水管线至项目所在地），岳阳市铁山供水事务中心已取得主管部门省水利厅颁发的取水许可证（编号B430621S2021-0039），取水量为16846万m</w:t>
            </w:r>
            <w:r>
              <w:rPr>
                <w:rFonts w:hint="eastAsia" w:ascii="Times New Roman" w:hAnsi="Times New Roman" w:cs="Times New Roman"/>
                <w:color w:val="auto"/>
                <w:sz w:val="24"/>
                <w:szCs w:val="24"/>
                <w:u w:val="single"/>
                <w:vertAlign w:val="superscript"/>
                <w:lang w:val="en-US" w:eastAsia="zh-CN"/>
              </w:rPr>
              <w:t>3</w:t>
            </w:r>
            <w:r>
              <w:rPr>
                <w:rFonts w:hint="eastAsia" w:ascii="Times New Roman" w:hAnsi="Times New Roman" w:cs="Times New Roman"/>
                <w:color w:val="auto"/>
                <w:sz w:val="24"/>
                <w:szCs w:val="24"/>
                <w:u w:val="single"/>
                <w:lang w:val="en-US" w:eastAsia="zh-CN"/>
              </w:rPr>
              <w:t>/a（包括岳阳市制水一厂、制水二厂原水供应量），建设单位以铁山输送的原水（从岳阳市铁山供水事务中心进行购买）为核心生产原料，开展自来水生产、管网输送、终端供水服务；同时东洞庭湖取水水源作为水厂应急备用水源（市制水一厂自建在备用饮用水源地的取水口和集水池、取水泵房等设施），建设单位已取得主管部门岳阳楼区水利局颁发的取水许可证（编号D430602S2022-0002），取水量为821万m</w:t>
            </w:r>
            <w:r>
              <w:rPr>
                <w:rFonts w:hint="eastAsia" w:ascii="Times New Roman" w:hAnsi="Times New Roman" w:cs="Times New Roman"/>
                <w:color w:val="auto"/>
                <w:sz w:val="24"/>
                <w:szCs w:val="24"/>
                <w:u w:val="single"/>
                <w:vertAlign w:val="superscript"/>
                <w:lang w:val="en-US" w:eastAsia="zh-CN"/>
              </w:rPr>
              <w:t>3</w:t>
            </w:r>
            <w:r>
              <w:rPr>
                <w:rFonts w:hint="eastAsia" w:ascii="Times New Roman" w:hAnsi="Times New Roman" w:cs="Times New Roman"/>
                <w:color w:val="auto"/>
                <w:sz w:val="24"/>
                <w:szCs w:val="24"/>
                <w:u w:val="single"/>
                <w:lang w:val="en-US" w:eastAsia="zh-CN"/>
              </w:rPr>
              <w:t>/a（市制水一厂全年在备用水源地取水不超过40天，一般情况选择在每季度安排10天左右在洞庭湖取水地进行取水（间隔一段时间进行取水操作，以保证备用水源地取水设施正常运行）、满足应急备用取水时期的制水一厂原水供应量）。</w:t>
            </w:r>
          </w:p>
          <w:p w14:paraId="4411706C">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项目主要建设内容见表2-1。</w:t>
            </w:r>
          </w:p>
          <w:p w14:paraId="1A243C19">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eastAsia="宋体"/>
                <w:b/>
                <w:bCs w:val="0"/>
                <w:sz w:val="24"/>
                <w:szCs w:val="21"/>
                <w:lang w:val="en-US" w:eastAsia="zh-CN"/>
              </w:rPr>
            </w:pPr>
            <w:r>
              <w:rPr>
                <w:rFonts w:hint="default" w:ascii="Times New Roman" w:hAnsi="Times New Roman" w:cs="Times New Roman"/>
                <w:b/>
                <w:bCs w:val="0"/>
                <w:sz w:val="24"/>
                <w:szCs w:val="21"/>
                <w:lang w:val="en-US" w:eastAsia="zh-CN"/>
              </w:rPr>
              <w:t>表2-1</w:t>
            </w:r>
            <w:r>
              <w:rPr>
                <w:rFonts w:hint="eastAsia"/>
                <w:b/>
                <w:bCs w:val="0"/>
                <w:sz w:val="24"/>
                <w:szCs w:val="21"/>
                <w:lang w:val="en-US" w:eastAsia="zh-CN"/>
              </w:rPr>
              <w:t>项目最主要建设内容一览表</w:t>
            </w:r>
          </w:p>
          <w:tbl>
            <w:tblPr>
              <w:tblStyle w:val="24"/>
              <w:tblW w:w="5059"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884"/>
              <w:gridCol w:w="718"/>
              <w:gridCol w:w="4005"/>
              <w:gridCol w:w="1633"/>
            </w:tblGrid>
            <w:tr w14:paraId="7868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1" w:type="pct"/>
                  <w:tcBorders>
                    <w:tl2br w:val="nil"/>
                    <w:tr2bl w:val="nil"/>
                  </w:tcBorders>
                  <w:noWrap w:val="0"/>
                  <w:vAlign w:val="center"/>
                </w:tcPr>
                <w:p w14:paraId="6D68DBE7">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bCs/>
                      <w:color w:val="auto"/>
                      <w:sz w:val="21"/>
                      <w:szCs w:val="21"/>
                      <w:u w:val="none"/>
                    </w:rPr>
                  </w:pPr>
                  <w:r>
                    <w:rPr>
                      <w:rFonts w:hint="default" w:ascii="Times New Roman" w:hAnsi="Times New Roman" w:cs="Times New Roman" w:eastAsiaTheme="minorEastAsia"/>
                      <w:b/>
                      <w:bCs/>
                      <w:color w:val="auto"/>
                      <w:sz w:val="21"/>
                      <w:szCs w:val="21"/>
                      <w:u w:val="none"/>
                    </w:rPr>
                    <w:t>工程类别</w:t>
                  </w:r>
                </w:p>
              </w:tc>
              <w:tc>
                <w:tcPr>
                  <w:tcW w:w="550" w:type="pct"/>
                  <w:tcBorders>
                    <w:tl2br w:val="nil"/>
                    <w:tr2bl w:val="nil"/>
                  </w:tcBorders>
                  <w:noWrap w:val="0"/>
                  <w:vAlign w:val="center"/>
                </w:tcPr>
                <w:p w14:paraId="36A61182">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bCs/>
                      <w:color w:val="auto"/>
                      <w:sz w:val="21"/>
                      <w:szCs w:val="21"/>
                      <w:u w:val="none"/>
                    </w:rPr>
                  </w:pPr>
                  <w:r>
                    <w:rPr>
                      <w:rFonts w:hint="default" w:ascii="Times New Roman" w:hAnsi="Times New Roman" w:cs="Times New Roman" w:eastAsiaTheme="minorEastAsia"/>
                      <w:b/>
                      <w:bCs/>
                      <w:color w:val="auto"/>
                      <w:sz w:val="21"/>
                      <w:szCs w:val="21"/>
                      <w:u w:val="none"/>
                    </w:rPr>
                    <w:t>建设</w:t>
                  </w:r>
                </w:p>
                <w:p w14:paraId="3CA2F7D1">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bCs/>
                      <w:color w:val="auto"/>
                      <w:sz w:val="21"/>
                      <w:szCs w:val="21"/>
                      <w:u w:val="none"/>
                      <w:lang w:val="en-US" w:eastAsia="zh-CN"/>
                    </w:rPr>
                  </w:pPr>
                  <w:r>
                    <w:rPr>
                      <w:rFonts w:hint="default" w:ascii="Times New Roman" w:hAnsi="Times New Roman" w:cs="Times New Roman" w:eastAsiaTheme="minorEastAsia"/>
                      <w:b/>
                      <w:bCs/>
                      <w:color w:val="auto"/>
                      <w:sz w:val="21"/>
                      <w:szCs w:val="21"/>
                      <w:u w:val="none"/>
                      <w:lang w:val="en-US" w:eastAsia="zh-CN"/>
                    </w:rPr>
                    <w:t>名称</w:t>
                  </w:r>
                </w:p>
              </w:tc>
              <w:tc>
                <w:tcPr>
                  <w:tcW w:w="447" w:type="pct"/>
                  <w:tcBorders>
                    <w:tl2br w:val="nil"/>
                    <w:tr2bl w:val="nil"/>
                  </w:tcBorders>
                  <w:noWrap w:val="0"/>
                  <w:vAlign w:val="center"/>
                </w:tcPr>
                <w:p w14:paraId="40DD5F14">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bCs/>
                      <w:color w:val="auto"/>
                      <w:sz w:val="21"/>
                      <w:szCs w:val="21"/>
                      <w:u w:val="none"/>
                    </w:rPr>
                  </w:pPr>
                  <w:r>
                    <w:rPr>
                      <w:rFonts w:hint="default" w:ascii="Times New Roman" w:hAnsi="Times New Roman" w:cs="Times New Roman" w:eastAsiaTheme="minorEastAsia"/>
                      <w:b/>
                      <w:bCs/>
                      <w:color w:val="auto"/>
                      <w:sz w:val="21"/>
                      <w:szCs w:val="21"/>
                      <w:u w:val="none"/>
                    </w:rPr>
                    <w:t>建设</w:t>
                  </w:r>
                </w:p>
                <w:p w14:paraId="4C7A9550">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bCs/>
                      <w:color w:val="auto"/>
                      <w:sz w:val="21"/>
                      <w:szCs w:val="21"/>
                      <w:u w:val="none"/>
                    </w:rPr>
                  </w:pPr>
                  <w:r>
                    <w:rPr>
                      <w:rFonts w:hint="default" w:ascii="Times New Roman" w:hAnsi="Times New Roman" w:cs="Times New Roman" w:eastAsiaTheme="minorEastAsia"/>
                      <w:b/>
                      <w:bCs/>
                      <w:color w:val="auto"/>
                      <w:sz w:val="21"/>
                      <w:szCs w:val="21"/>
                      <w:u w:val="none"/>
                    </w:rPr>
                    <w:t>规模</w:t>
                  </w:r>
                </w:p>
              </w:tc>
              <w:tc>
                <w:tcPr>
                  <w:tcW w:w="2494" w:type="pct"/>
                  <w:tcBorders>
                    <w:tl2br w:val="nil"/>
                    <w:tr2bl w:val="nil"/>
                  </w:tcBorders>
                  <w:noWrap w:val="0"/>
                  <w:vAlign w:val="center"/>
                </w:tcPr>
                <w:p w14:paraId="5C313357">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bCs/>
                      <w:color w:val="auto"/>
                      <w:sz w:val="21"/>
                      <w:szCs w:val="21"/>
                      <w:u w:val="none"/>
                      <w:lang w:val="en-US" w:eastAsia="zh-CN"/>
                    </w:rPr>
                  </w:pPr>
                  <w:r>
                    <w:rPr>
                      <w:rFonts w:hint="default" w:ascii="Times New Roman" w:hAnsi="Times New Roman" w:cs="Times New Roman" w:eastAsiaTheme="minorEastAsia"/>
                      <w:b/>
                      <w:bCs/>
                      <w:color w:val="auto"/>
                      <w:sz w:val="21"/>
                      <w:szCs w:val="21"/>
                      <w:u w:val="none"/>
                      <w:lang w:val="en-US" w:eastAsia="zh-CN"/>
                    </w:rPr>
                    <w:t>建设内容</w:t>
                  </w:r>
                </w:p>
              </w:tc>
              <w:tc>
                <w:tcPr>
                  <w:tcW w:w="1016" w:type="pct"/>
                  <w:tcBorders>
                    <w:tl2br w:val="nil"/>
                    <w:tr2bl w:val="nil"/>
                  </w:tcBorders>
                  <w:noWrap w:val="0"/>
                  <w:vAlign w:val="center"/>
                </w:tcPr>
                <w:p w14:paraId="1869FA86">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bCs/>
                      <w:color w:val="auto"/>
                      <w:sz w:val="21"/>
                      <w:szCs w:val="21"/>
                      <w:u w:val="none"/>
                      <w:lang w:val="en-US" w:eastAsia="zh-CN"/>
                    </w:rPr>
                  </w:pPr>
                  <w:r>
                    <w:rPr>
                      <w:rFonts w:hint="default" w:ascii="Times New Roman" w:hAnsi="Times New Roman" w:cs="Times New Roman" w:eastAsiaTheme="minorEastAsia"/>
                      <w:b/>
                      <w:bCs/>
                      <w:color w:val="auto"/>
                      <w:sz w:val="21"/>
                      <w:szCs w:val="21"/>
                      <w:u w:val="none"/>
                      <w:lang w:val="en-US" w:eastAsia="zh-CN"/>
                    </w:rPr>
                    <w:t>备注</w:t>
                  </w:r>
                </w:p>
              </w:tc>
            </w:tr>
            <w:tr w14:paraId="539D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1" w:type="pct"/>
                  <w:vMerge w:val="restart"/>
                  <w:tcBorders>
                    <w:tl2br w:val="nil"/>
                    <w:tr2bl w:val="nil"/>
                  </w:tcBorders>
                  <w:noWrap w:val="0"/>
                  <w:vAlign w:val="center"/>
                </w:tcPr>
                <w:p w14:paraId="52C765DB">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主体工程</w:t>
                  </w:r>
                </w:p>
              </w:tc>
              <w:tc>
                <w:tcPr>
                  <w:tcW w:w="550" w:type="pct"/>
                  <w:tcBorders>
                    <w:tl2br w:val="nil"/>
                    <w:tr2bl w:val="nil"/>
                  </w:tcBorders>
                  <w:shd w:val="clear" w:color="auto" w:fill="auto"/>
                  <w:noWrap w:val="0"/>
                  <w:vAlign w:val="center"/>
                </w:tcPr>
                <w:p w14:paraId="3A444F44">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1#净水生产线</w:t>
                  </w:r>
                </w:p>
              </w:tc>
              <w:tc>
                <w:tcPr>
                  <w:tcW w:w="447" w:type="pct"/>
                  <w:tcBorders>
                    <w:tl2br w:val="nil"/>
                    <w:tr2bl w:val="nil"/>
                  </w:tcBorders>
                  <w:shd w:val="clear" w:color="auto" w:fill="auto"/>
                  <w:noWrap w:val="0"/>
                  <w:vAlign w:val="center"/>
                </w:tcPr>
                <w:p w14:paraId="42C2737B">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4万</w:t>
                  </w:r>
                  <w:r>
                    <w:rPr>
                      <w:rFonts w:hint="default" w:ascii="Times New Roman" w:hAnsi="Times New Roman" w:cs="Times New Roman" w:eastAsiaTheme="minorEastAsia"/>
                      <w:b w:val="0"/>
                      <w:bCs/>
                      <w:color w:val="auto"/>
                      <w:sz w:val="21"/>
                      <w:szCs w:val="21"/>
                      <w:u w:val="none"/>
                    </w:rPr>
                    <w:t>m</w:t>
                  </w:r>
                  <w:r>
                    <w:rPr>
                      <w:rFonts w:hint="default" w:ascii="Times New Roman" w:hAnsi="Times New Roman" w:cs="Times New Roman" w:eastAsiaTheme="minorEastAsia"/>
                      <w:b w:val="0"/>
                      <w:bCs/>
                      <w:color w:val="auto"/>
                      <w:sz w:val="21"/>
                      <w:szCs w:val="21"/>
                      <w:u w:val="none"/>
                      <w:vertAlign w:val="superscript"/>
                      <w:lang w:val="en-US" w:eastAsia="zh-CN"/>
                    </w:rPr>
                    <w:t>3</w:t>
                  </w:r>
                  <w:r>
                    <w:rPr>
                      <w:rFonts w:hint="default" w:ascii="Times New Roman" w:hAnsi="Times New Roman" w:cs="Times New Roman" w:eastAsiaTheme="minorEastAsia"/>
                      <w:b w:val="0"/>
                      <w:bCs/>
                      <w:color w:val="auto"/>
                      <w:sz w:val="21"/>
                      <w:szCs w:val="21"/>
                      <w:u w:val="none"/>
                      <w:vertAlign w:val="baseline"/>
                      <w:lang w:val="en-US" w:eastAsia="zh-CN"/>
                    </w:rPr>
                    <w:t>/d</w:t>
                  </w:r>
                </w:p>
              </w:tc>
              <w:tc>
                <w:tcPr>
                  <w:tcW w:w="2494" w:type="pct"/>
                  <w:tcBorders>
                    <w:tl2br w:val="nil"/>
                    <w:tr2bl w:val="nil"/>
                  </w:tcBorders>
                  <w:shd w:val="clear" w:color="auto" w:fill="auto"/>
                  <w:noWrap w:val="0"/>
                  <w:vAlign w:val="center"/>
                </w:tcPr>
                <w:p w14:paraId="57522F48">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主要包括巴氏槽、折板反应池、斜管沉淀池、虹吸滤池、清水池、二级泵房（出水泵房），消毒采用两次加氯工艺</w:t>
                  </w:r>
                </w:p>
              </w:tc>
              <w:tc>
                <w:tcPr>
                  <w:tcW w:w="1016" w:type="pct"/>
                  <w:tcBorders>
                    <w:tl2br w:val="nil"/>
                    <w:tr2bl w:val="nil"/>
                  </w:tcBorders>
                  <w:noWrap w:val="0"/>
                  <w:vAlign w:val="center"/>
                </w:tcPr>
                <w:p w14:paraId="504129A9">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始建于1970年，经1976年、1992年两次扩建改造</w:t>
                  </w:r>
                </w:p>
              </w:tc>
            </w:tr>
            <w:tr w14:paraId="30C4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1" w:type="pct"/>
                  <w:vMerge w:val="continue"/>
                  <w:tcBorders>
                    <w:tl2br w:val="nil"/>
                    <w:tr2bl w:val="nil"/>
                  </w:tcBorders>
                  <w:noWrap w:val="0"/>
                  <w:vAlign w:val="center"/>
                </w:tcPr>
                <w:p w14:paraId="6D9F8008">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0" w:type="pct"/>
                  <w:tcBorders>
                    <w:tl2br w:val="nil"/>
                    <w:tr2bl w:val="nil"/>
                  </w:tcBorders>
                  <w:shd w:val="clear" w:color="auto" w:fill="auto"/>
                  <w:noWrap w:val="0"/>
                  <w:vAlign w:val="center"/>
                </w:tcPr>
                <w:p w14:paraId="1616C8A1">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2#净水生产线</w:t>
                  </w:r>
                </w:p>
              </w:tc>
              <w:tc>
                <w:tcPr>
                  <w:tcW w:w="447" w:type="pct"/>
                  <w:tcBorders>
                    <w:tl2br w:val="nil"/>
                    <w:tr2bl w:val="nil"/>
                  </w:tcBorders>
                  <w:shd w:val="clear" w:color="auto" w:fill="auto"/>
                  <w:noWrap w:val="0"/>
                  <w:vAlign w:val="center"/>
                </w:tcPr>
                <w:p w14:paraId="6010C60D">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5万</w:t>
                  </w:r>
                  <w:r>
                    <w:rPr>
                      <w:rFonts w:hint="default" w:ascii="Times New Roman" w:hAnsi="Times New Roman" w:cs="Times New Roman" w:eastAsiaTheme="minorEastAsia"/>
                      <w:b w:val="0"/>
                      <w:bCs/>
                      <w:color w:val="auto"/>
                      <w:sz w:val="21"/>
                      <w:szCs w:val="21"/>
                      <w:u w:val="none"/>
                    </w:rPr>
                    <w:t>m</w:t>
                  </w:r>
                  <w:r>
                    <w:rPr>
                      <w:rFonts w:hint="default" w:ascii="Times New Roman" w:hAnsi="Times New Roman" w:cs="Times New Roman" w:eastAsiaTheme="minorEastAsia"/>
                      <w:b w:val="0"/>
                      <w:bCs/>
                      <w:color w:val="auto"/>
                      <w:sz w:val="21"/>
                      <w:szCs w:val="21"/>
                      <w:u w:val="none"/>
                      <w:vertAlign w:val="superscript"/>
                      <w:lang w:val="en-US" w:eastAsia="zh-CN"/>
                    </w:rPr>
                    <w:t>3</w:t>
                  </w:r>
                  <w:r>
                    <w:rPr>
                      <w:rFonts w:hint="default" w:ascii="Times New Roman" w:hAnsi="Times New Roman" w:cs="Times New Roman" w:eastAsiaTheme="minorEastAsia"/>
                      <w:b w:val="0"/>
                      <w:bCs/>
                      <w:color w:val="auto"/>
                      <w:sz w:val="21"/>
                      <w:szCs w:val="21"/>
                      <w:u w:val="none"/>
                      <w:vertAlign w:val="baseline"/>
                      <w:lang w:val="en-US" w:eastAsia="zh-CN"/>
                    </w:rPr>
                    <w:t>/d</w:t>
                  </w:r>
                </w:p>
              </w:tc>
              <w:tc>
                <w:tcPr>
                  <w:tcW w:w="2494" w:type="pct"/>
                  <w:tcBorders>
                    <w:tl2br w:val="nil"/>
                    <w:tr2bl w:val="nil"/>
                  </w:tcBorders>
                  <w:shd w:val="clear" w:color="auto" w:fill="auto"/>
                  <w:noWrap w:val="0"/>
                  <w:vAlign w:val="center"/>
                </w:tcPr>
                <w:p w14:paraId="3A996E06">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主要包括巴氏槽、回流隔板反应池、斜管沉淀池、虹吸滤池、清水池、二级泵房（出水泵房），消毒采用两次加氯工艺</w:t>
                  </w:r>
                </w:p>
              </w:tc>
              <w:tc>
                <w:tcPr>
                  <w:tcW w:w="1016" w:type="pct"/>
                  <w:tcBorders>
                    <w:tl2br w:val="nil"/>
                    <w:tr2bl w:val="nil"/>
                  </w:tcBorders>
                  <w:noWrap w:val="0"/>
                  <w:vAlign w:val="center"/>
                </w:tcPr>
                <w:p w14:paraId="67153108">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198</w:t>
                  </w:r>
                  <w:r>
                    <w:rPr>
                      <w:rFonts w:hint="eastAsia" w:ascii="Times New Roman" w:hAnsi="Times New Roman" w:cs="Times New Roman" w:eastAsiaTheme="minorEastAsia"/>
                      <w:b w:val="0"/>
                      <w:bCs/>
                      <w:color w:val="auto"/>
                      <w:sz w:val="21"/>
                      <w:szCs w:val="21"/>
                      <w:u w:val="none"/>
                      <w:lang w:val="en-US" w:eastAsia="zh-CN"/>
                    </w:rPr>
                    <w:t>4</w:t>
                  </w:r>
                  <w:r>
                    <w:rPr>
                      <w:rFonts w:hint="default" w:ascii="Times New Roman" w:hAnsi="Times New Roman" w:cs="Times New Roman" w:eastAsiaTheme="minorEastAsia"/>
                      <w:b w:val="0"/>
                      <w:bCs/>
                      <w:color w:val="auto"/>
                      <w:sz w:val="21"/>
                      <w:szCs w:val="21"/>
                      <w:u w:val="none"/>
                      <w:lang w:val="en-US" w:eastAsia="zh-CN"/>
                    </w:rPr>
                    <w:t>年建成</w:t>
                  </w:r>
                </w:p>
              </w:tc>
            </w:tr>
            <w:tr w14:paraId="0992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1" w:type="pct"/>
                  <w:vMerge w:val="continue"/>
                  <w:tcBorders>
                    <w:tl2br w:val="nil"/>
                    <w:tr2bl w:val="nil"/>
                  </w:tcBorders>
                  <w:noWrap w:val="0"/>
                  <w:vAlign w:val="center"/>
                </w:tcPr>
                <w:p w14:paraId="2C6F7D92">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0" w:type="pct"/>
                  <w:tcBorders>
                    <w:tl2br w:val="nil"/>
                    <w:tr2bl w:val="nil"/>
                  </w:tcBorders>
                  <w:shd w:val="clear" w:color="auto" w:fill="auto"/>
                  <w:noWrap w:val="0"/>
                  <w:vAlign w:val="center"/>
                </w:tcPr>
                <w:p w14:paraId="6EB39DEC">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3#净水生产线</w:t>
                  </w:r>
                </w:p>
              </w:tc>
              <w:tc>
                <w:tcPr>
                  <w:tcW w:w="447" w:type="pct"/>
                  <w:tcBorders>
                    <w:tl2br w:val="nil"/>
                    <w:tr2bl w:val="nil"/>
                  </w:tcBorders>
                  <w:shd w:val="clear" w:color="auto" w:fill="auto"/>
                  <w:noWrap w:val="0"/>
                  <w:vAlign w:val="center"/>
                </w:tcPr>
                <w:p w14:paraId="739E2BFF">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10万</w:t>
                  </w:r>
                  <w:r>
                    <w:rPr>
                      <w:rFonts w:hint="default" w:ascii="Times New Roman" w:hAnsi="Times New Roman" w:cs="Times New Roman" w:eastAsiaTheme="minorEastAsia"/>
                      <w:b w:val="0"/>
                      <w:bCs/>
                      <w:color w:val="auto"/>
                      <w:sz w:val="21"/>
                      <w:szCs w:val="21"/>
                      <w:u w:val="none"/>
                    </w:rPr>
                    <w:t>m</w:t>
                  </w:r>
                  <w:r>
                    <w:rPr>
                      <w:rFonts w:hint="default" w:ascii="Times New Roman" w:hAnsi="Times New Roman" w:cs="Times New Roman" w:eastAsiaTheme="minorEastAsia"/>
                      <w:b w:val="0"/>
                      <w:bCs/>
                      <w:color w:val="auto"/>
                      <w:sz w:val="21"/>
                      <w:szCs w:val="21"/>
                      <w:u w:val="none"/>
                      <w:vertAlign w:val="superscript"/>
                      <w:lang w:val="en-US" w:eastAsia="zh-CN"/>
                    </w:rPr>
                    <w:t>3</w:t>
                  </w:r>
                  <w:r>
                    <w:rPr>
                      <w:rFonts w:hint="default" w:ascii="Times New Roman" w:hAnsi="Times New Roman" w:cs="Times New Roman" w:eastAsiaTheme="minorEastAsia"/>
                      <w:b w:val="0"/>
                      <w:bCs/>
                      <w:color w:val="auto"/>
                      <w:sz w:val="21"/>
                      <w:szCs w:val="21"/>
                      <w:u w:val="none"/>
                      <w:vertAlign w:val="baseline"/>
                      <w:lang w:val="en-US" w:eastAsia="zh-CN"/>
                    </w:rPr>
                    <w:t>/d</w:t>
                  </w:r>
                </w:p>
              </w:tc>
              <w:tc>
                <w:tcPr>
                  <w:tcW w:w="2494" w:type="pct"/>
                  <w:tcBorders>
                    <w:tl2br w:val="nil"/>
                    <w:tr2bl w:val="nil"/>
                  </w:tcBorders>
                  <w:shd w:val="clear" w:color="auto" w:fill="auto"/>
                  <w:noWrap w:val="0"/>
                  <w:vAlign w:val="center"/>
                </w:tcPr>
                <w:p w14:paraId="4FC37201">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主要包括上下流网格反应池、斜管沉淀池、气水反冲洗滤池、清水池、二级泵房（出水泵房），消毒采用两次加氯工艺</w:t>
                  </w:r>
                </w:p>
              </w:tc>
              <w:tc>
                <w:tcPr>
                  <w:tcW w:w="1016" w:type="pct"/>
                  <w:tcBorders>
                    <w:tl2br w:val="nil"/>
                    <w:tr2bl w:val="nil"/>
                  </w:tcBorders>
                  <w:shd w:val="clear" w:color="auto" w:fill="auto"/>
                  <w:noWrap w:val="0"/>
                  <w:vAlign w:val="center"/>
                </w:tcPr>
                <w:p w14:paraId="4E18C61E">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199</w:t>
                  </w:r>
                  <w:r>
                    <w:rPr>
                      <w:rFonts w:hint="eastAsia" w:ascii="Times New Roman" w:hAnsi="Times New Roman" w:cs="Times New Roman" w:eastAsiaTheme="minorEastAsia"/>
                      <w:b w:val="0"/>
                      <w:bCs/>
                      <w:color w:val="auto"/>
                      <w:sz w:val="21"/>
                      <w:szCs w:val="21"/>
                      <w:u w:val="none"/>
                      <w:lang w:val="en-US" w:eastAsia="zh-CN"/>
                    </w:rPr>
                    <w:t>2</w:t>
                  </w:r>
                  <w:r>
                    <w:rPr>
                      <w:rFonts w:hint="default" w:ascii="Times New Roman" w:hAnsi="Times New Roman" w:cs="Times New Roman" w:eastAsiaTheme="minorEastAsia"/>
                      <w:b w:val="0"/>
                      <w:bCs/>
                      <w:color w:val="auto"/>
                      <w:sz w:val="21"/>
                      <w:szCs w:val="21"/>
                      <w:u w:val="none"/>
                      <w:lang w:val="en-US" w:eastAsia="zh-CN"/>
                    </w:rPr>
                    <w:t>年建成</w:t>
                  </w:r>
                </w:p>
              </w:tc>
            </w:tr>
            <w:tr w14:paraId="7868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1" w:type="pct"/>
                  <w:vMerge w:val="continue"/>
                  <w:tcBorders>
                    <w:tl2br w:val="nil"/>
                    <w:tr2bl w:val="nil"/>
                  </w:tcBorders>
                  <w:noWrap w:val="0"/>
                  <w:vAlign w:val="center"/>
                </w:tcPr>
                <w:p w14:paraId="7276E9E8">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0" w:type="pct"/>
                  <w:tcBorders>
                    <w:tl2br w:val="nil"/>
                    <w:tr2bl w:val="nil"/>
                  </w:tcBorders>
                  <w:noWrap w:val="0"/>
                  <w:vAlign w:val="center"/>
                </w:tcPr>
                <w:p w14:paraId="03871EFC">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加药间</w:t>
                  </w:r>
                </w:p>
              </w:tc>
              <w:tc>
                <w:tcPr>
                  <w:tcW w:w="2941" w:type="pct"/>
                  <w:gridSpan w:val="2"/>
                  <w:tcBorders>
                    <w:tl2br w:val="nil"/>
                    <w:tr2bl w:val="nil"/>
                  </w:tcBorders>
                  <w:noWrap w:val="0"/>
                  <w:vAlign w:val="center"/>
                </w:tcPr>
                <w:p w14:paraId="3C43E7CF">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在各个净水生产线各个反应池内投加净水剂（聚合氯化铝），配置加药隔膜泵</w:t>
                  </w:r>
                </w:p>
              </w:tc>
              <w:tc>
                <w:tcPr>
                  <w:tcW w:w="1016" w:type="pct"/>
                  <w:tcBorders>
                    <w:tl2br w:val="nil"/>
                    <w:tr2bl w:val="nil"/>
                  </w:tcBorders>
                  <w:noWrap w:val="0"/>
                  <w:vAlign w:val="center"/>
                </w:tcPr>
                <w:p w14:paraId="773D03C1">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占地12m×11m</w:t>
                  </w:r>
                </w:p>
              </w:tc>
            </w:tr>
            <w:tr w14:paraId="26EE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1" w:type="pct"/>
                  <w:vMerge w:val="continue"/>
                  <w:tcBorders>
                    <w:tl2br w:val="nil"/>
                    <w:tr2bl w:val="nil"/>
                  </w:tcBorders>
                  <w:noWrap w:val="0"/>
                  <w:vAlign w:val="center"/>
                </w:tcPr>
                <w:p w14:paraId="6B8DED72">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0" w:type="pct"/>
                  <w:tcBorders>
                    <w:tl2br w:val="nil"/>
                    <w:tr2bl w:val="nil"/>
                  </w:tcBorders>
                  <w:noWrap w:val="0"/>
                  <w:vAlign w:val="center"/>
                </w:tcPr>
                <w:p w14:paraId="41AA9052">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加氯间</w:t>
                  </w:r>
                </w:p>
              </w:tc>
              <w:tc>
                <w:tcPr>
                  <w:tcW w:w="2941" w:type="pct"/>
                  <w:gridSpan w:val="2"/>
                  <w:tcBorders>
                    <w:tl2br w:val="nil"/>
                    <w:tr2bl w:val="nil"/>
                  </w:tcBorders>
                  <w:noWrap w:val="0"/>
                  <w:vAlign w:val="center"/>
                </w:tcPr>
                <w:p w14:paraId="2A82E2CE">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五套液氯汽化系统+加氯机对净水生产线加氯，其中预加氯系统4套（1#线1套、2#线1套、3#线2套）、滤后加氯系统1套（3#线1万立方清水池进水口）</w:t>
                  </w:r>
                </w:p>
              </w:tc>
              <w:tc>
                <w:tcPr>
                  <w:tcW w:w="1016" w:type="pct"/>
                  <w:tcBorders>
                    <w:tl2br w:val="nil"/>
                    <w:tr2bl w:val="nil"/>
                  </w:tcBorders>
                  <w:shd w:val="clear" w:color="auto" w:fill="auto"/>
                  <w:noWrap w:val="0"/>
                  <w:vAlign w:val="center"/>
                </w:tcPr>
                <w:p w14:paraId="0857B7AD">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snapToGrid w:val="0"/>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占地15m×7m</w:t>
                  </w:r>
                </w:p>
              </w:tc>
            </w:tr>
            <w:tr w14:paraId="7598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1" w:type="pct"/>
                  <w:vMerge w:val="continue"/>
                  <w:tcBorders>
                    <w:tl2br w:val="nil"/>
                    <w:tr2bl w:val="nil"/>
                  </w:tcBorders>
                  <w:noWrap w:val="0"/>
                  <w:vAlign w:val="center"/>
                </w:tcPr>
                <w:p w14:paraId="4B6934CC">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0" w:type="pct"/>
                  <w:vMerge w:val="restart"/>
                  <w:tcBorders>
                    <w:tl2br w:val="nil"/>
                    <w:tr2bl w:val="nil"/>
                  </w:tcBorders>
                  <w:noWrap w:val="0"/>
                  <w:vAlign w:val="center"/>
                </w:tcPr>
                <w:p w14:paraId="2F02C866">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泵房</w:t>
                  </w:r>
                </w:p>
              </w:tc>
              <w:tc>
                <w:tcPr>
                  <w:tcW w:w="2941" w:type="pct"/>
                  <w:gridSpan w:val="2"/>
                  <w:tcBorders>
                    <w:tl2br w:val="nil"/>
                    <w:tr2bl w:val="nil"/>
                  </w:tcBorders>
                  <w:noWrap w:val="0"/>
                  <w:vAlign w:val="center"/>
                </w:tcPr>
                <w:p w14:paraId="636D1DDE">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取水泵房（含铁山水库水源、东洞庭湖备用水源取水泵设施）</w:t>
                  </w:r>
                  <w:r>
                    <w:rPr>
                      <w:rFonts w:hint="eastAsia" w:ascii="Times New Roman" w:hAnsi="Times New Roman" w:cs="Times New Roman" w:eastAsiaTheme="minorEastAsia"/>
                      <w:b w:val="0"/>
                      <w:bCs/>
                      <w:color w:val="auto"/>
                      <w:sz w:val="21"/>
                      <w:szCs w:val="21"/>
                      <w:u w:val="none"/>
                      <w:lang w:val="en-US" w:eastAsia="zh-CN"/>
                    </w:rPr>
                    <w:t>，其中备用水源地洞庭湖岸边设置取水口（头）、取水集水池和泵房设施；铁山水库取水点设置集水池、加压取水泵</w:t>
                  </w:r>
                </w:p>
              </w:tc>
              <w:tc>
                <w:tcPr>
                  <w:tcW w:w="1016" w:type="pct"/>
                  <w:tcBorders>
                    <w:tl2br w:val="nil"/>
                    <w:tr2bl w:val="nil"/>
                  </w:tcBorders>
                  <w:noWrap w:val="0"/>
                  <w:vAlign w:val="center"/>
                </w:tcPr>
                <w:p w14:paraId="227203CB">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东洞庭湖岸边设置取水头和池体、泵房</w:t>
                  </w:r>
                </w:p>
              </w:tc>
            </w:tr>
            <w:tr w14:paraId="0461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1" w:type="pct"/>
                  <w:vMerge w:val="continue"/>
                  <w:tcBorders>
                    <w:tl2br w:val="nil"/>
                    <w:tr2bl w:val="nil"/>
                  </w:tcBorders>
                  <w:noWrap w:val="0"/>
                  <w:vAlign w:val="center"/>
                </w:tcPr>
                <w:p w14:paraId="3166258E">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0" w:type="pct"/>
                  <w:vMerge w:val="continue"/>
                  <w:tcBorders>
                    <w:tl2br w:val="nil"/>
                    <w:tr2bl w:val="nil"/>
                  </w:tcBorders>
                  <w:noWrap w:val="0"/>
                  <w:vAlign w:val="center"/>
                </w:tcPr>
                <w:p w14:paraId="0A8DB6C6">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p>
              </w:tc>
              <w:tc>
                <w:tcPr>
                  <w:tcW w:w="2941" w:type="pct"/>
                  <w:gridSpan w:val="2"/>
                  <w:tcBorders>
                    <w:tl2br w:val="nil"/>
                    <w:tr2bl w:val="nil"/>
                  </w:tcBorders>
                  <w:noWrap w:val="0"/>
                  <w:vAlign w:val="center"/>
                </w:tcPr>
                <w:p w14:paraId="3FEAFFC4">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single"/>
                      <w:lang w:val="en-US" w:eastAsia="zh-CN"/>
                    </w:rPr>
                  </w:pPr>
                  <w:r>
                    <w:rPr>
                      <w:rFonts w:hint="default" w:ascii="Times New Roman" w:hAnsi="Times New Roman" w:cs="Times New Roman" w:eastAsiaTheme="minorEastAsia"/>
                      <w:b w:val="0"/>
                      <w:bCs/>
                      <w:color w:val="auto"/>
                      <w:sz w:val="21"/>
                      <w:szCs w:val="21"/>
                      <w:u w:val="single"/>
                      <w:lang w:val="en-US" w:eastAsia="zh-CN"/>
                    </w:rPr>
                    <w:t>送水泵房（由</w:t>
                  </w:r>
                  <w:r>
                    <w:rPr>
                      <w:rFonts w:hint="eastAsia" w:ascii="Times New Roman" w:hAnsi="Times New Roman" w:cs="Times New Roman" w:eastAsiaTheme="minorEastAsia"/>
                      <w:b w:val="0"/>
                      <w:bCs/>
                      <w:color w:val="auto"/>
                      <w:sz w:val="21"/>
                      <w:szCs w:val="21"/>
                      <w:u w:val="single"/>
                      <w:lang w:val="en-US" w:eastAsia="zh-CN"/>
                    </w:rPr>
                    <w:t>厂区内现有的</w:t>
                  </w:r>
                  <w:r>
                    <w:rPr>
                      <w:rFonts w:hint="default" w:ascii="Times New Roman" w:hAnsi="Times New Roman" w:cs="Times New Roman" w:eastAsiaTheme="minorEastAsia"/>
                      <w:b w:val="0"/>
                      <w:bCs/>
                      <w:color w:val="auto"/>
                      <w:sz w:val="21"/>
                      <w:szCs w:val="21"/>
                      <w:u w:val="single"/>
                      <w:lang w:val="en-US" w:eastAsia="zh-CN"/>
                    </w:rPr>
                    <w:t>1万m</w:t>
                  </w:r>
                  <w:r>
                    <w:rPr>
                      <w:rFonts w:hint="default" w:ascii="Times New Roman" w:hAnsi="Times New Roman" w:cs="Times New Roman" w:eastAsiaTheme="minorEastAsia"/>
                      <w:b w:val="0"/>
                      <w:bCs/>
                      <w:color w:val="auto"/>
                      <w:sz w:val="21"/>
                      <w:szCs w:val="21"/>
                      <w:u w:val="single"/>
                      <w:vertAlign w:val="superscript"/>
                      <w:lang w:val="en-US" w:eastAsia="zh-CN"/>
                    </w:rPr>
                    <w:t>3</w:t>
                  </w:r>
                  <w:r>
                    <w:rPr>
                      <w:rFonts w:hint="default" w:ascii="Times New Roman" w:hAnsi="Times New Roman" w:cs="Times New Roman" w:eastAsiaTheme="minorEastAsia"/>
                      <w:b w:val="0"/>
                      <w:bCs/>
                      <w:color w:val="auto"/>
                      <w:sz w:val="21"/>
                      <w:szCs w:val="21"/>
                      <w:u w:val="single"/>
                      <w:lang w:val="en-US" w:eastAsia="zh-CN"/>
                    </w:rPr>
                    <w:t>清水池出水加压供水输出）</w:t>
                  </w:r>
                  <w:r>
                    <w:rPr>
                      <w:rFonts w:hint="eastAsia" w:ascii="Times New Roman" w:hAnsi="Times New Roman" w:cs="Times New Roman" w:eastAsiaTheme="minorEastAsia"/>
                      <w:b w:val="0"/>
                      <w:bCs/>
                      <w:color w:val="auto"/>
                      <w:sz w:val="21"/>
                      <w:szCs w:val="21"/>
                      <w:u w:val="single"/>
                      <w:lang w:val="en-US" w:eastAsia="zh-CN"/>
                    </w:rPr>
                    <w:t>，配置加压输水泵11台</w:t>
                  </w:r>
                </w:p>
              </w:tc>
              <w:tc>
                <w:tcPr>
                  <w:tcW w:w="1016" w:type="pct"/>
                  <w:tcBorders>
                    <w:tl2br w:val="nil"/>
                    <w:tr2bl w:val="nil"/>
                  </w:tcBorders>
                  <w:noWrap w:val="0"/>
                  <w:vAlign w:val="center"/>
                </w:tcPr>
                <w:p w14:paraId="6541E18C">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single"/>
                      <w:lang w:val="en-US" w:eastAsia="zh-CN"/>
                    </w:rPr>
                  </w:pPr>
                  <w:r>
                    <w:rPr>
                      <w:rFonts w:hint="eastAsia" w:ascii="Times New Roman" w:hAnsi="Times New Roman" w:cs="Times New Roman" w:eastAsiaTheme="minorEastAsia"/>
                      <w:b w:val="0"/>
                      <w:bCs/>
                      <w:color w:val="auto"/>
                      <w:sz w:val="21"/>
                      <w:szCs w:val="21"/>
                      <w:u w:val="single"/>
                      <w:lang w:val="en-US" w:eastAsia="zh-CN"/>
                    </w:rPr>
                    <w:t>位于厂区范围内西北部</w:t>
                  </w:r>
                </w:p>
              </w:tc>
            </w:tr>
            <w:tr w14:paraId="7B0F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1" w:type="pct"/>
                  <w:vMerge w:val="continue"/>
                  <w:tcBorders>
                    <w:tl2br w:val="nil"/>
                    <w:tr2bl w:val="nil"/>
                  </w:tcBorders>
                  <w:noWrap w:val="0"/>
                  <w:vAlign w:val="center"/>
                </w:tcPr>
                <w:p w14:paraId="13EB3AEB">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0" w:type="pct"/>
                  <w:tcBorders>
                    <w:tl2br w:val="nil"/>
                    <w:tr2bl w:val="nil"/>
                  </w:tcBorders>
                  <w:noWrap w:val="0"/>
                  <w:vAlign w:val="center"/>
                </w:tcPr>
                <w:p w14:paraId="1387601D">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排泥水处理</w:t>
                  </w:r>
                </w:p>
              </w:tc>
              <w:tc>
                <w:tcPr>
                  <w:tcW w:w="2941" w:type="pct"/>
                  <w:gridSpan w:val="2"/>
                  <w:tcBorders>
                    <w:tl2br w:val="nil"/>
                    <w:tr2bl w:val="nil"/>
                  </w:tcBorders>
                  <w:noWrap w:val="0"/>
                  <w:vAlign w:val="center"/>
                </w:tcPr>
                <w:p w14:paraId="2D81FB9F">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处理净水生产线反应沉淀池产生的排泥水，由排泥池（收集净水生产线排泥水）+污泥脱水处理（设置污泥浓缩、离心脱水设备，污泥贮存池，泥饼堆放区）+清水回用（污泥浓缩上清液</w:t>
                  </w:r>
                  <w:r>
                    <w:rPr>
                      <w:rFonts w:hint="eastAsia" w:ascii="Times New Roman" w:hAnsi="Times New Roman" w:cs="Times New Roman" w:eastAsiaTheme="minorEastAsia"/>
                      <w:b w:val="0"/>
                      <w:bCs/>
                      <w:color w:val="auto"/>
                      <w:sz w:val="21"/>
                      <w:szCs w:val="21"/>
                      <w:u w:val="none"/>
                      <w:lang w:val="en-US" w:eastAsia="zh-CN"/>
                    </w:rPr>
                    <w:t>进入</w:t>
                  </w:r>
                  <w:r>
                    <w:rPr>
                      <w:rFonts w:hint="default" w:ascii="Times New Roman" w:hAnsi="Times New Roman" w:cs="Times New Roman" w:eastAsiaTheme="minorEastAsia"/>
                      <w:b w:val="0"/>
                      <w:bCs/>
                      <w:color w:val="auto"/>
                      <w:sz w:val="21"/>
                      <w:szCs w:val="21"/>
                      <w:u w:val="none"/>
                      <w:lang w:val="en-US" w:eastAsia="zh-CN"/>
                    </w:rPr>
                    <w:t>回收水池）组成，污泥处理离心脱水产生的含泥废水外排厂区污水管网</w:t>
                  </w:r>
                </w:p>
              </w:tc>
              <w:tc>
                <w:tcPr>
                  <w:tcW w:w="1016" w:type="pct"/>
                  <w:tcBorders>
                    <w:tl2br w:val="nil"/>
                    <w:tr2bl w:val="nil"/>
                  </w:tcBorders>
                  <w:noWrap w:val="0"/>
                  <w:vAlign w:val="center"/>
                </w:tcPr>
                <w:p w14:paraId="5A5B277B">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left"/>
                    <w:rPr>
                      <w:rFonts w:hint="default" w:ascii="Times New Roman" w:hAnsi="Times New Roman" w:cs="Times New Roman" w:eastAsiaTheme="minorEastAsia"/>
                      <w:b w:val="0"/>
                      <w:bCs/>
                      <w:color w:val="auto"/>
                      <w:sz w:val="21"/>
                      <w:szCs w:val="21"/>
                      <w:highlight w:val="none"/>
                      <w:u w:val="none"/>
                      <w:lang w:val="en-US" w:eastAsia="zh-CN"/>
                    </w:rPr>
                  </w:pPr>
                  <w:r>
                    <w:rPr>
                      <w:rFonts w:hint="default" w:ascii="Times New Roman" w:hAnsi="Times New Roman" w:cs="Times New Roman" w:eastAsiaTheme="minorEastAsia"/>
                      <w:b w:val="0"/>
                      <w:bCs/>
                      <w:color w:val="auto"/>
                      <w:sz w:val="21"/>
                      <w:szCs w:val="21"/>
                      <w:highlight w:val="none"/>
                      <w:u w:val="none"/>
                      <w:lang w:val="en-US" w:eastAsia="zh-CN"/>
                    </w:rPr>
                    <w:t>排泥池300m</w:t>
                  </w:r>
                  <w:r>
                    <w:rPr>
                      <w:rFonts w:hint="default" w:ascii="Times New Roman" w:hAnsi="Times New Roman" w:cs="Times New Roman" w:eastAsiaTheme="minorEastAsia"/>
                      <w:b w:val="0"/>
                      <w:bCs/>
                      <w:color w:val="auto"/>
                      <w:sz w:val="21"/>
                      <w:szCs w:val="21"/>
                      <w:highlight w:val="none"/>
                      <w:u w:val="none"/>
                      <w:vertAlign w:val="superscript"/>
                      <w:lang w:val="en-US" w:eastAsia="zh-CN"/>
                    </w:rPr>
                    <w:t>3</w:t>
                  </w:r>
                </w:p>
                <w:p w14:paraId="7CDC694E">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left"/>
                    <w:rPr>
                      <w:rFonts w:hint="default" w:ascii="Times New Roman" w:hAnsi="Times New Roman" w:cs="Times New Roman" w:eastAsiaTheme="minorEastAsia"/>
                      <w:b w:val="0"/>
                      <w:bCs/>
                      <w:color w:val="auto"/>
                      <w:sz w:val="21"/>
                      <w:szCs w:val="21"/>
                      <w:highlight w:val="none"/>
                      <w:u w:val="none"/>
                      <w:lang w:val="en-US" w:eastAsia="zh-CN"/>
                    </w:rPr>
                  </w:pPr>
                  <w:r>
                    <w:rPr>
                      <w:rFonts w:hint="default" w:ascii="Times New Roman" w:hAnsi="Times New Roman" w:cs="Times New Roman" w:eastAsiaTheme="minorEastAsia"/>
                      <w:b w:val="0"/>
                      <w:bCs/>
                      <w:color w:val="auto"/>
                      <w:sz w:val="21"/>
                      <w:szCs w:val="21"/>
                      <w:highlight w:val="none"/>
                      <w:u w:val="none"/>
                      <w:lang w:val="en-US" w:eastAsia="zh-CN"/>
                    </w:rPr>
                    <w:t>污泥处理间占地400m</w:t>
                  </w:r>
                  <w:r>
                    <w:rPr>
                      <w:rFonts w:hint="default" w:ascii="Times New Roman" w:hAnsi="Times New Roman" w:cs="Times New Roman" w:eastAsiaTheme="minorEastAsia"/>
                      <w:b w:val="0"/>
                      <w:bCs/>
                      <w:color w:val="auto"/>
                      <w:sz w:val="21"/>
                      <w:szCs w:val="21"/>
                      <w:highlight w:val="none"/>
                      <w:u w:val="none"/>
                      <w:vertAlign w:val="superscript"/>
                      <w:lang w:val="en-US" w:eastAsia="zh-CN"/>
                    </w:rPr>
                    <w:t>2</w:t>
                  </w:r>
                </w:p>
                <w:p w14:paraId="1ED4733C">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left"/>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回用水池依托现有</w:t>
                  </w:r>
                  <w:r>
                    <w:rPr>
                      <w:rFonts w:hint="default" w:ascii="Times New Roman" w:hAnsi="Times New Roman" w:cs="Times New Roman" w:eastAsiaTheme="minorEastAsia"/>
                      <w:b w:val="0"/>
                      <w:bCs/>
                      <w:color w:val="auto"/>
                      <w:sz w:val="21"/>
                      <w:szCs w:val="21"/>
                      <w:highlight w:val="none"/>
                      <w:u w:val="none"/>
                      <w:lang w:val="en-US" w:eastAsia="zh-CN"/>
                    </w:rPr>
                    <w:t>300m</w:t>
                  </w:r>
                  <w:r>
                    <w:rPr>
                      <w:rFonts w:hint="default" w:ascii="Times New Roman" w:hAnsi="Times New Roman" w:cs="Times New Roman" w:eastAsiaTheme="minorEastAsia"/>
                      <w:b w:val="0"/>
                      <w:bCs/>
                      <w:color w:val="auto"/>
                      <w:sz w:val="21"/>
                      <w:szCs w:val="21"/>
                      <w:highlight w:val="none"/>
                      <w:u w:val="none"/>
                      <w:vertAlign w:val="superscript"/>
                      <w:lang w:val="en-US" w:eastAsia="zh-CN"/>
                    </w:rPr>
                    <w:t>3</w:t>
                  </w:r>
                  <w:r>
                    <w:rPr>
                      <w:rFonts w:hint="default" w:ascii="Times New Roman" w:hAnsi="Times New Roman" w:cs="Times New Roman" w:eastAsiaTheme="minorEastAsia"/>
                      <w:lang w:val="en-US" w:eastAsia="zh-CN"/>
                    </w:rPr>
                    <w:t>（预留建设一座</w:t>
                  </w:r>
                  <w:r>
                    <w:rPr>
                      <w:rFonts w:hint="default" w:ascii="Times New Roman" w:hAnsi="Times New Roman" w:cs="Times New Roman" w:eastAsiaTheme="minorEastAsia"/>
                      <w:b w:val="0"/>
                      <w:bCs/>
                      <w:color w:val="auto"/>
                      <w:sz w:val="21"/>
                      <w:szCs w:val="21"/>
                      <w:highlight w:val="none"/>
                      <w:u w:val="none"/>
                      <w:lang w:val="en-US" w:eastAsia="zh-CN"/>
                    </w:rPr>
                    <w:t>1000m</w:t>
                  </w:r>
                  <w:r>
                    <w:rPr>
                      <w:rFonts w:hint="default" w:ascii="Times New Roman" w:hAnsi="Times New Roman" w:cs="Times New Roman" w:eastAsiaTheme="minorEastAsia"/>
                      <w:b w:val="0"/>
                      <w:bCs/>
                      <w:color w:val="auto"/>
                      <w:sz w:val="21"/>
                      <w:szCs w:val="21"/>
                      <w:highlight w:val="none"/>
                      <w:u w:val="none"/>
                      <w:vertAlign w:val="superscript"/>
                      <w:lang w:val="en-US" w:eastAsia="zh-CN"/>
                    </w:rPr>
                    <w:t>3</w:t>
                  </w:r>
                  <w:r>
                    <w:rPr>
                      <w:rFonts w:hint="default" w:ascii="Times New Roman" w:hAnsi="Times New Roman" w:cs="Times New Roman" w:eastAsiaTheme="minorEastAsia"/>
                      <w:lang w:val="en-US" w:eastAsia="zh-CN"/>
                    </w:rPr>
                    <w:t>）</w:t>
                  </w:r>
                </w:p>
              </w:tc>
            </w:tr>
            <w:tr w14:paraId="5E9E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restart"/>
                  <w:tcBorders>
                    <w:tl2br w:val="nil"/>
                    <w:tr2bl w:val="nil"/>
                  </w:tcBorders>
                  <w:noWrap w:val="0"/>
                  <w:vAlign w:val="center"/>
                </w:tcPr>
                <w:p w14:paraId="10BFB74C">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辅助工程</w:t>
                  </w:r>
                </w:p>
              </w:tc>
              <w:tc>
                <w:tcPr>
                  <w:tcW w:w="550" w:type="pct"/>
                  <w:tcBorders>
                    <w:tl2br w:val="nil"/>
                    <w:tr2bl w:val="nil"/>
                  </w:tcBorders>
                  <w:noWrap w:val="0"/>
                  <w:vAlign w:val="center"/>
                </w:tcPr>
                <w:p w14:paraId="3188BBFF">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综合办公楼</w:t>
                  </w:r>
                </w:p>
              </w:tc>
              <w:tc>
                <w:tcPr>
                  <w:tcW w:w="2941" w:type="pct"/>
                  <w:gridSpan w:val="2"/>
                  <w:tcBorders>
                    <w:tl2br w:val="nil"/>
                    <w:tr2bl w:val="nil"/>
                  </w:tcBorders>
                  <w:noWrap w:val="0"/>
                  <w:vAlign w:val="center"/>
                </w:tcPr>
                <w:p w14:paraId="529C8533">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5F，占地160m</w:t>
                  </w:r>
                  <w:r>
                    <w:rPr>
                      <w:rFonts w:hint="default" w:ascii="Times New Roman" w:hAnsi="Times New Roman" w:cs="Times New Roman" w:eastAsiaTheme="minorEastAsia"/>
                      <w:b w:val="0"/>
                      <w:bCs/>
                      <w:color w:val="auto"/>
                      <w:kern w:val="2"/>
                      <w:sz w:val="21"/>
                      <w:szCs w:val="21"/>
                      <w:u w:val="none"/>
                      <w:vertAlign w:val="superscript"/>
                      <w:lang w:val="en-US" w:eastAsia="zh-CN" w:bidi="ar-SA"/>
                    </w:rPr>
                    <w:t>2</w:t>
                  </w:r>
                </w:p>
                <w:p w14:paraId="579615B0">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vertAlign w:val="baseline"/>
                      <w:lang w:val="en-US" w:eastAsia="zh-CN" w:bidi="ar-SA"/>
                    </w:rPr>
                  </w:pPr>
                  <w:r>
                    <w:rPr>
                      <w:rFonts w:hint="default" w:ascii="Times New Roman" w:hAnsi="Times New Roman" w:cs="Times New Roman" w:eastAsiaTheme="minorEastAsia"/>
                      <w:b w:val="0"/>
                      <w:bCs/>
                      <w:color w:val="auto"/>
                      <w:kern w:val="2"/>
                      <w:sz w:val="21"/>
                      <w:szCs w:val="21"/>
                      <w:u w:val="none"/>
                      <w:vertAlign w:val="baseline"/>
                      <w:lang w:val="en-US" w:eastAsia="zh-CN" w:bidi="ar-SA"/>
                    </w:rPr>
                    <w:t>主要包括职工办公、会议</w:t>
                  </w:r>
                  <w:r>
                    <w:rPr>
                      <w:rFonts w:hint="default" w:ascii="Times New Roman" w:hAnsi="Times New Roman" w:cs="Times New Roman" w:eastAsiaTheme="minorEastAsia"/>
                      <w:b w:val="0"/>
                      <w:bCs/>
                      <w:color w:val="auto"/>
                      <w:kern w:val="2"/>
                      <w:sz w:val="21"/>
                      <w:szCs w:val="21"/>
                      <w:highlight w:val="none"/>
                      <w:u w:val="none"/>
                      <w:vertAlign w:val="baseline"/>
                      <w:lang w:val="en-US" w:eastAsia="zh-CN" w:bidi="ar-SA"/>
                    </w:rPr>
                    <w:t>、分析化验等</w:t>
                  </w:r>
                </w:p>
              </w:tc>
              <w:tc>
                <w:tcPr>
                  <w:tcW w:w="1016" w:type="pct"/>
                  <w:tcBorders>
                    <w:tl2br w:val="nil"/>
                    <w:tr2bl w:val="nil"/>
                  </w:tcBorders>
                  <w:noWrap w:val="0"/>
                  <w:vAlign w:val="center"/>
                </w:tcPr>
                <w:p w14:paraId="11443468">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113" w:rightChars="0" w:firstLine="0" w:firstLineChars="0"/>
                    <w:jc w:val="both"/>
                    <w:rPr>
                      <w:rFonts w:hint="default" w:ascii="Times New Roman" w:hAnsi="Times New Roman" w:cs="Times New Roman" w:eastAsiaTheme="minorEastAsia"/>
                      <w:b w:val="0"/>
                      <w:bCs/>
                      <w:color w:val="auto"/>
                      <w:kern w:val="0"/>
                      <w:sz w:val="21"/>
                      <w:szCs w:val="21"/>
                      <w:u w:val="single"/>
                      <w:lang w:val="en-US" w:eastAsia="zh-CN" w:bidi="ar-SA"/>
                    </w:rPr>
                  </w:pPr>
                  <w:r>
                    <w:rPr>
                      <w:rFonts w:hint="eastAsia" w:ascii="Times New Roman" w:hAnsi="Times New Roman" w:cs="Times New Roman" w:eastAsiaTheme="minorEastAsia"/>
                      <w:b w:val="0"/>
                      <w:bCs/>
                      <w:color w:val="auto"/>
                      <w:kern w:val="0"/>
                      <w:sz w:val="21"/>
                      <w:szCs w:val="21"/>
                      <w:u w:val="single"/>
                      <w:lang w:val="en-US" w:eastAsia="zh-CN" w:bidi="ar-SA"/>
                    </w:rPr>
                    <w:t>水质分析检测实验室位于办公楼2F，配置检测设备和试剂等</w:t>
                  </w:r>
                </w:p>
              </w:tc>
            </w:tr>
            <w:tr w14:paraId="0C78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tcBorders>
                    <w:tl2br w:val="nil"/>
                    <w:tr2bl w:val="nil"/>
                  </w:tcBorders>
                  <w:noWrap w:val="0"/>
                  <w:vAlign w:val="center"/>
                </w:tcPr>
                <w:p w14:paraId="11373093">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p>
              </w:tc>
              <w:tc>
                <w:tcPr>
                  <w:tcW w:w="550" w:type="pct"/>
                  <w:tcBorders>
                    <w:tl2br w:val="nil"/>
                    <w:tr2bl w:val="nil"/>
                  </w:tcBorders>
                  <w:noWrap w:val="0"/>
                  <w:vAlign w:val="center"/>
                </w:tcPr>
                <w:p w14:paraId="43EA694F">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门卫室</w:t>
                  </w:r>
                </w:p>
              </w:tc>
              <w:tc>
                <w:tcPr>
                  <w:tcW w:w="2941" w:type="pct"/>
                  <w:gridSpan w:val="2"/>
                  <w:tcBorders>
                    <w:tl2br w:val="nil"/>
                    <w:tr2bl w:val="nil"/>
                  </w:tcBorders>
                  <w:shd w:val="clear" w:color="auto" w:fill="auto"/>
                  <w:noWrap w:val="0"/>
                  <w:vAlign w:val="center"/>
                </w:tcPr>
                <w:p w14:paraId="78311711">
                  <w:pPr>
                    <w:contextualSpacing/>
                    <w:jc w:val="center"/>
                    <w:rPr>
                      <w:rFonts w:hint="default" w:ascii="Times New Roman" w:hAnsi="Times New Roman" w:cs="Times New Roman" w:eastAsiaTheme="minorEastAsia"/>
                      <w:b w:val="0"/>
                      <w:bCs/>
                      <w:color w:val="auto"/>
                      <w:kern w:val="2"/>
                      <w:sz w:val="21"/>
                      <w:szCs w:val="21"/>
                      <w:u w:val="none"/>
                      <w:vertAlign w:val="baseli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1F，占地40m</w:t>
                  </w:r>
                  <w:r>
                    <w:rPr>
                      <w:rFonts w:hint="default" w:ascii="Times New Roman" w:hAnsi="Times New Roman" w:cs="Times New Roman" w:eastAsiaTheme="minorEastAsia"/>
                      <w:b w:val="0"/>
                      <w:bCs/>
                      <w:color w:val="auto"/>
                      <w:kern w:val="2"/>
                      <w:sz w:val="21"/>
                      <w:szCs w:val="21"/>
                      <w:u w:val="none"/>
                      <w:vertAlign w:val="superscript"/>
                      <w:lang w:val="en-US" w:eastAsia="zh-CN" w:bidi="ar-SA"/>
                    </w:rPr>
                    <w:t>2</w:t>
                  </w:r>
                  <w:r>
                    <w:rPr>
                      <w:rFonts w:hint="default" w:ascii="Times New Roman" w:hAnsi="Times New Roman" w:cs="Times New Roman" w:eastAsiaTheme="minorEastAsia"/>
                      <w:b w:val="0"/>
                      <w:bCs/>
                      <w:color w:val="auto"/>
                      <w:kern w:val="2"/>
                      <w:sz w:val="21"/>
                      <w:szCs w:val="21"/>
                      <w:u w:val="none"/>
                      <w:vertAlign w:val="baseline"/>
                      <w:lang w:val="en-US" w:eastAsia="zh-CN" w:bidi="ar-SA"/>
                    </w:rPr>
                    <w:t>，位于厂区大门东侧</w:t>
                  </w:r>
                </w:p>
              </w:tc>
              <w:tc>
                <w:tcPr>
                  <w:tcW w:w="1016" w:type="pct"/>
                  <w:tcBorders>
                    <w:tl2br w:val="nil"/>
                    <w:tr2bl w:val="nil"/>
                  </w:tcBorders>
                  <w:noWrap w:val="0"/>
                  <w:vAlign w:val="center"/>
                </w:tcPr>
                <w:p w14:paraId="4C89F9CD">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113" w:rightChars="0"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kern w:val="0"/>
                      <w:sz w:val="21"/>
                      <w:szCs w:val="21"/>
                      <w:u w:val="none"/>
                      <w:lang w:val="en-US" w:eastAsia="zh-CN" w:bidi="ar-SA"/>
                    </w:rPr>
                    <w:t>/</w:t>
                  </w:r>
                </w:p>
              </w:tc>
            </w:tr>
            <w:tr w14:paraId="2515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tcBorders>
                    <w:tl2br w:val="nil"/>
                    <w:tr2bl w:val="nil"/>
                  </w:tcBorders>
                  <w:noWrap w:val="0"/>
                  <w:vAlign w:val="center"/>
                </w:tcPr>
                <w:p w14:paraId="4390D7A6">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p>
              </w:tc>
              <w:tc>
                <w:tcPr>
                  <w:tcW w:w="550" w:type="pct"/>
                  <w:tcBorders>
                    <w:tl2br w:val="nil"/>
                    <w:tr2bl w:val="nil"/>
                  </w:tcBorders>
                  <w:noWrap w:val="0"/>
                  <w:vAlign w:val="center"/>
                </w:tcPr>
                <w:p w14:paraId="34830288">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配电室</w:t>
                  </w:r>
                </w:p>
              </w:tc>
              <w:tc>
                <w:tcPr>
                  <w:tcW w:w="2941" w:type="pct"/>
                  <w:gridSpan w:val="2"/>
                  <w:tcBorders>
                    <w:tl2br w:val="nil"/>
                    <w:tr2bl w:val="nil"/>
                  </w:tcBorders>
                  <w:shd w:val="clear" w:color="auto" w:fill="auto"/>
                  <w:noWrap w:val="0"/>
                  <w:vAlign w:val="center"/>
                </w:tcPr>
                <w:p w14:paraId="2664908C">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vertAlign w:val="baseli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1F，</w:t>
                  </w:r>
                  <w:r>
                    <w:rPr>
                      <w:rFonts w:hint="default" w:ascii="Times New Roman" w:hAnsi="Times New Roman" w:cs="Times New Roman" w:eastAsiaTheme="minorEastAsia"/>
                      <w:b w:val="0"/>
                      <w:bCs/>
                      <w:color w:val="auto"/>
                      <w:kern w:val="2"/>
                      <w:sz w:val="21"/>
                      <w:szCs w:val="21"/>
                      <w:u w:val="none"/>
                      <w:vertAlign w:val="baseline"/>
                      <w:lang w:val="en-US" w:eastAsia="zh-CN" w:bidi="ar-SA"/>
                    </w:rPr>
                    <w:t>设置配电设施，供厂区整体用电</w:t>
                  </w:r>
                </w:p>
              </w:tc>
              <w:tc>
                <w:tcPr>
                  <w:tcW w:w="1016" w:type="pct"/>
                  <w:tcBorders>
                    <w:tl2br w:val="nil"/>
                    <w:tr2bl w:val="nil"/>
                  </w:tcBorders>
                  <w:noWrap w:val="0"/>
                  <w:vAlign w:val="center"/>
                </w:tcPr>
                <w:p w14:paraId="7278F824">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113" w:rightChars="0"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lang w:val="en-US" w:eastAsia="zh-CN"/>
                    </w:rPr>
                    <w:t>占地13m×5m</w:t>
                  </w:r>
                </w:p>
              </w:tc>
            </w:tr>
            <w:tr w14:paraId="4AB02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tcBorders>
                    <w:tl2br w:val="nil"/>
                    <w:tr2bl w:val="nil"/>
                  </w:tcBorders>
                  <w:noWrap w:val="0"/>
                  <w:vAlign w:val="center"/>
                </w:tcPr>
                <w:p w14:paraId="6731FF68">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p>
              </w:tc>
              <w:tc>
                <w:tcPr>
                  <w:tcW w:w="550" w:type="pct"/>
                  <w:tcBorders>
                    <w:tl2br w:val="nil"/>
                    <w:tr2bl w:val="nil"/>
                  </w:tcBorders>
                  <w:noWrap w:val="0"/>
                  <w:vAlign w:val="center"/>
                </w:tcPr>
                <w:p w14:paraId="670E3491">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库房</w:t>
                  </w:r>
                </w:p>
              </w:tc>
              <w:tc>
                <w:tcPr>
                  <w:tcW w:w="2941" w:type="pct"/>
                  <w:gridSpan w:val="2"/>
                  <w:tcBorders>
                    <w:tl2br w:val="nil"/>
                    <w:tr2bl w:val="nil"/>
                  </w:tcBorders>
                  <w:noWrap w:val="0"/>
                  <w:vAlign w:val="center"/>
                </w:tcPr>
                <w:p w14:paraId="7FF95EBD">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2"/>
                      <w:sz w:val="21"/>
                      <w:szCs w:val="21"/>
                      <w:u w:val="none"/>
                      <w:vertAlign w:val="baseli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1F，占地</w:t>
                  </w:r>
                  <w:r>
                    <w:rPr>
                      <w:rFonts w:hint="default" w:ascii="Times New Roman" w:hAnsi="Times New Roman" w:cs="Times New Roman" w:eastAsiaTheme="minorEastAsia"/>
                      <w:b w:val="0"/>
                      <w:bCs/>
                      <w:color w:val="auto"/>
                      <w:sz w:val="21"/>
                      <w:szCs w:val="21"/>
                      <w:u w:val="none"/>
                      <w:lang w:val="en-US" w:eastAsia="zh-CN"/>
                    </w:rPr>
                    <w:t>36m×15m，</w:t>
                  </w:r>
                  <w:r>
                    <w:rPr>
                      <w:rFonts w:hint="default" w:ascii="Times New Roman" w:hAnsi="Times New Roman" w:cs="Times New Roman" w:eastAsiaTheme="minorEastAsia"/>
                      <w:b w:val="0"/>
                      <w:bCs/>
                      <w:color w:val="auto"/>
                      <w:kern w:val="2"/>
                      <w:sz w:val="21"/>
                      <w:szCs w:val="21"/>
                      <w:highlight w:val="none"/>
                      <w:u w:val="none"/>
                      <w:vertAlign w:val="baseline"/>
                      <w:lang w:val="en-US" w:eastAsia="zh-CN" w:bidi="ar-SA"/>
                    </w:rPr>
                    <w:t>主要存放各类物资材料、机修间（内设</w:t>
                  </w:r>
                  <w:r>
                    <w:rPr>
                      <w:rFonts w:hint="default" w:ascii="Times New Roman" w:hAnsi="Times New Roman" w:cs="Times New Roman" w:eastAsiaTheme="minorEastAsia"/>
                      <w:b w:val="0"/>
                      <w:bCs/>
                      <w:color w:val="auto"/>
                      <w:sz w:val="21"/>
                      <w:szCs w:val="21"/>
                      <w:highlight w:val="none"/>
                      <w:u w:val="none"/>
                      <w:lang w:val="en-US" w:eastAsia="zh-CN"/>
                    </w:rPr>
                    <w:t>危险废物</w:t>
                  </w:r>
                  <w:r>
                    <w:rPr>
                      <w:rFonts w:hint="default" w:ascii="Times New Roman" w:hAnsi="Times New Roman" w:cs="Times New Roman" w:eastAsiaTheme="minorEastAsia"/>
                      <w:b w:val="0"/>
                      <w:bCs/>
                      <w:color w:val="auto"/>
                      <w:kern w:val="2"/>
                      <w:sz w:val="21"/>
                      <w:szCs w:val="21"/>
                      <w:highlight w:val="none"/>
                      <w:u w:val="none"/>
                      <w:vertAlign w:val="baseline"/>
                      <w:lang w:val="en-US" w:eastAsia="zh-CN" w:bidi="ar-SA"/>
                    </w:rPr>
                    <w:t>暂存间）</w:t>
                  </w:r>
                </w:p>
              </w:tc>
              <w:tc>
                <w:tcPr>
                  <w:tcW w:w="1016" w:type="pct"/>
                  <w:tcBorders>
                    <w:tl2br w:val="nil"/>
                    <w:tr2bl w:val="nil"/>
                  </w:tcBorders>
                  <w:noWrap w:val="0"/>
                  <w:vAlign w:val="center"/>
                </w:tcPr>
                <w:p w14:paraId="06F48402">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113" w:rightChars="0"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eastAsia" w:ascii="Times New Roman" w:hAnsi="Times New Roman" w:cs="Times New Roman" w:eastAsiaTheme="minorEastAsia"/>
                      <w:b w:val="0"/>
                      <w:bCs/>
                      <w:color w:val="auto"/>
                      <w:kern w:val="0"/>
                      <w:sz w:val="21"/>
                      <w:szCs w:val="21"/>
                      <w:u w:val="none"/>
                      <w:lang w:val="en-US" w:eastAsia="zh-CN" w:bidi="ar-SA"/>
                    </w:rPr>
                    <w:t>厂区西北侧</w:t>
                  </w:r>
                </w:p>
              </w:tc>
            </w:tr>
            <w:tr w14:paraId="5B60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tcBorders>
                    <w:tl2br w:val="nil"/>
                    <w:tr2bl w:val="nil"/>
                  </w:tcBorders>
                  <w:noWrap w:val="0"/>
                  <w:vAlign w:val="center"/>
                </w:tcPr>
                <w:p w14:paraId="2D9C9E1A">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0" w:type="pct"/>
                  <w:tcBorders>
                    <w:tl2br w:val="nil"/>
                    <w:tr2bl w:val="nil"/>
                  </w:tcBorders>
                  <w:noWrap w:val="0"/>
                  <w:vAlign w:val="center"/>
                </w:tcPr>
                <w:p w14:paraId="78B669C4">
                  <w:pPr>
                    <w:contextualSpacing/>
                    <w:jc w:val="center"/>
                    <w:rPr>
                      <w:rFonts w:hint="default" w:ascii="Times New Roman" w:hAnsi="Times New Roman" w:cs="Times New Roman" w:eastAsiaTheme="minorEastAsia"/>
                      <w:b w:val="0"/>
                      <w:bCs/>
                      <w:color w:val="auto"/>
                      <w:sz w:val="21"/>
                      <w:szCs w:val="21"/>
                      <w:vertAlign w:val="baseline"/>
                      <w:lang w:val="en-US" w:eastAsia="zh-CN"/>
                    </w:rPr>
                  </w:pPr>
                  <w:r>
                    <w:rPr>
                      <w:rFonts w:hint="default" w:ascii="Times New Roman" w:hAnsi="Times New Roman" w:cs="Times New Roman" w:eastAsiaTheme="minorEastAsia"/>
                      <w:b w:val="0"/>
                      <w:bCs/>
                      <w:color w:val="auto"/>
                      <w:sz w:val="21"/>
                      <w:szCs w:val="21"/>
                      <w:vertAlign w:val="baseline"/>
                      <w:lang w:val="en-US" w:eastAsia="zh-CN"/>
                    </w:rPr>
                    <w:t>回用</w:t>
                  </w:r>
                </w:p>
                <w:p w14:paraId="2BA7FE7B">
                  <w:pPr>
                    <w:contextualSpacing/>
                    <w:jc w:val="center"/>
                    <w:rPr>
                      <w:rFonts w:hint="default" w:ascii="Times New Roman" w:hAnsi="Times New Roman" w:cs="Times New Roman" w:eastAsiaTheme="minorEastAsia"/>
                      <w:b w:val="0"/>
                      <w:bCs/>
                      <w:color w:val="auto"/>
                      <w:sz w:val="21"/>
                      <w:szCs w:val="21"/>
                      <w:vertAlign w:val="baseline"/>
                      <w:lang w:val="en-US" w:eastAsia="zh-CN"/>
                    </w:rPr>
                  </w:pPr>
                  <w:r>
                    <w:rPr>
                      <w:rFonts w:hint="default" w:ascii="Times New Roman" w:hAnsi="Times New Roman" w:cs="Times New Roman" w:eastAsiaTheme="minorEastAsia"/>
                      <w:b w:val="0"/>
                      <w:bCs/>
                      <w:color w:val="auto"/>
                      <w:sz w:val="21"/>
                      <w:szCs w:val="21"/>
                      <w:vertAlign w:val="baseline"/>
                      <w:lang w:val="en-US" w:eastAsia="zh-CN"/>
                    </w:rPr>
                    <w:t>水池</w:t>
                  </w:r>
                </w:p>
              </w:tc>
              <w:tc>
                <w:tcPr>
                  <w:tcW w:w="2941" w:type="pct"/>
                  <w:gridSpan w:val="2"/>
                  <w:tcBorders>
                    <w:tl2br w:val="nil"/>
                    <w:tr2bl w:val="nil"/>
                  </w:tcBorders>
                  <w:noWrap w:val="0"/>
                  <w:vAlign w:val="center"/>
                </w:tcPr>
                <w:p w14:paraId="0F4E7AFE">
                  <w:pPr>
                    <w:contextualSpacing/>
                    <w:jc w:val="center"/>
                    <w:rPr>
                      <w:rFonts w:hint="default" w:ascii="Times New Roman" w:hAnsi="Times New Roman" w:cs="Times New Roman" w:eastAsiaTheme="minorEastAsia"/>
                      <w:b w:val="0"/>
                      <w:bCs/>
                      <w:color w:val="auto"/>
                      <w:kern w:val="2"/>
                      <w:sz w:val="21"/>
                      <w:szCs w:val="21"/>
                      <w:u w:val="no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现有一座有效容积300m</w:t>
                  </w:r>
                  <w:r>
                    <w:rPr>
                      <w:rFonts w:hint="default" w:ascii="Times New Roman" w:hAnsi="Times New Roman" w:cs="Times New Roman" w:eastAsiaTheme="minorEastAsia"/>
                      <w:b w:val="0"/>
                      <w:bCs/>
                      <w:color w:val="auto"/>
                      <w:kern w:val="2"/>
                      <w:sz w:val="21"/>
                      <w:szCs w:val="21"/>
                      <w:u w:val="none"/>
                      <w:vertAlign w:val="superscript"/>
                      <w:lang w:val="en-US" w:eastAsia="zh-CN" w:bidi="ar-SA"/>
                    </w:rPr>
                    <w:t>3</w:t>
                  </w:r>
                  <w:r>
                    <w:rPr>
                      <w:rFonts w:hint="default" w:ascii="Times New Roman" w:hAnsi="Times New Roman" w:cs="Times New Roman" w:eastAsiaTheme="minorEastAsia"/>
                      <w:b w:val="0"/>
                      <w:bCs/>
                      <w:color w:val="auto"/>
                      <w:kern w:val="2"/>
                      <w:sz w:val="21"/>
                      <w:szCs w:val="21"/>
                      <w:u w:val="none"/>
                      <w:vertAlign w:val="baseline"/>
                      <w:lang w:val="en-US" w:eastAsia="zh-CN" w:bidi="ar-SA"/>
                    </w:rPr>
                    <w:t>；收集净水生产线产生的反冲洗水、应急排泥水溢流水，定期回生产线再利用</w:t>
                  </w:r>
                </w:p>
              </w:tc>
              <w:tc>
                <w:tcPr>
                  <w:tcW w:w="1016" w:type="pct"/>
                  <w:tcBorders>
                    <w:tl2br w:val="nil"/>
                    <w:tr2bl w:val="nil"/>
                  </w:tcBorders>
                  <w:noWrap w:val="0"/>
                  <w:vAlign w:val="center"/>
                </w:tcPr>
                <w:p w14:paraId="31CD9A6B">
                  <w:pPr>
                    <w:contextualSpacing/>
                    <w:jc w:val="center"/>
                    <w:rPr>
                      <w:rFonts w:hint="default" w:ascii="Times New Roman" w:hAnsi="Times New Roman" w:cs="Times New Roman" w:eastAsiaTheme="minorEastAsia"/>
                      <w:b w:val="0"/>
                      <w:bCs/>
                      <w:color w:val="auto"/>
                      <w:kern w:val="2"/>
                      <w:sz w:val="21"/>
                      <w:szCs w:val="21"/>
                      <w:u w:val="none"/>
                      <w:lang w:val="en-US" w:eastAsia="zh-CN" w:bidi="ar-SA"/>
                    </w:rPr>
                  </w:pPr>
                  <w:r>
                    <w:rPr>
                      <w:rFonts w:hint="default" w:ascii="Times New Roman" w:hAnsi="Times New Roman" w:cs="Times New Roman" w:eastAsiaTheme="minorEastAsia"/>
                      <w:b w:val="0"/>
                      <w:bCs/>
                      <w:color w:val="auto"/>
                      <w:kern w:val="2"/>
                      <w:sz w:val="21"/>
                      <w:szCs w:val="21"/>
                      <w:u w:val="none"/>
                      <w:lang w:val="en-US" w:eastAsia="zh-CN" w:bidi="ar-SA"/>
                    </w:rPr>
                    <w:t>预留建设一座有效容积800m</w:t>
                  </w:r>
                  <w:r>
                    <w:rPr>
                      <w:rFonts w:hint="default" w:ascii="Times New Roman" w:hAnsi="Times New Roman" w:cs="Times New Roman" w:eastAsiaTheme="minorEastAsia"/>
                      <w:b w:val="0"/>
                      <w:bCs/>
                      <w:color w:val="auto"/>
                      <w:kern w:val="2"/>
                      <w:sz w:val="21"/>
                      <w:szCs w:val="21"/>
                      <w:u w:val="none"/>
                      <w:vertAlign w:val="superscript"/>
                      <w:lang w:val="en-US" w:eastAsia="zh-CN" w:bidi="ar-SA"/>
                    </w:rPr>
                    <w:t>3</w:t>
                  </w:r>
                </w:p>
              </w:tc>
            </w:tr>
            <w:tr w14:paraId="0FC2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restart"/>
                  <w:tcBorders>
                    <w:tl2br w:val="nil"/>
                    <w:tr2bl w:val="nil"/>
                  </w:tcBorders>
                  <w:noWrap w:val="0"/>
                  <w:vAlign w:val="center"/>
                </w:tcPr>
                <w:p w14:paraId="421D4E97">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single"/>
                      <w:lang w:val="en-US" w:eastAsia="zh-CN"/>
                    </w:rPr>
                  </w:pPr>
                  <w:r>
                    <w:rPr>
                      <w:rFonts w:hint="eastAsia" w:ascii="Times New Roman" w:hAnsi="Times New Roman" w:cs="Times New Roman" w:eastAsiaTheme="minorEastAsia"/>
                      <w:b w:val="0"/>
                      <w:bCs/>
                      <w:color w:val="auto"/>
                      <w:sz w:val="21"/>
                      <w:szCs w:val="21"/>
                      <w:u w:val="single"/>
                      <w:lang w:val="en-US" w:eastAsia="zh-CN"/>
                    </w:rPr>
                    <w:t>储运工程</w:t>
                  </w:r>
                </w:p>
              </w:tc>
              <w:tc>
                <w:tcPr>
                  <w:tcW w:w="550" w:type="pct"/>
                  <w:tcBorders>
                    <w:tl2br w:val="nil"/>
                    <w:tr2bl w:val="nil"/>
                  </w:tcBorders>
                  <w:noWrap w:val="0"/>
                  <w:vAlign w:val="center"/>
                </w:tcPr>
                <w:p w14:paraId="65C374D4">
                  <w:pPr>
                    <w:contextualSpacing/>
                    <w:jc w:val="center"/>
                    <w:rPr>
                      <w:rFonts w:hint="eastAsia" w:cs="Times New Roman" w:eastAsiaTheme="minorEastAsia"/>
                      <w:b w:val="0"/>
                      <w:bCs/>
                      <w:color w:val="auto"/>
                      <w:sz w:val="21"/>
                      <w:szCs w:val="21"/>
                      <w:u w:val="single"/>
                      <w:vertAlign w:val="baseline"/>
                      <w:lang w:val="en-US" w:eastAsia="zh-CN"/>
                    </w:rPr>
                  </w:pPr>
                  <w:r>
                    <w:rPr>
                      <w:rFonts w:hint="eastAsia" w:cs="Times New Roman" w:eastAsiaTheme="minorEastAsia"/>
                      <w:b w:val="0"/>
                      <w:bCs/>
                      <w:color w:val="auto"/>
                      <w:sz w:val="21"/>
                      <w:szCs w:val="21"/>
                      <w:u w:val="single"/>
                      <w:vertAlign w:val="baseline"/>
                      <w:lang w:val="en-US" w:eastAsia="zh-CN"/>
                    </w:rPr>
                    <w:t>液氯</w:t>
                  </w:r>
                </w:p>
                <w:p w14:paraId="102E61C3">
                  <w:pPr>
                    <w:contextualSpacing/>
                    <w:jc w:val="center"/>
                    <w:rPr>
                      <w:rFonts w:hint="default" w:ascii="Times New Roman" w:hAnsi="Times New Roman" w:cs="Times New Roman" w:eastAsiaTheme="minorEastAsia"/>
                      <w:b w:val="0"/>
                      <w:bCs/>
                      <w:color w:val="auto"/>
                      <w:sz w:val="21"/>
                      <w:szCs w:val="21"/>
                      <w:u w:val="single"/>
                      <w:vertAlign w:val="baseline"/>
                      <w:lang w:val="en-US" w:eastAsia="zh-CN"/>
                    </w:rPr>
                  </w:pPr>
                  <w:r>
                    <w:rPr>
                      <w:rFonts w:hint="eastAsia" w:cs="Times New Roman" w:eastAsiaTheme="minorEastAsia"/>
                      <w:b w:val="0"/>
                      <w:bCs/>
                      <w:color w:val="auto"/>
                      <w:sz w:val="21"/>
                      <w:szCs w:val="21"/>
                      <w:u w:val="single"/>
                      <w:vertAlign w:val="baseline"/>
                      <w:lang w:val="en-US" w:eastAsia="zh-CN"/>
                    </w:rPr>
                    <w:t>储存</w:t>
                  </w:r>
                </w:p>
              </w:tc>
              <w:tc>
                <w:tcPr>
                  <w:tcW w:w="2941" w:type="pct"/>
                  <w:gridSpan w:val="2"/>
                  <w:tcBorders>
                    <w:tl2br w:val="nil"/>
                    <w:tr2bl w:val="nil"/>
                  </w:tcBorders>
                  <w:noWrap w:val="0"/>
                  <w:vAlign w:val="center"/>
                </w:tcPr>
                <w:p w14:paraId="7E4182B1">
                  <w:pPr>
                    <w:contextualSpacing/>
                    <w:jc w:val="center"/>
                    <w:rPr>
                      <w:rFonts w:hint="default" w:ascii="Times New Roman" w:hAnsi="Times New Roman" w:cs="Times New Roman" w:eastAsiaTheme="minorEastAsia"/>
                      <w:b w:val="0"/>
                      <w:bCs/>
                      <w:color w:val="auto"/>
                      <w:kern w:val="2"/>
                      <w:sz w:val="21"/>
                      <w:szCs w:val="21"/>
                      <w:u w:val="single"/>
                      <w:lang w:val="en-US" w:eastAsia="zh-CN" w:bidi="ar-SA"/>
                    </w:rPr>
                  </w:pPr>
                  <w:r>
                    <w:rPr>
                      <w:rFonts w:hint="eastAsia" w:cs="Times New Roman" w:eastAsiaTheme="minorEastAsia"/>
                      <w:b w:val="0"/>
                      <w:bCs/>
                      <w:color w:val="auto"/>
                      <w:kern w:val="2"/>
                      <w:sz w:val="21"/>
                      <w:szCs w:val="21"/>
                      <w:u w:val="single"/>
                      <w:lang w:val="en-US" w:eastAsia="zh-CN" w:bidi="ar-SA"/>
                    </w:rPr>
                    <w:t>在加氯间内南部设立液氯钢瓶存放区（</w:t>
                  </w:r>
                  <w:r>
                    <w:rPr>
                      <w:rFonts w:hint="default" w:ascii="Times New Roman" w:hAnsi="Times New Roman" w:cs="Times New Roman" w:eastAsiaTheme="minorEastAsia"/>
                      <w:b w:val="0"/>
                      <w:bCs/>
                      <w:color w:val="auto"/>
                      <w:kern w:val="2"/>
                      <w:sz w:val="21"/>
                      <w:szCs w:val="21"/>
                      <w:u w:val="single"/>
                      <w:lang w:val="en-US" w:eastAsia="zh-CN" w:bidi="ar-SA"/>
                    </w:rPr>
                    <w:t>占地40m</w:t>
                  </w:r>
                  <w:r>
                    <w:rPr>
                      <w:rFonts w:hint="default" w:ascii="Times New Roman" w:hAnsi="Times New Roman" w:cs="Times New Roman" w:eastAsiaTheme="minorEastAsia"/>
                      <w:b w:val="0"/>
                      <w:bCs/>
                      <w:color w:val="auto"/>
                      <w:kern w:val="2"/>
                      <w:sz w:val="21"/>
                      <w:szCs w:val="21"/>
                      <w:u w:val="single"/>
                      <w:vertAlign w:val="superscript"/>
                      <w:lang w:val="en-US" w:eastAsia="zh-CN" w:bidi="ar-SA"/>
                    </w:rPr>
                    <w:t>2</w:t>
                  </w:r>
                  <w:r>
                    <w:rPr>
                      <w:rFonts w:hint="eastAsia" w:cs="Times New Roman" w:eastAsiaTheme="minorEastAsia"/>
                      <w:b w:val="0"/>
                      <w:bCs/>
                      <w:color w:val="auto"/>
                      <w:kern w:val="2"/>
                      <w:sz w:val="21"/>
                      <w:szCs w:val="21"/>
                      <w:u w:val="single"/>
                      <w:lang w:val="en-US" w:eastAsia="zh-CN" w:bidi="ar-SA"/>
                    </w:rPr>
                    <w:t>、单层建筑）</w:t>
                  </w:r>
                  <w:r>
                    <w:rPr>
                      <w:rFonts w:hint="eastAsia" w:cs="Times New Roman" w:eastAsiaTheme="minorEastAsia"/>
                      <w:b w:val="0"/>
                      <w:bCs/>
                      <w:color w:val="auto"/>
                      <w:kern w:val="2"/>
                      <w:sz w:val="21"/>
                      <w:szCs w:val="21"/>
                      <w:u w:val="single"/>
                      <w:vertAlign w:val="baseline"/>
                      <w:lang w:val="en-US" w:eastAsia="zh-CN" w:bidi="ar-SA"/>
                    </w:rPr>
                    <w:t>、</w:t>
                  </w:r>
                  <w:r>
                    <w:rPr>
                      <w:rFonts w:hint="eastAsia" w:cs="Times New Roman" w:eastAsiaTheme="minorEastAsia"/>
                      <w:b w:val="0"/>
                      <w:bCs/>
                      <w:color w:val="auto"/>
                      <w:kern w:val="2"/>
                      <w:sz w:val="21"/>
                      <w:szCs w:val="21"/>
                      <w:u w:val="single"/>
                      <w:lang w:val="en-US" w:eastAsia="zh-CN" w:bidi="ar-SA"/>
                    </w:rPr>
                    <w:t>存放15个液氯钢瓶，电气设备防爆，远离火源、热源、居民区及易燃易爆物料</w:t>
                  </w:r>
                </w:p>
              </w:tc>
              <w:tc>
                <w:tcPr>
                  <w:tcW w:w="1016" w:type="pct"/>
                  <w:tcBorders>
                    <w:tl2br w:val="nil"/>
                    <w:tr2bl w:val="nil"/>
                  </w:tcBorders>
                  <w:noWrap w:val="0"/>
                  <w:vAlign w:val="center"/>
                </w:tcPr>
                <w:p w14:paraId="711ABCD8">
                  <w:pPr>
                    <w:contextualSpacing/>
                    <w:jc w:val="center"/>
                    <w:rPr>
                      <w:rFonts w:hint="default" w:ascii="Times New Roman" w:hAnsi="Times New Roman" w:cs="Times New Roman" w:eastAsiaTheme="minorEastAsia"/>
                      <w:b w:val="0"/>
                      <w:bCs/>
                      <w:color w:val="auto"/>
                      <w:kern w:val="2"/>
                      <w:sz w:val="21"/>
                      <w:szCs w:val="21"/>
                      <w:u w:val="single"/>
                      <w:lang w:val="en-US" w:eastAsia="zh-CN" w:bidi="ar-SA"/>
                    </w:rPr>
                  </w:pPr>
                  <w:r>
                    <w:rPr>
                      <w:rFonts w:hint="eastAsia" w:cs="Times New Roman" w:eastAsiaTheme="minorEastAsia"/>
                      <w:b w:val="0"/>
                      <w:bCs/>
                      <w:color w:val="auto"/>
                      <w:kern w:val="2"/>
                      <w:sz w:val="21"/>
                      <w:szCs w:val="21"/>
                      <w:u w:val="single"/>
                      <w:lang w:val="en-US" w:eastAsia="zh-CN" w:bidi="ar-SA"/>
                    </w:rPr>
                    <w:t>单个钢瓶存放期限不超过1个月</w:t>
                  </w:r>
                </w:p>
              </w:tc>
            </w:tr>
            <w:tr w14:paraId="63CB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tcBorders>
                    <w:tl2br w:val="nil"/>
                    <w:tr2bl w:val="nil"/>
                  </w:tcBorders>
                  <w:noWrap w:val="0"/>
                  <w:vAlign w:val="center"/>
                </w:tcPr>
                <w:p w14:paraId="541434A8">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eastAsia" w:ascii="Times New Roman" w:hAnsi="Times New Roman" w:cs="Times New Roman" w:eastAsiaTheme="minorEastAsia"/>
                      <w:b w:val="0"/>
                      <w:bCs/>
                      <w:color w:val="auto"/>
                      <w:sz w:val="21"/>
                      <w:szCs w:val="21"/>
                      <w:u w:val="single"/>
                      <w:lang w:val="en-US" w:eastAsia="zh-CN"/>
                    </w:rPr>
                  </w:pPr>
                </w:p>
              </w:tc>
              <w:tc>
                <w:tcPr>
                  <w:tcW w:w="550" w:type="pct"/>
                  <w:tcBorders>
                    <w:tl2br w:val="nil"/>
                    <w:tr2bl w:val="nil"/>
                  </w:tcBorders>
                  <w:noWrap w:val="0"/>
                  <w:vAlign w:val="center"/>
                </w:tcPr>
                <w:p w14:paraId="66BCE36E">
                  <w:pPr>
                    <w:contextualSpacing/>
                    <w:jc w:val="center"/>
                    <w:rPr>
                      <w:rFonts w:hint="eastAsia" w:cs="Times New Roman" w:eastAsiaTheme="minorEastAsia"/>
                      <w:b w:val="0"/>
                      <w:bCs/>
                      <w:color w:val="auto"/>
                      <w:sz w:val="21"/>
                      <w:szCs w:val="21"/>
                      <w:u w:val="single"/>
                      <w:vertAlign w:val="baseline"/>
                      <w:lang w:val="en-US" w:eastAsia="zh-CN"/>
                    </w:rPr>
                  </w:pPr>
                  <w:r>
                    <w:rPr>
                      <w:rFonts w:hint="eastAsia" w:cs="Times New Roman" w:eastAsiaTheme="minorEastAsia"/>
                      <w:b w:val="0"/>
                      <w:bCs/>
                      <w:color w:val="auto"/>
                      <w:sz w:val="21"/>
                      <w:szCs w:val="21"/>
                      <w:u w:val="single"/>
                      <w:vertAlign w:val="baseline"/>
                      <w:lang w:val="en-US" w:eastAsia="zh-CN"/>
                    </w:rPr>
                    <w:t>污泥</w:t>
                  </w:r>
                </w:p>
                <w:p w14:paraId="1ADE5201">
                  <w:pPr>
                    <w:contextualSpacing/>
                    <w:jc w:val="center"/>
                    <w:rPr>
                      <w:rFonts w:hint="default" w:ascii="Times New Roman" w:hAnsi="Times New Roman" w:cs="Times New Roman" w:eastAsiaTheme="minorEastAsia"/>
                      <w:b w:val="0"/>
                      <w:bCs/>
                      <w:color w:val="auto"/>
                      <w:sz w:val="21"/>
                      <w:szCs w:val="21"/>
                      <w:u w:val="single"/>
                      <w:vertAlign w:val="baseline"/>
                      <w:lang w:val="en-US" w:eastAsia="zh-CN"/>
                    </w:rPr>
                  </w:pPr>
                  <w:r>
                    <w:rPr>
                      <w:rFonts w:hint="eastAsia" w:cs="Times New Roman" w:eastAsiaTheme="minorEastAsia"/>
                      <w:b w:val="0"/>
                      <w:bCs/>
                      <w:color w:val="auto"/>
                      <w:sz w:val="21"/>
                      <w:szCs w:val="21"/>
                      <w:u w:val="single"/>
                      <w:vertAlign w:val="baseline"/>
                      <w:lang w:val="en-US" w:eastAsia="zh-CN"/>
                    </w:rPr>
                    <w:t>储运</w:t>
                  </w:r>
                </w:p>
              </w:tc>
              <w:tc>
                <w:tcPr>
                  <w:tcW w:w="2941" w:type="pct"/>
                  <w:gridSpan w:val="2"/>
                  <w:tcBorders>
                    <w:tl2br w:val="nil"/>
                    <w:tr2bl w:val="nil"/>
                  </w:tcBorders>
                  <w:noWrap w:val="0"/>
                  <w:vAlign w:val="center"/>
                </w:tcPr>
                <w:p w14:paraId="1AA313BE">
                  <w:pPr>
                    <w:contextualSpacing/>
                    <w:jc w:val="center"/>
                    <w:rPr>
                      <w:rFonts w:hint="default" w:ascii="Times New Roman" w:hAnsi="Times New Roman" w:cs="Times New Roman" w:eastAsiaTheme="minorEastAsia"/>
                      <w:b w:val="0"/>
                      <w:bCs/>
                      <w:color w:val="auto"/>
                      <w:kern w:val="2"/>
                      <w:sz w:val="21"/>
                      <w:szCs w:val="21"/>
                      <w:u w:val="single"/>
                      <w:lang w:val="en-US" w:eastAsia="zh-CN" w:bidi="ar-SA"/>
                    </w:rPr>
                  </w:pPr>
                  <w:r>
                    <w:rPr>
                      <w:rFonts w:hint="eastAsia" w:cs="Times New Roman" w:eastAsiaTheme="minorEastAsia"/>
                      <w:b w:val="0"/>
                      <w:bCs/>
                      <w:color w:val="auto"/>
                      <w:kern w:val="2"/>
                      <w:sz w:val="21"/>
                      <w:szCs w:val="21"/>
                      <w:u w:val="single"/>
                      <w:lang w:val="en-US" w:eastAsia="zh-CN" w:bidi="ar-SA"/>
                    </w:rPr>
                    <w:t>在排泥水处理系统的污泥处置间内设置占地100m</w:t>
                  </w:r>
                  <w:r>
                    <w:rPr>
                      <w:rFonts w:hint="eastAsia" w:cs="Times New Roman" w:eastAsiaTheme="minorEastAsia"/>
                      <w:b w:val="0"/>
                      <w:bCs/>
                      <w:color w:val="auto"/>
                      <w:kern w:val="2"/>
                      <w:sz w:val="21"/>
                      <w:szCs w:val="21"/>
                      <w:u w:val="single"/>
                      <w:vertAlign w:val="superscript"/>
                      <w:lang w:val="en-US" w:eastAsia="zh-CN" w:bidi="ar-SA"/>
                    </w:rPr>
                    <w:t>2</w:t>
                  </w:r>
                  <w:r>
                    <w:rPr>
                      <w:rFonts w:hint="eastAsia" w:cs="Times New Roman" w:eastAsiaTheme="minorEastAsia"/>
                      <w:b w:val="0"/>
                      <w:bCs/>
                      <w:color w:val="auto"/>
                      <w:kern w:val="2"/>
                      <w:sz w:val="21"/>
                      <w:szCs w:val="21"/>
                      <w:u w:val="single"/>
                      <w:lang w:val="en-US" w:eastAsia="zh-CN" w:bidi="ar-SA"/>
                    </w:rPr>
                    <w:t>的污泥堆放区</w:t>
                  </w:r>
                </w:p>
              </w:tc>
              <w:tc>
                <w:tcPr>
                  <w:tcW w:w="1016" w:type="pct"/>
                  <w:tcBorders>
                    <w:tl2br w:val="nil"/>
                    <w:tr2bl w:val="nil"/>
                  </w:tcBorders>
                  <w:noWrap w:val="0"/>
                  <w:vAlign w:val="center"/>
                </w:tcPr>
                <w:p w14:paraId="33CE136C">
                  <w:pPr>
                    <w:contextualSpacing/>
                    <w:jc w:val="center"/>
                    <w:rPr>
                      <w:rFonts w:hint="default" w:ascii="Times New Roman" w:hAnsi="Times New Roman" w:cs="Times New Roman" w:eastAsiaTheme="minorEastAsia"/>
                      <w:b w:val="0"/>
                      <w:bCs/>
                      <w:color w:val="auto"/>
                      <w:kern w:val="2"/>
                      <w:sz w:val="21"/>
                      <w:szCs w:val="21"/>
                      <w:u w:val="single"/>
                      <w:lang w:val="en-US" w:eastAsia="zh-CN" w:bidi="ar-SA"/>
                    </w:rPr>
                  </w:pPr>
                  <w:r>
                    <w:rPr>
                      <w:rFonts w:hint="eastAsia" w:cs="Times New Roman" w:eastAsiaTheme="minorEastAsia"/>
                      <w:b w:val="0"/>
                      <w:bCs/>
                      <w:color w:val="auto"/>
                      <w:kern w:val="2"/>
                      <w:sz w:val="21"/>
                      <w:szCs w:val="21"/>
                      <w:u w:val="single"/>
                      <w:lang w:val="en-US" w:eastAsia="zh-CN" w:bidi="ar-SA"/>
                    </w:rPr>
                    <w:t>泥饼做到日产日清</w:t>
                  </w:r>
                </w:p>
              </w:tc>
            </w:tr>
            <w:tr w14:paraId="29DF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restart"/>
                  <w:tcBorders>
                    <w:tl2br w:val="nil"/>
                    <w:tr2bl w:val="nil"/>
                  </w:tcBorders>
                  <w:noWrap w:val="0"/>
                  <w:vAlign w:val="center"/>
                </w:tcPr>
                <w:p w14:paraId="0A876909">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公用工程</w:t>
                  </w:r>
                </w:p>
              </w:tc>
              <w:tc>
                <w:tcPr>
                  <w:tcW w:w="550" w:type="pct"/>
                  <w:tcBorders>
                    <w:tl2br w:val="nil"/>
                    <w:tr2bl w:val="nil"/>
                  </w:tcBorders>
                  <w:noWrap w:val="0"/>
                  <w:vAlign w:val="center"/>
                </w:tcPr>
                <w:p w14:paraId="6A88BCAA">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供水</w:t>
                  </w:r>
                </w:p>
              </w:tc>
              <w:tc>
                <w:tcPr>
                  <w:tcW w:w="2941" w:type="pct"/>
                  <w:gridSpan w:val="2"/>
                  <w:tcBorders>
                    <w:tl2br w:val="nil"/>
                    <w:tr2bl w:val="nil"/>
                  </w:tcBorders>
                  <w:noWrap w:val="0"/>
                  <w:vAlign w:val="center"/>
                </w:tcPr>
                <w:p w14:paraId="20D623BF">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b w:val="0"/>
                      <w:bCs/>
                      <w:color w:val="auto"/>
                      <w:kern w:val="2"/>
                      <w:sz w:val="21"/>
                      <w:szCs w:val="21"/>
                      <w:lang w:val="en-US" w:eastAsia="zh-CN" w:bidi="ar-SA"/>
                    </w:rPr>
                  </w:pPr>
                  <w:r>
                    <w:rPr>
                      <w:rFonts w:hint="default" w:ascii="Times New Roman" w:hAnsi="Times New Roman" w:cs="Times New Roman" w:eastAsiaTheme="minorEastAsia"/>
                      <w:b w:val="0"/>
                      <w:bCs/>
                      <w:color w:val="auto"/>
                      <w:kern w:val="2"/>
                      <w:sz w:val="21"/>
                      <w:szCs w:val="21"/>
                      <w:lang w:val="en-US" w:eastAsia="zh-CN" w:bidi="ar-SA"/>
                    </w:rPr>
                    <w:t>由厂区清水池在出水管处设置一个旁通管至泵房，厂内给水由自用水泵房加压至各用水点</w:t>
                  </w:r>
                </w:p>
              </w:tc>
              <w:tc>
                <w:tcPr>
                  <w:tcW w:w="1016" w:type="pct"/>
                  <w:vMerge w:val="restart"/>
                  <w:tcBorders>
                    <w:tl2br w:val="nil"/>
                    <w:tr2bl w:val="nil"/>
                  </w:tcBorders>
                  <w:noWrap w:val="0"/>
                  <w:vAlign w:val="center"/>
                </w:tcPr>
                <w:p w14:paraId="7EF67B30">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w:t>
                  </w:r>
                </w:p>
              </w:tc>
            </w:tr>
            <w:tr w14:paraId="65E3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tcBorders>
                    <w:tl2br w:val="nil"/>
                    <w:tr2bl w:val="nil"/>
                  </w:tcBorders>
                  <w:noWrap w:val="0"/>
                  <w:vAlign w:val="center"/>
                </w:tcPr>
                <w:p w14:paraId="1A27899A">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0" w:type="pct"/>
                  <w:tcBorders>
                    <w:tl2br w:val="nil"/>
                    <w:tr2bl w:val="nil"/>
                  </w:tcBorders>
                  <w:noWrap w:val="0"/>
                  <w:vAlign w:val="center"/>
                </w:tcPr>
                <w:p w14:paraId="6CCDBDA3">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排水</w:t>
                  </w:r>
                </w:p>
              </w:tc>
              <w:tc>
                <w:tcPr>
                  <w:tcW w:w="2941" w:type="pct"/>
                  <w:gridSpan w:val="2"/>
                  <w:tcBorders>
                    <w:tl2br w:val="nil"/>
                    <w:tr2bl w:val="nil"/>
                  </w:tcBorders>
                  <w:noWrap w:val="0"/>
                  <w:vAlign w:val="center"/>
                </w:tcPr>
                <w:p w14:paraId="4C85C06F">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b w:val="0"/>
                      <w:bCs/>
                      <w:color w:val="auto"/>
                      <w:kern w:val="2"/>
                      <w:sz w:val="21"/>
                      <w:szCs w:val="21"/>
                      <w:lang w:val="en-US" w:eastAsia="zh-CN" w:bidi="ar-SA"/>
                    </w:rPr>
                  </w:pPr>
                  <w:r>
                    <w:rPr>
                      <w:rFonts w:hint="default" w:ascii="Times New Roman" w:hAnsi="Times New Roman" w:cs="Times New Roman" w:eastAsiaTheme="minorEastAsia"/>
                      <w:b w:val="0"/>
                      <w:bCs/>
                      <w:color w:val="auto"/>
                      <w:kern w:val="2"/>
                      <w:sz w:val="21"/>
                      <w:szCs w:val="21"/>
                      <w:lang w:val="en-US" w:eastAsia="zh-CN" w:bidi="ar-SA"/>
                    </w:rPr>
                    <w:t>厂区内部为雨污分流体制，雨水经厂区现有雨水明渠收集后接入市政雨水管网，厂区废水经收集预处理后接入市政污水管网</w:t>
                  </w:r>
                </w:p>
              </w:tc>
              <w:tc>
                <w:tcPr>
                  <w:tcW w:w="1016" w:type="pct"/>
                  <w:vMerge w:val="continue"/>
                  <w:tcBorders>
                    <w:tl2br w:val="nil"/>
                    <w:tr2bl w:val="nil"/>
                  </w:tcBorders>
                  <w:noWrap w:val="0"/>
                  <w:vAlign w:val="center"/>
                </w:tcPr>
                <w:p w14:paraId="3D3E5634">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p>
              </w:tc>
            </w:tr>
            <w:tr w14:paraId="0858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tcBorders>
                    <w:tl2br w:val="nil"/>
                    <w:tr2bl w:val="nil"/>
                  </w:tcBorders>
                  <w:noWrap w:val="0"/>
                  <w:vAlign w:val="center"/>
                </w:tcPr>
                <w:p w14:paraId="28D0A003">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0" w:type="pct"/>
                  <w:tcBorders>
                    <w:tl2br w:val="nil"/>
                    <w:tr2bl w:val="nil"/>
                  </w:tcBorders>
                  <w:noWrap w:val="0"/>
                  <w:vAlign w:val="center"/>
                </w:tcPr>
                <w:p w14:paraId="6F3A20F2">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供电</w:t>
                  </w:r>
                </w:p>
              </w:tc>
              <w:tc>
                <w:tcPr>
                  <w:tcW w:w="2941" w:type="pct"/>
                  <w:gridSpan w:val="2"/>
                  <w:tcBorders>
                    <w:tl2br w:val="nil"/>
                    <w:tr2bl w:val="nil"/>
                  </w:tcBorders>
                  <w:noWrap w:val="0"/>
                  <w:vAlign w:val="center"/>
                </w:tcPr>
                <w:p w14:paraId="31D42954">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highlight w:val="none"/>
                      <w:u w:val="none"/>
                      <w:lang w:val="en-US" w:eastAsia="zh-CN"/>
                    </w:rPr>
                  </w:pPr>
                  <w:r>
                    <w:rPr>
                      <w:rFonts w:hint="default" w:ascii="Times New Roman" w:hAnsi="Times New Roman" w:cs="Times New Roman" w:eastAsiaTheme="minorEastAsia"/>
                      <w:b w:val="0"/>
                      <w:bCs/>
                      <w:color w:val="auto"/>
                      <w:sz w:val="21"/>
                      <w:szCs w:val="21"/>
                      <w:highlight w:val="none"/>
                      <w:u w:val="none"/>
                      <w:lang w:val="en-US" w:eastAsia="zh-CN"/>
                    </w:rPr>
                    <w:t>由市政供电提供电源，厂区设置配电房、采用双回路供电系统，内部配置分配电系统</w:t>
                  </w:r>
                </w:p>
              </w:tc>
              <w:tc>
                <w:tcPr>
                  <w:tcW w:w="1016" w:type="pct"/>
                  <w:vMerge w:val="continue"/>
                  <w:tcBorders>
                    <w:tl2br w:val="nil"/>
                    <w:tr2bl w:val="nil"/>
                  </w:tcBorders>
                  <w:noWrap w:val="0"/>
                  <w:vAlign w:val="center"/>
                </w:tcPr>
                <w:p w14:paraId="2D065779">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r>
            <w:tr w14:paraId="4181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491" w:type="pct"/>
                  <w:vMerge w:val="restart"/>
                  <w:tcBorders>
                    <w:tl2br w:val="nil"/>
                    <w:tr2bl w:val="nil"/>
                  </w:tcBorders>
                  <w:noWrap w:val="0"/>
                  <w:vAlign w:val="center"/>
                </w:tcPr>
                <w:p w14:paraId="54489CCF">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环保工程</w:t>
                  </w:r>
                </w:p>
              </w:tc>
              <w:tc>
                <w:tcPr>
                  <w:tcW w:w="550" w:type="pct"/>
                  <w:tcBorders>
                    <w:tl2br w:val="nil"/>
                    <w:tr2bl w:val="nil"/>
                  </w:tcBorders>
                  <w:noWrap w:val="0"/>
                  <w:vAlign w:val="center"/>
                </w:tcPr>
                <w:p w14:paraId="7E115EEA">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r>
                    <w:rPr>
                      <w:rFonts w:hint="default" w:ascii="Times New Roman" w:hAnsi="Times New Roman" w:cs="Times New Roman" w:eastAsiaTheme="minorEastAsia"/>
                      <w:b w:val="0"/>
                      <w:bCs/>
                      <w:color w:val="auto"/>
                      <w:sz w:val="21"/>
                      <w:szCs w:val="21"/>
                      <w:u w:val="none"/>
                    </w:rPr>
                    <w:t>废水治理</w:t>
                  </w:r>
                </w:p>
              </w:tc>
              <w:tc>
                <w:tcPr>
                  <w:tcW w:w="2941" w:type="pct"/>
                  <w:gridSpan w:val="2"/>
                  <w:tcBorders>
                    <w:tl2br w:val="nil"/>
                    <w:tr2bl w:val="nil"/>
                  </w:tcBorders>
                  <w:shd w:val="clear" w:color="auto" w:fill="auto"/>
                  <w:noWrap w:val="0"/>
                  <w:vAlign w:val="center"/>
                </w:tcPr>
                <w:p w14:paraId="055BB1DE">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left"/>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kern w:val="0"/>
                      <w:sz w:val="21"/>
                      <w:szCs w:val="21"/>
                      <w:u w:val="none"/>
                      <w:lang w:val="en-US" w:eastAsia="zh-CN" w:bidi="ar-SA"/>
                    </w:rPr>
                    <w:t>厂区净水生产过程产生的反应沉淀池废水经排泥水处理后，转筛浓缩产</w:t>
                  </w:r>
                  <w:r>
                    <w:rPr>
                      <w:rFonts w:hint="eastAsia" w:ascii="Times New Roman" w:hAnsi="Times New Roman" w:cs="Times New Roman" w:eastAsiaTheme="minorEastAsia"/>
                      <w:b w:val="0"/>
                      <w:bCs/>
                      <w:color w:val="auto"/>
                      <w:kern w:val="0"/>
                      <w:sz w:val="21"/>
                      <w:szCs w:val="21"/>
                      <w:u w:val="none"/>
                      <w:lang w:val="en-US" w:eastAsia="zh-CN" w:bidi="ar-SA"/>
                    </w:rPr>
                    <w:t>生的</w:t>
                  </w:r>
                  <w:r>
                    <w:rPr>
                      <w:rFonts w:hint="default" w:ascii="Times New Roman" w:hAnsi="Times New Roman" w:cs="Times New Roman" w:eastAsiaTheme="minorEastAsia"/>
                      <w:b w:val="0"/>
                      <w:bCs/>
                      <w:color w:val="auto"/>
                      <w:kern w:val="0"/>
                      <w:sz w:val="21"/>
                      <w:szCs w:val="21"/>
                      <w:u w:val="none"/>
                      <w:lang w:val="en-US" w:eastAsia="zh-CN" w:bidi="ar-SA"/>
                    </w:rPr>
                    <w:t>滤液</w:t>
                  </w:r>
                  <w:r>
                    <w:rPr>
                      <w:rFonts w:hint="eastAsia" w:ascii="Times New Roman" w:hAnsi="Times New Roman" w:cs="Times New Roman" w:eastAsiaTheme="minorEastAsia"/>
                      <w:b w:val="0"/>
                      <w:bCs/>
                      <w:color w:val="auto"/>
                      <w:kern w:val="0"/>
                      <w:sz w:val="21"/>
                      <w:szCs w:val="21"/>
                      <w:u w:val="none"/>
                      <w:lang w:val="en-US" w:eastAsia="zh-CN" w:bidi="ar-SA"/>
                    </w:rPr>
                    <w:t>进入</w:t>
                  </w:r>
                  <w:r>
                    <w:rPr>
                      <w:rFonts w:hint="default" w:ascii="Times New Roman" w:hAnsi="Times New Roman" w:cs="Times New Roman" w:eastAsiaTheme="minorEastAsia"/>
                      <w:b w:val="0"/>
                      <w:bCs/>
                      <w:color w:val="auto"/>
                      <w:kern w:val="0"/>
                      <w:sz w:val="21"/>
                      <w:szCs w:val="21"/>
                      <w:u w:val="none"/>
                      <w:lang w:val="en-US" w:eastAsia="zh-CN" w:bidi="ar-SA"/>
                    </w:rPr>
                    <w:t>回收水池再利用净水生产回用、离心脱水产生的废水排入区域市政污水管网；滤池排放的反冲洗废水进收水池再利用净水生产回用</w:t>
                  </w:r>
                  <w:r>
                    <w:rPr>
                      <w:rFonts w:hint="default" w:ascii="Times New Roman" w:hAnsi="Times New Roman" w:cs="Times New Roman" w:eastAsiaTheme="minorEastAsia"/>
                      <w:b w:val="0"/>
                      <w:bCs/>
                      <w:color w:val="auto"/>
                      <w:sz w:val="21"/>
                      <w:szCs w:val="21"/>
                      <w:u w:val="none"/>
                      <w:lang w:val="en-US" w:eastAsia="zh-CN"/>
                    </w:rPr>
                    <w:t>；厂区职工</w:t>
                  </w:r>
                  <w:r>
                    <w:rPr>
                      <w:rFonts w:hint="default" w:ascii="Times New Roman" w:hAnsi="Times New Roman" w:cs="Times New Roman" w:eastAsiaTheme="minorEastAsia"/>
                      <w:b w:val="0"/>
                      <w:bCs/>
                      <w:color w:val="auto"/>
                      <w:sz w:val="21"/>
                      <w:szCs w:val="21"/>
                      <w:u w:val="none"/>
                    </w:rPr>
                    <w:t>生活</w:t>
                  </w:r>
                  <w:r>
                    <w:rPr>
                      <w:rFonts w:hint="default" w:ascii="Times New Roman" w:hAnsi="Times New Roman" w:cs="Times New Roman" w:eastAsiaTheme="minorEastAsia"/>
                      <w:b w:val="0"/>
                      <w:bCs/>
                      <w:color w:val="auto"/>
                      <w:sz w:val="21"/>
                      <w:szCs w:val="21"/>
                      <w:u w:val="none"/>
                      <w:lang w:val="en-US" w:eastAsia="zh-CN"/>
                    </w:rPr>
                    <w:t>污水进入厂区现有化粪池预处理后，通过厂区污水收集管网，外排区域市政污水收集管网，最终</w:t>
                  </w:r>
                  <w:r>
                    <w:rPr>
                      <w:rFonts w:hint="eastAsia" w:ascii="Times New Roman" w:hAnsi="Times New Roman" w:cs="Times New Roman" w:eastAsiaTheme="minorEastAsia"/>
                      <w:b w:val="0"/>
                      <w:bCs/>
                      <w:color w:val="auto"/>
                      <w:sz w:val="21"/>
                      <w:szCs w:val="21"/>
                      <w:u w:val="none"/>
                      <w:lang w:val="en-US" w:eastAsia="zh-CN"/>
                    </w:rPr>
                    <w:t>进入</w:t>
                  </w:r>
                  <w:r>
                    <w:rPr>
                      <w:rFonts w:hint="default" w:ascii="Times New Roman" w:hAnsi="Times New Roman" w:cs="Times New Roman" w:eastAsiaTheme="minorEastAsia"/>
                      <w:b w:val="0"/>
                      <w:bCs/>
                      <w:color w:val="auto"/>
                      <w:sz w:val="21"/>
                      <w:szCs w:val="21"/>
                      <w:u w:val="none"/>
                      <w:lang w:val="en-US" w:eastAsia="zh-CN"/>
                    </w:rPr>
                    <w:t>岳阳马壕水质净化中心进行深度处理</w:t>
                  </w:r>
                </w:p>
              </w:tc>
              <w:tc>
                <w:tcPr>
                  <w:tcW w:w="1016" w:type="pct"/>
                  <w:tcBorders>
                    <w:tl2br w:val="nil"/>
                    <w:tr2bl w:val="nil"/>
                  </w:tcBorders>
                  <w:noWrap w:val="0"/>
                  <w:vAlign w:val="center"/>
                </w:tcPr>
                <w:p w14:paraId="4ACB6456">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eastAsia" w:ascii="Times New Roman" w:hAnsi="Times New Roman" w:cs="Times New Roman" w:eastAsiaTheme="minorEastAsia"/>
                      <w:b w:val="0"/>
                      <w:bCs/>
                      <w:color w:val="auto"/>
                      <w:kern w:val="0"/>
                      <w:sz w:val="21"/>
                      <w:szCs w:val="21"/>
                      <w:u w:val="none"/>
                      <w:lang w:val="en-US" w:eastAsia="zh-CN" w:bidi="ar-SA"/>
                    </w:rPr>
                    <w:t>厂区设立废水总排口DW001在厂界北侧排水管道接入汴河园路的市政污水管网</w:t>
                  </w:r>
                </w:p>
              </w:tc>
            </w:tr>
            <w:tr w14:paraId="47FA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tcBorders>
                    <w:tl2br w:val="nil"/>
                    <w:tr2bl w:val="nil"/>
                  </w:tcBorders>
                  <w:noWrap w:val="0"/>
                  <w:vAlign w:val="center"/>
                </w:tcPr>
                <w:p w14:paraId="64637E37">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0" w:type="pct"/>
                  <w:tcBorders>
                    <w:tl2br w:val="nil"/>
                    <w:tr2bl w:val="nil"/>
                  </w:tcBorders>
                  <w:noWrap w:val="0"/>
                  <w:vAlign w:val="center"/>
                </w:tcPr>
                <w:p w14:paraId="5B5B15D5">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highlight w:val="none"/>
                      <w:u w:val="none"/>
                    </w:rPr>
                  </w:pPr>
                  <w:r>
                    <w:rPr>
                      <w:rFonts w:hint="default" w:ascii="Times New Roman" w:hAnsi="Times New Roman" w:cs="Times New Roman" w:eastAsiaTheme="minorEastAsia"/>
                      <w:b w:val="0"/>
                      <w:bCs/>
                      <w:color w:val="auto"/>
                      <w:sz w:val="21"/>
                      <w:szCs w:val="21"/>
                      <w:highlight w:val="none"/>
                      <w:u w:val="none"/>
                    </w:rPr>
                    <w:t>废气治理</w:t>
                  </w:r>
                </w:p>
              </w:tc>
              <w:tc>
                <w:tcPr>
                  <w:tcW w:w="2941" w:type="pct"/>
                  <w:gridSpan w:val="2"/>
                  <w:tcBorders>
                    <w:tl2br w:val="nil"/>
                    <w:tr2bl w:val="nil"/>
                  </w:tcBorders>
                  <w:noWrap w:val="0"/>
                  <w:vAlign w:val="center"/>
                </w:tcPr>
                <w:p w14:paraId="598A9072">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left"/>
                    <w:rPr>
                      <w:rFonts w:hint="default" w:ascii="Times New Roman" w:hAnsi="Times New Roman" w:cs="Times New Roman" w:eastAsiaTheme="minorEastAsia"/>
                      <w:b w:val="0"/>
                      <w:bCs/>
                      <w:color w:val="auto"/>
                      <w:sz w:val="21"/>
                      <w:szCs w:val="21"/>
                      <w:highlight w:val="none"/>
                      <w:u w:val="none"/>
                      <w:lang w:val="en-US" w:eastAsia="zh-CN"/>
                    </w:rPr>
                  </w:pPr>
                  <w:r>
                    <w:rPr>
                      <w:rFonts w:hint="default" w:ascii="Times New Roman" w:hAnsi="Times New Roman" w:cs="Times New Roman" w:eastAsiaTheme="minorEastAsia"/>
                      <w:b w:val="0"/>
                      <w:bCs/>
                      <w:color w:val="auto"/>
                      <w:sz w:val="21"/>
                      <w:szCs w:val="21"/>
                      <w:highlight w:val="none"/>
                      <w:u w:val="none"/>
                      <w:lang w:val="en-US" w:eastAsia="zh-CN"/>
                    </w:rPr>
                    <w:t>排泥水处理系统的</w:t>
                  </w:r>
                  <w:r>
                    <w:rPr>
                      <w:rFonts w:hint="default" w:ascii="Times New Roman" w:hAnsi="Times New Roman" w:cs="Times New Roman" w:eastAsiaTheme="minorEastAsia"/>
                      <w:b w:val="0"/>
                      <w:bCs/>
                      <w:color w:val="auto"/>
                      <w:sz w:val="21"/>
                      <w:szCs w:val="21"/>
                      <w:highlight w:val="none"/>
                      <w:u w:val="none"/>
                    </w:rPr>
                    <w:t>污泥</w:t>
                  </w:r>
                  <w:r>
                    <w:rPr>
                      <w:rFonts w:hint="default" w:ascii="Times New Roman" w:hAnsi="Times New Roman" w:cs="Times New Roman" w:eastAsiaTheme="minorEastAsia"/>
                      <w:b w:val="0"/>
                      <w:bCs/>
                      <w:color w:val="auto"/>
                      <w:sz w:val="21"/>
                      <w:szCs w:val="21"/>
                      <w:highlight w:val="none"/>
                      <w:u w:val="none"/>
                      <w:lang w:val="en-US" w:eastAsia="zh-CN"/>
                    </w:rPr>
                    <w:t>处理</w:t>
                  </w:r>
                  <w:r>
                    <w:rPr>
                      <w:rFonts w:hint="default" w:ascii="Times New Roman" w:hAnsi="Times New Roman" w:cs="Times New Roman" w:eastAsiaTheme="minorEastAsia"/>
                      <w:b w:val="0"/>
                      <w:bCs/>
                      <w:color w:val="auto"/>
                      <w:sz w:val="21"/>
                      <w:szCs w:val="21"/>
                      <w:highlight w:val="none"/>
                      <w:u w:val="none"/>
                    </w:rPr>
                    <w:t>间为密闭式，</w:t>
                  </w:r>
                  <w:r>
                    <w:rPr>
                      <w:rFonts w:hint="default" w:ascii="Times New Roman" w:hAnsi="Times New Roman" w:cs="Times New Roman" w:eastAsiaTheme="minorEastAsia"/>
                      <w:b w:val="0"/>
                      <w:bCs/>
                      <w:color w:val="auto"/>
                      <w:sz w:val="21"/>
                      <w:szCs w:val="21"/>
                      <w:highlight w:val="none"/>
                      <w:u w:val="none"/>
                      <w:lang w:val="en-US" w:eastAsia="zh-CN"/>
                    </w:rPr>
                    <w:t>内部存放浓缩污泥的贮泥池为</w:t>
                  </w:r>
                  <w:r>
                    <w:rPr>
                      <w:rFonts w:hint="default" w:ascii="Times New Roman" w:hAnsi="Times New Roman" w:cs="Times New Roman" w:eastAsiaTheme="minorEastAsia"/>
                      <w:b w:val="0"/>
                      <w:bCs/>
                      <w:color w:val="auto"/>
                      <w:sz w:val="21"/>
                      <w:szCs w:val="21"/>
                      <w:highlight w:val="none"/>
                      <w:u w:val="none"/>
                    </w:rPr>
                    <w:t>密闭式，</w:t>
                  </w:r>
                  <w:r>
                    <w:rPr>
                      <w:rFonts w:hint="default" w:ascii="Times New Roman" w:hAnsi="Times New Roman" w:cs="Times New Roman" w:eastAsiaTheme="minorEastAsia"/>
                      <w:b w:val="0"/>
                      <w:bCs/>
                      <w:color w:val="auto"/>
                      <w:sz w:val="21"/>
                      <w:szCs w:val="21"/>
                      <w:highlight w:val="none"/>
                      <w:u w:val="none"/>
                      <w:lang w:val="en-US" w:eastAsia="zh-CN"/>
                    </w:rPr>
                    <w:t>干化污泥在车间内专用堆放区暂存；少量逸散污泥臭气经厂区</w:t>
                  </w:r>
                  <w:r>
                    <w:rPr>
                      <w:rFonts w:hint="default" w:ascii="Times New Roman" w:hAnsi="Times New Roman" w:cs="Times New Roman" w:eastAsiaTheme="minorEastAsia"/>
                      <w:b w:val="0"/>
                      <w:bCs/>
                      <w:color w:val="auto"/>
                      <w:sz w:val="21"/>
                      <w:szCs w:val="21"/>
                      <w:highlight w:val="none"/>
                      <w:u w:val="none"/>
                    </w:rPr>
                    <w:t>绿化吸收、自然通风</w:t>
                  </w:r>
                  <w:r>
                    <w:rPr>
                      <w:rFonts w:hint="default" w:ascii="Times New Roman" w:hAnsi="Times New Roman" w:cs="Times New Roman" w:eastAsiaTheme="minorEastAsia"/>
                      <w:b w:val="0"/>
                      <w:bCs/>
                      <w:color w:val="auto"/>
                      <w:sz w:val="21"/>
                      <w:szCs w:val="21"/>
                      <w:highlight w:val="none"/>
                      <w:u w:val="none"/>
                      <w:lang w:val="en-US" w:eastAsia="zh-CN"/>
                    </w:rPr>
                    <w:t>逸散</w:t>
                  </w:r>
                </w:p>
                <w:p w14:paraId="4968B2E9">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left"/>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加药间设置通风换气系统，加氯间</w:t>
                  </w:r>
                  <w:r>
                    <w:rPr>
                      <w:rFonts w:hint="eastAsia" w:ascii="Times New Roman" w:hAnsi="Times New Roman" w:cs="Times New Roman" w:eastAsiaTheme="minorEastAsia"/>
                      <w:color w:val="auto"/>
                      <w:lang w:val="en-US" w:eastAsia="zh-CN"/>
                    </w:rPr>
                    <w:t>设置强排风系统、</w:t>
                  </w:r>
                  <w:r>
                    <w:rPr>
                      <w:rFonts w:hint="default" w:ascii="Times New Roman" w:hAnsi="Times New Roman" w:cs="Times New Roman" w:eastAsiaTheme="minorEastAsia"/>
                      <w:color w:val="auto"/>
                      <w:lang w:val="en-US" w:eastAsia="zh-CN"/>
                    </w:rPr>
                    <w:t>安装氯气</w:t>
                  </w:r>
                  <w:r>
                    <w:rPr>
                      <w:rFonts w:hint="eastAsia" w:ascii="Times New Roman" w:hAnsi="Times New Roman" w:cs="Times New Roman" w:eastAsiaTheme="minorEastAsia"/>
                      <w:color w:val="auto"/>
                      <w:lang w:val="en-US" w:eastAsia="zh-CN"/>
                    </w:rPr>
                    <w:t>报警</w:t>
                  </w:r>
                  <w:r>
                    <w:rPr>
                      <w:rFonts w:hint="default" w:ascii="Times New Roman" w:hAnsi="Times New Roman" w:cs="Times New Roman" w:eastAsiaTheme="minorEastAsia"/>
                      <w:color w:val="auto"/>
                      <w:lang w:val="en-US" w:eastAsia="zh-CN"/>
                    </w:rPr>
                    <w:t>检测仪</w:t>
                  </w:r>
                  <w:r>
                    <w:rPr>
                      <w:rFonts w:hint="eastAsia" w:ascii="Times New Roman" w:hAnsi="Times New Roman" w:cs="Times New Roman" w:eastAsiaTheme="minorEastAsia"/>
                      <w:color w:val="auto"/>
                      <w:lang w:val="en-US" w:eastAsia="zh-CN"/>
                    </w:rPr>
                    <w:t>、</w:t>
                  </w:r>
                  <w:r>
                    <w:rPr>
                      <w:rFonts w:hint="default" w:ascii="Times New Roman" w:hAnsi="Times New Roman" w:cs="Times New Roman" w:eastAsiaTheme="minorEastAsia"/>
                      <w:color w:val="auto"/>
                      <w:lang w:val="en-US" w:eastAsia="zh-CN"/>
                    </w:rPr>
                    <w:t>配套漏氯吸收安全装置（</w:t>
                  </w:r>
                  <w:r>
                    <w:rPr>
                      <w:rFonts w:hint="eastAsia" w:ascii="Times New Roman" w:hAnsi="Times New Roman" w:cs="Times New Roman" w:eastAsiaTheme="minorEastAsia"/>
                      <w:color w:val="auto"/>
                      <w:lang w:val="en-US" w:eastAsia="zh-CN"/>
                    </w:rPr>
                    <w:t>更换氯气钢瓶和</w:t>
                  </w:r>
                  <w:r>
                    <w:rPr>
                      <w:rFonts w:hint="default" w:ascii="Times New Roman" w:hAnsi="Times New Roman" w:cs="Times New Roman" w:eastAsiaTheme="minorEastAsia"/>
                      <w:color w:val="auto"/>
                      <w:lang w:val="en-US" w:eastAsia="zh-CN"/>
                    </w:rPr>
                    <w:t>事故状态</w:t>
                  </w:r>
                  <w:r>
                    <w:rPr>
                      <w:rFonts w:hint="eastAsia" w:ascii="Times New Roman" w:hAnsi="Times New Roman" w:cs="Times New Roman" w:eastAsiaTheme="minorEastAsia"/>
                      <w:color w:val="auto"/>
                      <w:lang w:val="en-US" w:eastAsia="zh-CN"/>
                    </w:rPr>
                    <w:t>下触发</w:t>
                  </w:r>
                  <w:r>
                    <w:rPr>
                      <w:rFonts w:hint="default" w:ascii="Times New Roman" w:hAnsi="Times New Roman" w:cs="Times New Roman" w:eastAsiaTheme="minorEastAsia"/>
                      <w:color w:val="auto"/>
                      <w:lang w:val="en-US" w:eastAsia="zh-CN"/>
                    </w:rPr>
                    <w:t>启用）</w:t>
                  </w:r>
                </w:p>
              </w:tc>
              <w:tc>
                <w:tcPr>
                  <w:tcW w:w="1016" w:type="pct"/>
                  <w:tcBorders>
                    <w:tl2br w:val="nil"/>
                    <w:tr2bl w:val="nil"/>
                  </w:tcBorders>
                  <w:noWrap w:val="0"/>
                  <w:vAlign w:val="center"/>
                </w:tcPr>
                <w:p w14:paraId="473B0198">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lang w:val="en-US" w:eastAsia="zh-CN"/>
                    </w:rPr>
                  </w:pPr>
                  <w:r>
                    <w:rPr>
                      <w:rFonts w:hint="default" w:ascii="Times New Roman" w:hAnsi="Times New Roman" w:cs="Times New Roman" w:eastAsiaTheme="minorEastAsia"/>
                      <w:b w:val="0"/>
                      <w:bCs/>
                      <w:color w:val="auto"/>
                      <w:sz w:val="21"/>
                      <w:szCs w:val="21"/>
                      <w:u w:val="none"/>
                      <w:lang w:val="en-US" w:eastAsia="zh-CN"/>
                    </w:rPr>
                    <w:t>/</w:t>
                  </w:r>
                </w:p>
              </w:tc>
            </w:tr>
            <w:tr w14:paraId="3973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1" w:type="pct"/>
                  <w:vMerge w:val="continue"/>
                  <w:tcBorders>
                    <w:tl2br w:val="nil"/>
                    <w:tr2bl w:val="nil"/>
                  </w:tcBorders>
                  <w:noWrap w:val="0"/>
                  <w:vAlign w:val="center"/>
                </w:tcPr>
                <w:p w14:paraId="381709BD">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0" w:type="pct"/>
                  <w:tcBorders>
                    <w:tl2br w:val="nil"/>
                    <w:tr2bl w:val="nil"/>
                  </w:tcBorders>
                  <w:shd w:val="clear" w:color="auto" w:fill="auto"/>
                  <w:noWrap w:val="0"/>
                  <w:vAlign w:val="center"/>
                </w:tcPr>
                <w:p w14:paraId="7505DE97">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113" w:rightChars="0"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rPr>
                    <w:t>噪声治理</w:t>
                  </w:r>
                </w:p>
              </w:tc>
              <w:tc>
                <w:tcPr>
                  <w:tcW w:w="2941" w:type="pct"/>
                  <w:gridSpan w:val="2"/>
                  <w:tcBorders>
                    <w:tl2br w:val="nil"/>
                    <w:tr2bl w:val="nil"/>
                  </w:tcBorders>
                  <w:shd w:val="clear" w:color="auto" w:fill="auto"/>
                  <w:noWrap w:val="0"/>
                  <w:vAlign w:val="center"/>
                </w:tcPr>
                <w:p w14:paraId="30FEA067">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113" w:rightChars="0" w:firstLine="0" w:firstLineChars="0"/>
                    <w:jc w:val="left"/>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rPr>
                    <w:t>设备选用先进低噪声设备，对主要泵类、设备设施进行设备基础减振、隔声等措施</w:t>
                  </w:r>
                </w:p>
              </w:tc>
              <w:tc>
                <w:tcPr>
                  <w:tcW w:w="1016" w:type="pct"/>
                  <w:tcBorders>
                    <w:tl2br w:val="nil"/>
                    <w:tr2bl w:val="nil"/>
                  </w:tcBorders>
                  <w:noWrap w:val="0"/>
                  <w:vAlign w:val="center"/>
                </w:tcPr>
                <w:p w14:paraId="4B85812B">
                  <w:pPr>
                    <w:keepNext w:val="0"/>
                    <w:keepLines w:val="0"/>
                    <w:pageBreakBefore w:val="0"/>
                    <w:widowControl w:val="0"/>
                    <w:kinsoku/>
                    <w:wordWrap/>
                    <w:overflowPunct/>
                    <w:topLinePunct w:val="0"/>
                    <w:autoSpaceDE/>
                    <w:autoSpaceDN/>
                    <w:bidi w:val="0"/>
                    <w:adjustRightInd w:val="0"/>
                    <w:snapToGrid w:val="0"/>
                    <w:ind w:firstLine="0" w:firstLineChars="0"/>
                    <w:jc w:val="center"/>
                    <w:rPr>
                      <w:rFonts w:hint="eastAsia" w:ascii="Times New Roman" w:hAnsi="Times New Roman" w:cs="Times New Roman" w:eastAsiaTheme="minorEastAsia"/>
                      <w:b w:val="0"/>
                      <w:bCs/>
                      <w:color w:val="auto"/>
                      <w:sz w:val="21"/>
                      <w:szCs w:val="21"/>
                      <w:u w:val="none"/>
                      <w:lang w:val="en-US" w:eastAsia="zh-CN"/>
                    </w:rPr>
                  </w:pPr>
                  <w:r>
                    <w:rPr>
                      <w:rFonts w:hint="eastAsia" w:cs="Times New Roman" w:eastAsiaTheme="minorEastAsia"/>
                      <w:b w:val="0"/>
                      <w:bCs/>
                      <w:color w:val="auto"/>
                      <w:sz w:val="21"/>
                      <w:szCs w:val="21"/>
                      <w:u w:val="none"/>
                      <w:lang w:val="en-US" w:eastAsia="zh-CN"/>
                    </w:rPr>
                    <w:t>/</w:t>
                  </w:r>
                </w:p>
              </w:tc>
            </w:tr>
            <w:tr w14:paraId="3219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1" w:type="pct"/>
                  <w:vMerge w:val="continue"/>
                  <w:tcBorders>
                    <w:tl2br w:val="nil"/>
                    <w:tr2bl w:val="nil"/>
                  </w:tcBorders>
                  <w:noWrap w:val="0"/>
                  <w:vAlign w:val="center"/>
                </w:tcPr>
                <w:p w14:paraId="41714A73">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0" w:type="pct"/>
                  <w:tcBorders>
                    <w:tl2br w:val="nil"/>
                    <w:tr2bl w:val="nil"/>
                  </w:tcBorders>
                  <w:shd w:val="clear" w:color="auto" w:fill="auto"/>
                  <w:noWrap w:val="0"/>
                  <w:vAlign w:val="center"/>
                </w:tcPr>
                <w:p w14:paraId="09C8EDB4">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113" w:rightChars="0" w:firstLine="0" w:firstLineChars="0"/>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rPr>
                    <w:t>固废治理</w:t>
                  </w:r>
                </w:p>
              </w:tc>
              <w:tc>
                <w:tcPr>
                  <w:tcW w:w="2941" w:type="pct"/>
                  <w:gridSpan w:val="2"/>
                  <w:tcBorders>
                    <w:tl2br w:val="nil"/>
                    <w:tr2bl w:val="nil"/>
                  </w:tcBorders>
                  <w:shd w:val="clear" w:color="auto" w:fill="auto"/>
                  <w:noWrap w:val="0"/>
                  <w:vAlign w:val="center"/>
                </w:tcPr>
                <w:p w14:paraId="1A7BFE97">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left"/>
                    <w:rPr>
                      <w:rFonts w:hint="default" w:ascii="Times New Roman" w:hAnsi="Times New Roman" w:cs="Times New Roman" w:eastAsiaTheme="minorEastAsia"/>
                      <w:b w:val="0"/>
                      <w:bCs/>
                      <w:color w:val="auto"/>
                      <w:sz w:val="21"/>
                      <w:szCs w:val="21"/>
                      <w:u w:val="none"/>
                      <w:lang w:eastAsia="zh-CN"/>
                    </w:rPr>
                  </w:pPr>
                  <w:r>
                    <w:rPr>
                      <w:rFonts w:hint="default" w:ascii="Times New Roman" w:hAnsi="Times New Roman" w:cs="Times New Roman" w:eastAsiaTheme="minorEastAsia"/>
                      <w:b w:val="0"/>
                      <w:bCs/>
                      <w:color w:val="auto"/>
                      <w:sz w:val="21"/>
                      <w:szCs w:val="21"/>
                      <w:u w:val="none"/>
                    </w:rPr>
                    <w:t>厂区已设置若干生活垃圾收集桶，</w:t>
                  </w:r>
                  <w:r>
                    <w:rPr>
                      <w:rFonts w:hint="default" w:ascii="Times New Roman" w:hAnsi="Times New Roman" w:cs="Times New Roman" w:eastAsiaTheme="minorEastAsia"/>
                      <w:b w:val="0"/>
                      <w:bCs/>
                      <w:color w:val="auto"/>
                      <w:sz w:val="21"/>
                      <w:szCs w:val="21"/>
                      <w:u w:val="none"/>
                      <w:lang w:val="en-US" w:eastAsia="zh-CN"/>
                    </w:rPr>
                    <w:t>分类</w:t>
                  </w:r>
                  <w:r>
                    <w:rPr>
                      <w:rFonts w:hint="default" w:ascii="Times New Roman" w:hAnsi="Times New Roman" w:cs="Times New Roman" w:eastAsiaTheme="minorEastAsia"/>
                      <w:b w:val="0"/>
                      <w:bCs/>
                      <w:color w:val="auto"/>
                      <w:sz w:val="21"/>
                      <w:szCs w:val="21"/>
                      <w:u w:val="none"/>
                    </w:rPr>
                    <w:t>收集厂区内生活垃圾</w:t>
                  </w:r>
                  <w:r>
                    <w:rPr>
                      <w:rFonts w:hint="default" w:ascii="Times New Roman" w:hAnsi="Times New Roman" w:cs="Times New Roman" w:eastAsiaTheme="minorEastAsia"/>
                      <w:b w:val="0"/>
                      <w:bCs/>
                      <w:color w:val="auto"/>
                      <w:sz w:val="21"/>
                      <w:szCs w:val="21"/>
                      <w:u w:val="none"/>
                      <w:lang w:eastAsia="zh-CN"/>
                    </w:rPr>
                    <w:t>；</w:t>
                  </w:r>
                  <w:r>
                    <w:rPr>
                      <w:rFonts w:hint="default" w:ascii="Times New Roman" w:hAnsi="Times New Roman" w:cs="Times New Roman" w:eastAsiaTheme="minorEastAsia"/>
                      <w:b w:val="0"/>
                      <w:bCs/>
                      <w:color w:val="auto"/>
                      <w:sz w:val="21"/>
                      <w:szCs w:val="21"/>
                      <w:u w:val="none"/>
                      <w:lang w:val="en-US" w:eastAsia="zh-CN"/>
                    </w:rPr>
                    <w:t>排泥水处理过</w:t>
                  </w:r>
                  <w:r>
                    <w:rPr>
                      <w:rFonts w:hint="eastAsia" w:ascii="Times New Roman" w:hAnsi="Times New Roman" w:cs="Times New Roman" w:eastAsiaTheme="minorEastAsia"/>
                      <w:b w:val="0"/>
                      <w:bCs/>
                      <w:color w:val="auto"/>
                      <w:sz w:val="21"/>
                      <w:szCs w:val="21"/>
                      <w:u w:val="none"/>
                      <w:lang w:val="en-US" w:eastAsia="zh-CN"/>
                    </w:rPr>
                    <w:t>程中</w:t>
                  </w:r>
                  <w:r>
                    <w:rPr>
                      <w:rFonts w:hint="default" w:ascii="Times New Roman" w:hAnsi="Times New Roman" w:cs="Times New Roman" w:eastAsiaTheme="minorEastAsia"/>
                      <w:b w:val="0"/>
                      <w:bCs/>
                      <w:color w:val="auto"/>
                      <w:sz w:val="21"/>
                      <w:szCs w:val="21"/>
                      <w:u w:val="none"/>
                      <w:lang w:val="en-US" w:eastAsia="zh-CN"/>
                    </w:rPr>
                    <w:t>产生的</w:t>
                  </w:r>
                  <w:r>
                    <w:rPr>
                      <w:rFonts w:hint="default" w:ascii="Times New Roman" w:hAnsi="Times New Roman" w:cs="Times New Roman" w:eastAsiaTheme="minorEastAsia"/>
                      <w:b w:val="0"/>
                      <w:bCs/>
                      <w:color w:val="auto"/>
                      <w:sz w:val="21"/>
                      <w:szCs w:val="21"/>
                      <w:u w:val="none"/>
                      <w:lang w:eastAsia="zh-CN"/>
                    </w:rPr>
                    <w:t>污泥</w:t>
                  </w:r>
                  <w:r>
                    <w:rPr>
                      <w:rFonts w:hint="eastAsia" w:ascii="Times New Roman" w:hAnsi="Times New Roman" w:cs="Times New Roman" w:eastAsiaTheme="minorEastAsia"/>
                      <w:b w:val="0"/>
                      <w:bCs/>
                      <w:color w:val="auto"/>
                      <w:sz w:val="21"/>
                      <w:szCs w:val="21"/>
                      <w:u w:val="none"/>
                      <w:lang w:val="en-US" w:eastAsia="zh-CN"/>
                    </w:rPr>
                    <w:t>泥饼</w:t>
                  </w:r>
                  <w:r>
                    <w:rPr>
                      <w:rFonts w:hint="default" w:ascii="Times New Roman" w:hAnsi="Times New Roman" w:cs="Times New Roman" w:eastAsiaTheme="minorEastAsia"/>
                      <w:b w:val="0"/>
                      <w:bCs/>
                      <w:color w:val="auto"/>
                      <w:sz w:val="21"/>
                      <w:szCs w:val="21"/>
                      <w:u w:val="none"/>
                      <w:lang w:val="en-US" w:eastAsia="zh-CN"/>
                    </w:rPr>
                    <w:t>在</w:t>
                  </w:r>
                  <w:r>
                    <w:rPr>
                      <w:rFonts w:hint="eastAsia" w:ascii="Times New Roman" w:hAnsi="Times New Roman" w:cs="Times New Roman" w:eastAsiaTheme="minorEastAsia"/>
                      <w:b w:val="0"/>
                      <w:bCs/>
                      <w:color w:val="auto"/>
                      <w:sz w:val="21"/>
                      <w:szCs w:val="21"/>
                      <w:u w:val="none"/>
                      <w:lang w:val="en-US" w:eastAsia="zh-CN"/>
                    </w:rPr>
                    <w:t>污泥</w:t>
                  </w:r>
                  <w:r>
                    <w:rPr>
                      <w:rFonts w:hint="default" w:ascii="Times New Roman" w:hAnsi="Times New Roman" w:cs="Times New Roman" w:eastAsiaTheme="minorEastAsia"/>
                      <w:b w:val="0"/>
                      <w:bCs/>
                      <w:color w:val="auto"/>
                      <w:sz w:val="21"/>
                      <w:szCs w:val="21"/>
                      <w:u w:val="none"/>
                      <w:lang w:val="en-US" w:eastAsia="zh-CN"/>
                    </w:rPr>
                    <w:t>处理间</w:t>
                  </w:r>
                  <w:r>
                    <w:rPr>
                      <w:rFonts w:hint="eastAsia" w:ascii="Times New Roman" w:hAnsi="Times New Roman" w:cs="Times New Roman" w:eastAsiaTheme="minorEastAsia"/>
                      <w:b w:val="0"/>
                      <w:bCs/>
                      <w:color w:val="auto"/>
                      <w:sz w:val="21"/>
                      <w:szCs w:val="21"/>
                      <w:u w:val="none"/>
                      <w:lang w:val="en-US" w:eastAsia="zh-CN"/>
                    </w:rPr>
                    <w:t>内</w:t>
                  </w:r>
                  <w:r>
                    <w:rPr>
                      <w:rFonts w:hint="default" w:ascii="Times New Roman" w:hAnsi="Times New Roman" w:cs="Times New Roman" w:eastAsiaTheme="minorEastAsia"/>
                      <w:b w:val="0"/>
                      <w:bCs/>
                      <w:color w:val="auto"/>
                      <w:sz w:val="21"/>
                      <w:szCs w:val="21"/>
                      <w:u w:val="none"/>
                      <w:lang w:val="en-US" w:eastAsia="zh-CN"/>
                    </w:rPr>
                    <w:t>设置一处堆放区，自然晾干后定期</w:t>
                  </w:r>
                  <w:r>
                    <w:rPr>
                      <w:rFonts w:hint="default" w:ascii="Times New Roman" w:hAnsi="Times New Roman" w:cs="Times New Roman" w:eastAsiaTheme="minorEastAsia"/>
                      <w:b w:val="0"/>
                      <w:bCs/>
                      <w:color w:val="auto"/>
                      <w:sz w:val="21"/>
                      <w:szCs w:val="21"/>
                      <w:u w:val="none"/>
                      <w:lang w:eastAsia="zh-CN"/>
                    </w:rPr>
                    <w:t>委托</w:t>
                  </w:r>
                  <w:r>
                    <w:rPr>
                      <w:rFonts w:hint="default" w:ascii="Times New Roman" w:hAnsi="Times New Roman" w:cs="Times New Roman" w:eastAsiaTheme="minorEastAsia"/>
                      <w:b w:val="0"/>
                      <w:bCs/>
                      <w:color w:val="auto"/>
                      <w:sz w:val="21"/>
                      <w:szCs w:val="21"/>
                      <w:u w:val="none"/>
                      <w:lang w:val="en-US" w:eastAsia="zh-CN"/>
                    </w:rPr>
                    <w:t>环卫部门统一</w:t>
                  </w:r>
                  <w:r>
                    <w:rPr>
                      <w:rFonts w:hint="default" w:ascii="Times New Roman" w:hAnsi="Times New Roman" w:cs="Times New Roman" w:eastAsiaTheme="minorEastAsia"/>
                      <w:b w:val="0"/>
                      <w:bCs/>
                      <w:color w:val="auto"/>
                      <w:sz w:val="21"/>
                      <w:szCs w:val="21"/>
                      <w:u w:val="none"/>
                      <w:lang w:eastAsia="zh-CN"/>
                    </w:rPr>
                    <w:t>清运</w:t>
                  </w:r>
                  <w:r>
                    <w:rPr>
                      <w:rFonts w:hint="default" w:ascii="Times New Roman" w:hAnsi="Times New Roman" w:cs="Times New Roman" w:eastAsiaTheme="minorEastAsia"/>
                      <w:b w:val="0"/>
                      <w:bCs/>
                      <w:color w:val="auto"/>
                      <w:sz w:val="21"/>
                      <w:szCs w:val="21"/>
                      <w:u w:val="none"/>
                      <w:lang w:val="en-US" w:eastAsia="zh-CN"/>
                    </w:rPr>
                    <w:t>合理</w:t>
                  </w:r>
                  <w:r>
                    <w:rPr>
                      <w:rFonts w:hint="default" w:ascii="Times New Roman" w:hAnsi="Times New Roman" w:cs="Times New Roman" w:eastAsiaTheme="minorEastAsia"/>
                      <w:b w:val="0"/>
                      <w:bCs/>
                      <w:color w:val="auto"/>
                      <w:sz w:val="21"/>
                      <w:szCs w:val="21"/>
                      <w:u w:val="none"/>
                      <w:lang w:eastAsia="zh-CN"/>
                    </w:rPr>
                    <w:t>处置</w:t>
                  </w:r>
                </w:p>
                <w:p w14:paraId="7E8A13E7">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113" w:rightChars="0" w:firstLine="0" w:firstLineChars="0"/>
                    <w:jc w:val="left"/>
                    <w:rPr>
                      <w:rFonts w:hint="default" w:ascii="Times New Roman" w:hAnsi="Times New Roman" w:cs="Times New Roman" w:eastAsiaTheme="minorEastAsia"/>
                      <w:b w:val="0"/>
                      <w:bCs/>
                      <w:color w:val="auto"/>
                      <w:kern w:val="0"/>
                      <w:sz w:val="21"/>
                      <w:szCs w:val="21"/>
                      <w:u w:val="none"/>
                      <w:lang w:val="en-US" w:eastAsia="zh-CN" w:bidi="ar-SA"/>
                    </w:rPr>
                  </w:pPr>
                  <w:r>
                    <w:rPr>
                      <w:rFonts w:hint="default" w:ascii="Times New Roman" w:hAnsi="Times New Roman" w:cs="Times New Roman" w:eastAsiaTheme="minorEastAsia"/>
                      <w:b w:val="0"/>
                      <w:bCs/>
                      <w:color w:val="auto"/>
                      <w:sz w:val="21"/>
                      <w:szCs w:val="21"/>
                      <w:u w:val="none"/>
                    </w:rPr>
                    <w:t>危险废物</w:t>
                  </w:r>
                  <w:r>
                    <w:rPr>
                      <w:rFonts w:hint="default" w:ascii="Times New Roman" w:hAnsi="Times New Roman" w:cs="Times New Roman" w:eastAsiaTheme="minorEastAsia"/>
                      <w:b w:val="0"/>
                      <w:bCs/>
                      <w:color w:val="auto"/>
                      <w:sz w:val="21"/>
                      <w:szCs w:val="21"/>
                      <w:u w:val="none"/>
                      <w:lang w:val="en-US" w:eastAsia="zh-CN"/>
                    </w:rPr>
                    <w:t>在</w:t>
                  </w:r>
                  <w:r>
                    <w:rPr>
                      <w:rFonts w:hint="default" w:ascii="Times New Roman" w:hAnsi="Times New Roman" w:cs="Times New Roman" w:eastAsiaTheme="minorEastAsia"/>
                      <w:b w:val="0"/>
                      <w:bCs/>
                      <w:color w:val="auto"/>
                      <w:sz w:val="21"/>
                      <w:szCs w:val="21"/>
                      <w:u w:val="none"/>
                    </w:rPr>
                    <w:t>厂区</w:t>
                  </w:r>
                  <w:r>
                    <w:rPr>
                      <w:rFonts w:hint="default" w:ascii="Times New Roman" w:hAnsi="Times New Roman" w:cs="Times New Roman" w:eastAsiaTheme="minorEastAsia"/>
                      <w:b w:val="0"/>
                      <w:bCs/>
                      <w:color w:val="auto"/>
                      <w:sz w:val="21"/>
                      <w:szCs w:val="21"/>
                      <w:u w:val="none"/>
                      <w:lang w:val="en-US" w:eastAsia="zh-CN"/>
                    </w:rPr>
                    <w:t>自建</w:t>
                  </w:r>
                  <w:r>
                    <w:rPr>
                      <w:rFonts w:hint="default" w:ascii="Times New Roman" w:hAnsi="Times New Roman" w:cs="Times New Roman" w:eastAsiaTheme="minorEastAsia"/>
                      <w:b w:val="0"/>
                      <w:bCs/>
                      <w:color w:val="auto"/>
                      <w:sz w:val="21"/>
                      <w:szCs w:val="21"/>
                      <w:u w:val="none"/>
                    </w:rPr>
                    <w:t>危险废物暂存</w:t>
                  </w:r>
                  <w:r>
                    <w:rPr>
                      <w:rFonts w:hint="default" w:ascii="Times New Roman" w:hAnsi="Times New Roman" w:cs="Times New Roman" w:eastAsiaTheme="minorEastAsia"/>
                      <w:b w:val="0"/>
                      <w:bCs/>
                      <w:color w:val="auto"/>
                      <w:sz w:val="21"/>
                      <w:szCs w:val="21"/>
                      <w:u w:val="none"/>
                      <w:lang w:val="en-US" w:eastAsia="zh-CN"/>
                    </w:rPr>
                    <w:t>库</w:t>
                  </w:r>
                  <w:r>
                    <w:rPr>
                      <w:rFonts w:hint="eastAsia" w:ascii="Times New Roman" w:hAnsi="Times New Roman" w:cs="Times New Roman" w:eastAsiaTheme="minorEastAsia"/>
                      <w:b w:val="0"/>
                      <w:bCs/>
                      <w:color w:val="auto"/>
                      <w:sz w:val="21"/>
                      <w:szCs w:val="21"/>
                      <w:u w:val="none"/>
                      <w:lang w:val="en-US" w:eastAsia="zh-CN"/>
                    </w:rPr>
                    <w:t>（本次要求建设）</w:t>
                  </w:r>
                  <w:r>
                    <w:rPr>
                      <w:rFonts w:hint="default" w:ascii="Times New Roman" w:hAnsi="Times New Roman" w:cs="Times New Roman" w:eastAsiaTheme="minorEastAsia"/>
                      <w:b w:val="0"/>
                      <w:bCs/>
                      <w:color w:val="auto"/>
                      <w:sz w:val="21"/>
                      <w:szCs w:val="21"/>
                      <w:u w:val="none"/>
                      <w:lang w:val="en-US" w:eastAsia="zh-CN"/>
                    </w:rPr>
                    <w:t>暂存</w:t>
                  </w:r>
                  <w:r>
                    <w:rPr>
                      <w:rFonts w:hint="default" w:ascii="Times New Roman" w:hAnsi="Times New Roman" w:cs="Times New Roman" w:eastAsiaTheme="minorEastAsia"/>
                      <w:b w:val="0"/>
                      <w:bCs/>
                      <w:color w:val="auto"/>
                      <w:sz w:val="21"/>
                      <w:szCs w:val="21"/>
                      <w:u w:val="none"/>
                    </w:rPr>
                    <w:t>，</w:t>
                  </w:r>
                  <w:r>
                    <w:rPr>
                      <w:rFonts w:hint="default" w:ascii="Times New Roman" w:hAnsi="Times New Roman" w:cs="Times New Roman" w:eastAsiaTheme="minorEastAsia"/>
                      <w:b w:val="0"/>
                      <w:bCs/>
                      <w:color w:val="auto"/>
                      <w:sz w:val="21"/>
                      <w:szCs w:val="21"/>
                      <w:u w:val="none"/>
                      <w:lang w:val="en-US" w:eastAsia="zh-CN"/>
                    </w:rPr>
                    <w:t>定期交由有资质单位安全转移处置</w:t>
                  </w:r>
                </w:p>
              </w:tc>
              <w:tc>
                <w:tcPr>
                  <w:tcW w:w="1016" w:type="pct"/>
                  <w:tcBorders>
                    <w:tl2br w:val="nil"/>
                    <w:tr2bl w:val="nil"/>
                  </w:tcBorders>
                  <w:shd w:val="clear" w:color="auto" w:fill="auto"/>
                  <w:noWrap w:val="0"/>
                  <w:vAlign w:val="center"/>
                </w:tcPr>
                <w:p w14:paraId="3972B9EE">
                  <w:pPr>
                    <w:keepNext w:val="0"/>
                    <w:keepLines w:val="0"/>
                    <w:pageBreakBefore w:val="0"/>
                    <w:widowControl w:val="0"/>
                    <w:kinsoku/>
                    <w:wordWrap/>
                    <w:overflowPunct/>
                    <w:topLinePunct w:val="0"/>
                    <w:autoSpaceDE/>
                    <w:autoSpaceDN/>
                    <w:bidi w:val="0"/>
                    <w:adjustRightInd w:val="0"/>
                    <w:snapToGrid w:val="0"/>
                    <w:ind w:firstLine="0" w:firstLineChars="0"/>
                    <w:jc w:val="center"/>
                    <w:rPr>
                      <w:rFonts w:hint="eastAsia" w:ascii="Times New Roman" w:hAnsi="Times New Roman" w:cs="Times New Roman" w:eastAsiaTheme="minorEastAsia"/>
                      <w:b w:val="0"/>
                      <w:bCs/>
                      <w:color w:val="auto"/>
                      <w:kern w:val="2"/>
                      <w:sz w:val="21"/>
                      <w:szCs w:val="21"/>
                      <w:highlight w:val="none"/>
                      <w:u w:val="none"/>
                      <w:lang w:val="en-US" w:eastAsia="zh-CN" w:bidi="ar-SA"/>
                    </w:rPr>
                  </w:pPr>
                  <w:r>
                    <w:rPr>
                      <w:rFonts w:hint="default" w:ascii="Times New Roman" w:hAnsi="Times New Roman" w:cs="Times New Roman" w:eastAsiaTheme="minorEastAsia"/>
                      <w:b w:val="0"/>
                      <w:bCs/>
                      <w:color w:val="auto"/>
                      <w:sz w:val="21"/>
                      <w:szCs w:val="21"/>
                      <w:highlight w:val="none"/>
                      <w:u w:val="none"/>
                      <w:lang w:val="en-US" w:eastAsia="zh-CN"/>
                    </w:rPr>
                    <w:t>本次整改要求在库房机修间旁设立一处占地5m</w:t>
                  </w:r>
                  <w:r>
                    <w:rPr>
                      <w:rFonts w:hint="default" w:ascii="Times New Roman" w:hAnsi="Times New Roman" w:cs="Times New Roman" w:eastAsiaTheme="minorEastAsia"/>
                      <w:b w:val="0"/>
                      <w:bCs/>
                      <w:color w:val="auto"/>
                      <w:sz w:val="21"/>
                      <w:szCs w:val="21"/>
                      <w:highlight w:val="none"/>
                      <w:u w:val="none"/>
                      <w:vertAlign w:val="superscript"/>
                      <w:lang w:val="en-US" w:eastAsia="zh-CN"/>
                    </w:rPr>
                    <w:t>2</w:t>
                  </w:r>
                  <w:r>
                    <w:rPr>
                      <w:rFonts w:hint="default" w:ascii="Times New Roman" w:hAnsi="Times New Roman" w:cs="Times New Roman" w:eastAsiaTheme="minorEastAsia"/>
                      <w:b w:val="0"/>
                      <w:bCs/>
                      <w:color w:val="auto"/>
                      <w:sz w:val="21"/>
                      <w:szCs w:val="21"/>
                      <w:highlight w:val="none"/>
                      <w:u w:val="none"/>
                      <w:lang w:val="en-US" w:eastAsia="zh-CN"/>
                    </w:rPr>
                    <w:t>的危险废物暂存间</w:t>
                  </w:r>
                </w:p>
              </w:tc>
            </w:tr>
            <w:tr w14:paraId="3A5B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tcBorders>
                    <w:tl2br w:val="nil"/>
                    <w:tr2bl w:val="nil"/>
                  </w:tcBorders>
                  <w:noWrap w:val="0"/>
                  <w:vAlign w:val="center"/>
                </w:tcPr>
                <w:p w14:paraId="60BB15C2">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u w:val="none"/>
                    </w:rPr>
                  </w:pPr>
                </w:p>
              </w:tc>
              <w:tc>
                <w:tcPr>
                  <w:tcW w:w="550" w:type="pct"/>
                  <w:tcBorders>
                    <w:tl2br w:val="nil"/>
                    <w:tr2bl w:val="nil"/>
                  </w:tcBorders>
                  <w:noWrap w:val="0"/>
                  <w:vAlign w:val="center"/>
                </w:tcPr>
                <w:p w14:paraId="75B2376C">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rPr>
                      <w:rFonts w:hint="default" w:ascii="Times New Roman" w:hAnsi="Times New Roman" w:cs="Times New Roman" w:eastAsiaTheme="minorEastAsia"/>
                      <w:b w:val="0"/>
                      <w:bCs/>
                      <w:color w:val="auto"/>
                      <w:sz w:val="21"/>
                      <w:szCs w:val="21"/>
                      <w:highlight w:val="none"/>
                      <w:u w:val="single"/>
                      <w:lang w:val="en-US" w:eastAsia="zh-CN"/>
                    </w:rPr>
                  </w:pPr>
                  <w:r>
                    <w:rPr>
                      <w:rFonts w:hint="eastAsia" w:ascii="Times New Roman" w:hAnsi="Times New Roman" w:cs="Times New Roman" w:eastAsiaTheme="minorEastAsia"/>
                      <w:b w:val="0"/>
                      <w:bCs/>
                      <w:color w:val="auto"/>
                      <w:sz w:val="21"/>
                      <w:szCs w:val="21"/>
                      <w:highlight w:val="none"/>
                      <w:u w:val="single"/>
                      <w:lang w:val="en-US" w:eastAsia="zh-CN"/>
                    </w:rPr>
                    <w:t>环境风险防范</w:t>
                  </w:r>
                </w:p>
              </w:tc>
              <w:tc>
                <w:tcPr>
                  <w:tcW w:w="2941" w:type="pct"/>
                  <w:gridSpan w:val="2"/>
                  <w:tcBorders>
                    <w:tl2br w:val="nil"/>
                    <w:tr2bl w:val="nil"/>
                  </w:tcBorders>
                  <w:noWrap w:val="0"/>
                  <w:vAlign w:val="center"/>
                </w:tcPr>
                <w:p w14:paraId="3179258F">
                  <w:pPr>
                    <w:pStyle w:val="4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left"/>
                    <w:rPr>
                      <w:rFonts w:hint="eastAsia" w:ascii="Times New Roman" w:hAnsi="Times New Roman" w:cs="Times New Roman" w:eastAsiaTheme="minorEastAsia"/>
                      <w:b w:val="0"/>
                      <w:bCs/>
                      <w:color w:val="auto"/>
                      <w:sz w:val="21"/>
                      <w:szCs w:val="21"/>
                      <w:u w:val="single"/>
                      <w:lang w:eastAsia="zh-CN"/>
                    </w:rPr>
                  </w:pPr>
                  <w:r>
                    <w:rPr>
                      <w:rFonts w:hint="eastAsia" w:ascii="Times New Roman" w:hAnsi="Times New Roman" w:cs="Times New Roman" w:eastAsiaTheme="minorEastAsia"/>
                      <w:b w:val="0"/>
                      <w:bCs/>
                      <w:color w:val="auto"/>
                      <w:sz w:val="21"/>
                      <w:szCs w:val="21"/>
                      <w:u w:val="single"/>
                      <w:lang w:val="en-US" w:eastAsia="zh-CN"/>
                    </w:rPr>
                    <w:t>①</w:t>
                  </w:r>
                  <w:r>
                    <w:rPr>
                      <w:rFonts w:hint="default" w:ascii="Times New Roman" w:hAnsi="Times New Roman" w:cs="Times New Roman" w:eastAsiaTheme="minorEastAsia"/>
                      <w:b w:val="0"/>
                      <w:bCs/>
                      <w:color w:val="auto"/>
                      <w:sz w:val="21"/>
                      <w:szCs w:val="21"/>
                      <w:u w:val="single"/>
                    </w:rPr>
                    <w:t>液氯管道的使用应符合压力管道的有关规定</w:t>
                  </w:r>
                  <w:r>
                    <w:rPr>
                      <w:rFonts w:hint="eastAsia" w:ascii="Times New Roman" w:hAnsi="Times New Roman" w:cs="Times New Roman" w:eastAsiaTheme="minorEastAsia"/>
                      <w:b w:val="0"/>
                      <w:bCs/>
                      <w:color w:val="auto"/>
                      <w:sz w:val="21"/>
                      <w:szCs w:val="21"/>
                      <w:u w:val="single"/>
                      <w:lang w:eastAsia="zh-CN"/>
                    </w:rPr>
                    <w:t>，使用液氯气瓶应执行气瓶的有关安全规定；</w:t>
                  </w:r>
                  <w:r>
                    <w:rPr>
                      <w:rFonts w:hint="eastAsia" w:ascii="Times New Roman" w:hAnsi="Times New Roman" w:cs="Times New Roman" w:eastAsiaTheme="minorEastAsia"/>
                      <w:b w:val="0"/>
                      <w:bCs/>
                      <w:color w:val="auto"/>
                      <w:sz w:val="21"/>
                      <w:szCs w:val="21"/>
                      <w:u w:val="single"/>
                      <w:lang w:val="en-US" w:eastAsia="zh-CN"/>
                    </w:rPr>
                    <w:t>相应</w:t>
                  </w:r>
                  <w:r>
                    <w:rPr>
                      <w:rFonts w:hint="default" w:ascii="Times New Roman" w:hAnsi="Times New Roman" w:cs="Times New Roman" w:eastAsiaTheme="minorEastAsia"/>
                      <w:b w:val="0"/>
                      <w:bCs/>
                      <w:color w:val="auto"/>
                      <w:sz w:val="21"/>
                      <w:szCs w:val="21"/>
                      <w:u w:val="single"/>
                    </w:rPr>
                    <w:t>危险化学品作业</w:t>
                  </w:r>
                  <w:r>
                    <w:rPr>
                      <w:rFonts w:hint="eastAsia" w:ascii="Times New Roman" w:hAnsi="Times New Roman" w:cs="Times New Roman" w:eastAsiaTheme="minorEastAsia"/>
                      <w:b w:val="0"/>
                      <w:bCs/>
                      <w:color w:val="auto"/>
                      <w:sz w:val="21"/>
                      <w:szCs w:val="21"/>
                      <w:u w:val="single"/>
                      <w:lang w:val="en-US" w:eastAsia="zh-CN"/>
                    </w:rPr>
                    <w:t>储存和使用</w:t>
                  </w:r>
                  <w:r>
                    <w:rPr>
                      <w:rFonts w:hint="default" w:ascii="Times New Roman" w:hAnsi="Times New Roman" w:cs="Times New Roman" w:eastAsiaTheme="minorEastAsia"/>
                      <w:b w:val="0"/>
                      <w:bCs/>
                      <w:color w:val="auto"/>
                      <w:sz w:val="21"/>
                      <w:szCs w:val="21"/>
                      <w:u w:val="single"/>
                    </w:rPr>
                    <w:t>场所配备常备抢修器材和防护用品，加氯间、加药间内</w:t>
                  </w:r>
                  <w:r>
                    <w:rPr>
                      <w:rFonts w:hint="eastAsia" w:ascii="Times New Roman" w:hAnsi="Times New Roman" w:cs="Times New Roman" w:eastAsiaTheme="minorEastAsia"/>
                      <w:b w:val="0"/>
                      <w:bCs/>
                      <w:color w:val="auto"/>
                      <w:sz w:val="21"/>
                      <w:szCs w:val="21"/>
                      <w:u w:val="single"/>
                      <w:lang w:val="en-US" w:eastAsia="zh-CN"/>
                    </w:rPr>
                    <w:t>各</w:t>
                  </w:r>
                  <w:r>
                    <w:rPr>
                      <w:rFonts w:hint="default" w:ascii="Times New Roman" w:hAnsi="Times New Roman" w:cs="Times New Roman" w:eastAsiaTheme="minorEastAsia"/>
                      <w:b w:val="0"/>
                      <w:bCs/>
                      <w:color w:val="auto"/>
                      <w:sz w:val="21"/>
                      <w:szCs w:val="21"/>
                      <w:u w:val="single"/>
                    </w:rPr>
                    <w:t>设置应急物资柜</w:t>
                  </w:r>
                  <w:r>
                    <w:rPr>
                      <w:rFonts w:hint="eastAsia" w:ascii="Times New Roman" w:hAnsi="Times New Roman" w:cs="Times New Roman" w:eastAsiaTheme="minorEastAsia"/>
                      <w:b w:val="0"/>
                      <w:bCs/>
                      <w:color w:val="auto"/>
                      <w:sz w:val="21"/>
                      <w:szCs w:val="21"/>
                      <w:u w:val="single"/>
                      <w:lang w:eastAsia="zh-CN"/>
                    </w:rPr>
                    <w:t>；</w:t>
                  </w:r>
                </w:p>
                <w:p w14:paraId="2776839E">
                  <w:pPr>
                    <w:rPr>
                      <w:rFonts w:hint="default"/>
                      <w:u w:val="single"/>
                    </w:rPr>
                  </w:pPr>
                  <w:r>
                    <w:rPr>
                      <w:rFonts w:hint="eastAsia"/>
                      <w:u w:val="single"/>
                      <w:lang w:val="en-US" w:eastAsia="zh-CN"/>
                    </w:rPr>
                    <w:t>②</w:t>
                  </w:r>
                  <w:r>
                    <w:rPr>
                      <w:rFonts w:hint="default"/>
                      <w:u w:val="single"/>
                      <w:lang w:val="en-US" w:eastAsia="zh-CN"/>
                    </w:rPr>
                    <w:t>加氯间设置固定式氯气泄漏检测报警仪系统，同时设置配套强制吸风和漏氯安全吸收处理装置</w:t>
                  </w:r>
                  <w:r>
                    <w:rPr>
                      <w:rFonts w:hint="eastAsia"/>
                      <w:u w:val="single"/>
                      <w:lang w:val="en-US" w:eastAsia="zh-CN"/>
                    </w:rPr>
                    <w:t>；</w:t>
                  </w:r>
                </w:p>
                <w:p w14:paraId="553627CB">
                  <w:pPr>
                    <w:rPr>
                      <w:rFonts w:hint="eastAsia"/>
                      <w:u w:val="single"/>
                      <w:lang w:val="en-US" w:eastAsia="zh-CN"/>
                    </w:rPr>
                  </w:pPr>
                  <w:r>
                    <w:rPr>
                      <w:rFonts w:hint="eastAsia"/>
                      <w:u w:val="single"/>
                      <w:lang w:val="en-US" w:eastAsia="zh-CN"/>
                    </w:rPr>
                    <w:t>③</w:t>
                  </w:r>
                  <w:r>
                    <w:rPr>
                      <w:rFonts w:hint="default"/>
                      <w:u w:val="single"/>
                      <w:lang w:val="en-US" w:eastAsia="zh-CN"/>
                    </w:rPr>
                    <w:t>氯气瓶存放间设置事故应急水池（有效容积5×2×2.8m）</w:t>
                  </w:r>
                  <w:r>
                    <w:rPr>
                      <w:rFonts w:hint="eastAsia"/>
                      <w:u w:val="single"/>
                      <w:lang w:val="en-US" w:eastAsia="zh-CN"/>
                    </w:rPr>
                    <w:t>，并</w:t>
                  </w:r>
                  <w:r>
                    <w:rPr>
                      <w:rFonts w:hint="default"/>
                      <w:u w:val="single"/>
                      <w:lang w:val="en-US" w:eastAsia="zh-CN"/>
                    </w:rPr>
                    <w:t>与漏氯吸收装置的排液口、加氯间地面导流沟连通，实现泄漏废液的全封闭收集</w:t>
                  </w:r>
                  <w:r>
                    <w:rPr>
                      <w:rFonts w:hint="eastAsia"/>
                      <w:u w:val="single"/>
                      <w:lang w:val="en-US" w:eastAsia="zh-CN"/>
                    </w:rPr>
                    <w:t>；</w:t>
                  </w:r>
                </w:p>
                <w:p w14:paraId="68C14B8B">
                  <w:pPr>
                    <w:rPr>
                      <w:rFonts w:hint="default"/>
                      <w:u w:val="single"/>
                      <w:lang w:val="en-US" w:eastAsia="zh-CN"/>
                    </w:rPr>
                  </w:pPr>
                  <w:r>
                    <w:rPr>
                      <w:rFonts w:hint="eastAsia"/>
                      <w:u w:val="single"/>
                      <w:lang w:val="en-US" w:eastAsia="zh-CN"/>
                    </w:rPr>
                    <w:t>④各类便携式干粉/泡沫</w:t>
                  </w:r>
                  <w:r>
                    <w:rPr>
                      <w:rFonts w:hint="default"/>
                      <w:u w:val="single"/>
                      <w:lang w:val="en-US" w:eastAsia="zh-CN"/>
                    </w:rPr>
                    <w:t>灭火器布置在各个建构筑物区域</w:t>
                  </w:r>
                  <w:r>
                    <w:rPr>
                      <w:rFonts w:hint="eastAsia"/>
                      <w:u w:val="single"/>
                      <w:lang w:val="en-US" w:eastAsia="zh-CN"/>
                    </w:rPr>
                    <w:t>，做好消防应急</w:t>
                  </w:r>
                </w:p>
              </w:tc>
              <w:tc>
                <w:tcPr>
                  <w:tcW w:w="1016" w:type="pct"/>
                  <w:tcBorders>
                    <w:tl2br w:val="nil"/>
                    <w:tr2bl w:val="nil"/>
                  </w:tcBorders>
                  <w:noWrap w:val="0"/>
                  <w:vAlign w:val="center"/>
                </w:tcPr>
                <w:p w14:paraId="23A3F462">
                  <w:pPr>
                    <w:keepNext w:val="0"/>
                    <w:keepLines w:val="0"/>
                    <w:pageBreakBefore w:val="0"/>
                    <w:widowControl w:val="0"/>
                    <w:kinsoku/>
                    <w:wordWrap/>
                    <w:overflowPunct/>
                    <w:topLinePunct w:val="0"/>
                    <w:autoSpaceDE/>
                    <w:autoSpaceDN/>
                    <w:bidi w:val="0"/>
                    <w:adjustRightInd w:val="0"/>
                    <w:snapToGrid w:val="0"/>
                    <w:ind w:firstLine="0" w:firstLineChars="0"/>
                    <w:jc w:val="center"/>
                    <w:rPr>
                      <w:rFonts w:hint="default" w:ascii="Times New Roman" w:hAnsi="Times New Roman" w:cs="Times New Roman" w:eastAsiaTheme="minorEastAsia"/>
                      <w:b w:val="0"/>
                      <w:bCs/>
                      <w:color w:val="auto"/>
                      <w:sz w:val="21"/>
                      <w:szCs w:val="21"/>
                      <w:highlight w:val="none"/>
                      <w:u w:val="single"/>
                      <w:lang w:val="en-US" w:eastAsia="zh-CN"/>
                    </w:rPr>
                  </w:pPr>
                  <w:r>
                    <w:rPr>
                      <w:rFonts w:hint="default" w:ascii="Times New Roman" w:hAnsi="Times New Roman" w:cs="Times New Roman" w:eastAsiaTheme="minorEastAsia"/>
                      <w:b w:val="0"/>
                      <w:bCs/>
                      <w:color w:val="auto"/>
                      <w:sz w:val="21"/>
                      <w:szCs w:val="21"/>
                      <w:highlight w:val="none"/>
                      <w:u w:val="single"/>
                      <w:lang w:val="en-US" w:eastAsia="zh-CN"/>
                    </w:rPr>
                    <w:t>本次整改要求加氯间门、窗等密封面</w:t>
                  </w:r>
                  <w:r>
                    <w:rPr>
                      <w:rFonts w:hint="eastAsia" w:cs="Times New Roman" w:eastAsiaTheme="minorEastAsia"/>
                      <w:b w:val="0"/>
                      <w:bCs/>
                      <w:color w:val="auto"/>
                      <w:sz w:val="21"/>
                      <w:szCs w:val="21"/>
                      <w:highlight w:val="none"/>
                      <w:u w:val="single"/>
                      <w:lang w:val="en-US" w:eastAsia="zh-CN"/>
                    </w:rPr>
                    <w:t>应加装</w:t>
                  </w:r>
                  <w:r>
                    <w:rPr>
                      <w:rFonts w:hint="default" w:ascii="Times New Roman" w:hAnsi="Times New Roman" w:cs="Times New Roman" w:eastAsiaTheme="minorEastAsia"/>
                      <w:b w:val="0"/>
                      <w:bCs/>
                      <w:color w:val="auto"/>
                      <w:sz w:val="21"/>
                      <w:szCs w:val="21"/>
                      <w:highlight w:val="none"/>
                      <w:u w:val="single"/>
                      <w:lang w:val="en-US" w:eastAsia="zh-CN"/>
                    </w:rPr>
                    <w:t>设置雾状水喷淋装置</w:t>
                  </w:r>
                </w:p>
              </w:tc>
            </w:tr>
          </w:tbl>
          <w:p w14:paraId="386C0B2B">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p>
          <w:p w14:paraId="6C79DD5A">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2</w:t>
            </w:r>
            <w:r>
              <w:rPr>
                <w:rFonts w:hint="default" w:ascii="Times New Roman" w:hAnsi="Times New Roman" w:cs="Times New Roman"/>
                <w:b/>
                <w:bCs w:val="0"/>
                <w:color w:val="auto"/>
                <w:sz w:val="24"/>
                <w:szCs w:val="24"/>
                <w:u w:val="none"/>
                <w:lang w:val="en-US" w:eastAsia="zh-CN"/>
              </w:rPr>
              <w:t>、主要原辅材及能源消耗</w:t>
            </w:r>
          </w:p>
          <w:p w14:paraId="78A82461">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项目原辅料与能源消耗具体情况见表2-2。</w:t>
            </w:r>
          </w:p>
          <w:p w14:paraId="4D5EBBCF">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u w:val="single"/>
                <w:lang w:val="en-US" w:eastAsia="zh-CN"/>
              </w:rPr>
            </w:pPr>
            <w:r>
              <w:rPr>
                <w:rFonts w:hint="default" w:ascii="Times New Roman" w:hAnsi="Times New Roman" w:cs="Times New Roman"/>
                <w:b/>
                <w:bCs w:val="0"/>
                <w:sz w:val="24"/>
                <w:szCs w:val="21"/>
                <w:u w:val="single"/>
                <w:lang w:val="en-US" w:eastAsia="zh-CN"/>
              </w:rPr>
              <w:t>表2-</w:t>
            </w:r>
            <w:r>
              <w:rPr>
                <w:rFonts w:hint="eastAsia" w:ascii="Times New Roman" w:hAnsi="Times New Roman" w:cs="Times New Roman"/>
                <w:b/>
                <w:bCs w:val="0"/>
                <w:sz w:val="24"/>
                <w:szCs w:val="21"/>
                <w:u w:val="single"/>
                <w:lang w:val="en-US" w:eastAsia="zh-CN"/>
              </w:rPr>
              <w:t>2</w:t>
            </w:r>
            <w:r>
              <w:rPr>
                <w:rFonts w:hint="default" w:ascii="Times New Roman" w:hAnsi="Times New Roman" w:cs="Times New Roman"/>
                <w:b/>
                <w:bCs w:val="0"/>
                <w:sz w:val="24"/>
                <w:szCs w:val="21"/>
                <w:u w:val="single"/>
                <w:lang w:val="en-US" w:eastAsia="zh-CN"/>
              </w:rPr>
              <w:t xml:space="preserve"> 主要原</w:t>
            </w:r>
            <w:r>
              <w:rPr>
                <w:rFonts w:hint="eastAsia" w:ascii="Times New Roman" w:hAnsi="Times New Roman" w:cs="Times New Roman"/>
                <w:b/>
                <w:bCs w:val="0"/>
                <w:sz w:val="24"/>
                <w:szCs w:val="21"/>
                <w:u w:val="single"/>
                <w:lang w:val="en-US" w:eastAsia="zh-CN"/>
              </w:rPr>
              <w:t>辅料与能源消耗情况一览表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829"/>
              <w:gridCol w:w="1747"/>
              <w:gridCol w:w="729"/>
              <w:gridCol w:w="861"/>
              <w:gridCol w:w="915"/>
              <w:gridCol w:w="1260"/>
              <w:gridCol w:w="994"/>
            </w:tblGrid>
            <w:tr w14:paraId="5010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376" w:type="pct"/>
                  <w:tcBorders>
                    <w:tl2br w:val="nil"/>
                    <w:tr2bl w:val="nil"/>
                  </w:tcBorders>
                  <w:noWrap w:val="0"/>
                  <w:vAlign w:val="center"/>
                </w:tcPr>
                <w:p w14:paraId="4440B173">
                  <w:pPr>
                    <w:snapToGrid w:val="0"/>
                    <w:jc w:val="center"/>
                    <w:rPr>
                      <w:rFonts w:hint="eastAsia" w:ascii="Times New Roman" w:hAnsi="Times New Roman" w:eastAsia="宋体" w:cs="Times New Roman"/>
                      <w:b/>
                      <w:bCs/>
                      <w:color w:val="auto"/>
                      <w:sz w:val="21"/>
                      <w:szCs w:val="21"/>
                      <w:u w:val="none"/>
                    </w:rPr>
                  </w:pPr>
                  <w:r>
                    <w:rPr>
                      <w:rFonts w:hint="eastAsia" w:ascii="Times New Roman" w:hAnsi="Times New Roman" w:eastAsia="宋体" w:cs="Times New Roman"/>
                      <w:b/>
                      <w:bCs/>
                      <w:color w:val="auto"/>
                      <w:sz w:val="21"/>
                      <w:szCs w:val="21"/>
                      <w:u w:val="none"/>
                    </w:rPr>
                    <w:t>序号</w:t>
                  </w:r>
                </w:p>
              </w:tc>
              <w:tc>
                <w:tcPr>
                  <w:tcW w:w="1623" w:type="pct"/>
                  <w:gridSpan w:val="2"/>
                  <w:tcBorders>
                    <w:tl2br w:val="nil"/>
                    <w:tr2bl w:val="nil"/>
                  </w:tcBorders>
                  <w:noWrap w:val="0"/>
                  <w:vAlign w:val="center"/>
                </w:tcPr>
                <w:p w14:paraId="44CA6997">
                  <w:pPr>
                    <w:snapToGrid w:val="0"/>
                    <w:jc w:val="center"/>
                    <w:rPr>
                      <w:rFonts w:hint="eastAsia" w:ascii="Times New Roman" w:hAnsi="Times New Roman" w:eastAsia="宋体" w:cs="Times New Roman"/>
                      <w:b/>
                      <w:bCs/>
                      <w:color w:val="auto"/>
                      <w:sz w:val="21"/>
                      <w:szCs w:val="21"/>
                      <w:u w:val="none"/>
                    </w:rPr>
                  </w:pPr>
                  <w:r>
                    <w:rPr>
                      <w:rFonts w:hint="eastAsia" w:ascii="Times New Roman" w:hAnsi="Times New Roman" w:eastAsia="宋体" w:cs="Times New Roman"/>
                      <w:b/>
                      <w:bCs/>
                      <w:color w:val="auto"/>
                      <w:sz w:val="21"/>
                      <w:szCs w:val="21"/>
                      <w:u w:val="none"/>
                    </w:rPr>
                    <w:t>名称</w:t>
                  </w:r>
                </w:p>
              </w:tc>
              <w:tc>
                <w:tcPr>
                  <w:tcW w:w="459" w:type="pct"/>
                  <w:tcBorders>
                    <w:tl2br w:val="nil"/>
                    <w:tr2bl w:val="nil"/>
                  </w:tcBorders>
                  <w:noWrap w:val="0"/>
                  <w:vAlign w:val="center"/>
                </w:tcPr>
                <w:p w14:paraId="460BB475">
                  <w:pPr>
                    <w:snapToGrid w:val="0"/>
                    <w:jc w:val="center"/>
                    <w:rPr>
                      <w:rFonts w:hint="eastAsia" w:ascii="Times New Roman" w:hAnsi="Times New Roman" w:eastAsia="宋体" w:cs="Times New Roman"/>
                      <w:b/>
                      <w:bCs/>
                      <w:color w:val="auto"/>
                      <w:sz w:val="21"/>
                      <w:szCs w:val="21"/>
                      <w:u w:val="none"/>
                    </w:rPr>
                  </w:pPr>
                  <w:r>
                    <w:rPr>
                      <w:rFonts w:hint="eastAsia" w:ascii="Times New Roman" w:hAnsi="Times New Roman" w:eastAsia="宋体" w:cs="Times New Roman"/>
                      <w:b/>
                      <w:bCs/>
                      <w:color w:val="auto"/>
                      <w:sz w:val="21"/>
                      <w:szCs w:val="21"/>
                      <w:u w:val="none"/>
                    </w:rPr>
                    <w:t>单位</w:t>
                  </w:r>
                </w:p>
              </w:tc>
              <w:tc>
                <w:tcPr>
                  <w:tcW w:w="542" w:type="pct"/>
                  <w:tcBorders>
                    <w:tl2br w:val="nil"/>
                    <w:tr2bl w:val="nil"/>
                  </w:tcBorders>
                  <w:noWrap w:val="0"/>
                  <w:vAlign w:val="center"/>
                </w:tcPr>
                <w:p w14:paraId="55E022DB">
                  <w:pPr>
                    <w:snapToGrid w:val="0"/>
                    <w:jc w:val="center"/>
                    <w:rPr>
                      <w:rFonts w:hint="default" w:ascii="Times New Roman" w:hAnsi="Times New Roman" w:eastAsia="宋体" w:cs="Times New Roman"/>
                      <w:b/>
                      <w:bCs/>
                      <w:color w:val="auto"/>
                      <w:sz w:val="21"/>
                      <w:szCs w:val="21"/>
                      <w:u w:val="none"/>
                      <w:lang w:val="en-US" w:eastAsia="zh-CN"/>
                    </w:rPr>
                  </w:pPr>
                  <w:r>
                    <w:rPr>
                      <w:rFonts w:hint="eastAsia" w:ascii="Times New Roman" w:hAnsi="Times New Roman" w:eastAsia="宋体" w:cs="Times New Roman"/>
                      <w:b/>
                      <w:bCs/>
                      <w:color w:val="auto"/>
                      <w:sz w:val="21"/>
                      <w:szCs w:val="21"/>
                      <w:u w:val="none"/>
                      <w:lang w:val="en-US" w:eastAsia="zh-CN"/>
                    </w:rPr>
                    <w:t>年用量</w:t>
                  </w:r>
                </w:p>
              </w:tc>
              <w:tc>
                <w:tcPr>
                  <w:tcW w:w="576" w:type="pct"/>
                  <w:tcBorders>
                    <w:tl2br w:val="nil"/>
                    <w:tr2bl w:val="nil"/>
                  </w:tcBorders>
                  <w:noWrap w:val="0"/>
                  <w:vAlign w:val="center"/>
                </w:tcPr>
                <w:p w14:paraId="2ECF28D0">
                  <w:pPr>
                    <w:snapToGrid w:val="0"/>
                    <w:jc w:val="center"/>
                    <w:rPr>
                      <w:rFonts w:hint="eastAsia" w:ascii="Times New Roman" w:hAnsi="Times New Roman" w:eastAsia="宋体" w:cs="Times New Roman"/>
                      <w:b/>
                      <w:bCs/>
                      <w:color w:val="auto"/>
                      <w:sz w:val="21"/>
                      <w:szCs w:val="21"/>
                      <w:u w:val="none"/>
                    </w:rPr>
                  </w:pPr>
                  <w:r>
                    <w:rPr>
                      <w:rFonts w:hint="eastAsia" w:ascii="Times New Roman" w:hAnsi="Times New Roman" w:eastAsia="宋体" w:cs="Times New Roman"/>
                      <w:b/>
                      <w:bCs/>
                      <w:color w:val="auto"/>
                      <w:sz w:val="21"/>
                      <w:szCs w:val="21"/>
                      <w:u w:val="none"/>
                    </w:rPr>
                    <w:t>最大贮存量</w:t>
                  </w:r>
                </w:p>
              </w:tc>
              <w:tc>
                <w:tcPr>
                  <w:tcW w:w="794" w:type="pct"/>
                  <w:tcBorders>
                    <w:tl2br w:val="nil"/>
                    <w:tr2bl w:val="nil"/>
                  </w:tcBorders>
                  <w:noWrap w:val="0"/>
                  <w:vAlign w:val="center"/>
                </w:tcPr>
                <w:p w14:paraId="6662B5C9">
                  <w:pPr>
                    <w:snapToGrid w:val="0"/>
                    <w:jc w:val="center"/>
                    <w:rPr>
                      <w:rFonts w:hint="default" w:ascii="Times New Roman" w:hAnsi="Times New Roman" w:eastAsia="宋体" w:cs="Times New Roman"/>
                      <w:b/>
                      <w:bCs/>
                      <w:color w:val="auto"/>
                      <w:sz w:val="21"/>
                      <w:szCs w:val="21"/>
                      <w:u w:val="none"/>
                      <w:lang w:val="en-US" w:eastAsia="zh-CN"/>
                    </w:rPr>
                  </w:pPr>
                  <w:r>
                    <w:rPr>
                      <w:rFonts w:hint="eastAsia" w:ascii="Times New Roman" w:hAnsi="Times New Roman" w:eastAsia="宋体" w:cs="Times New Roman"/>
                      <w:b/>
                      <w:bCs/>
                      <w:color w:val="auto"/>
                      <w:sz w:val="21"/>
                      <w:szCs w:val="21"/>
                      <w:u w:val="none"/>
                      <w:lang w:val="en-US" w:eastAsia="zh-CN"/>
                    </w:rPr>
                    <w:t>贮存位置</w:t>
                  </w:r>
                </w:p>
              </w:tc>
              <w:tc>
                <w:tcPr>
                  <w:tcW w:w="626" w:type="pct"/>
                  <w:tcBorders>
                    <w:tl2br w:val="nil"/>
                    <w:tr2bl w:val="nil"/>
                  </w:tcBorders>
                  <w:noWrap w:val="0"/>
                  <w:vAlign w:val="center"/>
                </w:tcPr>
                <w:p w14:paraId="055C20CA">
                  <w:pPr>
                    <w:snapToGrid w:val="0"/>
                    <w:jc w:val="center"/>
                    <w:rPr>
                      <w:rFonts w:hint="eastAsia" w:ascii="Times New Roman" w:hAnsi="Times New Roman" w:eastAsia="宋体" w:cs="Times New Roman"/>
                      <w:b/>
                      <w:bCs/>
                      <w:color w:val="auto"/>
                      <w:sz w:val="21"/>
                      <w:szCs w:val="21"/>
                      <w:u w:val="none"/>
                    </w:rPr>
                  </w:pPr>
                  <w:r>
                    <w:rPr>
                      <w:rFonts w:hint="eastAsia" w:ascii="Times New Roman" w:hAnsi="Times New Roman" w:eastAsia="宋体" w:cs="Times New Roman"/>
                      <w:b/>
                      <w:bCs/>
                      <w:color w:val="auto"/>
                      <w:sz w:val="21"/>
                      <w:szCs w:val="21"/>
                      <w:u w:val="none"/>
                    </w:rPr>
                    <w:t>贮存方式</w:t>
                  </w:r>
                </w:p>
              </w:tc>
            </w:tr>
            <w:tr w14:paraId="0EB6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noWrap w:val="0"/>
                  <w:vAlign w:val="center"/>
                </w:tcPr>
                <w:p w14:paraId="5D644195">
                  <w:pPr>
                    <w:snapToGrid w:val="0"/>
                    <w:jc w:val="center"/>
                    <w:rPr>
                      <w:rFonts w:hint="eastAsia" w:ascii="Times New Roman" w:hAnsi="Times New Roman" w:eastAsia="宋体" w:cs="Times New Roman"/>
                      <w:color w:val="auto"/>
                      <w:sz w:val="21"/>
                      <w:szCs w:val="21"/>
                      <w:u w:val="none"/>
                    </w:rPr>
                  </w:pPr>
                  <w:r>
                    <w:rPr>
                      <w:rFonts w:hint="eastAsia" w:ascii="Times New Roman" w:hAnsi="Times New Roman" w:eastAsia="宋体" w:cs="Times New Roman"/>
                      <w:color w:val="auto"/>
                      <w:sz w:val="21"/>
                      <w:szCs w:val="21"/>
                      <w:u w:val="none"/>
                    </w:rPr>
                    <w:t>1</w:t>
                  </w:r>
                </w:p>
              </w:tc>
              <w:tc>
                <w:tcPr>
                  <w:tcW w:w="522" w:type="pct"/>
                  <w:vMerge w:val="restart"/>
                  <w:tcBorders>
                    <w:tl2br w:val="nil"/>
                    <w:tr2bl w:val="nil"/>
                  </w:tcBorders>
                  <w:noWrap w:val="0"/>
                  <w:vAlign w:val="center"/>
                </w:tcPr>
                <w:p w14:paraId="2FC4D17E">
                  <w:pPr>
                    <w:snapToGrid w:val="0"/>
                    <w:jc w:val="center"/>
                    <w:rPr>
                      <w:rFonts w:hint="eastAsia" w:ascii="Times New Roman" w:hAnsi="Times New Roman" w:eastAsia="宋体" w:cs="Times New Roman"/>
                      <w:color w:val="auto"/>
                      <w:sz w:val="21"/>
                      <w:szCs w:val="21"/>
                      <w:highlight w:val="none"/>
                      <w:u w:val="none"/>
                    </w:rPr>
                  </w:pPr>
                  <w:r>
                    <w:rPr>
                      <w:rFonts w:hint="eastAsia" w:cs="Times New Roman"/>
                      <w:color w:val="auto"/>
                      <w:sz w:val="21"/>
                      <w:szCs w:val="21"/>
                      <w:highlight w:val="none"/>
                      <w:u w:val="none"/>
                      <w:lang w:val="en-US" w:eastAsia="zh-CN"/>
                    </w:rPr>
                    <w:t>净水工艺</w:t>
                  </w:r>
                  <w:r>
                    <w:rPr>
                      <w:rFonts w:hint="eastAsia" w:ascii="Times New Roman" w:hAnsi="Times New Roman" w:eastAsia="宋体" w:cs="Times New Roman"/>
                      <w:color w:val="auto"/>
                      <w:sz w:val="21"/>
                      <w:szCs w:val="21"/>
                      <w:highlight w:val="none"/>
                      <w:u w:val="none"/>
                    </w:rPr>
                    <w:t>原料</w:t>
                  </w:r>
                </w:p>
              </w:tc>
              <w:tc>
                <w:tcPr>
                  <w:tcW w:w="1101" w:type="pct"/>
                  <w:tcBorders>
                    <w:tl2br w:val="nil"/>
                    <w:tr2bl w:val="nil"/>
                  </w:tcBorders>
                  <w:noWrap w:val="0"/>
                  <w:vAlign w:val="center"/>
                </w:tcPr>
                <w:p w14:paraId="5023AC4B">
                  <w:pPr>
                    <w:snapToGrid w:val="0"/>
                    <w:jc w:val="center"/>
                    <w:rPr>
                      <w:rFonts w:hint="default" w:ascii="Times New Roman" w:hAnsi="Times New Roman" w:eastAsia="宋体" w:cs="Times New Roman"/>
                      <w:strike w:val="0"/>
                      <w:dstrike w:val="0"/>
                      <w:color w:val="auto"/>
                      <w:sz w:val="21"/>
                      <w:szCs w:val="21"/>
                      <w:highlight w:val="none"/>
                      <w:u w:val="none"/>
                      <w:lang w:val="en-US" w:eastAsia="zh-CN"/>
                    </w:rPr>
                  </w:pPr>
                  <w:r>
                    <w:rPr>
                      <w:rFonts w:hint="eastAsia" w:cs="Times New Roman"/>
                      <w:strike w:val="0"/>
                      <w:dstrike w:val="0"/>
                      <w:color w:val="auto"/>
                      <w:sz w:val="21"/>
                      <w:szCs w:val="21"/>
                      <w:highlight w:val="none"/>
                      <w:u w:val="none"/>
                      <w:lang w:val="en-US" w:eastAsia="zh-CN"/>
                    </w:rPr>
                    <w:t>原水</w:t>
                  </w:r>
                </w:p>
              </w:tc>
              <w:tc>
                <w:tcPr>
                  <w:tcW w:w="459" w:type="pct"/>
                  <w:tcBorders>
                    <w:tl2br w:val="nil"/>
                    <w:tr2bl w:val="nil"/>
                  </w:tcBorders>
                  <w:noWrap w:val="0"/>
                  <w:vAlign w:val="center"/>
                </w:tcPr>
                <w:p w14:paraId="1655B7EF">
                  <w:pPr>
                    <w:snapToGrid w:val="0"/>
                    <w:jc w:val="center"/>
                    <w:rPr>
                      <w:rFonts w:hint="default" w:ascii="Times New Roman" w:hAnsi="Times New Roman" w:eastAsia="宋体" w:cs="Times New Roman"/>
                      <w:strike w:val="0"/>
                      <w:dstrike w:val="0"/>
                      <w:color w:val="auto"/>
                      <w:sz w:val="21"/>
                      <w:szCs w:val="21"/>
                      <w:highlight w:val="none"/>
                      <w:u w:val="none"/>
                      <w:lang w:val="en-US" w:eastAsia="zh-CN"/>
                    </w:rPr>
                  </w:pPr>
                  <w:r>
                    <w:rPr>
                      <w:rFonts w:hint="eastAsia" w:cs="Times New Roman"/>
                      <w:strike w:val="0"/>
                      <w:dstrike w:val="0"/>
                      <w:color w:val="auto"/>
                      <w:sz w:val="21"/>
                      <w:szCs w:val="21"/>
                      <w:highlight w:val="none"/>
                      <w:u w:val="none"/>
                      <w:lang w:val="en-US" w:eastAsia="zh-CN"/>
                    </w:rPr>
                    <w:t>万m</w:t>
                  </w:r>
                  <w:r>
                    <w:rPr>
                      <w:rFonts w:hint="eastAsia" w:cs="Times New Roman"/>
                      <w:strike w:val="0"/>
                      <w:dstrike w:val="0"/>
                      <w:color w:val="auto"/>
                      <w:sz w:val="21"/>
                      <w:szCs w:val="21"/>
                      <w:highlight w:val="none"/>
                      <w:u w:val="none"/>
                      <w:vertAlign w:val="superscript"/>
                      <w:lang w:val="en-US" w:eastAsia="zh-CN"/>
                    </w:rPr>
                    <w:t>3</w:t>
                  </w:r>
                </w:p>
              </w:tc>
              <w:tc>
                <w:tcPr>
                  <w:tcW w:w="542" w:type="pct"/>
                  <w:tcBorders>
                    <w:tl2br w:val="nil"/>
                    <w:tr2bl w:val="nil"/>
                  </w:tcBorders>
                  <w:noWrap w:val="0"/>
                  <w:vAlign w:val="center"/>
                </w:tcPr>
                <w:p w14:paraId="48653699">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eastAsia" w:cs="Times New Roman"/>
                      <w:strike w:val="0"/>
                      <w:dstrike w:val="0"/>
                      <w:color w:val="auto"/>
                      <w:kern w:val="2"/>
                      <w:sz w:val="21"/>
                      <w:szCs w:val="21"/>
                      <w:highlight w:val="none"/>
                      <w:u w:val="none"/>
                      <w:lang w:val="en-US" w:eastAsia="zh-CN" w:bidi="ar-SA"/>
                    </w:rPr>
                    <w:t>7025.1</w:t>
                  </w:r>
                </w:p>
              </w:tc>
              <w:tc>
                <w:tcPr>
                  <w:tcW w:w="576" w:type="pct"/>
                  <w:tcBorders>
                    <w:tl2br w:val="nil"/>
                    <w:tr2bl w:val="nil"/>
                  </w:tcBorders>
                  <w:noWrap w:val="0"/>
                  <w:vAlign w:val="center"/>
                </w:tcPr>
                <w:p w14:paraId="1F576062">
                  <w:pPr>
                    <w:snapToGrid w:val="0"/>
                    <w:jc w:val="center"/>
                    <w:rPr>
                      <w:rFonts w:hint="default" w:ascii="Times New Roman" w:hAnsi="Times New Roman" w:eastAsia="宋体" w:cs="Times New Roman"/>
                      <w:strike w:val="0"/>
                      <w:dstrike w:val="0"/>
                      <w:color w:val="auto"/>
                      <w:sz w:val="21"/>
                      <w:szCs w:val="21"/>
                      <w:highlight w:val="none"/>
                      <w:u w:val="none"/>
                      <w:lang w:val="en-US" w:eastAsia="zh-CN"/>
                    </w:rPr>
                  </w:pPr>
                  <w:r>
                    <w:rPr>
                      <w:rFonts w:hint="eastAsia" w:cs="Times New Roman"/>
                      <w:strike w:val="0"/>
                      <w:dstrike w:val="0"/>
                      <w:color w:val="auto"/>
                      <w:sz w:val="21"/>
                      <w:szCs w:val="21"/>
                      <w:highlight w:val="none"/>
                      <w:u w:val="none"/>
                      <w:lang w:val="en-US" w:eastAsia="zh-CN"/>
                    </w:rPr>
                    <w:t>/</w:t>
                  </w:r>
                </w:p>
              </w:tc>
              <w:tc>
                <w:tcPr>
                  <w:tcW w:w="1420" w:type="pct"/>
                  <w:gridSpan w:val="2"/>
                  <w:tcBorders>
                    <w:tl2br w:val="nil"/>
                    <w:tr2bl w:val="nil"/>
                  </w:tcBorders>
                  <w:noWrap w:val="0"/>
                  <w:vAlign w:val="center"/>
                </w:tcPr>
                <w:p w14:paraId="76EA211E">
                  <w:pPr>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供水水源：铁山水库；备用水源：东洞庭湖</w:t>
                  </w:r>
                </w:p>
              </w:tc>
            </w:tr>
            <w:tr w14:paraId="1AAD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noWrap w:val="0"/>
                  <w:vAlign w:val="center"/>
                </w:tcPr>
                <w:p w14:paraId="676ED4D9">
                  <w:pPr>
                    <w:snapToGrid w:val="0"/>
                    <w:jc w:val="center"/>
                    <w:rPr>
                      <w:rFonts w:hint="eastAsia"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2</w:t>
                  </w:r>
                </w:p>
              </w:tc>
              <w:tc>
                <w:tcPr>
                  <w:tcW w:w="522" w:type="pct"/>
                  <w:vMerge w:val="continue"/>
                  <w:tcBorders>
                    <w:tl2br w:val="nil"/>
                    <w:tr2bl w:val="nil"/>
                  </w:tcBorders>
                  <w:noWrap w:val="0"/>
                  <w:vAlign w:val="center"/>
                </w:tcPr>
                <w:p w14:paraId="3179AF00">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shd w:val="clear" w:color="auto" w:fill="auto"/>
                  <w:noWrap w:val="0"/>
                  <w:vAlign w:val="center"/>
                </w:tcPr>
                <w:p w14:paraId="0676BE46">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eastAsia"/>
                      <w:lang w:val="en-US" w:eastAsia="zh-CN"/>
                    </w:rPr>
                    <w:t>聚合氯化铝</w:t>
                  </w:r>
                </w:p>
              </w:tc>
              <w:tc>
                <w:tcPr>
                  <w:tcW w:w="459" w:type="pct"/>
                  <w:tcBorders>
                    <w:tl2br w:val="nil"/>
                    <w:tr2bl w:val="nil"/>
                  </w:tcBorders>
                  <w:shd w:val="clear" w:color="auto" w:fill="auto"/>
                  <w:noWrap w:val="0"/>
                  <w:vAlign w:val="center"/>
                </w:tcPr>
                <w:p w14:paraId="07213742">
                  <w:pPr>
                    <w:snapToGrid w:val="0"/>
                    <w:jc w:val="center"/>
                    <w:rPr>
                      <w:rFonts w:hint="eastAsia" w:ascii="Times New Roman" w:hAnsi="Times New Roman" w:eastAsia="宋体" w:cs="Times New Roman"/>
                      <w:strike w:val="0"/>
                      <w:dstrike w:val="0"/>
                      <w:color w:val="auto"/>
                      <w:kern w:val="2"/>
                      <w:sz w:val="21"/>
                      <w:szCs w:val="21"/>
                      <w:highlight w:val="none"/>
                      <w:u w:val="none"/>
                      <w:lang w:val="en-US" w:eastAsia="zh-CN" w:bidi="ar-SA"/>
                    </w:rPr>
                  </w:pPr>
                  <w:r>
                    <w:rPr>
                      <w:rFonts w:hint="eastAsia" w:ascii="Times New Roman" w:hAnsi="Times New Roman" w:eastAsia="宋体" w:cs="Times New Roman"/>
                      <w:strike w:val="0"/>
                      <w:dstrike w:val="0"/>
                      <w:color w:val="auto"/>
                      <w:sz w:val="21"/>
                      <w:szCs w:val="21"/>
                      <w:highlight w:val="none"/>
                      <w:u w:val="none"/>
                    </w:rPr>
                    <w:t>吨</w:t>
                  </w:r>
                </w:p>
              </w:tc>
              <w:tc>
                <w:tcPr>
                  <w:tcW w:w="542" w:type="pct"/>
                  <w:tcBorders>
                    <w:tl2br w:val="nil"/>
                    <w:tr2bl w:val="nil"/>
                  </w:tcBorders>
                  <w:shd w:val="clear" w:color="auto" w:fill="auto"/>
                  <w:noWrap w:val="0"/>
                  <w:vAlign w:val="center"/>
                </w:tcPr>
                <w:p w14:paraId="0A528976">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eastAsia" w:cs="Times New Roman"/>
                      <w:strike w:val="0"/>
                      <w:dstrike w:val="0"/>
                      <w:color w:val="auto"/>
                      <w:sz w:val="21"/>
                      <w:szCs w:val="21"/>
                      <w:highlight w:val="none"/>
                      <w:u w:val="none"/>
                      <w:lang w:val="en-US" w:eastAsia="zh-CN"/>
                    </w:rPr>
                    <w:t>700</w:t>
                  </w:r>
                </w:p>
              </w:tc>
              <w:tc>
                <w:tcPr>
                  <w:tcW w:w="576" w:type="pct"/>
                  <w:tcBorders>
                    <w:tl2br w:val="nil"/>
                    <w:tr2bl w:val="nil"/>
                  </w:tcBorders>
                  <w:shd w:val="clear" w:color="auto" w:fill="auto"/>
                  <w:noWrap w:val="0"/>
                  <w:vAlign w:val="center"/>
                </w:tcPr>
                <w:p w14:paraId="7CD03A28">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eastAsia" w:cs="Times New Roman"/>
                      <w:strike w:val="0"/>
                      <w:dstrike w:val="0"/>
                      <w:color w:val="auto"/>
                      <w:sz w:val="21"/>
                      <w:szCs w:val="21"/>
                      <w:highlight w:val="none"/>
                      <w:u w:val="none"/>
                      <w:lang w:val="en-US" w:eastAsia="zh-CN"/>
                    </w:rPr>
                    <w:t>100</w:t>
                  </w:r>
                </w:p>
              </w:tc>
              <w:tc>
                <w:tcPr>
                  <w:tcW w:w="794" w:type="pct"/>
                  <w:tcBorders>
                    <w:tl2br w:val="nil"/>
                    <w:tr2bl w:val="nil"/>
                  </w:tcBorders>
                  <w:shd w:val="clear" w:color="auto" w:fill="auto"/>
                  <w:noWrap w:val="0"/>
                  <w:vAlign w:val="center"/>
                </w:tcPr>
                <w:p w14:paraId="7372DB00">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eastAsia" w:cs="Times New Roman"/>
                      <w:color w:val="auto"/>
                      <w:sz w:val="21"/>
                      <w:szCs w:val="21"/>
                      <w:u w:val="none"/>
                      <w:lang w:val="en-US" w:eastAsia="zh-CN"/>
                    </w:rPr>
                    <w:t>加药间原矾储存池</w:t>
                  </w:r>
                </w:p>
              </w:tc>
              <w:tc>
                <w:tcPr>
                  <w:tcW w:w="626" w:type="pct"/>
                  <w:tcBorders>
                    <w:tl2br w:val="nil"/>
                    <w:tr2bl w:val="nil"/>
                  </w:tcBorders>
                  <w:shd w:val="clear" w:color="auto" w:fill="auto"/>
                  <w:noWrap w:val="0"/>
                  <w:vAlign w:val="center"/>
                </w:tcPr>
                <w:p w14:paraId="2D8A9FE3">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s="Times New Roman"/>
                      <w:strike w:val="0"/>
                      <w:dstrike w:val="0"/>
                      <w:color w:val="auto"/>
                      <w:sz w:val="21"/>
                      <w:szCs w:val="21"/>
                      <w:highlight w:val="none"/>
                      <w:u w:val="none"/>
                      <w:lang w:val="en-US" w:eastAsia="zh-CN"/>
                    </w:rPr>
                    <w:t>2个45m</w:t>
                  </w:r>
                  <w:r>
                    <w:rPr>
                      <w:rFonts w:hint="eastAsia" w:cs="Times New Roman"/>
                      <w:strike w:val="0"/>
                      <w:dstrike w:val="0"/>
                      <w:color w:val="auto"/>
                      <w:sz w:val="21"/>
                      <w:szCs w:val="21"/>
                      <w:highlight w:val="none"/>
                      <w:u w:val="none"/>
                      <w:vertAlign w:val="superscript"/>
                      <w:lang w:val="en-US" w:eastAsia="zh-CN"/>
                    </w:rPr>
                    <w:t>3</w:t>
                  </w:r>
                  <w:r>
                    <w:rPr>
                      <w:rFonts w:hint="eastAsia" w:cs="Times New Roman"/>
                      <w:strike w:val="0"/>
                      <w:dstrike w:val="0"/>
                      <w:color w:val="auto"/>
                      <w:sz w:val="21"/>
                      <w:szCs w:val="21"/>
                      <w:highlight w:val="none"/>
                      <w:u w:val="none"/>
                      <w:lang w:val="en-US" w:eastAsia="zh-CN"/>
                    </w:rPr>
                    <w:t>池体</w:t>
                  </w:r>
                </w:p>
              </w:tc>
            </w:tr>
            <w:tr w14:paraId="32A4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4B2E5CB5">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sz w:val="21"/>
                      <w:szCs w:val="21"/>
                      <w:u w:val="none"/>
                      <w:lang w:val="en-US" w:eastAsia="zh-CN"/>
                    </w:rPr>
                    <w:t>3</w:t>
                  </w:r>
                </w:p>
              </w:tc>
              <w:tc>
                <w:tcPr>
                  <w:tcW w:w="522" w:type="pct"/>
                  <w:vMerge w:val="continue"/>
                  <w:tcBorders>
                    <w:tl2br w:val="nil"/>
                    <w:tr2bl w:val="nil"/>
                  </w:tcBorders>
                  <w:noWrap w:val="0"/>
                  <w:vAlign w:val="center"/>
                </w:tcPr>
                <w:p w14:paraId="2C6E5C80">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shd w:val="clear" w:color="auto" w:fill="auto"/>
                  <w:noWrap w:val="0"/>
                  <w:vAlign w:val="center"/>
                </w:tcPr>
                <w:p w14:paraId="78865D55">
                  <w:pPr>
                    <w:snapToGrid w:val="0"/>
                    <w:jc w:val="center"/>
                    <w:rPr>
                      <w:rFonts w:hint="eastAsia" w:ascii="Times New Roman" w:hAnsi="Times New Roman" w:eastAsia="宋体" w:cs="Times New Roman"/>
                      <w:strike w:val="0"/>
                      <w:dstrike w:val="0"/>
                      <w:color w:val="auto"/>
                      <w:kern w:val="2"/>
                      <w:sz w:val="21"/>
                      <w:szCs w:val="21"/>
                      <w:highlight w:val="none"/>
                      <w:u w:val="none"/>
                      <w:lang w:val="en-US" w:eastAsia="zh-CN" w:bidi="ar-SA"/>
                    </w:rPr>
                  </w:pPr>
                  <w:r>
                    <w:rPr>
                      <w:rFonts w:hint="eastAsia" w:cs="Times New Roman"/>
                      <w:strike w:val="0"/>
                      <w:dstrike w:val="0"/>
                      <w:color w:val="auto"/>
                      <w:sz w:val="21"/>
                      <w:szCs w:val="21"/>
                      <w:highlight w:val="none"/>
                      <w:u w:val="none"/>
                      <w:lang w:val="en-US" w:eastAsia="zh-CN"/>
                    </w:rPr>
                    <w:t>液氯</w:t>
                  </w:r>
                </w:p>
              </w:tc>
              <w:tc>
                <w:tcPr>
                  <w:tcW w:w="459" w:type="pct"/>
                  <w:tcBorders>
                    <w:tl2br w:val="nil"/>
                    <w:tr2bl w:val="nil"/>
                  </w:tcBorders>
                  <w:shd w:val="clear" w:color="auto" w:fill="auto"/>
                  <w:noWrap w:val="0"/>
                  <w:vAlign w:val="center"/>
                </w:tcPr>
                <w:p w14:paraId="0F9B649B">
                  <w:pPr>
                    <w:snapToGrid w:val="0"/>
                    <w:jc w:val="center"/>
                    <w:rPr>
                      <w:rFonts w:hint="eastAsia" w:ascii="Times New Roman" w:hAnsi="Times New Roman" w:eastAsia="宋体" w:cs="Times New Roman"/>
                      <w:strike w:val="0"/>
                      <w:dstrike w:val="0"/>
                      <w:color w:val="auto"/>
                      <w:kern w:val="2"/>
                      <w:sz w:val="21"/>
                      <w:szCs w:val="21"/>
                      <w:highlight w:val="none"/>
                      <w:u w:val="none"/>
                      <w:lang w:val="en-US" w:eastAsia="zh-CN" w:bidi="ar-SA"/>
                    </w:rPr>
                  </w:pPr>
                  <w:r>
                    <w:rPr>
                      <w:rFonts w:hint="eastAsia" w:ascii="Times New Roman" w:hAnsi="Times New Roman" w:eastAsia="宋体" w:cs="Times New Roman"/>
                      <w:strike w:val="0"/>
                      <w:dstrike w:val="0"/>
                      <w:color w:val="auto"/>
                      <w:sz w:val="21"/>
                      <w:szCs w:val="21"/>
                      <w:highlight w:val="none"/>
                      <w:u w:val="none"/>
                    </w:rPr>
                    <w:t>吨</w:t>
                  </w:r>
                </w:p>
              </w:tc>
              <w:tc>
                <w:tcPr>
                  <w:tcW w:w="542" w:type="pct"/>
                  <w:tcBorders>
                    <w:tl2br w:val="nil"/>
                    <w:tr2bl w:val="nil"/>
                  </w:tcBorders>
                  <w:shd w:val="clear" w:color="auto" w:fill="auto"/>
                  <w:noWrap w:val="0"/>
                  <w:vAlign w:val="center"/>
                </w:tcPr>
                <w:p w14:paraId="0C62B6C0">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default" w:ascii="Times New Roman" w:hAnsi="Times New Roman" w:cs="Times New Roman"/>
                      <w:strike w:val="0"/>
                      <w:dstrike w:val="0"/>
                      <w:color w:val="auto"/>
                      <w:sz w:val="21"/>
                      <w:szCs w:val="21"/>
                      <w:highlight w:val="none"/>
                      <w:u w:val="none"/>
                      <w:lang w:val="en-US" w:eastAsia="zh-CN"/>
                    </w:rPr>
                    <w:t>110</w:t>
                  </w:r>
                </w:p>
              </w:tc>
              <w:tc>
                <w:tcPr>
                  <w:tcW w:w="576" w:type="pct"/>
                  <w:tcBorders>
                    <w:tl2br w:val="nil"/>
                    <w:tr2bl w:val="nil"/>
                  </w:tcBorders>
                  <w:shd w:val="clear" w:color="auto" w:fill="auto"/>
                  <w:noWrap w:val="0"/>
                  <w:vAlign w:val="center"/>
                </w:tcPr>
                <w:p w14:paraId="6890CDE8">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default" w:ascii="Times New Roman" w:hAnsi="Times New Roman" w:cs="Times New Roman"/>
                      <w:strike w:val="0"/>
                      <w:dstrike w:val="0"/>
                      <w:color w:val="auto"/>
                      <w:sz w:val="21"/>
                      <w:szCs w:val="21"/>
                      <w:highlight w:val="none"/>
                      <w:u w:val="none"/>
                      <w:lang w:val="en-US" w:eastAsia="zh-CN"/>
                    </w:rPr>
                    <w:t>15</w:t>
                  </w:r>
                </w:p>
              </w:tc>
              <w:tc>
                <w:tcPr>
                  <w:tcW w:w="794" w:type="pct"/>
                  <w:tcBorders>
                    <w:tl2br w:val="nil"/>
                    <w:tr2bl w:val="nil"/>
                  </w:tcBorders>
                  <w:shd w:val="clear" w:color="auto" w:fill="auto"/>
                  <w:noWrap w:val="0"/>
                  <w:vAlign w:val="center"/>
                </w:tcPr>
                <w:p w14:paraId="52EE52E7">
                  <w:pPr>
                    <w:snapToGrid w:val="0"/>
                    <w:jc w:val="center"/>
                    <w:rPr>
                      <w:rFonts w:hint="eastAsia" w:ascii="Times New Roman" w:hAnsi="Times New Roman" w:eastAsia="宋体" w:cs="Times New Roman"/>
                      <w:strike w:val="0"/>
                      <w:dstrike w:val="0"/>
                      <w:color w:val="auto"/>
                      <w:kern w:val="2"/>
                      <w:sz w:val="21"/>
                      <w:szCs w:val="21"/>
                      <w:highlight w:val="none"/>
                      <w:u w:val="none"/>
                      <w:lang w:val="en-US" w:eastAsia="zh-CN" w:bidi="ar-SA"/>
                    </w:rPr>
                  </w:pPr>
                  <w:r>
                    <w:rPr>
                      <w:rFonts w:hint="eastAsia" w:cs="Times New Roman"/>
                      <w:strike w:val="0"/>
                      <w:dstrike w:val="0"/>
                      <w:color w:val="auto"/>
                      <w:sz w:val="21"/>
                      <w:szCs w:val="21"/>
                      <w:highlight w:val="none"/>
                      <w:u w:val="none"/>
                      <w:lang w:val="en-US" w:eastAsia="zh-CN"/>
                    </w:rPr>
                    <w:t>加氯间南侧专用液氯钢瓶存放区</w:t>
                  </w:r>
                </w:p>
              </w:tc>
              <w:tc>
                <w:tcPr>
                  <w:tcW w:w="626" w:type="pct"/>
                  <w:tcBorders>
                    <w:tl2br w:val="nil"/>
                    <w:tr2bl w:val="nil"/>
                  </w:tcBorders>
                  <w:shd w:val="clear" w:color="auto" w:fill="auto"/>
                  <w:noWrap w:val="0"/>
                  <w:vAlign w:val="center"/>
                </w:tcPr>
                <w:p w14:paraId="65F8887B">
                  <w:pPr>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cs="Times New Roman"/>
                      <w:strike w:val="0"/>
                      <w:dstrike w:val="0"/>
                      <w:color w:val="auto"/>
                      <w:sz w:val="21"/>
                      <w:szCs w:val="21"/>
                      <w:highlight w:val="none"/>
                      <w:u w:val="none"/>
                      <w:lang w:val="en-US" w:eastAsia="zh-CN"/>
                    </w:rPr>
                    <w:t>1t钢瓶</w:t>
                  </w:r>
                </w:p>
              </w:tc>
            </w:tr>
            <w:tr w14:paraId="7422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3EB88140">
                  <w:pPr>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4</w:t>
                  </w:r>
                </w:p>
              </w:tc>
              <w:tc>
                <w:tcPr>
                  <w:tcW w:w="522" w:type="pct"/>
                  <w:vMerge w:val="restart"/>
                  <w:tcBorders>
                    <w:tl2br w:val="nil"/>
                    <w:tr2bl w:val="nil"/>
                  </w:tcBorders>
                  <w:noWrap w:val="0"/>
                  <w:vAlign w:val="center"/>
                </w:tcPr>
                <w:p w14:paraId="12EB760D">
                  <w:pPr>
                    <w:snapToGrid w:val="0"/>
                    <w:jc w:val="center"/>
                    <w:rPr>
                      <w:rFonts w:hint="eastAsia"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辅料</w:t>
                  </w:r>
                </w:p>
              </w:tc>
              <w:tc>
                <w:tcPr>
                  <w:tcW w:w="1101" w:type="pct"/>
                  <w:tcBorders>
                    <w:tl2br w:val="nil"/>
                    <w:tr2bl w:val="nil"/>
                  </w:tcBorders>
                  <w:shd w:val="clear" w:color="auto" w:fill="auto"/>
                  <w:noWrap w:val="0"/>
                  <w:vAlign w:val="center"/>
                </w:tcPr>
                <w:p w14:paraId="16F11EE9">
                  <w:pPr>
                    <w:snapToGrid w:val="0"/>
                    <w:jc w:val="center"/>
                    <w:rPr>
                      <w:rFonts w:hint="eastAsia"/>
                      <w:lang w:val="en-US" w:eastAsia="zh-CN"/>
                    </w:rPr>
                  </w:pPr>
                  <w:r>
                    <w:rPr>
                      <w:rFonts w:hint="eastAsia"/>
                      <w:lang w:val="en-US" w:eastAsia="zh-CN"/>
                    </w:rPr>
                    <w:t>空压机机油</w:t>
                  </w:r>
                </w:p>
              </w:tc>
              <w:tc>
                <w:tcPr>
                  <w:tcW w:w="459" w:type="pct"/>
                  <w:tcBorders>
                    <w:tl2br w:val="nil"/>
                    <w:tr2bl w:val="nil"/>
                  </w:tcBorders>
                  <w:shd w:val="clear" w:color="auto" w:fill="auto"/>
                  <w:noWrap w:val="0"/>
                  <w:vAlign w:val="center"/>
                </w:tcPr>
                <w:p w14:paraId="12712220">
                  <w:pPr>
                    <w:snapToGrid w:val="0"/>
                    <w:jc w:val="center"/>
                    <w:rPr>
                      <w:rFonts w:hint="eastAsia"/>
                      <w:lang w:val="en-US" w:eastAsia="zh-CN"/>
                    </w:rPr>
                  </w:pPr>
                  <w:r>
                    <w:rPr>
                      <w:rFonts w:hint="eastAsia"/>
                      <w:lang w:val="en-US" w:eastAsia="zh-CN"/>
                    </w:rPr>
                    <w:t>公斤</w:t>
                  </w:r>
                </w:p>
              </w:tc>
              <w:tc>
                <w:tcPr>
                  <w:tcW w:w="542" w:type="pct"/>
                  <w:tcBorders>
                    <w:tl2br w:val="nil"/>
                    <w:tr2bl w:val="nil"/>
                  </w:tcBorders>
                  <w:shd w:val="clear" w:color="auto" w:fill="auto"/>
                  <w:noWrap w:val="0"/>
                  <w:vAlign w:val="center"/>
                </w:tcPr>
                <w:p w14:paraId="216B96CE">
                  <w:pPr>
                    <w:snapToGrid w:val="0"/>
                    <w:jc w:val="center"/>
                    <w:rPr>
                      <w:rFonts w:hint="default"/>
                      <w:lang w:val="en-US" w:eastAsia="zh-CN"/>
                    </w:rPr>
                  </w:pPr>
                  <w:r>
                    <w:rPr>
                      <w:rFonts w:hint="default"/>
                      <w:lang w:val="en-US" w:eastAsia="zh-CN"/>
                    </w:rPr>
                    <w:t>100</w:t>
                  </w:r>
                </w:p>
              </w:tc>
              <w:tc>
                <w:tcPr>
                  <w:tcW w:w="576" w:type="pct"/>
                  <w:tcBorders>
                    <w:tl2br w:val="nil"/>
                    <w:tr2bl w:val="nil"/>
                  </w:tcBorders>
                  <w:shd w:val="clear" w:color="auto" w:fill="auto"/>
                  <w:noWrap w:val="0"/>
                  <w:vAlign w:val="center"/>
                </w:tcPr>
                <w:p w14:paraId="7519FD62">
                  <w:pPr>
                    <w:snapToGrid w:val="0"/>
                    <w:jc w:val="center"/>
                    <w:rPr>
                      <w:rFonts w:hint="default"/>
                      <w:lang w:val="en-US" w:eastAsia="zh-CN"/>
                    </w:rPr>
                  </w:pPr>
                  <w:r>
                    <w:rPr>
                      <w:rFonts w:hint="default"/>
                      <w:lang w:val="en-US" w:eastAsia="zh-CN"/>
                    </w:rPr>
                    <w:t>100</w:t>
                  </w:r>
                </w:p>
              </w:tc>
              <w:tc>
                <w:tcPr>
                  <w:tcW w:w="794" w:type="pct"/>
                  <w:vMerge w:val="restart"/>
                  <w:tcBorders>
                    <w:tl2br w:val="nil"/>
                    <w:tr2bl w:val="nil"/>
                  </w:tcBorders>
                  <w:shd w:val="clear" w:color="auto" w:fill="auto"/>
                  <w:noWrap w:val="0"/>
                  <w:vAlign w:val="center"/>
                </w:tcPr>
                <w:p w14:paraId="7454F756">
                  <w:pPr>
                    <w:snapToGrid w:val="0"/>
                    <w:jc w:val="center"/>
                    <w:rPr>
                      <w:rFonts w:hint="default" w:ascii="Times New Roman" w:hAnsi="Times New Roman" w:eastAsia="宋体" w:cs="Times New Roman"/>
                      <w:strike w:val="0"/>
                      <w:dstrike w:val="0"/>
                      <w:color w:val="auto"/>
                      <w:kern w:val="2"/>
                      <w:sz w:val="21"/>
                      <w:szCs w:val="21"/>
                      <w:highlight w:val="none"/>
                      <w:u w:val="none"/>
                      <w:lang w:val="en-US" w:eastAsia="zh-CN" w:bidi="ar-SA"/>
                    </w:rPr>
                  </w:pPr>
                  <w:r>
                    <w:rPr>
                      <w:rFonts w:hint="eastAsia" w:cs="Times New Roman"/>
                      <w:strike w:val="0"/>
                      <w:dstrike w:val="0"/>
                      <w:color w:val="auto"/>
                      <w:kern w:val="2"/>
                      <w:sz w:val="21"/>
                      <w:szCs w:val="21"/>
                      <w:highlight w:val="none"/>
                      <w:u w:val="none"/>
                      <w:lang w:val="en-US" w:eastAsia="zh-CN" w:bidi="ar-SA"/>
                    </w:rPr>
                    <w:t>库房</w:t>
                  </w:r>
                </w:p>
              </w:tc>
              <w:tc>
                <w:tcPr>
                  <w:tcW w:w="626" w:type="pct"/>
                  <w:tcBorders>
                    <w:tl2br w:val="nil"/>
                    <w:tr2bl w:val="nil"/>
                  </w:tcBorders>
                  <w:shd w:val="clear" w:color="auto" w:fill="auto"/>
                  <w:noWrap w:val="0"/>
                  <w:vAlign w:val="center"/>
                </w:tcPr>
                <w:p w14:paraId="1761D253">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sz w:val="21"/>
                      <w:szCs w:val="21"/>
                      <w:u w:val="none"/>
                      <w:lang w:val="en-US" w:eastAsia="zh-CN"/>
                    </w:rPr>
                    <w:t>10kg/桶</w:t>
                  </w:r>
                </w:p>
              </w:tc>
            </w:tr>
            <w:tr w14:paraId="3028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55C1AD9D">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sz w:val="21"/>
                      <w:szCs w:val="21"/>
                      <w:u w:val="none"/>
                      <w:lang w:val="en-US" w:eastAsia="zh-CN"/>
                    </w:rPr>
                    <w:t>5</w:t>
                  </w:r>
                </w:p>
              </w:tc>
              <w:tc>
                <w:tcPr>
                  <w:tcW w:w="522" w:type="pct"/>
                  <w:vMerge w:val="continue"/>
                  <w:tcBorders>
                    <w:tl2br w:val="nil"/>
                    <w:tr2bl w:val="nil"/>
                  </w:tcBorders>
                  <w:noWrap w:val="0"/>
                  <w:vAlign w:val="center"/>
                </w:tcPr>
                <w:p w14:paraId="78EFFDCB">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shd w:val="clear" w:color="auto" w:fill="auto"/>
                  <w:noWrap w:val="0"/>
                  <w:vAlign w:val="center"/>
                </w:tcPr>
                <w:p w14:paraId="55122AB1">
                  <w:pPr>
                    <w:snapToGrid w:val="0"/>
                    <w:jc w:val="center"/>
                    <w:rPr>
                      <w:rFonts w:hint="eastAsia"/>
                      <w:lang w:val="en-US" w:eastAsia="zh-CN"/>
                    </w:rPr>
                  </w:pPr>
                  <w:r>
                    <w:rPr>
                      <w:rFonts w:hint="eastAsia"/>
                      <w:lang w:val="en-US" w:eastAsia="zh-CN"/>
                    </w:rPr>
                    <w:t>4#锂基脂</w:t>
                  </w:r>
                </w:p>
              </w:tc>
              <w:tc>
                <w:tcPr>
                  <w:tcW w:w="459" w:type="pct"/>
                  <w:tcBorders>
                    <w:tl2br w:val="nil"/>
                    <w:tr2bl w:val="nil"/>
                  </w:tcBorders>
                  <w:shd w:val="clear" w:color="auto" w:fill="auto"/>
                  <w:noWrap w:val="0"/>
                  <w:vAlign w:val="center"/>
                </w:tcPr>
                <w:p w14:paraId="14F7E73C">
                  <w:pPr>
                    <w:snapToGrid w:val="0"/>
                    <w:jc w:val="center"/>
                    <w:rPr>
                      <w:rFonts w:hint="eastAsia"/>
                      <w:lang w:val="en-US" w:eastAsia="zh-CN"/>
                    </w:rPr>
                  </w:pPr>
                  <w:r>
                    <w:rPr>
                      <w:rFonts w:hint="eastAsia"/>
                      <w:lang w:val="en-US" w:eastAsia="zh-CN"/>
                    </w:rPr>
                    <w:t>公斤</w:t>
                  </w:r>
                </w:p>
              </w:tc>
              <w:tc>
                <w:tcPr>
                  <w:tcW w:w="542" w:type="pct"/>
                  <w:tcBorders>
                    <w:tl2br w:val="nil"/>
                    <w:tr2bl w:val="nil"/>
                  </w:tcBorders>
                  <w:shd w:val="clear" w:color="auto" w:fill="auto"/>
                  <w:noWrap w:val="0"/>
                  <w:vAlign w:val="center"/>
                </w:tcPr>
                <w:p w14:paraId="46C17F13">
                  <w:pPr>
                    <w:snapToGrid w:val="0"/>
                    <w:jc w:val="center"/>
                    <w:rPr>
                      <w:rFonts w:hint="default"/>
                      <w:lang w:val="en-US" w:eastAsia="zh-CN"/>
                    </w:rPr>
                  </w:pPr>
                  <w:r>
                    <w:rPr>
                      <w:rFonts w:hint="default"/>
                      <w:lang w:val="en-US" w:eastAsia="zh-CN"/>
                    </w:rPr>
                    <w:t>40</w:t>
                  </w:r>
                </w:p>
              </w:tc>
              <w:tc>
                <w:tcPr>
                  <w:tcW w:w="576" w:type="pct"/>
                  <w:tcBorders>
                    <w:tl2br w:val="nil"/>
                    <w:tr2bl w:val="nil"/>
                  </w:tcBorders>
                  <w:shd w:val="clear" w:color="auto" w:fill="auto"/>
                  <w:noWrap w:val="0"/>
                  <w:vAlign w:val="center"/>
                </w:tcPr>
                <w:p w14:paraId="08D715B6">
                  <w:pPr>
                    <w:snapToGrid w:val="0"/>
                    <w:jc w:val="center"/>
                    <w:rPr>
                      <w:rFonts w:hint="default"/>
                      <w:lang w:val="en-US" w:eastAsia="zh-CN"/>
                    </w:rPr>
                  </w:pPr>
                  <w:r>
                    <w:rPr>
                      <w:rFonts w:hint="default"/>
                      <w:lang w:val="en-US" w:eastAsia="zh-CN"/>
                    </w:rPr>
                    <w:t>40</w:t>
                  </w:r>
                </w:p>
              </w:tc>
              <w:tc>
                <w:tcPr>
                  <w:tcW w:w="794" w:type="pct"/>
                  <w:vMerge w:val="continue"/>
                  <w:tcBorders>
                    <w:tl2br w:val="nil"/>
                    <w:tr2bl w:val="nil"/>
                  </w:tcBorders>
                  <w:shd w:val="clear" w:color="auto" w:fill="auto"/>
                  <w:noWrap w:val="0"/>
                  <w:vAlign w:val="center"/>
                </w:tcPr>
                <w:p w14:paraId="7765A91D">
                  <w:pPr>
                    <w:snapToGrid w:val="0"/>
                    <w:jc w:val="center"/>
                    <w:rPr>
                      <w:rFonts w:hint="eastAsia" w:ascii="Times New Roman" w:hAnsi="Times New Roman" w:eastAsia="宋体" w:cs="Times New Roman"/>
                      <w:strike w:val="0"/>
                      <w:dstrike w:val="0"/>
                      <w:color w:val="auto"/>
                      <w:kern w:val="2"/>
                      <w:sz w:val="21"/>
                      <w:szCs w:val="21"/>
                      <w:highlight w:val="none"/>
                      <w:u w:val="none"/>
                      <w:lang w:val="en-US" w:eastAsia="zh-CN" w:bidi="ar-SA"/>
                    </w:rPr>
                  </w:pPr>
                </w:p>
              </w:tc>
              <w:tc>
                <w:tcPr>
                  <w:tcW w:w="626" w:type="pct"/>
                  <w:tcBorders>
                    <w:tl2br w:val="nil"/>
                    <w:tr2bl w:val="nil"/>
                  </w:tcBorders>
                  <w:shd w:val="clear" w:color="auto" w:fill="auto"/>
                  <w:noWrap w:val="0"/>
                  <w:vAlign w:val="center"/>
                </w:tcPr>
                <w:p w14:paraId="0409F5F9">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sz w:val="21"/>
                      <w:szCs w:val="21"/>
                      <w:u w:val="none"/>
                      <w:lang w:val="en-US" w:eastAsia="zh-CN"/>
                    </w:rPr>
                    <w:t>10kg/桶</w:t>
                  </w:r>
                </w:p>
              </w:tc>
            </w:tr>
            <w:tr w14:paraId="2AC1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1A6B0EBD">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sz w:val="21"/>
                      <w:szCs w:val="21"/>
                      <w:u w:val="none"/>
                      <w:lang w:val="en-US" w:eastAsia="zh-CN"/>
                    </w:rPr>
                    <w:t>6</w:t>
                  </w:r>
                </w:p>
              </w:tc>
              <w:tc>
                <w:tcPr>
                  <w:tcW w:w="522" w:type="pct"/>
                  <w:vMerge w:val="restart"/>
                  <w:tcBorders>
                    <w:tl2br w:val="nil"/>
                    <w:tr2bl w:val="nil"/>
                  </w:tcBorders>
                  <w:noWrap w:val="0"/>
                  <w:vAlign w:val="center"/>
                </w:tcPr>
                <w:p w14:paraId="662D62DA">
                  <w:pPr>
                    <w:snapToGrid w:val="0"/>
                    <w:jc w:val="center"/>
                    <w:rPr>
                      <w:rFonts w:hint="eastAsia"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rPr>
                    <w:t>实验室化验危化品试剂</w:t>
                  </w:r>
                </w:p>
              </w:tc>
              <w:tc>
                <w:tcPr>
                  <w:tcW w:w="1101" w:type="pct"/>
                  <w:tcBorders>
                    <w:tl2br w:val="nil"/>
                    <w:tr2bl w:val="nil"/>
                  </w:tcBorders>
                  <w:noWrap w:val="0"/>
                  <w:vAlign w:val="center"/>
                </w:tcPr>
                <w:p w14:paraId="7236A964">
                  <w:pPr>
                    <w:snapToGrid w:val="0"/>
                    <w:jc w:val="center"/>
                    <w:rPr>
                      <w:rFonts w:hint="eastAsia" w:ascii="Times New Roman" w:hAnsi="Times New Roman" w:eastAsia="宋体" w:cs="Times New Roman"/>
                      <w:strike w:val="0"/>
                      <w:dstrike w:val="0"/>
                      <w:color w:val="auto"/>
                      <w:sz w:val="21"/>
                      <w:szCs w:val="21"/>
                      <w:highlight w:val="none"/>
                      <w:u w:val="none"/>
                    </w:rPr>
                  </w:pPr>
                  <w:r>
                    <w:rPr>
                      <w:rFonts w:hint="eastAsia"/>
                    </w:rPr>
                    <w:t>盐酸</w:t>
                  </w:r>
                  <w:r>
                    <w:rPr>
                      <w:rFonts w:hint="eastAsia"/>
                      <w:lang w:eastAsia="zh-CN"/>
                    </w:rPr>
                    <w:t>（</w:t>
                  </w:r>
                  <w:r>
                    <w:rPr>
                      <w:rFonts w:hint="eastAsia"/>
                      <w:lang w:val="en-US" w:eastAsia="zh-CN"/>
                    </w:rPr>
                    <w:t>37%</w:t>
                  </w:r>
                  <w:r>
                    <w:rPr>
                      <w:rFonts w:hint="eastAsia"/>
                      <w:lang w:eastAsia="zh-CN"/>
                    </w:rPr>
                    <w:t>）</w:t>
                  </w:r>
                </w:p>
              </w:tc>
              <w:tc>
                <w:tcPr>
                  <w:tcW w:w="459" w:type="pct"/>
                  <w:tcBorders>
                    <w:tl2br w:val="nil"/>
                    <w:tr2bl w:val="nil"/>
                  </w:tcBorders>
                  <w:noWrap w:val="0"/>
                  <w:vAlign w:val="center"/>
                </w:tcPr>
                <w:p w14:paraId="00B71C6C">
                  <w:pPr>
                    <w:snapToGrid w:val="0"/>
                    <w:jc w:val="center"/>
                    <w:rPr>
                      <w:rFonts w:hint="eastAsia" w:ascii="Times New Roman" w:hAnsi="Times New Roman" w:eastAsia="宋体" w:cs="Times New Roman"/>
                      <w:strike w:val="0"/>
                      <w:dstrike w:val="0"/>
                      <w:color w:val="auto"/>
                      <w:sz w:val="21"/>
                      <w:szCs w:val="21"/>
                      <w:highlight w:val="none"/>
                      <w:u w:val="none"/>
                    </w:rPr>
                  </w:pPr>
                  <w:r>
                    <w:rPr>
                      <w:rFonts w:hint="eastAsia"/>
                      <w:b w:val="0"/>
                      <w:bCs w:val="0"/>
                      <w:lang w:val="en-US" w:eastAsia="zh-CN"/>
                    </w:rPr>
                    <w:t>mL</w:t>
                  </w:r>
                </w:p>
              </w:tc>
              <w:tc>
                <w:tcPr>
                  <w:tcW w:w="542" w:type="pct"/>
                  <w:tcBorders>
                    <w:tl2br w:val="nil"/>
                    <w:tr2bl w:val="nil"/>
                  </w:tcBorders>
                  <w:noWrap w:val="0"/>
                  <w:vAlign w:val="center"/>
                </w:tcPr>
                <w:p w14:paraId="6BACC265">
                  <w:pPr>
                    <w:snapToGrid w:val="0"/>
                    <w:jc w:val="center"/>
                    <w:rPr>
                      <w:rFonts w:hint="default" w:ascii="Times New Roman" w:hAnsi="Times New Roman" w:cs="Times New Roman"/>
                      <w:lang w:val="en-US" w:eastAsia="zh-CN"/>
                    </w:rPr>
                  </w:pPr>
                  <w:r>
                    <w:rPr>
                      <w:rFonts w:hint="default" w:ascii="Times New Roman" w:hAnsi="Times New Roman" w:cs="Times New Roman"/>
                      <w:lang w:val="en-US" w:eastAsia="zh-CN"/>
                    </w:rPr>
                    <w:t>2000</w:t>
                  </w:r>
                </w:p>
              </w:tc>
              <w:tc>
                <w:tcPr>
                  <w:tcW w:w="576" w:type="pct"/>
                  <w:tcBorders>
                    <w:tl2br w:val="nil"/>
                    <w:tr2bl w:val="nil"/>
                  </w:tcBorders>
                  <w:noWrap w:val="0"/>
                  <w:vAlign w:val="center"/>
                </w:tcPr>
                <w:p w14:paraId="5310468A">
                  <w:pPr>
                    <w:snapToGrid w:val="0"/>
                    <w:jc w:val="center"/>
                    <w:rPr>
                      <w:rFonts w:hint="default"/>
                      <w:lang w:val="en-US" w:eastAsia="zh-CN"/>
                    </w:rPr>
                  </w:pPr>
                  <w:r>
                    <w:rPr>
                      <w:rFonts w:hint="default"/>
                      <w:lang w:val="en-US" w:eastAsia="zh-CN"/>
                    </w:rPr>
                    <w:t>500</w:t>
                  </w:r>
                </w:p>
              </w:tc>
              <w:tc>
                <w:tcPr>
                  <w:tcW w:w="794" w:type="pct"/>
                  <w:vMerge w:val="restart"/>
                  <w:tcBorders>
                    <w:tl2br w:val="nil"/>
                    <w:tr2bl w:val="nil"/>
                  </w:tcBorders>
                  <w:noWrap w:val="0"/>
                  <w:vAlign w:val="center"/>
                </w:tcPr>
                <w:p w14:paraId="677114AB">
                  <w:pPr>
                    <w:snapToGrid w:val="0"/>
                    <w:jc w:val="center"/>
                    <w:rPr>
                      <w:rFonts w:hint="eastAsia"/>
                      <w:lang w:val="en-US" w:eastAsia="zh-CN"/>
                    </w:rPr>
                  </w:pPr>
                  <w:r>
                    <w:rPr>
                      <w:rFonts w:hint="eastAsia"/>
                      <w:lang w:val="en-US" w:eastAsia="zh-CN"/>
                    </w:rPr>
                    <w:t>化验分析室危化品试剂储存区域</w:t>
                  </w:r>
                </w:p>
              </w:tc>
              <w:tc>
                <w:tcPr>
                  <w:tcW w:w="626" w:type="pct"/>
                  <w:tcBorders>
                    <w:tl2br w:val="nil"/>
                    <w:tr2bl w:val="nil"/>
                  </w:tcBorders>
                  <w:noWrap w:val="0"/>
                  <w:vAlign w:val="center"/>
                </w:tcPr>
                <w:p w14:paraId="245E387E">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30E4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0C8A6B6D">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s="Times New Roman"/>
                      <w:color w:val="auto"/>
                      <w:sz w:val="21"/>
                      <w:szCs w:val="21"/>
                      <w:highlight w:val="none"/>
                      <w:u w:val="none"/>
                      <w:lang w:val="en-US" w:eastAsia="zh-CN"/>
                    </w:rPr>
                    <w:t>7</w:t>
                  </w:r>
                </w:p>
              </w:tc>
              <w:tc>
                <w:tcPr>
                  <w:tcW w:w="522" w:type="pct"/>
                  <w:vMerge w:val="continue"/>
                  <w:tcBorders>
                    <w:tl2br w:val="nil"/>
                    <w:tr2bl w:val="nil"/>
                  </w:tcBorders>
                  <w:noWrap w:val="0"/>
                  <w:vAlign w:val="center"/>
                </w:tcPr>
                <w:p w14:paraId="2B1D86BE">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noWrap w:val="0"/>
                  <w:vAlign w:val="center"/>
                </w:tcPr>
                <w:p w14:paraId="561DBD47">
                  <w:pPr>
                    <w:snapToGrid w:val="0"/>
                    <w:jc w:val="center"/>
                    <w:rPr>
                      <w:rFonts w:hint="eastAsia" w:eastAsia="宋体"/>
                      <w:lang w:val="en-US" w:eastAsia="zh-CN"/>
                    </w:rPr>
                  </w:pPr>
                  <w:r>
                    <w:rPr>
                      <w:rFonts w:hint="eastAsia"/>
                      <w:lang w:val="en-US" w:eastAsia="zh-CN"/>
                    </w:rPr>
                    <w:t>硝酸</w:t>
                  </w:r>
                  <w:r>
                    <w:rPr>
                      <w:rFonts w:hint="eastAsia"/>
                      <w:lang w:eastAsia="zh-CN"/>
                    </w:rPr>
                    <w:t>（</w:t>
                  </w:r>
                  <w:r>
                    <w:rPr>
                      <w:rFonts w:hint="eastAsia"/>
                      <w:lang w:val="en-US" w:eastAsia="zh-CN"/>
                    </w:rPr>
                    <w:t>68%</w:t>
                  </w:r>
                  <w:r>
                    <w:rPr>
                      <w:rFonts w:hint="eastAsia"/>
                      <w:lang w:eastAsia="zh-CN"/>
                    </w:rPr>
                    <w:t>）</w:t>
                  </w:r>
                </w:p>
              </w:tc>
              <w:tc>
                <w:tcPr>
                  <w:tcW w:w="459" w:type="pct"/>
                  <w:tcBorders>
                    <w:tl2br w:val="nil"/>
                    <w:tr2bl w:val="nil"/>
                  </w:tcBorders>
                  <w:noWrap w:val="0"/>
                  <w:vAlign w:val="center"/>
                </w:tcPr>
                <w:p w14:paraId="0223A829">
                  <w:pPr>
                    <w:snapToGrid w:val="0"/>
                    <w:jc w:val="center"/>
                    <w:rPr>
                      <w:rFonts w:hint="eastAsia" w:ascii="Times New Roman" w:hAnsi="Times New Roman" w:eastAsia="宋体" w:cs="Times New Roman"/>
                      <w:strike w:val="0"/>
                      <w:dstrike w:val="0"/>
                      <w:color w:val="auto"/>
                      <w:sz w:val="21"/>
                      <w:szCs w:val="21"/>
                      <w:highlight w:val="none"/>
                      <w:u w:val="none"/>
                    </w:rPr>
                  </w:pPr>
                  <w:r>
                    <w:rPr>
                      <w:rFonts w:hint="eastAsia"/>
                      <w:b w:val="0"/>
                      <w:bCs w:val="0"/>
                      <w:lang w:val="en-US" w:eastAsia="zh-CN"/>
                    </w:rPr>
                    <w:t>mL</w:t>
                  </w:r>
                </w:p>
              </w:tc>
              <w:tc>
                <w:tcPr>
                  <w:tcW w:w="542" w:type="pct"/>
                  <w:tcBorders>
                    <w:tl2br w:val="nil"/>
                    <w:tr2bl w:val="nil"/>
                  </w:tcBorders>
                  <w:noWrap w:val="0"/>
                  <w:vAlign w:val="center"/>
                </w:tcPr>
                <w:p w14:paraId="644747F1">
                  <w:pPr>
                    <w:snapToGrid w:val="0"/>
                    <w:jc w:val="center"/>
                    <w:rPr>
                      <w:rFonts w:hint="default" w:ascii="Times New Roman" w:hAnsi="Times New Roman" w:cs="Times New Roman"/>
                      <w:lang w:val="en-US" w:eastAsia="zh-CN"/>
                    </w:rPr>
                  </w:pPr>
                  <w:r>
                    <w:rPr>
                      <w:rFonts w:hint="default" w:ascii="Times New Roman" w:hAnsi="Times New Roman" w:cs="Times New Roman"/>
                      <w:lang w:val="en-US" w:eastAsia="zh-CN"/>
                    </w:rPr>
                    <w:t>500</w:t>
                  </w:r>
                </w:p>
              </w:tc>
              <w:tc>
                <w:tcPr>
                  <w:tcW w:w="576" w:type="pct"/>
                  <w:tcBorders>
                    <w:tl2br w:val="nil"/>
                    <w:tr2bl w:val="nil"/>
                  </w:tcBorders>
                  <w:noWrap w:val="0"/>
                  <w:vAlign w:val="center"/>
                </w:tcPr>
                <w:p w14:paraId="70382225">
                  <w:pPr>
                    <w:snapToGrid w:val="0"/>
                    <w:jc w:val="center"/>
                    <w:rPr>
                      <w:rFonts w:hint="default"/>
                      <w:lang w:val="en-US" w:eastAsia="zh-CN"/>
                    </w:rPr>
                  </w:pPr>
                  <w:r>
                    <w:rPr>
                      <w:rFonts w:hint="default"/>
                      <w:lang w:val="en-US" w:eastAsia="zh-CN"/>
                    </w:rPr>
                    <w:t>300</w:t>
                  </w:r>
                </w:p>
              </w:tc>
              <w:tc>
                <w:tcPr>
                  <w:tcW w:w="794" w:type="pct"/>
                  <w:vMerge w:val="continue"/>
                  <w:tcBorders>
                    <w:tl2br w:val="nil"/>
                    <w:tr2bl w:val="nil"/>
                  </w:tcBorders>
                  <w:noWrap w:val="0"/>
                  <w:vAlign w:val="center"/>
                </w:tcPr>
                <w:p w14:paraId="750A06AB">
                  <w:pPr>
                    <w:snapToGrid w:val="0"/>
                    <w:jc w:val="center"/>
                    <w:rPr>
                      <w:rFonts w:hint="eastAsia"/>
                      <w:lang w:val="en-US" w:eastAsia="zh-CN"/>
                    </w:rPr>
                  </w:pPr>
                </w:p>
              </w:tc>
              <w:tc>
                <w:tcPr>
                  <w:tcW w:w="626" w:type="pct"/>
                  <w:tcBorders>
                    <w:tl2br w:val="nil"/>
                    <w:tr2bl w:val="nil"/>
                  </w:tcBorders>
                  <w:noWrap w:val="0"/>
                  <w:vAlign w:val="center"/>
                </w:tcPr>
                <w:p w14:paraId="297BED05">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110C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193D399D">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2"/>
                      <w:sz w:val="21"/>
                      <w:szCs w:val="21"/>
                      <w:u w:val="none"/>
                      <w:lang w:val="en-US" w:eastAsia="zh-CN" w:bidi="ar-SA"/>
                    </w:rPr>
                    <w:t>8</w:t>
                  </w:r>
                </w:p>
              </w:tc>
              <w:tc>
                <w:tcPr>
                  <w:tcW w:w="522" w:type="pct"/>
                  <w:vMerge w:val="continue"/>
                  <w:tcBorders>
                    <w:tl2br w:val="nil"/>
                    <w:tr2bl w:val="nil"/>
                  </w:tcBorders>
                  <w:noWrap w:val="0"/>
                  <w:vAlign w:val="center"/>
                </w:tcPr>
                <w:p w14:paraId="635282CA">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noWrap w:val="0"/>
                  <w:vAlign w:val="center"/>
                </w:tcPr>
                <w:p w14:paraId="062BDB89">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rPr>
                    <w:t>硫酸</w:t>
                  </w:r>
                  <w:r>
                    <w:rPr>
                      <w:rFonts w:hint="eastAsia"/>
                      <w:lang w:eastAsia="zh-CN"/>
                    </w:rPr>
                    <w:t>（</w:t>
                  </w:r>
                  <w:r>
                    <w:rPr>
                      <w:rFonts w:hint="eastAsia"/>
                      <w:lang w:val="en-US" w:eastAsia="zh-CN"/>
                    </w:rPr>
                    <w:t>98%</w:t>
                  </w:r>
                  <w:r>
                    <w:rPr>
                      <w:rFonts w:hint="eastAsia"/>
                      <w:lang w:eastAsia="zh-CN"/>
                    </w:rPr>
                    <w:t>）</w:t>
                  </w:r>
                </w:p>
              </w:tc>
              <w:tc>
                <w:tcPr>
                  <w:tcW w:w="459" w:type="pct"/>
                  <w:tcBorders>
                    <w:tl2br w:val="nil"/>
                    <w:tr2bl w:val="nil"/>
                  </w:tcBorders>
                  <w:noWrap w:val="0"/>
                  <w:vAlign w:val="center"/>
                </w:tcPr>
                <w:p w14:paraId="06DEDCAC">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b w:val="0"/>
                      <w:bCs w:val="0"/>
                      <w:lang w:val="en-US" w:eastAsia="zh-CN"/>
                    </w:rPr>
                    <w:t>mL</w:t>
                  </w:r>
                </w:p>
              </w:tc>
              <w:tc>
                <w:tcPr>
                  <w:tcW w:w="542" w:type="pct"/>
                  <w:tcBorders>
                    <w:tl2br w:val="nil"/>
                    <w:tr2bl w:val="nil"/>
                  </w:tcBorders>
                  <w:noWrap w:val="0"/>
                  <w:vAlign w:val="center"/>
                </w:tcPr>
                <w:p w14:paraId="6B040282">
                  <w:pPr>
                    <w:snapToGrid w:val="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b w:val="0"/>
                      <w:bCs w:val="0"/>
                      <w:lang w:val="en-US" w:eastAsia="zh-CN"/>
                    </w:rPr>
                    <w:t>5000</w:t>
                  </w:r>
                </w:p>
              </w:tc>
              <w:tc>
                <w:tcPr>
                  <w:tcW w:w="576" w:type="pct"/>
                  <w:tcBorders>
                    <w:tl2br w:val="nil"/>
                    <w:tr2bl w:val="nil"/>
                  </w:tcBorders>
                  <w:noWrap w:val="0"/>
                  <w:vAlign w:val="center"/>
                </w:tcPr>
                <w:p w14:paraId="395F763D">
                  <w:pPr>
                    <w:snapToGrid w:val="0"/>
                    <w:jc w:val="center"/>
                    <w:rPr>
                      <w:rFonts w:hint="default"/>
                      <w:lang w:val="en-US" w:eastAsia="zh-CN"/>
                    </w:rPr>
                  </w:pPr>
                  <w:r>
                    <w:rPr>
                      <w:rFonts w:hint="eastAsia"/>
                      <w:lang w:val="en-US" w:eastAsia="zh-CN"/>
                    </w:rPr>
                    <w:t>400</w:t>
                  </w:r>
                </w:p>
              </w:tc>
              <w:tc>
                <w:tcPr>
                  <w:tcW w:w="794" w:type="pct"/>
                  <w:vMerge w:val="continue"/>
                  <w:tcBorders>
                    <w:tl2br w:val="nil"/>
                    <w:tr2bl w:val="nil"/>
                  </w:tcBorders>
                  <w:noWrap w:val="0"/>
                  <w:vAlign w:val="center"/>
                </w:tcPr>
                <w:p w14:paraId="2CDADC52">
                  <w:pPr>
                    <w:snapToGrid w:val="0"/>
                    <w:jc w:val="center"/>
                    <w:rPr>
                      <w:rFonts w:hint="default"/>
                      <w:lang w:val="en-US" w:eastAsia="zh-CN"/>
                    </w:rPr>
                  </w:pPr>
                </w:p>
              </w:tc>
              <w:tc>
                <w:tcPr>
                  <w:tcW w:w="626" w:type="pct"/>
                  <w:tcBorders>
                    <w:tl2br w:val="nil"/>
                    <w:tr2bl w:val="nil"/>
                  </w:tcBorders>
                  <w:noWrap w:val="0"/>
                  <w:vAlign w:val="center"/>
                </w:tcPr>
                <w:p w14:paraId="12BDCE86">
                  <w:pPr>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64EA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6ECBBB64">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2"/>
                      <w:sz w:val="21"/>
                      <w:szCs w:val="21"/>
                      <w:u w:val="none"/>
                      <w:lang w:val="en-US" w:eastAsia="zh-CN" w:bidi="ar-SA"/>
                    </w:rPr>
                    <w:t>9</w:t>
                  </w:r>
                </w:p>
              </w:tc>
              <w:tc>
                <w:tcPr>
                  <w:tcW w:w="522" w:type="pct"/>
                  <w:vMerge w:val="continue"/>
                  <w:tcBorders>
                    <w:tl2br w:val="nil"/>
                    <w:tr2bl w:val="nil"/>
                  </w:tcBorders>
                  <w:noWrap w:val="0"/>
                  <w:vAlign w:val="center"/>
                </w:tcPr>
                <w:p w14:paraId="4058C403">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noWrap w:val="0"/>
                  <w:vAlign w:val="center"/>
                </w:tcPr>
                <w:p w14:paraId="1D9261B7">
                  <w:pPr>
                    <w:snapToGrid w:val="0"/>
                    <w:jc w:val="center"/>
                    <w:rPr>
                      <w:rFonts w:hint="eastAsia" w:eastAsia="宋体"/>
                      <w:lang w:val="en-US" w:eastAsia="zh-CN"/>
                    </w:rPr>
                  </w:pPr>
                  <w:r>
                    <w:rPr>
                      <w:rFonts w:hint="eastAsia"/>
                      <w:lang w:val="en-US" w:eastAsia="zh-CN"/>
                    </w:rPr>
                    <w:t>氨水</w:t>
                  </w:r>
                  <w:r>
                    <w:rPr>
                      <w:rFonts w:hint="eastAsia"/>
                      <w:lang w:eastAsia="zh-CN"/>
                    </w:rPr>
                    <w:t>（</w:t>
                  </w:r>
                  <w:r>
                    <w:rPr>
                      <w:rFonts w:hint="eastAsia"/>
                      <w:lang w:val="en-US" w:eastAsia="zh-CN"/>
                    </w:rPr>
                    <w:t>29%</w:t>
                  </w:r>
                  <w:r>
                    <w:rPr>
                      <w:rFonts w:hint="eastAsia"/>
                      <w:lang w:eastAsia="zh-CN"/>
                    </w:rPr>
                    <w:t>）</w:t>
                  </w:r>
                </w:p>
              </w:tc>
              <w:tc>
                <w:tcPr>
                  <w:tcW w:w="459" w:type="pct"/>
                  <w:tcBorders>
                    <w:tl2br w:val="nil"/>
                    <w:tr2bl w:val="nil"/>
                  </w:tcBorders>
                  <w:noWrap w:val="0"/>
                  <w:vAlign w:val="center"/>
                </w:tcPr>
                <w:p w14:paraId="2E0B5929">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b w:val="0"/>
                      <w:bCs w:val="0"/>
                      <w:lang w:val="en-US" w:eastAsia="zh-CN"/>
                    </w:rPr>
                    <w:t>mL</w:t>
                  </w:r>
                </w:p>
              </w:tc>
              <w:tc>
                <w:tcPr>
                  <w:tcW w:w="542" w:type="pct"/>
                  <w:tcBorders>
                    <w:tl2br w:val="nil"/>
                    <w:tr2bl w:val="nil"/>
                  </w:tcBorders>
                  <w:noWrap w:val="0"/>
                  <w:vAlign w:val="center"/>
                </w:tcPr>
                <w:p w14:paraId="4EA478B3">
                  <w:pPr>
                    <w:snapToGrid w:val="0"/>
                    <w:jc w:val="center"/>
                    <w:rPr>
                      <w:rFonts w:hint="eastAsia"/>
                      <w:b w:val="0"/>
                      <w:bCs w:val="0"/>
                      <w:lang w:val="en-US" w:eastAsia="zh-CN"/>
                    </w:rPr>
                  </w:pPr>
                  <w:r>
                    <w:rPr>
                      <w:rFonts w:hint="eastAsia"/>
                      <w:b w:val="0"/>
                      <w:bCs w:val="0"/>
                      <w:lang w:val="en-US" w:eastAsia="zh-CN"/>
                    </w:rPr>
                    <w:t>1000</w:t>
                  </w:r>
                </w:p>
              </w:tc>
              <w:tc>
                <w:tcPr>
                  <w:tcW w:w="576" w:type="pct"/>
                  <w:tcBorders>
                    <w:tl2br w:val="nil"/>
                    <w:tr2bl w:val="nil"/>
                  </w:tcBorders>
                  <w:noWrap w:val="0"/>
                  <w:vAlign w:val="center"/>
                </w:tcPr>
                <w:p w14:paraId="5B8607D2">
                  <w:pPr>
                    <w:snapToGrid w:val="0"/>
                    <w:jc w:val="center"/>
                    <w:rPr>
                      <w:rFonts w:hint="eastAsia"/>
                      <w:lang w:val="en-US" w:eastAsia="zh-CN"/>
                    </w:rPr>
                  </w:pPr>
                  <w:r>
                    <w:rPr>
                      <w:rFonts w:hint="eastAsia"/>
                      <w:lang w:val="en-US" w:eastAsia="zh-CN"/>
                    </w:rPr>
                    <w:t>500</w:t>
                  </w:r>
                </w:p>
              </w:tc>
              <w:tc>
                <w:tcPr>
                  <w:tcW w:w="794" w:type="pct"/>
                  <w:vMerge w:val="continue"/>
                  <w:tcBorders>
                    <w:tl2br w:val="nil"/>
                    <w:tr2bl w:val="nil"/>
                  </w:tcBorders>
                  <w:noWrap w:val="0"/>
                  <w:vAlign w:val="center"/>
                </w:tcPr>
                <w:p w14:paraId="5C464618">
                  <w:pPr>
                    <w:snapToGrid w:val="0"/>
                    <w:jc w:val="center"/>
                    <w:rPr>
                      <w:rFonts w:hint="default"/>
                      <w:lang w:val="en-US" w:eastAsia="zh-CN"/>
                    </w:rPr>
                  </w:pPr>
                </w:p>
              </w:tc>
              <w:tc>
                <w:tcPr>
                  <w:tcW w:w="626" w:type="pct"/>
                  <w:tcBorders>
                    <w:tl2br w:val="nil"/>
                    <w:tr2bl w:val="nil"/>
                  </w:tcBorders>
                  <w:noWrap w:val="0"/>
                  <w:vAlign w:val="center"/>
                </w:tcPr>
                <w:p w14:paraId="7B0BD2C8">
                  <w:pPr>
                    <w:snapToGrid w:val="0"/>
                    <w:jc w:val="center"/>
                    <w:rPr>
                      <w:rFonts w:hint="eastAsia"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0977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43C50A91">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2"/>
                      <w:sz w:val="21"/>
                      <w:szCs w:val="21"/>
                      <w:u w:val="none"/>
                      <w:lang w:val="en-US" w:eastAsia="zh-CN" w:bidi="ar-SA"/>
                    </w:rPr>
                    <w:t>10</w:t>
                  </w:r>
                </w:p>
              </w:tc>
              <w:tc>
                <w:tcPr>
                  <w:tcW w:w="522" w:type="pct"/>
                  <w:vMerge w:val="continue"/>
                  <w:tcBorders>
                    <w:tl2br w:val="nil"/>
                    <w:tr2bl w:val="nil"/>
                  </w:tcBorders>
                  <w:noWrap w:val="0"/>
                  <w:vAlign w:val="center"/>
                </w:tcPr>
                <w:p w14:paraId="6D337D61">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noWrap w:val="0"/>
                  <w:vAlign w:val="center"/>
                </w:tcPr>
                <w:p w14:paraId="65D173E6">
                  <w:pPr>
                    <w:snapToGrid w:val="0"/>
                    <w:jc w:val="center"/>
                    <w:rPr>
                      <w:rFonts w:hint="eastAsia"/>
                    </w:rPr>
                  </w:pPr>
                  <w:r>
                    <w:rPr>
                      <w:rFonts w:hint="eastAsia"/>
                      <w:lang w:eastAsia="zh-CN"/>
                    </w:rPr>
                    <w:t>氢氧化钠（</w:t>
                  </w:r>
                  <w:r>
                    <w:rPr>
                      <w:rFonts w:hint="eastAsia"/>
                      <w:lang w:val="en-US" w:eastAsia="zh-CN"/>
                    </w:rPr>
                    <w:t>32%</w:t>
                  </w:r>
                  <w:r>
                    <w:rPr>
                      <w:rFonts w:hint="eastAsia"/>
                      <w:lang w:eastAsia="zh-CN"/>
                    </w:rPr>
                    <w:t>）</w:t>
                  </w:r>
                </w:p>
              </w:tc>
              <w:tc>
                <w:tcPr>
                  <w:tcW w:w="459" w:type="pct"/>
                  <w:tcBorders>
                    <w:tl2br w:val="nil"/>
                    <w:tr2bl w:val="nil"/>
                  </w:tcBorders>
                  <w:noWrap w:val="0"/>
                  <w:vAlign w:val="center"/>
                </w:tcPr>
                <w:p w14:paraId="190C379B">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b w:val="0"/>
                      <w:bCs w:val="0"/>
                      <w:lang w:val="en-US" w:eastAsia="zh-CN"/>
                    </w:rPr>
                    <w:t>mL</w:t>
                  </w:r>
                </w:p>
              </w:tc>
              <w:tc>
                <w:tcPr>
                  <w:tcW w:w="542" w:type="pct"/>
                  <w:tcBorders>
                    <w:tl2br w:val="nil"/>
                    <w:tr2bl w:val="nil"/>
                  </w:tcBorders>
                  <w:shd w:val="clear" w:color="auto" w:fill="auto"/>
                  <w:noWrap w:val="0"/>
                  <w:vAlign w:val="center"/>
                </w:tcPr>
                <w:p w14:paraId="39443EEC">
                  <w:pPr>
                    <w:snapToGrid w:val="0"/>
                    <w:jc w:val="center"/>
                    <w:rPr>
                      <w:rFonts w:hint="eastAsia" w:ascii="Times New Roman" w:hAnsi="Times New Roman" w:eastAsia="宋体" w:cs="Times New Roman"/>
                      <w:b w:val="0"/>
                      <w:bCs w:val="0"/>
                      <w:kern w:val="2"/>
                      <w:sz w:val="21"/>
                      <w:szCs w:val="24"/>
                      <w:lang w:val="en-US" w:eastAsia="zh-CN" w:bidi="ar-SA"/>
                    </w:rPr>
                  </w:pPr>
                  <w:r>
                    <w:rPr>
                      <w:rFonts w:hint="eastAsia"/>
                      <w:b w:val="0"/>
                      <w:bCs w:val="0"/>
                      <w:lang w:val="en-US" w:eastAsia="zh-CN"/>
                    </w:rPr>
                    <w:t>1000</w:t>
                  </w:r>
                </w:p>
              </w:tc>
              <w:tc>
                <w:tcPr>
                  <w:tcW w:w="576" w:type="pct"/>
                  <w:tcBorders>
                    <w:tl2br w:val="nil"/>
                    <w:tr2bl w:val="nil"/>
                  </w:tcBorders>
                  <w:shd w:val="clear" w:color="auto" w:fill="auto"/>
                  <w:noWrap w:val="0"/>
                  <w:vAlign w:val="center"/>
                </w:tcPr>
                <w:p w14:paraId="48D85914">
                  <w:pPr>
                    <w:snapToGrid w:val="0"/>
                    <w:jc w:val="center"/>
                    <w:rPr>
                      <w:rFonts w:hint="eastAsia" w:ascii="Times New Roman" w:hAnsi="Times New Roman" w:eastAsia="宋体" w:cs="Times New Roman"/>
                      <w:b w:val="0"/>
                      <w:bCs w:val="0"/>
                      <w:kern w:val="2"/>
                      <w:sz w:val="21"/>
                      <w:szCs w:val="24"/>
                      <w:lang w:val="en-US" w:eastAsia="zh-CN" w:bidi="ar-SA"/>
                    </w:rPr>
                  </w:pPr>
                  <w:r>
                    <w:rPr>
                      <w:rFonts w:hint="eastAsia"/>
                      <w:b w:val="0"/>
                      <w:bCs w:val="0"/>
                      <w:lang w:val="en-US" w:eastAsia="zh-CN"/>
                    </w:rPr>
                    <w:t>500</w:t>
                  </w:r>
                </w:p>
              </w:tc>
              <w:tc>
                <w:tcPr>
                  <w:tcW w:w="794" w:type="pct"/>
                  <w:vMerge w:val="continue"/>
                  <w:tcBorders>
                    <w:tl2br w:val="nil"/>
                    <w:tr2bl w:val="nil"/>
                  </w:tcBorders>
                  <w:noWrap w:val="0"/>
                  <w:vAlign w:val="center"/>
                </w:tcPr>
                <w:p w14:paraId="052A611A">
                  <w:pPr>
                    <w:snapToGrid w:val="0"/>
                    <w:jc w:val="center"/>
                    <w:rPr>
                      <w:rFonts w:hint="default" w:ascii="Times New Roman" w:hAnsi="Times New Roman" w:eastAsia="宋体" w:cs="Times New Roman"/>
                      <w:color w:val="auto"/>
                      <w:kern w:val="2"/>
                      <w:sz w:val="21"/>
                      <w:szCs w:val="21"/>
                      <w:highlight w:val="none"/>
                      <w:u w:val="none"/>
                      <w:lang w:val="en-US" w:eastAsia="zh-CN" w:bidi="ar-SA"/>
                    </w:rPr>
                  </w:pPr>
                </w:p>
              </w:tc>
              <w:tc>
                <w:tcPr>
                  <w:tcW w:w="626" w:type="pct"/>
                  <w:tcBorders>
                    <w:tl2br w:val="nil"/>
                    <w:tr2bl w:val="nil"/>
                  </w:tcBorders>
                  <w:noWrap w:val="0"/>
                  <w:vAlign w:val="center"/>
                </w:tcPr>
                <w:p w14:paraId="28EBA908">
                  <w:pPr>
                    <w:snapToGrid w:val="0"/>
                    <w:jc w:val="center"/>
                    <w:rPr>
                      <w:rFonts w:hint="eastAsia"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43AF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418E3527">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2"/>
                      <w:sz w:val="21"/>
                      <w:szCs w:val="21"/>
                      <w:u w:val="none"/>
                      <w:lang w:val="en-US" w:eastAsia="zh-CN" w:bidi="ar-SA"/>
                    </w:rPr>
                    <w:t>11</w:t>
                  </w:r>
                </w:p>
              </w:tc>
              <w:tc>
                <w:tcPr>
                  <w:tcW w:w="522" w:type="pct"/>
                  <w:vMerge w:val="continue"/>
                  <w:tcBorders>
                    <w:tl2br w:val="nil"/>
                    <w:tr2bl w:val="nil"/>
                  </w:tcBorders>
                  <w:noWrap w:val="0"/>
                  <w:vAlign w:val="center"/>
                </w:tcPr>
                <w:p w14:paraId="7A587363">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noWrap w:val="0"/>
                  <w:vAlign w:val="center"/>
                </w:tcPr>
                <w:p w14:paraId="7E7A7EF8">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lang w:eastAsia="zh-CN"/>
                    </w:rPr>
                    <w:t>冰醋酸（</w:t>
                  </w:r>
                  <w:r>
                    <w:rPr>
                      <w:rFonts w:hint="eastAsia"/>
                      <w:lang w:val="en-US" w:eastAsia="zh-CN"/>
                    </w:rPr>
                    <w:t>99%</w:t>
                  </w:r>
                  <w:r>
                    <w:rPr>
                      <w:rFonts w:hint="eastAsia"/>
                      <w:lang w:eastAsia="zh-CN"/>
                    </w:rPr>
                    <w:t>）</w:t>
                  </w:r>
                </w:p>
              </w:tc>
              <w:tc>
                <w:tcPr>
                  <w:tcW w:w="459" w:type="pct"/>
                  <w:tcBorders>
                    <w:tl2br w:val="nil"/>
                    <w:tr2bl w:val="nil"/>
                  </w:tcBorders>
                  <w:noWrap w:val="0"/>
                  <w:vAlign w:val="center"/>
                </w:tcPr>
                <w:p w14:paraId="40F7545F">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b w:val="0"/>
                      <w:bCs w:val="0"/>
                      <w:lang w:val="en-US" w:eastAsia="zh-CN"/>
                    </w:rPr>
                    <w:t>mL</w:t>
                  </w:r>
                </w:p>
              </w:tc>
              <w:tc>
                <w:tcPr>
                  <w:tcW w:w="542" w:type="pct"/>
                  <w:tcBorders>
                    <w:tl2br w:val="nil"/>
                    <w:tr2bl w:val="nil"/>
                  </w:tcBorders>
                  <w:noWrap w:val="0"/>
                  <w:vAlign w:val="center"/>
                </w:tcPr>
                <w:p w14:paraId="617CDCE0">
                  <w:pPr>
                    <w:snapToGrid w:val="0"/>
                    <w:jc w:val="center"/>
                    <w:rPr>
                      <w:rFonts w:hint="default"/>
                      <w:b w:val="0"/>
                      <w:bCs w:val="0"/>
                      <w:lang w:val="en-US" w:eastAsia="zh-CN"/>
                    </w:rPr>
                  </w:pPr>
                  <w:r>
                    <w:rPr>
                      <w:rFonts w:hint="eastAsia"/>
                      <w:b w:val="0"/>
                      <w:bCs w:val="0"/>
                      <w:lang w:val="en-US" w:eastAsia="zh-CN"/>
                    </w:rPr>
                    <w:t>1000</w:t>
                  </w:r>
                </w:p>
              </w:tc>
              <w:tc>
                <w:tcPr>
                  <w:tcW w:w="576" w:type="pct"/>
                  <w:tcBorders>
                    <w:tl2br w:val="nil"/>
                    <w:tr2bl w:val="nil"/>
                  </w:tcBorders>
                  <w:noWrap w:val="0"/>
                  <w:vAlign w:val="center"/>
                </w:tcPr>
                <w:p w14:paraId="62EC5ADE">
                  <w:pPr>
                    <w:snapToGrid w:val="0"/>
                    <w:jc w:val="center"/>
                    <w:rPr>
                      <w:rFonts w:hint="default"/>
                      <w:b w:val="0"/>
                      <w:bCs w:val="0"/>
                      <w:lang w:val="en-US" w:eastAsia="zh-CN"/>
                    </w:rPr>
                  </w:pPr>
                  <w:r>
                    <w:rPr>
                      <w:rFonts w:hint="eastAsia"/>
                      <w:b w:val="0"/>
                      <w:bCs w:val="0"/>
                      <w:lang w:val="en-US" w:eastAsia="zh-CN"/>
                    </w:rPr>
                    <w:t>100</w:t>
                  </w:r>
                </w:p>
              </w:tc>
              <w:tc>
                <w:tcPr>
                  <w:tcW w:w="794" w:type="pct"/>
                  <w:vMerge w:val="continue"/>
                  <w:tcBorders>
                    <w:tl2br w:val="nil"/>
                    <w:tr2bl w:val="nil"/>
                  </w:tcBorders>
                  <w:noWrap w:val="0"/>
                  <w:vAlign w:val="center"/>
                </w:tcPr>
                <w:p w14:paraId="7AEB9D28">
                  <w:pPr>
                    <w:snapToGrid w:val="0"/>
                    <w:jc w:val="center"/>
                    <w:rPr>
                      <w:rFonts w:hint="default" w:ascii="Times New Roman" w:hAnsi="Times New Roman" w:eastAsia="宋体" w:cs="Times New Roman"/>
                      <w:color w:val="auto"/>
                      <w:kern w:val="2"/>
                      <w:sz w:val="21"/>
                      <w:szCs w:val="21"/>
                      <w:highlight w:val="none"/>
                      <w:u w:val="none"/>
                      <w:lang w:val="en-US" w:eastAsia="zh-CN" w:bidi="ar-SA"/>
                    </w:rPr>
                  </w:pPr>
                </w:p>
              </w:tc>
              <w:tc>
                <w:tcPr>
                  <w:tcW w:w="626" w:type="pct"/>
                  <w:tcBorders>
                    <w:tl2br w:val="nil"/>
                    <w:tr2bl w:val="nil"/>
                  </w:tcBorders>
                  <w:noWrap w:val="0"/>
                  <w:vAlign w:val="center"/>
                </w:tcPr>
                <w:p w14:paraId="795A8A8D">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6590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6EFD30F6">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2"/>
                      <w:sz w:val="21"/>
                      <w:szCs w:val="21"/>
                      <w:u w:val="none"/>
                      <w:lang w:val="en-US" w:eastAsia="zh-CN" w:bidi="ar-SA"/>
                    </w:rPr>
                    <w:t>12</w:t>
                  </w:r>
                </w:p>
              </w:tc>
              <w:tc>
                <w:tcPr>
                  <w:tcW w:w="522" w:type="pct"/>
                  <w:vMerge w:val="continue"/>
                  <w:tcBorders>
                    <w:tl2br w:val="nil"/>
                    <w:tr2bl w:val="nil"/>
                  </w:tcBorders>
                  <w:noWrap w:val="0"/>
                  <w:vAlign w:val="center"/>
                </w:tcPr>
                <w:p w14:paraId="5F72DF0C">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noWrap w:val="0"/>
                  <w:vAlign w:val="center"/>
                </w:tcPr>
                <w:p w14:paraId="6CBD8B41">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rPr>
                    <w:t>纳氏试剂</w:t>
                  </w:r>
                </w:p>
              </w:tc>
              <w:tc>
                <w:tcPr>
                  <w:tcW w:w="459" w:type="pct"/>
                  <w:tcBorders>
                    <w:tl2br w:val="nil"/>
                    <w:tr2bl w:val="nil"/>
                  </w:tcBorders>
                  <w:noWrap w:val="0"/>
                  <w:vAlign w:val="center"/>
                </w:tcPr>
                <w:p w14:paraId="6B21E881">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b w:val="0"/>
                      <w:bCs w:val="0"/>
                      <w:lang w:val="en-US" w:eastAsia="zh-CN"/>
                    </w:rPr>
                    <w:t>mL</w:t>
                  </w:r>
                </w:p>
              </w:tc>
              <w:tc>
                <w:tcPr>
                  <w:tcW w:w="542" w:type="pct"/>
                  <w:tcBorders>
                    <w:tl2br w:val="nil"/>
                    <w:tr2bl w:val="nil"/>
                  </w:tcBorders>
                  <w:noWrap w:val="0"/>
                  <w:vAlign w:val="center"/>
                </w:tcPr>
                <w:p w14:paraId="4585FE9E">
                  <w:pPr>
                    <w:snapToGrid w:val="0"/>
                    <w:jc w:val="center"/>
                    <w:rPr>
                      <w:rFonts w:hint="default"/>
                      <w:b w:val="0"/>
                      <w:bCs w:val="0"/>
                      <w:lang w:val="en-US" w:eastAsia="zh-CN"/>
                    </w:rPr>
                  </w:pPr>
                  <w:r>
                    <w:rPr>
                      <w:rFonts w:hint="eastAsia"/>
                      <w:b w:val="0"/>
                      <w:bCs w:val="0"/>
                      <w:lang w:val="en-US" w:eastAsia="zh-CN"/>
                    </w:rPr>
                    <w:t>1800</w:t>
                  </w:r>
                </w:p>
              </w:tc>
              <w:tc>
                <w:tcPr>
                  <w:tcW w:w="576" w:type="pct"/>
                  <w:tcBorders>
                    <w:tl2br w:val="nil"/>
                    <w:tr2bl w:val="nil"/>
                  </w:tcBorders>
                  <w:noWrap w:val="0"/>
                  <w:vAlign w:val="center"/>
                </w:tcPr>
                <w:p w14:paraId="35BDCDF8">
                  <w:pPr>
                    <w:snapToGrid w:val="0"/>
                    <w:jc w:val="center"/>
                    <w:rPr>
                      <w:rFonts w:hint="default"/>
                      <w:b w:val="0"/>
                      <w:bCs w:val="0"/>
                      <w:lang w:val="en-US" w:eastAsia="zh-CN"/>
                    </w:rPr>
                  </w:pPr>
                  <w:r>
                    <w:rPr>
                      <w:rFonts w:hint="eastAsia"/>
                      <w:b w:val="0"/>
                      <w:bCs w:val="0"/>
                      <w:lang w:val="en-US" w:eastAsia="zh-CN"/>
                    </w:rPr>
                    <w:t>300</w:t>
                  </w:r>
                </w:p>
              </w:tc>
              <w:tc>
                <w:tcPr>
                  <w:tcW w:w="794" w:type="pct"/>
                  <w:vMerge w:val="continue"/>
                  <w:tcBorders>
                    <w:tl2br w:val="nil"/>
                    <w:tr2bl w:val="nil"/>
                  </w:tcBorders>
                  <w:noWrap w:val="0"/>
                  <w:vAlign w:val="center"/>
                </w:tcPr>
                <w:p w14:paraId="472DA6E4">
                  <w:pPr>
                    <w:snapToGrid w:val="0"/>
                    <w:jc w:val="center"/>
                    <w:rPr>
                      <w:rFonts w:hint="default" w:ascii="Times New Roman" w:hAnsi="Times New Roman" w:eastAsia="宋体" w:cs="Times New Roman"/>
                      <w:color w:val="auto"/>
                      <w:kern w:val="2"/>
                      <w:sz w:val="21"/>
                      <w:szCs w:val="21"/>
                      <w:highlight w:val="none"/>
                      <w:u w:val="none"/>
                      <w:lang w:val="en-US" w:eastAsia="zh-CN" w:bidi="ar-SA"/>
                    </w:rPr>
                  </w:pPr>
                </w:p>
              </w:tc>
              <w:tc>
                <w:tcPr>
                  <w:tcW w:w="626" w:type="pct"/>
                  <w:tcBorders>
                    <w:tl2br w:val="nil"/>
                    <w:tr2bl w:val="nil"/>
                  </w:tcBorders>
                  <w:noWrap w:val="0"/>
                  <w:vAlign w:val="center"/>
                </w:tcPr>
                <w:p w14:paraId="62E3147B">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48A8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shd w:val="clear" w:color="auto" w:fill="auto"/>
                  <w:noWrap w:val="0"/>
                  <w:vAlign w:val="center"/>
                </w:tcPr>
                <w:p w14:paraId="1AE699D5">
                  <w:pPr>
                    <w:snapToGrid w:val="0"/>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2"/>
                      <w:sz w:val="21"/>
                      <w:szCs w:val="21"/>
                      <w:u w:val="none"/>
                      <w:lang w:val="en-US" w:eastAsia="zh-CN" w:bidi="ar-SA"/>
                    </w:rPr>
                    <w:t>13</w:t>
                  </w:r>
                </w:p>
              </w:tc>
              <w:tc>
                <w:tcPr>
                  <w:tcW w:w="522" w:type="pct"/>
                  <w:vMerge w:val="continue"/>
                  <w:tcBorders>
                    <w:tl2br w:val="nil"/>
                    <w:tr2bl w:val="nil"/>
                  </w:tcBorders>
                  <w:noWrap w:val="0"/>
                  <w:vAlign w:val="center"/>
                </w:tcPr>
                <w:p w14:paraId="1399D420">
                  <w:pPr>
                    <w:snapToGrid w:val="0"/>
                    <w:jc w:val="center"/>
                    <w:rPr>
                      <w:rFonts w:hint="eastAsia" w:ascii="Times New Roman" w:hAnsi="Times New Roman" w:eastAsia="宋体" w:cs="Times New Roman"/>
                      <w:color w:val="auto"/>
                      <w:sz w:val="21"/>
                      <w:szCs w:val="21"/>
                      <w:highlight w:val="none"/>
                      <w:u w:val="none"/>
                    </w:rPr>
                  </w:pPr>
                </w:p>
              </w:tc>
              <w:tc>
                <w:tcPr>
                  <w:tcW w:w="1101" w:type="pct"/>
                  <w:tcBorders>
                    <w:tl2br w:val="nil"/>
                    <w:tr2bl w:val="nil"/>
                  </w:tcBorders>
                  <w:noWrap w:val="0"/>
                  <w:vAlign w:val="center"/>
                </w:tcPr>
                <w:p w14:paraId="7102C259">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lang w:eastAsia="zh-CN"/>
                    </w:rPr>
                    <w:t>医用酒精消毒液（</w:t>
                  </w:r>
                  <w:r>
                    <w:rPr>
                      <w:rFonts w:hint="eastAsia"/>
                      <w:lang w:val="en-US" w:eastAsia="zh-CN"/>
                    </w:rPr>
                    <w:t>75%</w:t>
                  </w:r>
                  <w:r>
                    <w:rPr>
                      <w:rFonts w:hint="eastAsia"/>
                      <w:lang w:eastAsia="zh-CN"/>
                    </w:rPr>
                    <w:t>）</w:t>
                  </w:r>
                </w:p>
              </w:tc>
              <w:tc>
                <w:tcPr>
                  <w:tcW w:w="459" w:type="pct"/>
                  <w:tcBorders>
                    <w:tl2br w:val="nil"/>
                    <w:tr2bl w:val="nil"/>
                  </w:tcBorders>
                  <w:noWrap w:val="0"/>
                  <w:vAlign w:val="center"/>
                </w:tcPr>
                <w:p w14:paraId="1B957B6C">
                  <w:pPr>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b w:val="0"/>
                      <w:bCs w:val="0"/>
                      <w:lang w:val="en-US" w:eastAsia="zh-CN"/>
                    </w:rPr>
                    <w:t>mL</w:t>
                  </w:r>
                </w:p>
              </w:tc>
              <w:tc>
                <w:tcPr>
                  <w:tcW w:w="542" w:type="pct"/>
                  <w:tcBorders>
                    <w:tl2br w:val="nil"/>
                    <w:tr2bl w:val="nil"/>
                  </w:tcBorders>
                  <w:noWrap w:val="0"/>
                  <w:vAlign w:val="center"/>
                </w:tcPr>
                <w:p w14:paraId="0E53B000">
                  <w:pPr>
                    <w:snapToGrid w:val="0"/>
                    <w:jc w:val="center"/>
                    <w:rPr>
                      <w:rFonts w:hint="default"/>
                      <w:b w:val="0"/>
                      <w:bCs w:val="0"/>
                      <w:lang w:val="en-US" w:eastAsia="zh-CN"/>
                    </w:rPr>
                  </w:pPr>
                  <w:r>
                    <w:rPr>
                      <w:rFonts w:hint="eastAsia"/>
                      <w:b w:val="0"/>
                      <w:bCs w:val="0"/>
                      <w:lang w:val="en-US" w:eastAsia="zh-CN"/>
                    </w:rPr>
                    <w:t>1000</w:t>
                  </w:r>
                </w:p>
              </w:tc>
              <w:tc>
                <w:tcPr>
                  <w:tcW w:w="576" w:type="pct"/>
                  <w:tcBorders>
                    <w:tl2br w:val="nil"/>
                    <w:tr2bl w:val="nil"/>
                  </w:tcBorders>
                  <w:noWrap w:val="0"/>
                  <w:vAlign w:val="center"/>
                </w:tcPr>
                <w:p w14:paraId="65CBF539">
                  <w:pPr>
                    <w:snapToGrid w:val="0"/>
                    <w:jc w:val="center"/>
                    <w:rPr>
                      <w:rFonts w:hint="default"/>
                      <w:b w:val="0"/>
                      <w:bCs w:val="0"/>
                      <w:lang w:val="en-US" w:eastAsia="zh-CN"/>
                    </w:rPr>
                  </w:pPr>
                  <w:r>
                    <w:rPr>
                      <w:rFonts w:hint="eastAsia"/>
                      <w:b w:val="0"/>
                      <w:bCs w:val="0"/>
                      <w:lang w:val="en-US" w:eastAsia="zh-CN"/>
                    </w:rPr>
                    <w:t>1000</w:t>
                  </w:r>
                </w:p>
              </w:tc>
              <w:tc>
                <w:tcPr>
                  <w:tcW w:w="794" w:type="pct"/>
                  <w:vMerge w:val="continue"/>
                  <w:tcBorders>
                    <w:tl2br w:val="nil"/>
                    <w:tr2bl w:val="nil"/>
                  </w:tcBorders>
                  <w:noWrap w:val="0"/>
                  <w:vAlign w:val="center"/>
                </w:tcPr>
                <w:p w14:paraId="565A2920">
                  <w:pPr>
                    <w:snapToGrid w:val="0"/>
                    <w:jc w:val="center"/>
                    <w:rPr>
                      <w:rFonts w:hint="eastAsia" w:ascii="Times New Roman" w:hAnsi="Times New Roman" w:eastAsia="宋体" w:cs="Times New Roman"/>
                      <w:color w:val="auto"/>
                      <w:kern w:val="2"/>
                      <w:sz w:val="21"/>
                      <w:szCs w:val="21"/>
                      <w:highlight w:val="none"/>
                      <w:u w:val="none"/>
                      <w:lang w:val="en-US" w:eastAsia="zh-CN" w:bidi="ar-SA"/>
                    </w:rPr>
                  </w:pPr>
                </w:p>
              </w:tc>
              <w:tc>
                <w:tcPr>
                  <w:tcW w:w="626" w:type="pct"/>
                  <w:tcBorders>
                    <w:tl2br w:val="nil"/>
                    <w:tr2bl w:val="nil"/>
                  </w:tcBorders>
                  <w:noWrap w:val="0"/>
                  <w:vAlign w:val="center"/>
                </w:tcPr>
                <w:p w14:paraId="18F9D391">
                  <w:pPr>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cs="Times New Roman"/>
                      <w:color w:val="auto"/>
                      <w:kern w:val="2"/>
                      <w:sz w:val="21"/>
                      <w:szCs w:val="21"/>
                      <w:u w:val="none"/>
                      <w:lang w:val="en-US" w:eastAsia="zh-CN" w:bidi="ar-SA"/>
                    </w:rPr>
                    <w:t>瓶装</w:t>
                  </w:r>
                </w:p>
              </w:tc>
            </w:tr>
            <w:tr w14:paraId="4FB2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76" w:type="pct"/>
                  <w:tcBorders>
                    <w:tl2br w:val="nil"/>
                    <w:tr2bl w:val="nil"/>
                  </w:tcBorders>
                  <w:noWrap w:val="0"/>
                  <w:vAlign w:val="center"/>
                </w:tcPr>
                <w:p w14:paraId="08ECD998">
                  <w:pPr>
                    <w:snapToGrid w:val="0"/>
                    <w:jc w:val="center"/>
                    <w:rPr>
                      <w:rFonts w:hint="default"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kern w:val="2"/>
                      <w:sz w:val="21"/>
                      <w:szCs w:val="21"/>
                      <w:u w:val="none"/>
                      <w:lang w:val="en-US" w:eastAsia="zh-CN" w:bidi="ar-SA"/>
                    </w:rPr>
                    <w:t>14</w:t>
                  </w:r>
                </w:p>
              </w:tc>
              <w:tc>
                <w:tcPr>
                  <w:tcW w:w="1623" w:type="pct"/>
                  <w:gridSpan w:val="2"/>
                  <w:tcBorders>
                    <w:tl2br w:val="nil"/>
                    <w:tr2bl w:val="nil"/>
                  </w:tcBorders>
                  <w:noWrap w:val="0"/>
                  <w:vAlign w:val="center"/>
                </w:tcPr>
                <w:p w14:paraId="02DD4983">
                  <w:pPr>
                    <w:snapToGrid w:val="0"/>
                    <w:jc w:val="center"/>
                    <w:rPr>
                      <w:rFonts w:hint="eastAsia" w:ascii="Times New Roman" w:hAnsi="Times New Roman" w:eastAsia="宋体" w:cs="Times New Roman"/>
                      <w:color w:val="auto"/>
                      <w:sz w:val="21"/>
                      <w:szCs w:val="21"/>
                      <w:highlight w:val="none"/>
                      <w:u w:val="none"/>
                      <w:lang w:eastAsia="zh-CN"/>
                    </w:rPr>
                  </w:pPr>
                  <w:r>
                    <w:rPr>
                      <w:rFonts w:hint="eastAsia" w:cs="Times New Roman"/>
                      <w:color w:val="auto"/>
                      <w:sz w:val="21"/>
                      <w:szCs w:val="21"/>
                      <w:highlight w:val="none"/>
                      <w:u w:val="none"/>
                      <w:lang w:val="en-US" w:eastAsia="zh-CN"/>
                    </w:rPr>
                    <w:t>电</w:t>
                  </w:r>
                </w:p>
              </w:tc>
              <w:tc>
                <w:tcPr>
                  <w:tcW w:w="459" w:type="pct"/>
                  <w:tcBorders>
                    <w:tl2br w:val="nil"/>
                    <w:tr2bl w:val="nil"/>
                  </w:tcBorders>
                  <w:noWrap w:val="0"/>
                  <w:vAlign w:val="center"/>
                </w:tcPr>
                <w:p w14:paraId="3F503947">
                  <w:pPr>
                    <w:snapToGrid w:val="0"/>
                    <w:jc w:val="center"/>
                    <w:rPr>
                      <w:rFonts w:hint="eastAsia"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万Kwh</w:t>
                  </w:r>
                </w:p>
              </w:tc>
              <w:tc>
                <w:tcPr>
                  <w:tcW w:w="542" w:type="pct"/>
                  <w:tcBorders>
                    <w:tl2br w:val="nil"/>
                    <w:tr2bl w:val="nil"/>
                  </w:tcBorders>
                  <w:noWrap w:val="0"/>
                  <w:vAlign w:val="center"/>
                </w:tcPr>
                <w:p w14:paraId="06D97FAC">
                  <w:pPr>
                    <w:snapToGrid w:val="0"/>
                    <w:jc w:val="center"/>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3600</w:t>
                  </w:r>
                </w:p>
              </w:tc>
              <w:tc>
                <w:tcPr>
                  <w:tcW w:w="576" w:type="pct"/>
                  <w:tcBorders>
                    <w:tl2br w:val="nil"/>
                    <w:tr2bl w:val="nil"/>
                  </w:tcBorders>
                  <w:noWrap w:val="0"/>
                  <w:vAlign w:val="center"/>
                </w:tcPr>
                <w:p w14:paraId="54535FD8">
                  <w:pPr>
                    <w:snapToGrid w:val="0"/>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w:t>
                  </w:r>
                </w:p>
              </w:tc>
              <w:tc>
                <w:tcPr>
                  <w:tcW w:w="794" w:type="pct"/>
                  <w:tcBorders>
                    <w:tl2br w:val="nil"/>
                    <w:tr2bl w:val="nil"/>
                  </w:tcBorders>
                  <w:noWrap w:val="0"/>
                  <w:vAlign w:val="center"/>
                </w:tcPr>
                <w:p w14:paraId="03552432">
                  <w:pPr>
                    <w:snapToGrid w:val="0"/>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w:t>
                  </w:r>
                </w:p>
              </w:tc>
              <w:tc>
                <w:tcPr>
                  <w:tcW w:w="626" w:type="pct"/>
                  <w:tcBorders>
                    <w:tl2br w:val="nil"/>
                    <w:tr2bl w:val="nil"/>
                  </w:tcBorders>
                  <w:noWrap w:val="0"/>
                  <w:vAlign w:val="center"/>
                </w:tcPr>
                <w:p w14:paraId="6DEE908C">
                  <w:pPr>
                    <w:snapToGrid w:val="0"/>
                    <w:jc w:val="center"/>
                    <w:rPr>
                      <w:rFonts w:hint="eastAsia" w:ascii="Times New Roman" w:hAnsi="Times New Roman" w:eastAsia="宋体" w:cs="Times New Roman"/>
                      <w:color w:val="auto"/>
                      <w:sz w:val="21"/>
                      <w:szCs w:val="21"/>
                      <w:u w:val="none"/>
                    </w:rPr>
                  </w:pPr>
                  <w:r>
                    <w:rPr>
                      <w:rFonts w:hint="eastAsia" w:ascii="Times New Roman" w:hAnsi="Times New Roman" w:eastAsia="宋体" w:cs="Times New Roman"/>
                      <w:color w:val="auto"/>
                      <w:sz w:val="21"/>
                      <w:szCs w:val="21"/>
                      <w:u w:val="none"/>
                    </w:rPr>
                    <w:t>/</w:t>
                  </w:r>
                </w:p>
              </w:tc>
            </w:tr>
          </w:tbl>
          <w:p w14:paraId="4957AA0A">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主要辅料理化性质：</w:t>
            </w:r>
          </w:p>
          <w:p w14:paraId="43339BAE">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聚合氯化铝：是一种净水材料，适用的pH值范围宽，无色至黄褐色透明/半透明液体，杂质多时呈灰黑色</w:t>
            </w:r>
            <w:r>
              <w:rPr>
                <w:rFonts w:hint="eastAsia" w:ascii="Times New Roman" w:hAnsi="Times New Roman" w:cs="Times New Roman"/>
                <w:color w:val="auto"/>
                <w:sz w:val="24"/>
                <w:szCs w:val="24"/>
                <w:u w:val="none"/>
                <w:lang w:val="en-US" w:eastAsia="zh-CN"/>
              </w:rPr>
              <w:t>黏液，</w:t>
            </w:r>
            <w:r>
              <w:rPr>
                <w:rFonts w:hint="eastAsia" w:ascii="Times New Roman" w:hAnsi="Times New Roman" w:eastAsia="宋体" w:cs="Times New Roman"/>
                <w:color w:val="auto"/>
                <w:sz w:val="24"/>
                <w:szCs w:val="24"/>
                <w:u w:val="none"/>
                <w:lang w:val="en-US" w:eastAsia="zh-CN"/>
              </w:rPr>
              <w:t>液体</w:t>
            </w:r>
            <w:r>
              <w:rPr>
                <w:rFonts w:hint="eastAsia" w:ascii="Times New Roman" w:hAnsi="Times New Roman" w:cs="Times New Roman"/>
                <w:color w:val="auto"/>
                <w:sz w:val="24"/>
                <w:szCs w:val="24"/>
                <w:u w:val="none"/>
                <w:lang w:val="en-US" w:eastAsia="zh-CN"/>
              </w:rPr>
              <w:t>密度为</w:t>
            </w:r>
            <w:r>
              <w:rPr>
                <w:rFonts w:hint="eastAsia" w:ascii="Times New Roman" w:hAnsi="Times New Roman" w:eastAsia="宋体" w:cs="Times New Roman"/>
                <w:color w:val="auto"/>
                <w:sz w:val="24"/>
                <w:szCs w:val="24"/>
                <w:u w:val="none"/>
                <w:lang w:val="en-US" w:eastAsia="zh-CN"/>
              </w:rPr>
              <w:t>1.19~1.36g/cm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20℃</w:t>
            </w:r>
            <w:r>
              <w:rPr>
                <w:rFonts w:hint="eastAsia" w:ascii="Times New Roman" w:hAnsi="Times New Roman"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，液体</w:t>
            </w:r>
            <w:r>
              <w:rPr>
                <w:rFonts w:hint="eastAsia" w:ascii="Times New Roman" w:hAnsi="Times New Roman" w:cs="Times New Roman"/>
                <w:color w:val="auto"/>
                <w:sz w:val="24"/>
                <w:szCs w:val="24"/>
                <w:u w:val="none"/>
                <w:lang w:val="en-US" w:eastAsia="zh-CN"/>
              </w:rPr>
              <w:t>沸点</w:t>
            </w:r>
            <w:r>
              <w:rPr>
                <w:rFonts w:hint="eastAsia" w:ascii="Times New Roman" w:hAnsi="Times New Roman" w:eastAsia="宋体" w:cs="Times New Roman"/>
                <w:color w:val="auto"/>
                <w:sz w:val="24"/>
                <w:szCs w:val="24"/>
                <w:u w:val="none"/>
                <w:lang w:val="en-US" w:eastAsia="zh-CN"/>
              </w:rPr>
              <w:t>为100~120℃，极易溶于水、乙醇，微溶于苯，不溶于四氯化碳、氯仿，溶解度可达1000g/L</w:t>
            </w:r>
            <w:r>
              <w:rPr>
                <w:rFonts w:hint="eastAsia" w:ascii="Times New Roman" w:hAnsi="Times New Roman" w:cs="Times New Roman"/>
                <w:color w:val="auto"/>
                <w:sz w:val="24"/>
                <w:szCs w:val="24"/>
                <w:u w:val="none"/>
                <w:lang w:val="en-US" w:eastAsia="zh-CN"/>
              </w:rPr>
              <w:t>。根据饮用水级聚合氯化铝国家标准，合格液体产品的氧化铝含量要求为优等品≥12%、一等品≥10%，本项目采购成品溶液浓度普遍落在‌10%-12%（氧化铝含量）‌区间，对应溶液密度≥1.12g/cm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（20℃）。</w:t>
            </w:r>
            <w:r>
              <w:rPr>
                <w:rFonts w:hint="eastAsia" w:ascii="Times New Roman" w:hAnsi="Times New Roman" w:eastAsia="宋体" w:cs="Times New Roman"/>
                <w:color w:val="auto"/>
                <w:sz w:val="24"/>
                <w:szCs w:val="24"/>
                <w:u w:val="none"/>
                <w:lang w:val="en-US" w:eastAsia="zh-CN"/>
              </w:rPr>
              <w:t>其水解生成的化学沉淀物的水合作用弱，生成的矾花密实、沉降快、受水温变化的影响小，处理低温低浊水时仍能生成良好的矾花；矾花吸附性能好，对原水中溶解性天然高分子有机物的去除率高；矾花强度大，不易破碎，即使遭到破碎，也易于重新絮凝。</w:t>
            </w:r>
          </w:p>
          <w:p w14:paraId="0A2FA031">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液氯</w:t>
            </w:r>
            <w:r>
              <w:rPr>
                <w:rFonts w:hint="eastAsia" w:ascii="Times New Roman" w:hAnsi="Times New Roman"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氯气的液态形式，属于剧毒高压危化品，常温常压下为‌黄绿色油状液体‌，常温汽化成气态氯为黄绿色，有强烈刺激性窒息气味，常温下即汽化</w:t>
            </w:r>
            <w:r>
              <w:rPr>
                <w:rFonts w:hint="default" w:ascii="Times New Roman" w:hAnsi="Times New Roman" w:eastAsia="宋体" w:cs="Times New Roman"/>
                <w:color w:val="auto"/>
                <w:sz w:val="24"/>
                <w:szCs w:val="24"/>
                <w:u w:val="none"/>
                <w:lang w:val="en-US" w:eastAsia="zh-CN"/>
              </w:rPr>
              <w:t>，熔点‌-101℃</w:t>
            </w:r>
            <w:r>
              <w:rPr>
                <w:rFonts w:hint="eastAsia" w:ascii="Times New Roman" w:hAnsi="Times New Roman"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沸点‌-34℃</w:t>
            </w:r>
            <w:r>
              <w:rPr>
                <w:rFonts w:hint="eastAsia" w:ascii="Times New Roman" w:hAnsi="Times New Roman" w:cs="Times New Roman"/>
                <w:color w:val="auto"/>
                <w:sz w:val="24"/>
                <w:szCs w:val="24"/>
                <w:u w:val="none"/>
                <w:lang w:val="en-US" w:eastAsia="zh-CN"/>
              </w:rPr>
              <w:t>，液体密度约1.47（水=1），气体密度约2.48（空气=1），比空气重，泄漏后易聚集在低洼处，易溶于水、碱液，微溶于四氯化碳、二硫化碳等有机溶剂。本身不可燃，但可助燃，一般可燃物都能在氯气中燃烧，易燃气体/蒸汽与氯气混合可形成爆炸性混合物；遇水会反应生成次氯酸和盐酸，次氯酸易分解，对多数金属、非金属都有腐蚀性；能与乙炔、松节油、乙醚、氨、烃类、氢气、金属粉末等多种物质发生剧烈反应，引发燃烧爆炸；在日光下与易燃气体混合时会发生燃烧爆炸，可和大多数单质/化合物发生反应。</w:t>
            </w:r>
            <w:r>
              <w:rPr>
                <w:rFonts w:hint="default" w:ascii="Times New Roman" w:hAnsi="Times New Roman" w:eastAsia="宋体" w:cs="Times New Roman"/>
                <w:color w:val="auto"/>
                <w:sz w:val="24"/>
                <w:szCs w:val="24"/>
                <w:u w:val="none"/>
                <w:lang w:val="en-US" w:eastAsia="zh-CN"/>
              </w:rPr>
              <w:t>‌</w:t>
            </w:r>
          </w:p>
          <w:p w14:paraId="223BB75F">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采用液氯</w:t>
            </w:r>
            <w:r>
              <w:rPr>
                <w:rFonts w:hint="default" w:ascii="Times New Roman" w:hAnsi="Times New Roman" w:eastAsia="宋体" w:cs="Times New Roman"/>
                <w:color w:val="auto"/>
                <w:sz w:val="24"/>
                <w:szCs w:val="24"/>
                <w:u w:val="none"/>
                <w:lang w:val="en-US" w:eastAsia="zh-CN"/>
              </w:rPr>
              <w:t>作为净水消毒剂的核心作用是杀灭水中致病微生物，机理基于次氯酸的氧化杀菌效应，投入水中后会快速发生水解反应，生成具有杀菌活性的次氯酸</w:t>
            </w:r>
            <w:r>
              <w:rPr>
                <w:rFonts w:hint="eastAsia" w:ascii="Times New Roman" w:hAnsi="Times New Roman" w:cs="Times New Roman"/>
                <w:color w:val="auto"/>
                <w:sz w:val="24"/>
                <w:szCs w:val="24"/>
                <w:u w:val="none"/>
                <w:lang w:val="en-US" w:eastAsia="zh-CN"/>
              </w:rPr>
              <w:t>。可杀灭原水中致病微生物、输水过程能起到持续抑菌作用，在混凝沉淀前加氯（预氯化），还可以改良混凝沉淀效果、抑制藻类生长，降低原水中锰、铁、酚类有机物的含量，改善水的色度和臭味。</w:t>
            </w:r>
          </w:p>
          <w:p w14:paraId="3078DD0B">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化验试剂—</w:t>
            </w:r>
            <w:r>
              <w:rPr>
                <w:rFonts w:hint="default" w:ascii="Times New Roman" w:hAnsi="Times New Roman" w:eastAsia="宋体" w:cs="Times New Roman"/>
                <w:color w:val="auto"/>
                <w:sz w:val="24"/>
                <w:szCs w:val="24"/>
                <w:u w:val="none"/>
                <w:lang w:val="en-US" w:eastAsia="zh-CN"/>
              </w:rPr>
              <w:t>盐酸：无色液体（工业用盐酸会因有杂质三价铁盐而略显黄色）</w:t>
            </w:r>
            <w:r>
              <w:rPr>
                <w:rFonts w:hint="eastAsia" w:ascii="Times New Roman" w:hAnsi="Times New Roman"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有腐蚀性，为氯化氢的水溶液，具有刺激性气味。熔点-35℃</w:t>
            </w:r>
            <w:r>
              <w:rPr>
                <w:rFonts w:hint="eastAsia" w:ascii="Times New Roman" w:hAnsi="Times New Roman"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沸点57℃，相对密度1.20（水=1），相对蒸气密度1.26（空气=1），饱和蒸气压30.66kPa（21℃），与水混溶，浓盐酸溶于水有热量放出。溶于碱液并与碱液发生中和反应。</w:t>
            </w:r>
          </w:p>
          <w:p w14:paraId="7B85BA62">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化验试剂—</w:t>
            </w:r>
            <w:r>
              <w:rPr>
                <w:rFonts w:hint="default" w:ascii="Times New Roman" w:hAnsi="Times New Roman" w:eastAsia="宋体" w:cs="Times New Roman"/>
                <w:color w:val="auto"/>
                <w:sz w:val="24"/>
                <w:szCs w:val="24"/>
                <w:u w:val="none"/>
                <w:lang w:val="en-US" w:eastAsia="zh-CN"/>
              </w:rPr>
              <w:t>硫酸：色透明油状液体，具有明显刺激性气味；浓硫酸密度约1.84g/ml，其粘度较大，流动性较差。熔点10.36℃，沸点337℃，常温下稳定且不易挥发。易溶于水，溶解时剧烈放热。浓硫酸可吸收空气中的水分，常用于干燥气体；接触皮肤或黏膜会导致化学灼伤需立即用大量清水冲洗。操作防护：工业中需防爆通风，避免与有机物或强还原剂混合，防止剧烈反应。储存要求：需密封保存于耐酸容器中，远离水分和碱性物质。</w:t>
            </w:r>
          </w:p>
          <w:p w14:paraId="29AA049C">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化验试剂—硝酸</w:t>
            </w:r>
            <w:r>
              <w:rPr>
                <w:rFonts w:hint="default" w:ascii="Times New Roman" w:hAnsi="Times New Roman" w:eastAsia="宋体" w:cs="Times New Roman"/>
                <w:color w:val="auto"/>
                <w:sz w:val="24"/>
                <w:szCs w:val="24"/>
                <w:u w:val="none"/>
                <w:lang w:val="en-US" w:eastAsia="zh-CN"/>
              </w:rPr>
              <w:t>：试剂级硝酸68%，浓硝酸因溶有分解生成的二氧化氮呈淡黄色，有窒息性刺激气味，挥发产生的硝酸蒸汽遇水蒸气会形成白雾，熔点-41.59℃，沸点约83-86℃（常压下易挥发）；密度约1.502g/cm³（25/4℃，水=1），极易溶于冷水、热水，可溶于乙醚，能与水任意比例混溶，可形成共沸混合物。本身不燃，但作为强氧化剂可加剧燃烧，接触还原性物质、易燃有机物可引发燃烧爆炸，会释放剧毒棕色氮氧化物烟雾。</w:t>
            </w:r>
          </w:p>
          <w:p w14:paraId="7CEC0AE0">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化验试剂—氨水</w:t>
            </w:r>
            <w:r>
              <w:rPr>
                <w:rFonts w:hint="default" w:ascii="Times New Roman" w:hAnsi="Times New Roman" w:eastAsia="宋体" w:cs="Times New Roman"/>
                <w:color w:val="auto"/>
                <w:sz w:val="24"/>
                <w:szCs w:val="24"/>
                <w:u w:val="none"/>
                <w:lang w:val="en-US" w:eastAsia="zh-CN"/>
              </w:rPr>
              <w:t>：无色透明液体，有‌强烈刺激性恶臭</w:t>
            </w:r>
            <w:r>
              <w:rPr>
                <w:rFonts w:hint="eastAsia" w:ascii="Times New Roman" w:hAnsi="Times New Roman" w:cs="Times New Roman"/>
                <w:color w:val="auto"/>
                <w:sz w:val="24"/>
                <w:szCs w:val="24"/>
                <w:u w:val="none"/>
                <w:lang w:val="en-US" w:eastAsia="zh-CN"/>
              </w:rPr>
              <w:t>，密度0.88-0.91g/mL（20℃，10%-35%浓度），熔点-77℃（25%溶液），沸点约36-38℃（25%溶液，20℃下饱和蒸气压约6.3kPa），可与水、乙醇任意混溶。易挥发出氨气，温度升高、浓度增大、放置时间延长都会提升挥发率；存在电离平衡，可使酚酞变红、湿润红石蕊试纸变蓝，能与酸反应生成铵盐；见光受热易分解为氨气和水，因此需密封保存在棕色/深色试剂瓶中，放置冷暗处；对铜、锌等金属腐蚀性较强，对钢铁腐蚀性较弱，对水泥腐蚀不大；可与重金属形成爆炸性化合物，和强酸会发生剧烈放热反应，接触三甲胺、醇类、醛类等物质可引发燃烧爆炸，可腐蚀铜、镍、锌等金属及其合金。</w:t>
            </w:r>
          </w:p>
          <w:p w14:paraId="5E318B29">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化验试剂—冰醋酸</w:t>
            </w:r>
            <w:r>
              <w:rPr>
                <w:rFonts w:hint="default" w:ascii="Times New Roman" w:hAnsi="Times New Roman" w:eastAsia="宋体" w:cs="Times New Roman"/>
                <w:color w:val="auto"/>
                <w:sz w:val="24"/>
                <w:szCs w:val="24"/>
                <w:u w:val="none"/>
                <w:lang w:val="en-US" w:eastAsia="zh-CN"/>
              </w:rPr>
              <w:t>：常温下为‌无色透明液体‌，纯度≥99.8%时，温度低于16.6℃会凝固为冰状晶体，因此得名冰醋酸，带有强烈刺激性醋酸气味，具备吸湿性，易吸收空气中的水分</w:t>
            </w:r>
            <w:r>
              <w:rPr>
                <w:rFonts w:hint="eastAsia" w:ascii="Times New Roman" w:hAnsi="Times New Roman"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熔点16.2~16.635℃，沸点117.1~117.9℃（常压下）</w:t>
            </w:r>
            <w:r>
              <w:rPr>
                <w:rFonts w:hint="eastAsia" w:ascii="Times New Roman" w:hAnsi="Times New Roman" w:cs="Times New Roman"/>
                <w:color w:val="auto"/>
                <w:sz w:val="24"/>
                <w:szCs w:val="24"/>
                <w:u w:val="none"/>
                <w:lang w:val="en-US" w:eastAsia="zh-CN"/>
              </w:rPr>
              <w:t>。与水、乙醇、乙醚、苯混溶，不溶于二硫化碳，是极性良好的极性溶剂，可溶解多种有机物和无机物。</w:t>
            </w:r>
          </w:p>
          <w:p w14:paraId="647673F9">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化验试剂—</w:t>
            </w:r>
            <w:r>
              <w:rPr>
                <w:rFonts w:hint="default" w:ascii="Times New Roman" w:hAnsi="Times New Roman" w:eastAsia="宋体" w:cs="Times New Roman"/>
                <w:color w:val="auto"/>
                <w:sz w:val="24"/>
                <w:szCs w:val="24"/>
                <w:u w:val="none"/>
                <w:lang w:val="en-US" w:eastAsia="zh-CN"/>
              </w:rPr>
              <w:t>盐酸：主要成分为碘化汞（HgI₂）、碘化钾（KI）溶于氢氧化钾溶液，有效成分为四碘合汞(II)酸钾，常温下为‌淡黄绿色至橙黄色透明液体‌，无气味，随着曝光时间增加会逐渐生成黄棕色沉淀，溶液逐渐变黄</w:t>
            </w:r>
            <w:r>
              <w:rPr>
                <w:rFonts w:hint="eastAsia" w:ascii="Times New Roman" w:hAnsi="Times New Roman" w:cs="Times New Roman"/>
                <w:color w:val="auto"/>
                <w:sz w:val="24"/>
                <w:szCs w:val="24"/>
                <w:u w:val="none"/>
                <w:lang w:val="en-US" w:eastAsia="zh-CN"/>
              </w:rPr>
              <w:t>。密度1.16g/mL（20℃）、沸点约105℃，pH约为9.2（20℃水溶液），呈强碱性，易溶于水，可溶于乙醇、乙醚、丙酮，具备吸湿性，对光敏感。</w:t>
            </w:r>
          </w:p>
          <w:p w14:paraId="193073A1">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化验试剂—医用酒精消毒剂</w:t>
            </w:r>
            <w:r>
              <w:rPr>
                <w:rFonts w:hint="default" w:ascii="Times New Roman" w:hAnsi="Times New Roman" w:eastAsia="宋体" w:cs="Times New Roman"/>
                <w:color w:val="auto"/>
                <w:sz w:val="24"/>
                <w:szCs w:val="24"/>
                <w:u w:val="none"/>
                <w:lang w:val="en-US" w:eastAsia="zh-CN"/>
              </w:rPr>
              <w:t>：是指纯度</w:t>
            </w:r>
            <w:r>
              <w:rPr>
                <w:rFonts w:hint="eastAsia" w:ascii="Times New Roman" w:hAnsi="Times New Roman" w:cs="Times New Roman"/>
                <w:color w:val="auto"/>
                <w:sz w:val="24"/>
                <w:szCs w:val="24"/>
                <w:u w:val="none"/>
                <w:lang w:val="en-US" w:eastAsia="zh-CN"/>
              </w:rPr>
              <w:t>7</w:t>
            </w:r>
            <w:r>
              <w:rPr>
                <w:rFonts w:hint="default" w:ascii="Times New Roman" w:hAnsi="Times New Roman" w:eastAsia="宋体" w:cs="Times New Roman"/>
                <w:color w:val="auto"/>
                <w:sz w:val="24"/>
                <w:szCs w:val="24"/>
                <w:u w:val="none"/>
                <w:lang w:val="en-US" w:eastAsia="zh-CN"/>
              </w:rPr>
              <w:t>5%</w:t>
            </w:r>
            <w:r>
              <w:rPr>
                <w:rFonts w:hint="eastAsia" w:ascii="Times New Roman" w:hAnsi="Times New Roman" w:cs="Times New Roman"/>
                <w:color w:val="auto"/>
                <w:sz w:val="24"/>
                <w:szCs w:val="24"/>
                <w:u w:val="none"/>
                <w:lang w:val="en-US" w:eastAsia="zh-CN"/>
              </w:rPr>
              <w:t>乙醇溶液，</w:t>
            </w:r>
            <w:r>
              <w:rPr>
                <w:rFonts w:hint="default" w:ascii="Times New Roman" w:hAnsi="Times New Roman" w:eastAsia="宋体" w:cs="Times New Roman"/>
                <w:color w:val="auto"/>
                <w:sz w:val="24"/>
                <w:szCs w:val="24"/>
                <w:u w:val="none"/>
                <w:lang w:val="en-US" w:eastAsia="zh-CN"/>
              </w:rPr>
              <w:t>作为一种基础的大宗化学品和优良溶剂，在常温常压下为无色透明液体，具有特殊刺激性气味，易挥发、易燃烧，可与水及多数有机溶剂混溶，其分子中含有的羟基赋予其弱酸性、还原性等化学性质，可参与酯化、卤代、脱水及氧化等多种化学反应。</w:t>
            </w:r>
          </w:p>
          <w:p w14:paraId="54581F02">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3</w:t>
            </w:r>
            <w:r>
              <w:rPr>
                <w:rFonts w:hint="default" w:ascii="Times New Roman" w:hAnsi="Times New Roman" w:cs="Times New Roman"/>
                <w:b/>
                <w:bCs w:val="0"/>
                <w:color w:val="auto"/>
                <w:sz w:val="24"/>
                <w:szCs w:val="24"/>
                <w:u w:val="none"/>
                <w:lang w:val="en-US" w:eastAsia="zh-CN"/>
              </w:rPr>
              <w:t>、</w:t>
            </w:r>
            <w:r>
              <w:rPr>
                <w:rFonts w:hint="eastAsia" w:ascii="Times New Roman" w:hAnsi="Times New Roman" w:cs="Times New Roman"/>
                <w:b/>
                <w:bCs w:val="0"/>
                <w:color w:val="auto"/>
                <w:sz w:val="24"/>
                <w:szCs w:val="24"/>
                <w:u w:val="none"/>
                <w:lang w:val="en-US" w:eastAsia="zh-CN"/>
              </w:rPr>
              <w:t>主要设备情况</w:t>
            </w:r>
          </w:p>
          <w:p w14:paraId="6BEED9CA">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项目厂区</w:t>
            </w:r>
            <w:r>
              <w:rPr>
                <w:rFonts w:hint="default" w:ascii="Times New Roman" w:hAnsi="Times New Roman" w:eastAsia="宋体" w:cs="Times New Roman"/>
                <w:color w:val="auto"/>
                <w:sz w:val="24"/>
                <w:szCs w:val="24"/>
                <w:u w:val="none"/>
                <w:lang w:val="en-US" w:eastAsia="zh-CN"/>
              </w:rPr>
              <w:t>主要设备</w:t>
            </w:r>
            <w:r>
              <w:rPr>
                <w:rFonts w:hint="eastAsia" w:ascii="Times New Roman" w:hAnsi="Times New Roman" w:cs="Times New Roman"/>
                <w:color w:val="auto"/>
                <w:sz w:val="24"/>
                <w:szCs w:val="24"/>
                <w:u w:val="none"/>
                <w:lang w:val="en-US" w:eastAsia="zh-CN"/>
              </w:rPr>
              <w:t>配置情况</w:t>
            </w:r>
            <w:r>
              <w:rPr>
                <w:rFonts w:hint="default" w:ascii="Times New Roman" w:hAnsi="Times New Roman" w:eastAsia="宋体" w:cs="Times New Roman"/>
                <w:color w:val="auto"/>
                <w:sz w:val="24"/>
                <w:szCs w:val="24"/>
                <w:u w:val="none"/>
                <w:lang w:val="en-US" w:eastAsia="zh-CN"/>
              </w:rPr>
              <w:t>见表2-</w:t>
            </w:r>
            <w:r>
              <w:rPr>
                <w:rFonts w:hint="eastAsia" w:ascii="Times New Roman" w:hAnsi="Times New Roman" w:cs="Times New Roman"/>
                <w:color w:val="auto"/>
                <w:sz w:val="24"/>
                <w:szCs w:val="24"/>
                <w:u w:val="none"/>
                <w:lang w:val="en-US" w:eastAsia="zh-CN"/>
              </w:rPr>
              <w:t>3：</w:t>
            </w:r>
          </w:p>
          <w:p w14:paraId="04D6ACAB">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cs="Times New Roman"/>
                <w:b/>
                <w:bCs w:val="0"/>
                <w:sz w:val="24"/>
                <w:szCs w:val="21"/>
                <w:lang w:val="en-US" w:eastAsia="zh-CN"/>
              </w:rPr>
            </w:pPr>
            <w:r>
              <w:rPr>
                <w:rFonts w:hint="default" w:ascii="Times New Roman" w:hAnsi="Times New Roman" w:cs="Times New Roman"/>
                <w:b/>
                <w:bCs w:val="0"/>
                <w:sz w:val="24"/>
                <w:szCs w:val="21"/>
                <w:lang w:val="en-US" w:eastAsia="zh-CN"/>
              </w:rPr>
              <w:t>表2-</w:t>
            </w:r>
            <w:r>
              <w:rPr>
                <w:rFonts w:hint="eastAsia" w:ascii="Times New Roman" w:hAnsi="Times New Roman" w:cs="Times New Roman"/>
                <w:b/>
                <w:bCs w:val="0"/>
                <w:sz w:val="24"/>
                <w:szCs w:val="21"/>
                <w:lang w:val="en-US" w:eastAsia="zh-CN"/>
              </w:rPr>
              <w:t>3</w:t>
            </w:r>
            <w:r>
              <w:rPr>
                <w:rFonts w:hint="default" w:ascii="Times New Roman" w:hAnsi="Times New Roman" w:cs="Times New Roman"/>
                <w:b/>
                <w:bCs w:val="0"/>
                <w:sz w:val="24"/>
                <w:szCs w:val="21"/>
                <w:lang w:val="en-US" w:eastAsia="zh-CN"/>
              </w:rPr>
              <w:t xml:space="preserve"> 项目主要设备配置情况一览</w:t>
            </w:r>
            <w:r>
              <w:rPr>
                <w:rFonts w:hint="eastAsia" w:ascii="Times New Roman" w:hAnsi="Times New Roman" w:cs="Times New Roman"/>
                <w:b/>
                <w:bCs w:val="0"/>
                <w:sz w:val="24"/>
                <w:szCs w:val="21"/>
                <w:lang w:val="en-US" w:eastAsia="zh-CN"/>
              </w:rPr>
              <w:t>表</w:t>
            </w:r>
          </w:p>
          <w:tbl>
            <w:tblPr>
              <w:tblStyle w:val="24"/>
              <w:tblW w:w="48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992"/>
              <w:gridCol w:w="2707"/>
              <w:gridCol w:w="613"/>
              <w:gridCol w:w="682"/>
              <w:gridCol w:w="1272"/>
            </w:tblGrid>
            <w:tr w14:paraId="2FA1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693A8C5E">
                  <w:pPr>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1283" w:type="pct"/>
                  <w:tcBorders>
                    <w:tl2br w:val="nil"/>
                    <w:tr2bl w:val="nil"/>
                  </w:tcBorders>
                  <w:noWrap w:val="0"/>
                  <w:vAlign w:val="center"/>
                </w:tcPr>
                <w:p w14:paraId="56E7C8D1">
                  <w:pPr>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设备名称</w:t>
                  </w:r>
                </w:p>
              </w:tc>
              <w:tc>
                <w:tcPr>
                  <w:tcW w:w="1743" w:type="pct"/>
                  <w:tcBorders>
                    <w:tl2br w:val="nil"/>
                    <w:tr2bl w:val="nil"/>
                  </w:tcBorders>
                  <w:noWrap w:val="0"/>
                  <w:vAlign w:val="center"/>
                </w:tcPr>
                <w:p w14:paraId="4D701676">
                  <w:pPr>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型号规格</w:t>
                  </w:r>
                </w:p>
              </w:tc>
              <w:tc>
                <w:tcPr>
                  <w:tcW w:w="394" w:type="pct"/>
                  <w:tcBorders>
                    <w:tl2br w:val="nil"/>
                    <w:tr2bl w:val="nil"/>
                  </w:tcBorders>
                  <w:noWrap w:val="0"/>
                  <w:vAlign w:val="center"/>
                </w:tcPr>
                <w:p w14:paraId="602A6BFC">
                  <w:pPr>
                    <w:snapToGrid w:val="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单位</w:t>
                  </w:r>
                </w:p>
              </w:tc>
              <w:tc>
                <w:tcPr>
                  <w:tcW w:w="439" w:type="pct"/>
                  <w:tcBorders>
                    <w:tl2br w:val="nil"/>
                    <w:tr2bl w:val="nil"/>
                  </w:tcBorders>
                  <w:noWrap w:val="0"/>
                  <w:vAlign w:val="center"/>
                </w:tcPr>
                <w:p w14:paraId="30AB0C6E">
                  <w:pPr>
                    <w:snapToGrid w:val="0"/>
                    <w:jc w:val="center"/>
                    <w:rPr>
                      <w:rFonts w:hint="eastAsia"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数量</w:t>
                  </w:r>
                </w:p>
              </w:tc>
              <w:tc>
                <w:tcPr>
                  <w:tcW w:w="819" w:type="pct"/>
                  <w:tcBorders>
                    <w:tl2br w:val="nil"/>
                    <w:tr2bl w:val="nil"/>
                  </w:tcBorders>
                  <w:noWrap w:val="0"/>
                  <w:vAlign w:val="center"/>
                </w:tcPr>
                <w:p w14:paraId="22F67481">
                  <w:pPr>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备注</w:t>
                  </w:r>
                </w:p>
              </w:tc>
            </w:tr>
            <w:tr w14:paraId="5576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34629A5C">
                  <w:pPr>
                    <w:snapToGrid w:val="0"/>
                    <w:jc w:val="center"/>
                    <w:rPr>
                      <w:rFonts w:hint="default" w:ascii="Times New Roman" w:hAnsi="Times New Roman" w:eastAsia="宋体" w:cs="Times New Roman"/>
                      <w:b w:val="0"/>
                      <w:bCs w:val="0"/>
                      <w:color w:val="auto"/>
                      <w:sz w:val="21"/>
                      <w:szCs w:val="21"/>
                    </w:rPr>
                  </w:pPr>
                  <w:r>
                    <w:rPr>
                      <w:rFonts w:hint="eastAsia" w:cs="Times New Roman"/>
                      <w:b w:val="0"/>
                      <w:bCs w:val="0"/>
                      <w:color w:val="auto"/>
                      <w:sz w:val="21"/>
                      <w:szCs w:val="21"/>
                      <w:lang w:val="en-US" w:eastAsia="zh-CN"/>
                    </w:rPr>
                    <w:t>1</w:t>
                  </w:r>
                </w:p>
              </w:tc>
              <w:tc>
                <w:tcPr>
                  <w:tcW w:w="1283" w:type="pct"/>
                  <w:tcBorders>
                    <w:tl2br w:val="nil"/>
                    <w:tr2bl w:val="nil"/>
                  </w:tcBorders>
                  <w:noWrap w:val="0"/>
                  <w:vAlign w:val="center"/>
                </w:tcPr>
                <w:p w14:paraId="6638EF60">
                  <w:pPr>
                    <w:snapToGrid w:val="0"/>
                    <w:jc w:val="center"/>
                    <w:rPr>
                      <w:rFonts w:hint="default" w:ascii="Times New Roman" w:hAnsi="Times New Roman" w:eastAsia="宋体" w:cs="Times New Roman"/>
                      <w:b/>
                      <w:bCs/>
                      <w:color w:val="auto"/>
                      <w:sz w:val="21"/>
                      <w:szCs w:val="21"/>
                    </w:rPr>
                  </w:pPr>
                  <w:r>
                    <w:rPr>
                      <w:rFonts w:hint="eastAsia"/>
                      <w:lang w:val="en-US" w:eastAsia="zh-CN"/>
                    </w:rPr>
                    <w:t>单级双吸离心泵</w:t>
                  </w:r>
                </w:p>
              </w:tc>
              <w:tc>
                <w:tcPr>
                  <w:tcW w:w="1743" w:type="pct"/>
                  <w:tcBorders>
                    <w:tl2br w:val="nil"/>
                    <w:tr2bl w:val="nil"/>
                  </w:tcBorders>
                  <w:noWrap w:val="0"/>
                  <w:vAlign w:val="center"/>
                </w:tcPr>
                <w:p w14:paraId="0D77C2A7">
                  <w:pPr>
                    <w:snapToGrid w:val="0"/>
                    <w:jc w:val="center"/>
                    <w:rPr>
                      <w:rFonts w:hint="eastAsia"/>
                      <w:lang w:val="en-US" w:eastAsia="zh-CN"/>
                    </w:rPr>
                  </w:pPr>
                  <w:r>
                    <w:rPr>
                      <w:rFonts w:hint="eastAsia"/>
                      <w:lang w:val="en-US" w:eastAsia="zh-CN"/>
                    </w:rPr>
                    <w:t>N600-M12SJ/617T-F</w:t>
                  </w:r>
                </w:p>
                <w:p w14:paraId="3B342AB2">
                  <w:pPr>
                    <w:snapToGrid w:val="0"/>
                    <w:jc w:val="center"/>
                    <w:rPr>
                      <w:rFonts w:hint="default"/>
                      <w:lang w:val="en-US" w:eastAsia="zh-CN"/>
                    </w:rPr>
                  </w:pPr>
                  <w:r>
                    <w:rPr>
                      <w:rFonts w:hint="eastAsia"/>
                      <w:lang w:val="en-US" w:eastAsia="zh-CN"/>
                    </w:rPr>
                    <w:t>设计流量2500-3000</w:t>
                  </w:r>
                  <w:r>
                    <w:rPr>
                      <w:rFonts w:hint="default"/>
                      <w:lang w:val="en-US" w:eastAsia="zh-CN"/>
                    </w:rPr>
                    <w:t>m</w:t>
                  </w:r>
                  <w:r>
                    <w:rPr>
                      <w:rFonts w:hint="eastAsia"/>
                      <w:vertAlign w:val="superscript"/>
                      <w:lang w:val="en-US" w:eastAsia="zh-CN"/>
                    </w:rPr>
                    <w:t>3</w:t>
                  </w:r>
                  <w:r>
                    <w:rPr>
                      <w:rFonts w:hint="default"/>
                      <w:lang w:val="en-US" w:eastAsia="zh-CN"/>
                    </w:rPr>
                    <w:t>/</w:t>
                  </w:r>
                  <w:r>
                    <w:rPr>
                      <w:rFonts w:hint="eastAsia"/>
                      <w:lang w:val="en-US" w:eastAsia="zh-CN"/>
                    </w:rPr>
                    <w:t>h</w:t>
                  </w:r>
                </w:p>
              </w:tc>
              <w:tc>
                <w:tcPr>
                  <w:tcW w:w="394" w:type="pct"/>
                  <w:tcBorders>
                    <w:tl2br w:val="nil"/>
                    <w:tr2bl w:val="nil"/>
                  </w:tcBorders>
                  <w:noWrap w:val="0"/>
                  <w:vAlign w:val="center"/>
                </w:tcPr>
                <w:p w14:paraId="20E7703B">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台</w:t>
                  </w:r>
                </w:p>
              </w:tc>
              <w:tc>
                <w:tcPr>
                  <w:tcW w:w="439" w:type="pct"/>
                  <w:tcBorders>
                    <w:tl2br w:val="nil"/>
                    <w:tr2bl w:val="nil"/>
                  </w:tcBorders>
                  <w:noWrap w:val="0"/>
                  <w:vAlign w:val="center"/>
                </w:tcPr>
                <w:p w14:paraId="16419F19">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w:t>
                  </w:r>
                </w:p>
              </w:tc>
              <w:tc>
                <w:tcPr>
                  <w:tcW w:w="819" w:type="pct"/>
                  <w:vMerge w:val="restart"/>
                  <w:tcBorders>
                    <w:tl2br w:val="nil"/>
                    <w:tr2bl w:val="nil"/>
                  </w:tcBorders>
                  <w:noWrap w:val="0"/>
                  <w:vAlign w:val="center"/>
                </w:tcPr>
                <w:p w14:paraId="49669EEC">
                  <w:pPr>
                    <w:snapToGrid w:val="0"/>
                    <w:jc w:val="center"/>
                    <w:rPr>
                      <w:rFonts w:hint="default" w:ascii="Times New Roman" w:hAnsi="Times New Roman" w:eastAsia="宋体" w:cs="Times New Roman"/>
                      <w:b/>
                      <w:bCs/>
                      <w:color w:val="auto"/>
                      <w:sz w:val="21"/>
                      <w:szCs w:val="21"/>
                    </w:rPr>
                  </w:pPr>
                  <w:r>
                    <w:rPr>
                      <w:rFonts w:hint="eastAsia" w:cs="Times New Roman"/>
                      <w:b w:val="0"/>
                      <w:bCs w:val="0"/>
                      <w:color w:val="auto"/>
                      <w:sz w:val="21"/>
                      <w:szCs w:val="21"/>
                      <w:lang w:val="en-US" w:eastAsia="zh-CN"/>
                    </w:rPr>
                    <w:t>取水泵房</w:t>
                  </w:r>
                </w:p>
              </w:tc>
            </w:tr>
            <w:tr w14:paraId="5896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6F97A79D">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w:t>
                  </w:r>
                </w:p>
              </w:tc>
              <w:tc>
                <w:tcPr>
                  <w:tcW w:w="1283" w:type="pct"/>
                  <w:tcBorders>
                    <w:tl2br w:val="nil"/>
                    <w:tr2bl w:val="nil"/>
                  </w:tcBorders>
                  <w:noWrap w:val="0"/>
                  <w:vAlign w:val="center"/>
                </w:tcPr>
                <w:p w14:paraId="48153444">
                  <w:pPr>
                    <w:snapToGrid w:val="0"/>
                    <w:jc w:val="center"/>
                    <w:rPr>
                      <w:rFonts w:hint="default" w:ascii="Times New Roman" w:hAnsi="Times New Roman" w:eastAsia="宋体" w:cs="Times New Roman"/>
                      <w:b/>
                      <w:bCs/>
                      <w:color w:val="auto"/>
                      <w:sz w:val="21"/>
                      <w:szCs w:val="21"/>
                    </w:rPr>
                  </w:pPr>
                  <w:r>
                    <w:rPr>
                      <w:rFonts w:hint="eastAsia"/>
                      <w:lang w:val="en-US" w:eastAsia="zh-CN"/>
                    </w:rPr>
                    <w:t>单级双吸离心泵</w:t>
                  </w:r>
                </w:p>
              </w:tc>
              <w:tc>
                <w:tcPr>
                  <w:tcW w:w="1743" w:type="pct"/>
                  <w:tcBorders>
                    <w:tl2br w:val="nil"/>
                    <w:tr2bl w:val="nil"/>
                  </w:tcBorders>
                  <w:noWrap w:val="0"/>
                  <w:vAlign w:val="center"/>
                </w:tcPr>
                <w:p w14:paraId="77CD2B3B">
                  <w:pPr>
                    <w:snapToGrid w:val="0"/>
                    <w:jc w:val="center"/>
                    <w:rPr>
                      <w:rFonts w:hint="eastAsia"/>
                      <w:lang w:val="en-US" w:eastAsia="zh-CN"/>
                    </w:rPr>
                  </w:pPr>
                  <w:r>
                    <w:rPr>
                      <w:rFonts w:hint="default"/>
                      <w:lang w:val="en-US" w:eastAsia="zh-CN"/>
                    </w:rPr>
                    <w:t>600S47A</w:t>
                  </w:r>
                </w:p>
                <w:p w14:paraId="37324EB1">
                  <w:pPr>
                    <w:snapToGrid w:val="0"/>
                    <w:jc w:val="center"/>
                    <w:rPr>
                      <w:rFonts w:hint="default"/>
                      <w:lang w:val="en-US" w:eastAsia="zh-CN"/>
                    </w:rPr>
                  </w:pPr>
                  <w:r>
                    <w:rPr>
                      <w:rFonts w:hint="eastAsia"/>
                      <w:lang w:val="en-US" w:eastAsia="zh-CN"/>
                    </w:rPr>
                    <w:t>设计流量2500-3000</w:t>
                  </w:r>
                  <w:r>
                    <w:rPr>
                      <w:rFonts w:hint="default"/>
                      <w:lang w:val="en-US" w:eastAsia="zh-CN"/>
                    </w:rPr>
                    <w:t>m</w:t>
                  </w:r>
                  <w:r>
                    <w:rPr>
                      <w:rFonts w:hint="eastAsia"/>
                      <w:vertAlign w:val="superscript"/>
                      <w:lang w:val="en-US" w:eastAsia="zh-CN"/>
                    </w:rPr>
                    <w:t>3</w:t>
                  </w:r>
                  <w:r>
                    <w:rPr>
                      <w:rFonts w:hint="default"/>
                      <w:lang w:val="en-US" w:eastAsia="zh-CN"/>
                    </w:rPr>
                    <w:t>/</w:t>
                  </w:r>
                  <w:r>
                    <w:rPr>
                      <w:rFonts w:hint="eastAsia"/>
                      <w:lang w:val="en-US" w:eastAsia="zh-CN"/>
                    </w:rPr>
                    <w:t>h</w:t>
                  </w:r>
                </w:p>
              </w:tc>
              <w:tc>
                <w:tcPr>
                  <w:tcW w:w="394" w:type="pct"/>
                  <w:tcBorders>
                    <w:tl2br w:val="nil"/>
                    <w:tr2bl w:val="nil"/>
                  </w:tcBorders>
                  <w:shd w:val="clear" w:color="auto" w:fill="auto"/>
                  <w:noWrap w:val="0"/>
                  <w:vAlign w:val="center"/>
                </w:tcPr>
                <w:p w14:paraId="4277C3C6">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台</w:t>
                  </w:r>
                </w:p>
              </w:tc>
              <w:tc>
                <w:tcPr>
                  <w:tcW w:w="439" w:type="pct"/>
                  <w:tcBorders>
                    <w:tl2br w:val="nil"/>
                    <w:tr2bl w:val="nil"/>
                  </w:tcBorders>
                  <w:shd w:val="clear" w:color="auto" w:fill="auto"/>
                  <w:noWrap w:val="0"/>
                  <w:vAlign w:val="center"/>
                </w:tcPr>
                <w:p w14:paraId="6E91D4D1">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3E06CE8F">
                  <w:pPr>
                    <w:snapToGrid w:val="0"/>
                    <w:jc w:val="center"/>
                    <w:rPr>
                      <w:rFonts w:hint="default" w:ascii="Times New Roman" w:hAnsi="Times New Roman" w:eastAsia="宋体" w:cs="Times New Roman"/>
                      <w:b/>
                      <w:bCs/>
                      <w:color w:val="auto"/>
                      <w:sz w:val="21"/>
                      <w:szCs w:val="21"/>
                    </w:rPr>
                  </w:pPr>
                </w:p>
              </w:tc>
            </w:tr>
            <w:tr w14:paraId="374A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6FA64DB5">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w:t>
                  </w:r>
                </w:p>
              </w:tc>
              <w:tc>
                <w:tcPr>
                  <w:tcW w:w="1283" w:type="pct"/>
                  <w:tcBorders>
                    <w:tl2br w:val="nil"/>
                    <w:tr2bl w:val="nil"/>
                  </w:tcBorders>
                  <w:noWrap w:val="0"/>
                  <w:vAlign w:val="center"/>
                </w:tcPr>
                <w:p w14:paraId="432CA7E8">
                  <w:pPr>
                    <w:snapToGrid w:val="0"/>
                    <w:jc w:val="center"/>
                    <w:rPr>
                      <w:rFonts w:hint="default"/>
                      <w:lang w:val="en-US" w:eastAsia="zh-CN"/>
                    </w:rPr>
                  </w:pPr>
                  <w:r>
                    <w:rPr>
                      <w:rFonts w:hint="eastAsia"/>
                      <w:lang w:val="en-US" w:eastAsia="zh-CN"/>
                    </w:rPr>
                    <w:t>单级双吸离心泵</w:t>
                  </w:r>
                </w:p>
              </w:tc>
              <w:tc>
                <w:tcPr>
                  <w:tcW w:w="1743" w:type="pct"/>
                  <w:tcBorders>
                    <w:tl2br w:val="nil"/>
                    <w:tr2bl w:val="nil"/>
                  </w:tcBorders>
                  <w:noWrap w:val="0"/>
                  <w:vAlign w:val="center"/>
                </w:tcPr>
                <w:p w14:paraId="6C1C5E18">
                  <w:pPr>
                    <w:snapToGrid w:val="0"/>
                    <w:jc w:val="center"/>
                    <w:rPr>
                      <w:rFonts w:hint="eastAsia"/>
                      <w:lang w:val="en-US" w:eastAsia="zh-CN"/>
                    </w:rPr>
                  </w:pPr>
                  <w:r>
                    <w:rPr>
                      <w:rFonts w:hint="eastAsia"/>
                      <w:lang w:val="en-US" w:eastAsia="zh-CN"/>
                    </w:rPr>
                    <w:t>N600-M12SJ/617T</w:t>
                  </w:r>
                </w:p>
                <w:p w14:paraId="7A551BAE">
                  <w:pPr>
                    <w:snapToGrid w:val="0"/>
                    <w:jc w:val="center"/>
                    <w:rPr>
                      <w:rFonts w:hint="default"/>
                      <w:lang w:val="en-US" w:eastAsia="zh-CN"/>
                    </w:rPr>
                  </w:pPr>
                  <w:r>
                    <w:rPr>
                      <w:rFonts w:hint="eastAsia"/>
                      <w:lang w:val="en-US" w:eastAsia="zh-CN"/>
                    </w:rPr>
                    <w:t>设计流量2700</w:t>
                  </w:r>
                  <w:r>
                    <w:rPr>
                      <w:rFonts w:hint="default"/>
                      <w:lang w:val="en-US" w:eastAsia="zh-CN"/>
                    </w:rPr>
                    <w:t>m</w:t>
                  </w:r>
                  <w:r>
                    <w:rPr>
                      <w:rFonts w:hint="eastAsia"/>
                      <w:vertAlign w:val="superscript"/>
                      <w:lang w:val="en-US" w:eastAsia="zh-CN"/>
                    </w:rPr>
                    <w:t>3</w:t>
                  </w:r>
                  <w:r>
                    <w:rPr>
                      <w:rFonts w:hint="default"/>
                      <w:lang w:val="en-US" w:eastAsia="zh-CN"/>
                    </w:rPr>
                    <w:t>/</w:t>
                  </w:r>
                  <w:r>
                    <w:rPr>
                      <w:rFonts w:hint="eastAsia"/>
                      <w:lang w:val="en-US" w:eastAsia="zh-CN"/>
                    </w:rPr>
                    <w:t>h</w:t>
                  </w:r>
                </w:p>
              </w:tc>
              <w:tc>
                <w:tcPr>
                  <w:tcW w:w="394" w:type="pct"/>
                  <w:tcBorders>
                    <w:tl2br w:val="nil"/>
                    <w:tr2bl w:val="nil"/>
                  </w:tcBorders>
                  <w:shd w:val="clear" w:color="auto" w:fill="auto"/>
                  <w:noWrap w:val="0"/>
                  <w:vAlign w:val="center"/>
                </w:tcPr>
                <w:p w14:paraId="5DACA9A3">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台</w:t>
                  </w:r>
                </w:p>
              </w:tc>
              <w:tc>
                <w:tcPr>
                  <w:tcW w:w="439" w:type="pct"/>
                  <w:tcBorders>
                    <w:tl2br w:val="nil"/>
                    <w:tr2bl w:val="nil"/>
                  </w:tcBorders>
                  <w:shd w:val="clear" w:color="auto" w:fill="auto"/>
                  <w:noWrap w:val="0"/>
                  <w:vAlign w:val="center"/>
                </w:tcPr>
                <w:p w14:paraId="5EC024C8">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4</w:t>
                  </w:r>
                </w:p>
              </w:tc>
              <w:tc>
                <w:tcPr>
                  <w:tcW w:w="819" w:type="pct"/>
                  <w:vMerge w:val="restart"/>
                  <w:tcBorders>
                    <w:tl2br w:val="nil"/>
                    <w:tr2bl w:val="nil"/>
                  </w:tcBorders>
                  <w:shd w:val="clear" w:color="auto" w:fill="auto"/>
                  <w:noWrap w:val="0"/>
                  <w:vAlign w:val="center"/>
                </w:tcPr>
                <w:p w14:paraId="5546B802">
                  <w:pPr>
                    <w:snapToGrid w:val="0"/>
                    <w:jc w:val="center"/>
                    <w:rPr>
                      <w:rFonts w:hint="default" w:ascii="Times New Roman" w:hAnsi="Times New Roman" w:eastAsia="宋体" w:cs="Times New Roman"/>
                      <w:b/>
                      <w:bCs/>
                      <w:color w:val="auto"/>
                      <w:kern w:val="2"/>
                      <w:sz w:val="21"/>
                      <w:szCs w:val="21"/>
                      <w:lang w:val="en-US" w:eastAsia="zh-CN" w:bidi="ar-SA"/>
                    </w:rPr>
                  </w:pPr>
                  <w:r>
                    <w:rPr>
                      <w:rFonts w:hint="eastAsia" w:cs="Times New Roman"/>
                      <w:b w:val="0"/>
                      <w:bCs w:val="0"/>
                      <w:color w:val="auto"/>
                      <w:sz w:val="21"/>
                      <w:szCs w:val="21"/>
                      <w:lang w:val="en-US" w:eastAsia="zh-CN"/>
                    </w:rPr>
                    <w:t>送水泵房</w:t>
                  </w:r>
                </w:p>
              </w:tc>
            </w:tr>
            <w:tr w14:paraId="6C09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190B168C">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4</w:t>
                  </w:r>
                </w:p>
              </w:tc>
              <w:tc>
                <w:tcPr>
                  <w:tcW w:w="1283" w:type="pct"/>
                  <w:tcBorders>
                    <w:tl2br w:val="nil"/>
                    <w:tr2bl w:val="nil"/>
                  </w:tcBorders>
                  <w:noWrap w:val="0"/>
                  <w:vAlign w:val="center"/>
                </w:tcPr>
                <w:p w14:paraId="1215BE30">
                  <w:pPr>
                    <w:snapToGrid w:val="0"/>
                    <w:jc w:val="center"/>
                    <w:rPr>
                      <w:rFonts w:hint="default"/>
                      <w:lang w:val="en-US" w:eastAsia="zh-CN"/>
                    </w:rPr>
                  </w:pPr>
                  <w:r>
                    <w:rPr>
                      <w:rFonts w:hint="eastAsia"/>
                      <w:lang w:val="en-US" w:eastAsia="zh-CN"/>
                    </w:rPr>
                    <w:t>单级双吸离心泵</w:t>
                  </w:r>
                </w:p>
              </w:tc>
              <w:tc>
                <w:tcPr>
                  <w:tcW w:w="1743" w:type="pct"/>
                  <w:tcBorders>
                    <w:tl2br w:val="nil"/>
                    <w:tr2bl w:val="nil"/>
                  </w:tcBorders>
                  <w:noWrap w:val="0"/>
                  <w:vAlign w:val="center"/>
                </w:tcPr>
                <w:p w14:paraId="4013C721">
                  <w:pPr>
                    <w:snapToGrid w:val="0"/>
                    <w:jc w:val="center"/>
                    <w:rPr>
                      <w:rFonts w:hint="eastAsia"/>
                      <w:lang w:val="en-US" w:eastAsia="zh-CN"/>
                    </w:rPr>
                  </w:pPr>
                  <w:r>
                    <w:rPr>
                      <w:rFonts w:hint="eastAsia"/>
                      <w:lang w:val="en-US" w:eastAsia="zh-CN"/>
                    </w:rPr>
                    <w:t>N600-M12SJ/617T</w:t>
                  </w:r>
                </w:p>
                <w:p w14:paraId="2BD39F35">
                  <w:pPr>
                    <w:snapToGrid w:val="0"/>
                    <w:jc w:val="center"/>
                    <w:rPr>
                      <w:rFonts w:hint="default"/>
                      <w:lang w:val="en-US" w:eastAsia="zh-CN"/>
                    </w:rPr>
                  </w:pPr>
                  <w:r>
                    <w:rPr>
                      <w:rFonts w:hint="eastAsia"/>
                      <w:lang w:val="en-US" w:eastAsia="zh-CN"/>
                    </w:rPr>
                    <w:t>设计流量2800</w:t>
                  </w:r>
                  <w:r>
                    <w:rPr>
                      <w:rFonts w:hint="default"/>
                      <w:lang w:val="en-US" w:eastAsia="zh-CN"/>
                    </w:rPr>
                    <w:t>m</w:t>
                  </w:r>
                  <w:r>
                    <w:rPr>
                      <w:rFonts w:hint="eastAsia"/>
                      <w:vertAlign w:val="superscript"/>
                      <w:lang w:val="en-US" w:eastAsia="zh-CN"/>
                    </w:rPr>
                    <w:t>3</w:t>
                  </w:r>
                  <w:r>
                    <w:rPr>
                      <w:rFonts w:hint="default"/>
                      <w:lang w:val="en-US" w:eastAsia="zh-CN"/>
                    </w:rPr>
                    <w:t>/</w:t>
                  </w:r>
                  <w:r>
                    <w:rPr>
                      <w:rFonts w:hint="eastAsia"/>
                      <w:lang w:val="en-US" w:eastAsia="zh-CN"/>
                    </w:rPr>
                    <w:t>h</w:t>
                  </w:r>
                </w:p>
              </w:tc>
              <w:tc>
                <w:tcPr>
                  <w:tcW w:w="394" w:type="pct"/>
                  <w:tcBorders>
                    <w:tl2br w:val="nil"/>
                    <w:tr2bl w:val="nil"/>
                  </w:tcBorders>
                  <w:shd w:val="clear" w:color="auto" w:fill="auto"/>
                  <w:noWrap w:val="0"/>
                  <w:vAlign w:val="center"/>
                </w:tcPr>
                <w:p w14:paraId="0B267A52">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台</w:t>
                  </w:r>
                </w:p>
              </w:tc>
              <w:tc>
                <w:tcPr>
                  <w:tcW w:w="439" w:type="pct"/>
                  <w:tcBorders>
                    <w:tl2br w:val="nil"/>
                    <w:tr2bl w:val="nil"/>
                  </w:tcBorders>
                  <w:shd w:val="clear" w:color="auto" w:fill="auto"/>
                  <w:noWrap w:val="0"/>
                  <w:vAlign w:val="center"/>
                </w:tcPr>
                <w:p w14:paraId="27560251">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w:t>
                  </w:r>
                </w:p>
              </w:tc>
              <w:tc>
                <w:tcPr>
                  <w:tcW w:w="819" w:type="pct"/>
                  <w:vMerge w:val="continue"/>
                  <w:tcBorders>
                    <w:tl2br w:val="nil"/>
                    <w:tr2bl w:val="nil"/>
                  </w:tcBorders>
                  <w:shd w:val="clear" w:color="auto" w:fill="auto"/>
                  <w:noWrap w:val="0"/>
                  <w:vAlign w:val="center"/>
                </w:tcPr>
                <w:p w14:paraId="3377F7ED">
                  <w:pPr>
                    <w:snapToGrid w:val="0"/>
                    <w:jc w:val="center"/>
                    <w:rPr>
                      <w:rFonts w:hint="default" w:ascii="Times New Roman" w:hAnsi="Times New Roman" w:eastAsia="宋体" w:cs="Times New Roman"/>
                      <w:b/>
                      <w:bCs/>
                      <w:color w:val="auto"/>
                      <w:kern w:val="2"/>
                      <w:sz w:val="21"/>
                      <w:szCs w:val="21"/>
                      <w:lang w:val="en-US" w:eastAsia="zh-CN" w:bidi="ar-SA"/>
                    </w:rPr>
                  </w:pPr>
                </w:p>
              </w:tc>
            </w:tr>
            <w:tr w14:paraId="50BD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4FDD6D59">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5</w:t>
                  </w:r>
                </w:p>
              </w:tc>
              <w:tc>
                <w:tcPr>
                  <w:tcW w:w="1283" w:type="pct"/>
                  <w:tcBorders>
                    <w:tl2br w:val="nil"/>
                    <w:tr2bl w:val="nil"/>
                  </w:tcBorders>
                  <w:shd w:val="clear" w:color="auto" w:fill="auto"/>
                  <w:noWrap w:val="0"/>
                  <w:vAlign w:val="center"/>
                </w:tcPr>
                <w:p w14:paraId="187477EC">
                  <w:pPr>
                    <w:snapToGrid w:val="0"/>
                    <w:jc w:val="center"/>
                    <w:rPr>
                      <w:rFonts w:hint="eastAsia"/>
                      <w:lang w:val="en-US" w:eastAsia="zh-CN"/>
                    </w:rPr>
                  </w:pPr>
                  <w:r>
                    <w:rPr>
                      <w:rFonts w:hint="eastAsia"/>
                      <w:lang w:val="en-US" w:eastAsia="zh-CN"/>
                    </w:rPr>
                    <w:t>单级双吸离心泵</w:t>
                  </w:r>
                </w:p>
              </w:tc>
              <w:tc>
                <w:tcPr>
                  <w:tcW w:w="1743" w:type="pct"/>
                  <w:tcBorders>
                    <w:tl2br w:val="nil"/>
                    <w:tr2bl w:val="nil"/>
                  </w:tcBorders>
                  <w:shd w:val="clear" w:color="auto" w:fill="auto"/>
                  <w:noWrap w:val="0"/>
                  <w:vAlign w:val="center"/>
                </w:tcPr>
                <w:p w14:paraId="5FB36766">
                  <w:pPr>
                    <w:snapToGrid w:val="0"/>
                    <w:jc w:val="center"/>
                    <w:rPr>
                      <w:rFonts w:hint="eastAsia"/>
                      <w:lang w:val="en-US" w:eastAsia="zh-CN"/>
                    </w:rPr>
                  </w:pPr>
                  <w:r>
                    <w:rPr>
                      <w:rFonts w:hint="eastAsia"/>
                      <w:lang w:val="en-US" w:eastAsia="zh-CN"/>
                    </w:rPr>
                    <w:t>KQSN350-M12S/360-JFA-F设计流量550-950</w:t>
                  </w:r>
                  <w:r>
                    <w:rPr>
                      <w:rFonts w:hint="default"/>
                      <w:lang w:val="en-US" w:eastAsia="zh-CN"/>
                    </w:rPr>
                    <w:t>m</w:t>
                  </w:r>
                  <w:r>
                    <w:rPr>
                      <w:rFonts w:hint="eastAsia"/>
                      <w:vertAlign w:val="superscript"/>
                      <w:lang w:val="en-US" w:eastAsia="zh-CN"/>
                    </w:rPr>
                    <w:t>3</w:t>
                  </w:r>
                  <w:r>
                    <w:rPr>
                      <w:rFonts w:hint="default"/>
                      <w:lang w:val="en-US" w:eastAsia="zh-CN"/>
                    </w:rPr>
                    <w:t>/</w:t>
                  </w:r>
                  <w:r>
                    <w:rPr>
                      <w:rFonts w:hint="eastAsia"/>
                      <w:lang w:val="en-US" w:eastAsia="zh-CN"/>
                    </w:rPr>
                    <w:t>h</w:t>
                  </w:r>
                </w:p>
              </w:tc>
              <w:tc>
                <w:tcPr>
                  <w:tcW w:w="394" w:type="pct"/>
                  <w:tcBorders>
                    <w:tl2br w:val="nil"/>
                    <w:tr2bl w:val="nil"/>
                  </w:tcBorders>
                  <w:shd w:val="clear" w:color="auto" w:fill="auto"/>
                  <w:noWrap w:val="0"/>
                  <w:vAlign w:val="center"/>
                </w:tcPr>
                <w:p w14:paraId="6B3AD43C">
                  <w:pPr>
                    <w:snapToGrid w:val="0"/>
                    <w:jc w:val="center"/>
                    <w:rPr>
                      <w:rFonts w:hint="default"/>
                      <w:lang w:val="en-US" w:eastAsia="zh-CN"/>
                    </w:rPr>
                  </w:pPr>
                  <w:r>
                    <w:rPr>
                      <w:rFonts w:hint="eastAsia"/>
                      <w:lang w:val="en-US" w:eastAsia="zh-CN"/>
                    </w:rPr>
                    <w:t>台</w:t>
                  </w:r>
                </w:p>
              </w:tc>
              <w:tc>
                <w:tcPr>
                  <w:tcW w:w="439" w:type="pct"/>
                  <w:tcBorders>
                    <w:tl2br w:val="nil"/>
                    <w:tr2bl w:val="nil"/>
                  </w:tcBorders>
                  <w:shd w:val="clear" w:color="auto" w:fill="auto"/>
                  <w:noWrap w:val="0"/>
                  <w:vAlign w:val="center"/>
                </w:tcPr>
                <w:p w14:paraId="512AC95B">
                  <w:pPr>
                    <w:snapToGrid w:val="0"/>
                    <w:jc w:val="center"/>
                    <w:rPr>
                      <w:rFonts w:hint="default"/>
                      <w:lang w:val="en-US" w:eastAsia="zh-CN"/>
                    </w:rPr>
                  </w:pPr>
                  <w:r>
                    <w:rPr>
                      <w:rFonts w:hint="eastAsia"/>
                      <w:lang w:val="en-US" w:eastAsia="zh-CN"/>
                    </w:rPr>
                    <w:t>1</w:t>
                  </w:r>
                </w:p>
              </w:tc>
              <w:tc>
                <w:tcPr>
                  <w:tcW w:w="819" w:type="pct"/>
                  <w:vMerge w:val="continue"/>
                  <w:tcBorders>
                    <w:tl2br w:val="nil"/>
                    <w:tr2bl w:val="nil"/>
                  </w:tcBorders>
                  <w:noWrap w:val="0"/>
                  <w:vAlign w:val="center"/>
                </w:tcPr>
                <w:p w14:paraId="7D3389BC">
                  <w:pPr>
                    <w:snapToGrid w:val="0"/>
                    <w:jc w:val="center"/>
                    <w:rPr>
                      <w:rFonts w:hint="default"/>
                      <w:lang w:val="en-US" w:eastAsia="zh-CN"/>
                    </w:rPr>
                  </w:pPr>
                </w:p>
              </w:tc>
            </w:tr>
            <w:tr w14:paraId="488D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407ABBC0">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6</w:t>
                  </w:r>
                </w:p>
              </w:tc>
              <w:tc>
                <w:tcPr>
                  <w:tcW w:w="1283" w:type="pct"/>
                  <w:tcBorders>
                    <w:tl2br w:val="nil"/>
                    <w:tr2bl w:val="nil"/>
                  </w:tcBorders>
                  <w:shd w:val="clear" w:color="auto" w:fill="auto"/>
                  <w:noWrap w:val="0"/>
                  <w:vAlign w:val="center"/>
                </w:tcPr>
                <w:p w14:paraId="6633FB42">
                  <w:pPr>
                    <w:snapToGrid w:val="0"/>
                    <w:jc w:val="center"/>
                    <w:rPr>
                      <w:rFonts w:hint="eastAsia"/>
                      <w:lang w:val="en-US" w:eastAsia="zh-CN"/>
                    </w:rPr>
                  </w:pPr>
                  <w:r>
                    <w:rPr>
                      <w:rFonts w:hint="eastAsia"/>
                      <w:lang w:val="en-US" w:eastAsia="zh-CN"/>
                    </w:rPr>
                    <w:t>单级双吸离心泵</w:t>
                  </w:r>
                </w:p>
              </w:tc>
              <w:tc>
                <w:tcPr>
                  <w:tcW w:w="1743" w:type="pct"/>
                  <w:tcBorders>
                    <w:tl2br w:val="nil"/>
                    <w:tr2bl w:val="nil"/>
                  </w:tcBorders>
                  <w:shd w:val="clear" w:color="auto" w:fill="auto"/>
                  <w:noWrap w:val="0"/>
                  <w:vAlign w:val="center"/>
                </w:tcPr>
                <w:p w14:paraId="77CD847A">
                  <w:pPr>
                    <w:snapToGrid w:val="0"/>
                    <w:jc w:val="center"/>
                    <w:rPr>
                      <w:rFonts w:hint="eastAsia"/>
                      <w:lang w:val="en-US" w:eastAsia="zh-CN"/>
                    </w:rPr>
                  </w:pPr>
                  <w:r>
                    <w:rPr>
                      <w:rFonts w:hint="eastAsia"/>
                      <w:lang w:val="en-US" w:eastAsia="zh-CN"/>
                    </w:rPr>
                    <w:t>20SA—22A设计流量1800</w:t>
                  </w:r>
                  <w:r>
                    <w:rPr>
                      <w:rFonts w:hint="default"/>
                      <w:lang w:val="en-US" w:eastAsia="zh-CN"/>
                    </w:rPr>
                    <w:t>m</w:t>
                  </w:r>
                  <w:r>
                    <w:rPr>
                      <w:rFonts w:hint="eastAsia"/>
                      <w:vertAlign w:val="superscript"/>
                      <w:lang w:val="en-US" w:eastAsia="zh-CN"/>
                    </w:rPr>
                    <w:t>3</w:t>
                  </w:r>
                  <w:r>
                    <w:rPr>
                      <w:rFonts w:hint="default"/>
                      <w:lang w:val="en-US" w:eastAsia="zh-CN"/>
                    </w:rPr>
                    <w:t>/</w:t>
                  </w:r>
                  <w:r>
                    <w:rPr>
                      <w:rFonts w:hint="eastAsia"/>
                      <w:lang w:val="en-US" w:eastAsia="zh-CN"/>
                    </w:rPr>
                    <w:t>h</w:t>
                  </w:r>
                </w:p>
              </w:tc>
              <w:tc>
                <w:tcPr>
                  <w:tcW w:w="394" w:type="pct"/>
                  <w:tcBorders>
                    <w:tl2br w:val="nil"/>
                    <w:tr2bl w:val="nil"/>
                  </w:tcBorders>
                  <w:shd w:val="clear" w:color="auto" w:fill="auto"/>
                  <w:noWrap w:val="0"/>
                  <w:vAlign w:val="center"/>
                </w:tcPr>
                <w:p w14:paraId="40C33F8D">
                  <w:pPr>
                    <w:snapToGrid w:val="0"/>
                    <w:jc w:val="center"/>
                    <w:rPr>
                      <w:rFonts w:hint="default"/>
                      <w:lang w:val="en-US" w:eastAsia="zh-CN"/>
                    </w:rPr>
                  </w:pPr>
                  <w:r>
                    <w:rPr>
                      <w:rFonts w:hint="eastAsia"/>
                      <w:lang w:val="en-US" w:eastAsia="zh-CN"/>
                    </w:rPr>
                    <w:t>台</w:t>
                  </w:r>
                </w:p>
              </w:tc>
              <w:tc>
                <w:tcPr>
                  <w:tcW w:w="439" w:type="pct"/>
                  <w:tcBorders>
                    <w:tl2br w:val="nil"/>
                    <w:tr2bl w:val="nil"/>
                  </w:tcBorders>
                  <w:shd w:val="clear" w:color="auto" w:fill="auto"/>
                  <w:noWrap w:val="0"/>
                  <w:vAlign w:val="center"/>
                </w:tcPr>
                <w:p w14:paraId="7C4F5F9D">
                  <w:pPr>
                    <w:snapToGrid w:val="0"/>
                    <w:jc w:val="center"/>
                    <w:rPr>
                      <w:rFonts w:hint="default"/>
                      <w:lang w:val="en-US" w:eastAsia="zh-CN"/>
                    </w:rPr>
                  </w:pPr>
                  <w:r>
                    <w:rPr>
                      <w:rFonts w:hint="eastAsia"/>
                      <w:lang w:val="en-US" w:eastAsia="zh-CN"/>
                    </w:rPr>
                    <w:t>2</w:t>
                  </w:r>
                </w:p>
              </w:tc>
              <w:tc>
                <w:tcPr>
                  <w:tcW w:w="819" w:type="pct"/>
                  <w:vMerge w:val="continue"/>
                  <w:tcBorders>
                    <w:tl2br w:val="nil"/>
                    <w:tr2bl w:val="nil"/>
                  </w:tcBorders>
                  <w:noWrap w:val="0"/>
                  <w:vAlign w:val="center"/>
                </w:tcPr>
                <w:p w14:paraId="2BC537DA">
                  <w:pPr>
                    <w:snapToGrid w:val="0"/>
                    <w:jc w:val="center"/>
                    <w:rPr>
                      <w:rFonts w:hint="default"/>
                      <w:lang w:val="en-US" w:eastAsia="zh-CN"/>
                    </w:rPr>
                  </w:pPr>
                </w:p>
              </w:tc>
            </w:tr>
            <w:tr w14:paraId="7395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0A1EA0DF">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7</w:t>
                  </w:r>
                </w:p>
              </w:tc>
              <w:tc>
                <w:tcPr>
                  <w:tcW w:w="1283" w:type="pct"/>
                  <w:tcBorders>
                    <w:tl2br w:val="nil"/>
                    <w:tr2bl w:val="nil"/>
                  </w:tcBorders>
                  <w:noWrap w:val="0"/>
                  <w:vAlign w:val="center"/>
                </w:tcPr>
                <w:p w14:paraId="5A3447EA">
                  <w:pPr>
                    <w:snapToGrid w:val="0"/>
                    <w:jc w:val="center"/>
                    <w:rPr>
                      <w:rFonts w:hint="eastAsia"/>
                      <w:lang w:val="en-US" w:eastAsia="zh-CN"/>
                    </w:rPr>
                  </w:pPr>
                  <w:r>
                    <w:rPr>
                      <w:rFonts w:hint="eastAsia"/>
                      <w:lang w:val="en-US" w:eastAsia="zh-CN"/>
                    </w:rPr>
                    <w:t>螺杆式空气压缩机</w:t>
                  </w:r>
                </w:p>
              </w:tc>
              <w:tc>
                <w:tcPr>
                  <w:tcW w:w="1743" w:type="pct"/>
                  <w:tcBorders>
                    <w:tl2br w:val="nil"/>
                    <w:tr2bl w:val="nil"/>
                  </w:tcBorders>
                  <w:noWrap w:val="0"/>
                  <w:vAlign w:val="center"/>
                </w:tcPr>
                <w:p w14:paraId="2C91B4E5">
                  <w:pPr>
                    <w:snapToGrid w:val="0"/>
                    <w:jc w:val="center"/>
                    <w:rPr>
                      <w:rFonts w:hint="eastAsia"/>
                      <w:lang w:val="en-US" w:eastAsia="zh-CN"/>
                    </w:rPr>
                  </w:pPr>
                  <w:r>
                    <w:rPr>
                      <w:rFonts w:hint="eastAsia"/>
                      <w:lang w:val="en-US" w:eastAsia="zh-CN"/>
                    </w:rPr>
                    <w:t>ZLS09/8</w:t>
                  </w:r>
                </w:p>
              </w:tc>
              <w:tc>
                <w:tcPr>
                  <w:tcW w:w="394" w:type="pct"/>
                  <w:tcBorders>
                    <w:tl2br w:val="nil"/>
                    <w:tr2bl w:val="nil"/>
                  </w:tcBorders>
                  <w:noWrap w:val="0"/>
                  <w:vAlign w:val="center"/>
                </w:tcPr>
                <w:p w14:paraId="04FBED2A">
                  <w:pPr>
                    <w:snapToGrid w:val="0"/>
                    <w:jc w:val="center"/>
                    <w:rPr>
                      <w:rFonts w:hint="default" w:ascii="Times New Roman" w:hAnsi="Times New Roman" w:eastAsia="宋体" w:cs="Times New Roman"/>
                      <w:b/>
                      <w:bCs/>
                      <w:color w:val="auto"/>
                      <w:sz w:val="21"/>
                      <w:szCs w:val="21"/>
                      <w:lang w:val="en-US" w:eastAsia="zh-CN"/>
                    </w:rPr>
                  </w:pPr>
                  <w:r>
                    <w:rPr>
                      <w:rFonts w:hint="eastAsia"/>
                      <w:lang w:val="en-US" w:eastAsia="zh-CN"/>
                    </w:rPr>
                    <w:t>台</w:t>
                  </w:r>
                </w:p>
              </w:tc>
              <w:tc>
                <w:tcPr>
                  <w:tcW w:w="439" w:type="pct"/>
                  <w:tcBorders>
                    <w:tl2br w:val="nil"/>
                    <w:tr2bl w:val="nil"/>
                  </w:tcBorders>
                  <w:noWrap w:val="0"/>
                  <w:vAlign w:val="center"/>
                </w:tcPr>
                <w:p w14:paraId="7B8E5D55">
                  <w:pPr>
                    <w:snapToGrid w:val="0"/>
                    <w:jc w:val="center"/>
                    <w:rPr>
                      <w:rFonts w:hint="default" w:ascii="Times New Roman" w:hAnsi="Times New Roman" w:eastAsia="宋体" w:cs="Times New Roman"/>
                      <w:b/>
                      <w:bCs/>
                      <w:color w:val="auto"/>
                      <w:sz w:val="21"/>
                      <w:szCs w:val="21"/>
                    </w:rPr>
                  </w:pPr>
                  <w:r>
                    <w:rPr>
                      <w:rFonts w:hint="eastAsia"/>
                      <w:lang w:val="en-US" w:eastAsia="zh-CN"/>
                    </w:rPr>
                    <w:t>2</w:t>
                  </w:r>
                </w:p>
              </w:tc>
              <w:tc>
                <w:tcPr>
                  <w:tcW w:w="819" w:type="pct"/>
                  <w:tcBorders>
                    <w:tl2br w:val="nil"/>
                    <w:tr2bl w:val="nil"/>
                  </w:tcBorders>
                  <w:noWrap w:val="0"/>
                  <w:vAlign w:val="center"/>
                </w:tcPr>
                <w:p w14:paraId="7AB750E3">
                  <w:pPr>
                    <w:snapToGrid w:val="0"/>
                    <w:jc w:val="center"/>
                    <w:rPr>
                      <w:rFonts w:hint="default" w:ascii="Times New Roman" w:hAnsi="Times New Roman" w:eastAsia="宋体" w:cs="Times New Roman"/>
                      <w:b/>
                      <w:bCs/>
                      <w:color w:val="auto"/>
                      <w:sz w:val="21"/>
                      <w:szCs w:val="21"/>
                    </w:rPr>
                  </w:pPr>
                  <w:r>
                    <w:rPr>
                      <w:rFonts w:hint="eastAsia" w:cs="Times New Roman"/>
                      <w:b w:val="0"/>
                      <w:bCs w:val="0"/>
                      <w:color w:val="auto"/>
                      <w:sz w:val="21"/>
                      <w:szCs w:val="21"/>
                      <w:lang w:val="en-US" w:eastAsia="zh-CN"/>
                    </w:rPr>
                    <w:t>送水泵房</w:t>
                  </w:r>
                </w:p>
              </w:tc>
            </w:tr>
            <w:tr w14:paraId="0C3E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60B41799">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8</w:t>
                  </w:r>
                </w:p>
              </w:tc>
              <w:tc>
                <w:tcPr>
                  <w:tcW w:w="1283" w:type="pct"/>
                  <w:tcBorders>
                    <w:tl2br w:val="nil"/>
                    <w:tr2bl w:val="nil"/>
                  </w:tcBorders>
                  <w:noWrap w:val="0"/>
                  <w:vAlign w:val="center"/>
                </w:tcPr>
                <w:p w14:paraId="58ACAD5A">
                  <w:pPr>
                    <w:snapToGrid w:val="0"/>
                    <w:jc w:val="center"/>
                    <w:rPr>
                      <w:rFonts w:hint="eastAsia"/>
                      <w:lang w:val="en-US" w:eastAsia="zh-CN"/>
                    </w:rPr>
                  </w:pPr>
                  <w:r>
                    <w:rPr>
                      <w:rFonts w:hint="eastAsia"/>
                      <w:lang w:val="en-US" w:eastAsia="zh-CN"/>
                    </w:rPr>
                    <w:t>螺杆式空气压缩机</w:t>
                  </w:r>
                </w:p>
              </w:tc>
              <w:tc>
                <w:tcPr>
                  <w:tcW w:w="1743" w:type="pct"/>
                  <w:tcBorders>
                    <w:tl2br w:val="nil"/>
                    <w:tr2bl w:val="nil"/>
                  </w:tcBorders>
                  <w:noWrap w:val="0"/>
                  <w:vAlign w:val="center"/>
                </w:tcPr>
                <w:p w14:paraId="446A2437">
                  <w:pPr>
                    <w:snapToGrid w:val="0"/>
                    <w:jc w:val="center"/>
                    <w:rPr>
                      <w:rFonts w:hint="eastAsia"/>
                      <w:lang w:val="en-US" w:eastAsia="zh-CN"/>
                    </w:rPr>
                  </w:pPr>
                  <w:r>
                    <w:rPr>
                      <w:rFonts w:hint="eastAsia"/>
                      <w:lang w:val="en-US" w:eastAsia="zh-CN"/>
                    </w:rPr>
                    <w:t>DAV—7</w:t>
                  </w:r>
                </w:p>
              </w:tc>
              <w:tc>
                <w:tcPr>
                  <w:tcW w:w="394" w:type="pct"/>
                  <w:tcBorders>
                    <w:tl2br w:val="nil"/>
                    <w:tr2bl w:val="nil"/>
                  </w:tcBorders>
                  <w:noWrap w:val="0"/>
                  <w:vAlign w:val="center"/>
                </w:tcPr>
                <w:p w14:paraId="617E8CE9">
                  <w:pPr>
                    <w:snapToGrid w:val="0"/>
                    <w:jc w:val="center"/>
                    <w:rPr>
                      <w:rFonts w:hint="default"/>
                      <w:lang w:val="en-US" w:eastAsia="zh-CN"/>
                    </w:rPr>
                  </w:pPr>
                  <w:r>
                    <w:rPr>
                      <w:rFonts w:hint="eastAsia"/>
                      <w:lang w:val="en-US" w:eastAsia="zh-CN"/>
                    </w:rPr>
                    <w:t>台</w:t>
                  </w:r>
                </w:p>
              </w:tc>
              <w:tc>
                <w:tcPr>
                  <w:tcW w:w="439" w:type="pct"/>
                  <w:tcBorders>
                    <w:tl2br w:val="nil"/>
                    <w:tr2bl w:val="nil"/>
                  </w:tcBorders>
                  <w:noWrap w:val="0"/>
                  <w:vAlign w:val="center"/>
                </w:tcPr>
                <w:p w14:paraId="63FCCAD6">
                  <w:pPr>
                    <w:snapToGrid w:val="0"/>
                    <w:jc w:val="center"/>
                    <w:rPr>
                      <w:rFonts w:hint="default"/>
                      <w:lang w:val="en-US" w:eastAsia="zh-CN"/>
                    </w:rPr>
                  </w:pPr>
                  <w:r>
                    <w:rPr>
                      <w:rFonts w:hint="eastAsia"/>
                      <w:lang w:val="en-US" w:eastAsia="zh-CN"/>
                    </w:rPr>
                    <w:t>1</w:t>
                  </w:r>
                </w:p>
              </w:tc>
              <w:tc>
                <w:tcPr>
                  <w:tcW w:w="819" w:type="pct"/>
                  <w:vMerge w:val="restart"/>
                  <w:tcBorders>
                    <w:tl2br w:val="nil"/>
                    <w:tr2bl w:val="nil"/>
                  </w:tcBorders>
                  <w:noWrap w:val="0"/>
                  <w:vAlign w:val="center"/>
                </w:tcPr>
                <w:p w14:paraId="679A8A96">
                  <w:pPr>
                    <w:snapToGrid w:val="0"/>
                    <w:jc w:val="center"/>
                    <w:rPr>
                      <w:rFonts w:hint="default" w:ascii="Times New Roman" w:hAnsi="Times New Roman" w:eastAsia="宋体" w:cs="Times New Roman"/>
                      <w:b/>
                      <w:bCs/>
                      <w:color w:val="auto"/>
                      <w:sz w:val="21"/>
                      <w:szCs w:val="21"/>
                    </w:rPr>
                  </w:pPr>
                  <w:r>
                    <w:rPr>
                      <w:rFonts w:hint="eastAsia" w:ascii="Times New Roman" w:cs="Times New Roman"/>
                      <w:b w:val="0"/>
                      <w:bCs/>
                      <w:color w:val="auto"/>
                      <w:sz w:val="21"/>
                      <w:szCs w:val="21"/>
                      <w:u w:val="none"/>
                      <w:lang w:val="en-US" w:eastAsia="zh-CN"/>
                    </w:rPr>
                    <w:t>10万</w:t>
                  </w:r>
                  <w:r>
                    <w:rPr>
                      <w:rFonts w:hint="default" w:ascii="Times New Roman" w:hAnsi="Times New Roman" w:eastAsia="宋体" w:cs="Times New Roman"/>
                      <w:b w:val="0"/>
                      <w:bCs/>
                      <w:color w:val="auto"/>
                      <w:sz w:val="21"/>
                      <w:szCs w:val="21"/>
                      <w:u w:val="none"/>
                    </w:rPr>
                    <w:t>m</w:t>
                  </w:r>
                  <w:r>
                    <w:rPr>
                      <w:rFonts w:hint="eastAsia" w:ascii="Times New Roman" w:cs="Times New Roman"/>
                      <w:b w:val="0"/>
                      <w:bCs/>
                      <w:color w:val="auto"/>
                      <w:sz w:val="21"/>
                      <w:szCs w:val="21"/>
                      <w:u w:val="none"/>
                      <w:vertAlign w:val="superscript"/>
                      <w:lang w:val="en-US" w:eastAsia="zh-CN"/>
                    </w:rPr>
                    <w:t>3</w:t>
                  </w:r>
                  <w:r>
                    <w:rPr>
                      <w:rFonts w:hint="eastAsia" w:ascii="Times New Roman" w:cs="Times New Roman"/>
                      <w:b w:val="0"/>
                      <w:bCs/>
                      <w:color w:val="auto"/>
                      <w:sz w:val="21"/>
                      <w:szCs w:val="21"/>
                      <w:u w:val="none"/>
                      <w:vertAlign w:val="baseline"/>
                      <w:lang w:val="en-US" w:eastAsia="zh-CN"/>
                    </w:rPr>
                    <w:t>/d</w:t>
                  </w:r>
                  <w:r>
                    <w:rPr>
                      <w:rFonts w:hint="eastAsia" w:ascii="Times New Roman" w:cs="Times New Roman"/>
                      <w:b w:val="0"/>
                      <w:bCs/>
                      <w:color w:val="auto"/>
                      <w:sz w:val="21"/>
                      <w:szCs w:val="21"/>
                      <w:u w:val="none"/>
                      <w:lang w:val="en-US" w:eastAsia="zh-CN"/>
                    </w:rPr>
                    <w:t>净水生产线</w:t>
                  </w:r>
                </w:p>
              </w:tc>
            </w:tr>
            <w:tr w14:paraId="5C00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28CD4EF2">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9</w:t>
                  </w:r>
                </w:p>
              </w:tc>
              <w:tc>
                <w:tcPr>
                  <w:tcW w:w="1283" w:type="pct"/>
                  <w:tcBorders>
                    <w:tl2br w:val="nil"/>
                    <w:tr2bl w:val="nil"/>
                  </w:tcBorders>
                  <w:noWrap w:val="0"/>
                  <w:vAlign w:val="center"/>
                </w:tcPr>
                <w:p w14:paraId="5C80B3CC">
                  <w:pPr>
                    <w:snapToGrid w:val="0"/>
                    <w:jc w:val="center"/>
                    <w:rPr>
                      <w:rFonts w:hint="eastAsia"/>
                      <w:lang w:val="en-US" w:eastAsia="zh-CN"/>
                    </w:rPr>
                  </w:pPr>
                  <w:r>
                    <w:rPr>
                      <w:rFonts w:hint="eastAsia"/>
                      <w:lang w:val="en-US" w:eastAsia="zh-CN"/>
                    </w:rPr>
                    <w:t>螺杆式空气压缩机</w:t>
                  </w:r>
                </w:p>
              </w:tc>
              <w:tc>
                <w:tcPr>
                  <w:tcW w:w="1743" w:type="pct"/>
                  <w:tcBorders>
                    <w:tl2br w:val="nil"/>
                    <w:tr2bl w:val="nil"/>
                  </w:tcBorders>
                  <w:noWrap w:val="0"/>
                  <w:vAlign w:val="center"/>
                </w:tcPr>
                <w:p w14:paraId="44BFF7A6">
                  <w:pPr>
                    <w:snapToGrid w:val="0"/>
                    <w:jc w:val="center"/>
                    <w:rPr>
                      <w:rFonts w:hint="eastAsia"/>
                      <w:lang w:val="en-US" w:eastAsia="zh-CN"/>
                    </w:rPr>
                  </w:pPr>
                  <w:r>
                    <w:rPr>
                      <w:rFonts w:hint="eastAsia"/>
                      <w:lang w:val="en-US" w:eastAsia="zh-CN"/>
                    </w:rPr>
                    <w:t>ES—15/8</w:t>
                  </w:r>
                </w:p>
              </w:tc>
              <w:tc>
                <w:tcPr>
                  <w:tcW w:w="394" w:type="pct"/>
                  <w:tcBorders>
                    <w:tl2br w:val="nil"/>
                    <w:tr2bl w:val="nil"/>
                  </w:tcBorders>
                  <w:noWrap w:val="0"/>
                  <w:vAlign w:val="center"/>
                </w:tcPr>
                <w:p w14:paraId="3EB7F3EE">
                  <w:pPr>
                    <w:snapToGrid w:val="0"/>
                    <w:jc w:val="center"/>
                    <w:rPr>
                      <w:rFonts w:hint="default"/>
                      <w:lang w:val="en-US" w:eastAsia="zh-CN"/>
                    </w:rPr>
                  </w:pPr>
                  <w:r>
                    <w:rPr>
                      <w:rFonts w:hint="eastAsia"/>
                      <w:lang w:val="en-US" w:eastAsia="zh-CN"/>
                    </w:rPr>
                    <w:t>台</w:t>
                  </w:r>
                </w:p>
              </w:tc>
              <w:tc>
                <w:tcPr>
                  <w:tcW w:w="439" w:type="pct"/>
                  <w:tcBorders>
                    <w:tl2br w:val="nil"/>
                    <w:tr2bl w:val="nil"/>
                  </w:tcBorders>
                  <w:noWrap w:val="0"/>
                  <w:vAlign w:val="center"/>
                </w:tcPr>
                <w:p w14:paraId="538BC2E3">
                  <w:pPr>
                    <w:snapToGrid w:val="0"/>
                    <w:jc w:val="center"/>
                    <w:rPr>
                      <w:rFonts w:hint="default"/>
                      <w:lang w:val="en-US" w:eastAsia="zh-CN"/>
                    </w:rPr>
                  </w:pPr>
                  <w:r>
                    <w:rPr>
                      <w:rFonts w:hint="eastAsia"/>
                      <w:lang w:val="en-US" w:eastAsia="zh-CN"/>
                    </w:rPr>
                    <w:t>1</w:t>
                  </w:r>
                </w:p>
              </w:tc>
              <w:tc>
                <w:tcPr>
                  <w:tcW w:w="819" w:type="pct"/>
                  <w:vMerge w:val="continue"/>
                  <w:tcBorders>
                    <w:tl2br w:val="nil"/>
                    <w:tr2bl w:val="nil"/>
                  </w:tcBorders>
                  <w:noWrap w:val="0"/>
                  <w:vAlign w:val="center"/>
                </w:tcPr>
                <w:p w14:paraId="67C61AE4">
                  <w:pPr>
                    <w:snapToGrid w:val="0"/>
                    <w:jc w:val="center"/>
                    <w:rPr>
                      <w:rFonts w:hint="default" w:ascii="Times New Roman" w:hAnsi="Times New Roman" w:eastAsia="宋体" w:cs="Times New Roman"/>
                      <w:b/>
                      <w:bCs/>
                      <w:color w:val="auto"/>
                      <w:sz w:val="21"/>
                      <w:szCs w:val="21"/>
                    </w:rPr>
                  </w:pPr>
                </w:p>
              </w:tc>
            </w:tr>
            <w:tr w14:paraId="3598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18B10879">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10</w:t>
                  </w:r>
                </w:p>
              </w:tc>
              <w:tc>
                <w:tcPr>
                  <w:tcW w:w="1283" w:type="pct"/>
                  <w:tcBorders>
                    <w:tl2br w:val="nil"/>
                    <w:tr2bl w:val="nil"/>
                  </w:tcBorders>
                  <w:noWrap w:val="0"/>
                  <w:vAlign w:val="center"/>
                </w:tcPr>
                <w:p w14:paraId="1FDDE9FA">
                  <w:pPr>
                    <w:snapToGrid w:val="0"/>
                    <w:jc w:val="center"/>
                    <w:rPr>
                      <w:rFonts w:hint="eastAsia"/>
                      <w:lang w:val="en-US" w:eastAsia="zh-CN"/>
                    </w:rPr>
                  </w:pPr>
                  <w:r>
                    <w:rPr>
                      <w:rFonts w:hint="eastAsia"/>
                      <w:lang w:val="en-US" w:eastAsia="zh-CN"/>
                    </w:rPr>
                    <w:t>章丘罗茨鼓风机</w:t>
                  </w:r>
                </w:p>
              </w:tc>
              <w:tc>
                <w:tcPr>
                  <w:tcW w:w="1743" w:type="pct"/>
                  <w:tcBorders>
                    <w:tl2br w:val="nil"/>
                    <w:tr2bl w:val="nil"/>
                  </w:tcBorders>
                  <w:noWrap w:val="0"/>
                  <w:vAlign w:val="center"/>
                </w:tcPr>
                <w:p w14:paraId="1197B29F">
                  <w:pPr>
                    <w:snapToGrid w:val="0"/>
                    <w:jc w:val="center"/>
                    <w:rPr>
                      <w:rFonts w:hint="eastAsia"/>
                      <w:lang w:val="en-US" w:eastAsia="zh-CN"/>
                    </w:rPr>
                  </w:pPr>
                  <w:r>
                    <w:rPr>
                      <w:rFonts w:hint="eastAsia"/>
                      <w:lang w:val="en-US" w:eastAsia="zh-CN"/>
                    </w:rPr>
                    <w:t>HCS—200B</w:t>
                  </w:r>
                </w:p>
              </w:tc>
              <w:tc>
                <w:tcPr>
                  <w:tcW w:w="394" w:type="pct"/>
                  <w:tcBorders>
                    <w:tl2br w:val="nil"/>
                    <w:tr2bl w:val="nil"/>
                  </w:tcBorders>
                  <w:noWrap w:val="0"/>
                  <w:vAlign w:val="center"/>
                </w:tcPr>
                <w:p w14:paraId="11E1ABB5">
                  <w:pPr>
                    <w:snapToGrid w:val="0"/>
                    <w:jc w:val="center"/>
                    <w:rPr>
                      <w:rFonts w:hint="default"/>
                      <w:lang w:val="en-US" w:eastAsia="zh-CN"/>
                    </w:rPr>
                  </w:pPr>
                  <w:r>
                    <w:rPr>
                      <w:rFonts w:hint="eastAsia"/>
                      <w:lang w:val="en-US" w:eastAsia="zh-CN"/>
                    </w:rPr>
                    <w:t>台</w:t>
                  </w:r>
                </w:p>
              </w:tc>
              <w:tc>
                <w:tcPr>
                  <w:tcW w:w="439" w:type="pct"/>
                  <w:tcBorders>
                    <w:tl2br w:val="nil"/>
                    <w:tr2bl w:val="nil"/>
                  </w:tcBorders>
                  <w:noWrap w:val="0"/>
                  <w:vAlign w:val="center"/>
                </w:tcPr>
                <w:p w14:paraId="191BFFF7">
                  <w:pPr>
                    <w:snapToGrid w:val="0"/>
                    <w:jc w:val="center"/>
                    <w:rPr>
                      <w:rFonts w:hint="default"/>
                      <w:lang w:val="en-US" w:eastAsia="zh-CN"/>
                    </w:rPr>
                  </w:pPr>
                  <w:r>
                    <w:rPr>
                      <w:rFonts w:hint="eastAsia"/>
                      <w:lang w:val="en-US" w:eastAsia="zh-CN"/>
                    </w:rPr>
                    <w:t>2</w:t>
                  </w:r>
                </w:p>
              </w:tc>
              <w:tc>
                <w:tcPr>
                  <w:tcW w:w="819" w:type="pct"/>
                  <w:vMerge w:val="continue"/>
                  <w:tcBorders>
                    <w:tl2br w:val="nil"/>
                    <w:tr2bl w:val="nil"/>
                  </w:tcBorders>
                  <w:noWrap w:val="0"/>
                  <w:vAlign w:val="center"/>
                </w:tcPr>
                <w:p w14:paraId="0094446D">
                  <w:pPr>
                    <w:snapToGrid w:val="0"/>
                    <w:jc w:val="center"/>
                    <w:rPr>
                      <w:rFonts w:hint="default" w:ascii="Times New Roman" w:hAnsi="Times New Roman" w:eastAsia="宋体" w:cs="Times New Roman"/>
                      <w:b/>
                      <w:bCs/>
                      <w:color w:val="auto"/>
                      <w:sz w:val="21"/>
                      <w:szCs w:val="21"/>
                    </w:rPr>
                  </w:pPr>
                </w:p>
              </w:tc>
            </w:tr>
            <w:tr w14:paraId="0AC5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318" w:type="pct"/>
                  <w:tcBorders>
                    <w:tl2br w:val="nil"/>
                    <w:tr2bl w:val="nil"/>
                  </w:tcBorders>
                  <w:noWrap w:val="0"/>
                  <w:vAlign w:val="center"/>
                </w:tcPr>
                <w:p w14:paraId="4589B6DF">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11</w:t>
                  </w:r>
                </w:p>
              </w:tc>
              <w:tc>
                <w:tcPr>
                  <w:tcW w:w="1283" w:type="pct"/>
                  <w:tcBorders>
                    <w:tl2br w:val="nil"/>
                    <w:tr2bl w:val="nil"/>
                  </w:tcBorders>
                  <w:noWrap w:val="0"/>
                  <w:vAlign w:val="center"/>
                </w:tcPr>
                <w:p w14:paraId="4012C0FB">
                  <w:pPr>
                    <w:snapToGrid w:val="0"/>
                    <w:jc w:val="center"/>
                    <w:rPr>
                      <w:rFonts w:hint="default"/>
                      <w:lang w:val="en-US" w:eastAsia="zh-CN"/>
                    </w:rPr>
                  </w:pPr>
                  <w:r>
                    <w:rPr>
                      <w:rFonts w:hint="eastAsia"/>
                      <w:lang w:val="en-US" w:eastAsia="zh-CN"/>
                    </w:rPr>
                    <w:t>网格式隔板反应池</w:t>
                  </w:r>
                </w:p>
              </w:tc>
              <w:tc>
                <w:tcPr>
                  <w:tcW w:w="1743" w:type="pct"/>
                  <w:tcBorders>
                    <w:tl2br w:val="nil"/>
                    <w:tr2bl w:val="nil"/>
                  </w:tcBorders>
                  <w:noWrap w:val="0"/>
                  <w:vAlign w:val="center"/>
                </w:tcPr>
                <w:p w14:paraId="44B25B7E">
                  <w:pPr>
                    <w:snapToGrid w:val="0"/>
                    <w:jc w:val="center"/>
                    <w:rPr>
                      <w:rFonts w:hint="default"/>
                      <w:lang w:val="en-US" w:eastAsia="zh-CN"/>
                    </w:rPr>
                  </w:pPr>
                  <w:r>
                    <w:rPr>
                      <w:rFonts w:hint="eastAsia"/>
                      <w:lang w:val="en-US" w:eastAsia="zh-CN"/>
                    </w:rPr>
                    <w:t>23m×6m</w:t>
                  </w:r>
                </w:p>
              </w:tc>
              <w:tc>
                <w:tcPr>
                  <w:tcW w:w="394" w:type="pct"/>
                  <w:tcBorders>
                    <w:tl2br w:val="nil"/>
                    <w:tr2bl w:val="nil"/>
                  </w:tcBorders>
                  <w:noWrap w:val="0"/>
                  <w:vAlign w:val="center"/>
                </w:tcPr>
                <w:p w14:paraId="280F13A7">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座</w:t>
                  </w:r>
                </w:p>
              </w:tc>
              <w:tc>
                <w:tcPr>
                  <w:tcW w:w="439" w:type="pct"/>
                  <w:tcBorders>
                    <w:tl2br w:val="nil"/>
                    <w:tr2bl w:val="nil"/>
                  </w:tcBorders>
                  <w:noWrap w:val="0"/>
                  <w:vAlign w:val="center"/>
                </w:tcPr>
                <w:p w14:paraId="6B675E76">
                  <w:pPr>
                    <w:snapToGrid w:val="0"/>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w:t>
                  </w:r>
                </w:p>
              </w:tc>
              <w:tc>
                <w:tcPr>
                  <w:tcW w:w="819" w:type="pct"/>
                  <w:vMerge w:val="continue"/>
                  <w:tcBorders>
                    <w:tl2br w:val="nil"/>
                    <w:tr2bl w:val="nil"/>
                  </w:tcBorders>
                  <w:noWrap w:val="0"/>
                  <w:vAlign w:val="center"/>
                </w:tcPr>
                <w:p w14:paraId="1D9E3A75">
                  <w:pPr>
                    <w:snapToGrid w:val="0"/>
                    <w:jc w:val="center"/>
                    <w:rPr>
                      <w:rFonts w:hint="default" w:ascii="Times New Roman" w:hAnsi="Times New Roman" w:eastAsia="宋体" w:cs="Times New Roman"/>
                      <w:b/>
                      <w:bCs/>
                      <w:color w:val="auto"/>
                      <w:sz w:val="21"/>
                      <w:szCs w:val="21"/>
                    </w:rPr>
                  </w:pPr>
                </w:p>
              </w:tc>
            </w:tr>
            <w:tr w14:paraId="502D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5B5C1A91">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12</w:t>
                  </w:r>
                </w:p>
              </w:tc>
              <w:tc>
                <w:tcPr>
                  <w:tcW w:w="1283" w:type="pct"/>
                  <w:tcBorders>
                    <w:tl2br w:val="nil"/>
                    <w:tr2bl w:val="nil"/>
                  </w:tcBorders>
                  <w:noWrap w:val="0"/>
                  <w:vAlign w:val="center"/>
                </w:tcPr>
                <w:p w14:paraId="2538C39A">
                  <w:pPr>
                    <w:snapToGrid w:val="0"/>
                    <w:jc w:val="center"/>
                    <w:rPr>
                      <w:rFonts w:hint="default"/>
                      <w:lang w:val="en-US" w:eastAsia="zh-CN"/>
                    </w:rPr>
                  </w:pPr>
                  <w:r>
                    <w:rPr>
                      <w:rFonts w:hint="eastAsia"/>
                      <w:lang w:val="en-US" w:eastAsia="zh-CN"/>
                    </w:rPr>
                    <w:t>斜管沉淀池</w:t>
                  </w:r>
                </w:p>
              </w:tc>
              <w:tc>
                <w:tcPr>
                  <w:tcW w:w="1743" w:type="pct"/>
                  <w:tcBorders>
                    <w:tl2br w:val="nil"/>
                    <w:tr2bl w:val="nil"/>
                  </w:tcBorders>
                  <w:shd w:val="clear" w:color="auto" w:fill="auto"/>
                  <w:noWrap w:val="0"/>
                  <w:vAlign w:val="center"/>
                </w:tcPr>
                <w:p w14:paraId="7BF4F75E">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23m×10m</w:t>
                  </w:r>
                </w:p>
              </w:tc>
              <w:tc>
                <w:tcPr>
                  <w:tcW w:w="394" w:type="pct"/>
                  <w:tcBorders>
                    <w:tl2br w:val="nil"/>
                    <w:tr2bl w:val="nil"/>
                  </w:tcBorders>
                  <w:shd w:val="clear" w:color="auto" w:fill="auto"/>
                  <w:noWrap w:val="0"/>
                  <w:vAlign w:val="center"/>
                </w:tcPr>
                <w:p w14:paraId="5ED60A56">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66A04B11">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w:t>
                  </w:r>
                </w:p>
              </w:tc>
              <w:tc>
                <w:tcPr>
                  <w:tcW w:w="819" w:type="pct"/>
                  <w:vMerge w:val="continue"/>
                  <w:tcBorders>
                    <w:tl2br w:val="nil"/>
                    <w:tr2bl w:val="nil"/>
                  </w:tcBorders>
                  <w:noWrap w:val="0"/>
                  <w:vAlign w:val="center"/>
                </w:tcPr>
                <w:p w14:paraId="5C379109">
                  <w:pPr>
                    <w:snapToGrid w:val="0"/>
                    <w:jc w:val="center"/>
                    <w:rPr>
                      <w:rFonts w:hint="default" w:ascii="Times New Roman" w:hAnsi="Times New Roman" w:eastAsia="宋体" w:cs="Times New Roman"/>
                      <w:b/>
                      <w:bCs/>
                      <w:color w:val="auto"/>
                      <w:sz w:val="21"/>
                      <w:szCs w:val="21"/>
                    </w:rPr>
                  </w:pPr>
                </w:p>
              </w:tc>
            </w:tr>
            <w:tr w14:paraId="6F94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71B055C3">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13</w:t>
                  </w:r>
                </w:p>
              </w:tc>
              <w:tc>
                <w:tcPr>
                  <w:tcW w:w="1283" w:type="pct"/>
                  <w:tcBorders>
                    <w:tl2br w:val="nil"/>
                    <w:tr2bl w:val="nil"/>
                  </w:tcBorders>
                  <w:noWrap w:val="0"/>
                  <w:vAlign w:val="center"/>
                </w:tcPr>
                <w:p w14:paraId="7EA817BD">
                  <w:pPr>
                    <w:snapToGrid w:val="0"/>
                    <w:jc w:val="center"/>
                    <w:rPr>
                      <w:rFonts w:hint="default"/>
                      <w:lang w:val="en-US" w:eastAsia="zh-CN"/>
                    </w:rPr>
                  </w:pPr>
                  <w:r>
                    <w:rPr>
                      <w:rFonts w:hint="eastAsia"/>
                      <w:lang w:val="en-US" w:eastAsia="zh-CN"/>
                    </w:rPr>
                    <w:t>双阀滤池</w:t>
                  </w:r>
                </w:p>
              </w:tc>
              <w:tc>
                <w:tcPr>
                  <w:tcW w:w="1743" w:type="pct"/>
                  <w:tcBorders>
                    <w:tl2br w:val="nil"/>
                    <w:tr2bl w:val="nil"/>
                  </w:tcBorders>
                  <w:shd w:val="clear" w:color="auto" w:fill="auto"/>
                  <w:noWrap w:val="0"/>
                  <w:vAlign w:val="center"/>
                </w:tcPr>
                <w:p w14:paraId="0BE69EEF">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21m×7m</w:t>
                  </w:r>
                </w:p>
              </w:tc>
              <w:tc>
                <w:tcPr>
                  <w:tcW w:w="394" w:type="pct"/>
                  <w:tcBorders>
                    <w:tl2br w:val="nil"/>
                    <w:tr2bl w:val="nil"/>
                  </w:tcBorders>
                  <w:shd w:val="clear" w:color="auto" w:fill="auto"/>
                  <w:noWrap w:val="0"/>
                  <w:vAlign w:val="center"/>
                </w:tcPr>
                <w:p w14:paraId="1E61A07B">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7C46AA50">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4</w:t>
                  </w:r>
                </w:p>
              </w:tc>
              <w:tc>
                <w:tcPr>
                  <w:tcW w:w="819" w:type="pct"/>
                  <w:vMerge w:val="continue"/>
                  <w:tcBorders>
                    <w:tl2br w:val="nil"/>
                    <w:tr2bl w:val="nil"/>
                  </w:tcBorders>
                  <w:noWrap w:val="0"/>
                  <w:vAlign w:val="center"/>
                </w:tcPr>
                <w:p w14:paraId="7366E1E1">
                  <w:pPr>
                    <w:snapToGrid w:val="0"/>
                    <w:jc w:val="center"/>
                    <w:rPr>
                      <w:rFonts w:hint="default" w:ascii="Times New Roman" w:hAnsi="Times New Roman" w:eastAsia="宋体" w:cs="Times New Roman"/>
                      <w:b/>
                      <w:bCs/>
                      <w:color w:val="auto"/>
                      <w:sz w:val="21"/>
                      <w:szCs w:val="21"/>
                    </w:rPr>
                  </w:pPr>
                </w:p>
              </w:tc>
            </w:tr>
            <w:tr w14:paraId="6EF1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223E2356">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14</w:t>
                  </w:r>
                </w:p>
              </w:tc>
              <w:tc>
                <w:tcPr>
                  <w:tcW w:w="1283" w:type="pct"/>
                  <w:tcBorders>
                    <w:tl2br w:val="nil"/>
                    <w:tr2bl w:val="nil"/>
                  </w:tcBorders>
                  <w:noWrap w:val="0"/>
                  <w:vAlign w:val="center"/>
                </w:tcPr>
                <w:p w14:paraId="3AAC1EBC">
                  <w:pPr>
                    <w:snapToGrid w:val="0"/>
                    <w:jc w:val="center"/>
                    <w:rPr>
                      <w:rFonts w:hint="default"/>
                      <w:lang w:val="en-US" w:eastAsia="zh-CN"/>
                    </w:rPr>
                  </w:pPr>
                  <w:r>
                    <w:rPr>
                      <w:rFonts w:hint="eastAsia"/>
                      <w:lang w:val="en-US" w:eastAsia="zh-CN"/>
                    </w:rPr>
                    <w:t>清水池</w:t>
                  </w:r>
                </w:p>
              </w:tc>
              <w:tc>
                <w:tcPr>
                  <w:tcW w:w="1743" w:type="pct"/>
                  <w:tcBorders>
                    <w:tl2br w:val="nil"/>
                    <w:tr2bl w:val="nil"/>
                  </w:tcBorders>
                  <w:shd w:val="clear" w:color="auto" w:fill="auto"/>
                  <w:noWrap w:val="0"/>
                  <w:vAlign w:val="center"/>
                </w:tcPr>
                <w:p w14:paraId="50D95128">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60m×45m</w:t>
                  </w:r>
                </w:p>
              </w:tc>
              <w:tc>
                <w:tcPr>
                  <w:tcW w:w="394" w:type="pct"/>
                  <w:tcBorders>
                    <w:tl2br w:val="nil"/>
                    <w:tr2bl w:val="nil"/>
                  </w:tcBorders>
                  <w:shd w:val="clear" w:color="auto" w:fill="auto"/>
                  <w:noWrap w:val="0"/>
                  <w:vAlign w:val="center"/>
                </w:tcPr>
                <w:p w14:paraId="476DB09A">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112F3525">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5892085E">
                  <w:pPr>
                    <w:snapToGrid w:val="0"/>
                    <w:jc w:val="center"/>
                    <w:rPr>
                      <w:rFonts w:hint="default" w:ascii="Times New Roman" w:hAnsi="Times New Roman" w:eastAsia="宋体" w:cs="Times New Roman"/>
                      <w:b/>
                      <w:bCs/>
                      <w:color w:val="auto"/>
                      <w:sz w:val="21"/>
                      <w:szCs w:val="21"/>
                    </w:rPr>
                  </w:pPr>
                </w:p>
              </w:tc>
            </w:tr>
            <w:tr w14:paraId="4D35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318" w:type="pct"/>
                  <w:tcBorders>
                    <w:tl2br w:val="nil"/>
                    <w:tr2bl w:val="nil"/>
                  </w:tcBorders>
                  <w:noWrap w:val="0"/>
                  <w:vAlign w:val="center"/>
                </w:tcPr>
                <w:p w14:paraId="7F7BC602">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15</w:t>
                  </w:r>
                </w:p>
              </w:tc>
              <w:tc>
                <w:tcPr>
                  <w:tcW w:w="1283" w:type="pct"/>
                  <w:tcBorders>
                    <w:tl2br w:val="nil"/>
                    <w:tr2bl w:val="nil"/>
                  </w:tcBorders>
                  <w:noWrap w:val="0"/>
                  <w:vAlign w:val="center"/>
                </w:tcPr>
                <w:p w14:paraId="73ACBCC5">
                  <w:pPr>
                    <w:snapToGrid w:val="0"/>
                    <w:jc w:val="center"/>
                    <w:rPr>
                      <w:rFonts w:hint="default"/>
                      <w:lang w:val="en-US" w:eastAsia="zh-CN"/>
                    </w:rPr>
                  </w:pPr>
                  <w:r>
                    <w:rPr>
                      <w:rFonts w:hint="eastAsia"/>
                      <w:lang w:val="en-US" w:eastAsia="zh-CN"/>
                    </w:rPr>
                    <w:t>回用水池</w:t>
                  </w:r>
                </w:p>
              </w:tc>
              <w:tc>
                <w:tcPr>
                  <w:tcW w:w="1743" w:type="pct"/>
                  <w:tcBorders>
                    <w:tl2br w:val="nil"/>
                    <w:tr2bl w:val="nil"/>
                  </w:tcBorders>
                  <w:shd w:val="clear" w:color="auto" w:fill="auto"/>
                  <w:noWrap w:val="0"/>
                  <w:vAlign w:val="center"/>
                </w:tcPr>
                <w:p w14:paraId="4F16EDFA">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19m×6m</w:t>
                  </w:r>
                </w:p>
              </w:tc>
              <w:tc>
                <w:tcPr>
                  <w:tcW w:w="394" w:type="pct"/>
                  <w:tcBorders>
                    <w:tl2br w:val="nil"/>
                    <w:tr2bl w:val="nil"/>
                  </w:tcBorders>
                  <w:shd w:val="clear" w:color="auto" w:fill="auto"/>
                  <w:noWrap w:val="0"/>
                  <w:vAlign w:val="center"/>
                </w:tcPr>
                <w:p w14:paraId="43A6B795">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1C4B53B7">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345F02C2">
                  <w:pPr>
                    <w:snapToGrid w:val="0"/>
                    <w:jc w:val="center"/>
                    <w:rPr>
                      <w:rFonts w:hint="default" w:ascii="Times New Roman" w:hAnsi="Times New Roman" w:eastAsia="宋体" w:cs="Times New Roman"/>
                      <w:b/>
                      <w:bCs/>
                      <w:color w:val="auto"/>
                      <w:sz w:val="21"/>
                      <w:szCs w:val="21"/>
                    </w:rPr>
                  </w:pPr>
                </w:p>
              </w:tc>
            </w:tr>
            <w:tr w14:paraId="3ED8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4D886532">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16</w:t>
                  </w:r>
                </w:p>
              </w:tc>
              <w:tc>
                <w:tcPr>
                  <w:tcW w:w="1283" w:type="pct"/>
                  <w:tcBorders>
                    <w:tl2br w:val="nil"/>
                    <w:tr2bl w:val="nil"/>
                  </w:tcBorders>
                  <w:shd w:val="clear" w:color="auto" w:fill="auto"/>
                  <w:noWrap w:val="0"/>
                  <w:vAlign w:val="center"/>
                </w:tcPr>
                <w:p w14:paraId="3BCDD28E">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折板反应池</w:t>
                  </w:r>
                </w:p>
              </w:tc>
              <w:tc>
                <w:tcPr>
                  <w:tcW w:w="1743" w:type="pct"/>
                  <w:tcBorders>
                    <w:tl2br w:val="nil"/>
                    <w:tr2bl w:val="nil"/>
                  </w:tcBorders>
                  <w:shd w:val="clear" w:color="auto" w:fill="auto"/>
                  <w:noWrap w:val="0"/>
                  <w:vAlign w:val="center"/>
                </w:tcPr>
                <w:p w14:paraId="6410D4E6">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10m×10m</w:t>
                  </w:r>
                </w:p>
              </w:tc>
              <w:tc>
                <w:tcPr>
                  <w:tcW w:w="394" w:type="pct"/>
                  <w:tcBorders>
                    <w:tl2br w:val="nil"/>
                    <w:tr2bl w:val="nil"/>
                  </w:tcBorders>
                  <w:shd w:val="clear" w:color="auto" w:fill="auto"/>
                  <w:noWrap w:val="0"/>
                  <w:vAlign w:val="center"/>
                </w:tcPr>
                <w:p w14:paraId="76D12827">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56BF0E1B">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w:t>
                  </w:r>
                </w:p>
              </w:tc>
              <w:tc>
                <w:tcPr>
                  <w:tcW w:w="819" w:type="pct"/>
                  <w:vMerge w:val="restart"/>
                  <w:tcBorders>
                    <w:tl2br w:val="nil"/>
                    <w:tr2bl w:val="nil"/>
                  </w:tcBorders>
                  <w:noWrap w:val="0"/>
                  <w:vAlign w:val="center"/>
                </w:tcPr>
                <w:p w14:paraId="6CB1E505">
                  <w:pPr>
                    <w:snapToGrid w:val="0"/>
                    <w:jc w:val="center"/>
                    <w:rPr>
                      <w:rFonts w:hint="default" w:ascii="Times New Roman" w:hAnsi="Times New Roman" w:eastAsia="宋体" w:cs="Times New Roman"/>
                      <w:b/>
                      <w:bCs/>
                      <w:color w:val="auto"/>
                      <w:sz w:val="21"/>
                      <w:szCs w:val="21"/>
                    </w:rPr>
                  </w:pPr>
                  <w:r>
                    <w:rPr>
                      <w:rFonts w:hint="eastAsia" w:cs="Times New Roman"/>
                      <w:b w:val="0"/>
                      <w:bCs/>
                      <w:color w:val="auto"/>
                      <w:sz w:val="21"/>
                      <w:szCs w:val="21"/>
                      <w:u w:val="none"/>
                      <w:lang w:val="en-US" w:eastAsia="zh-CN"/>
                    </w:rPr>
                    <w:t>4</w:t>
                  </w:r>
                  <w:r>
                    <w:rPr>
                      <w:rFonts w:hint="eastAsia" w:ascii="Times New Roman" w:cs="Times New Roman"/>
                      <w:b w:val="0"/>
                      <w:bCs/>
                      <w:color w:val="auto"/>
                      <w:sz w:val="21"/>
                      <w:szCs w:val="21"/>
                      <w:u w:val="none"/>
                      <w:lang w:val="en-US" w:eastAsia="zh-CN"/>
                    </w:rPr>
                    <w:t>万</w:t>
                  </w:r>
                  <w:r>
                    <w:rPr>
                      <w:rFonts w:hint="default" w:ascii="Times New Roman" w:hAnsi="Times New Roman" w:eastAsia="宋体" w:cs="Times New Roman"/>
                      <w:b w:val="0"/>
                      <w:bCs/>
                      <w:color w:val="auto"/>
                      <w:sz w:val="21"/>
                      <w:szCs w:val="21"/>
                      <w:u w:val="none"/>
                    </w:rPr>
                    <w:t>m</w:t>
                  </w:r>
                  <w:r>
                    <w:rPr>
                      <w:rFonts w:hint="eastAsia" w:ascii="Times New Roman" w:cs="Times New Roman"/>
                      <w:b w:val="0"/>
                      <w:bCs/>
                      <w:color w:val="auto"/>
                      <w:sz w:val="21"/>
                      <w:szCs w:val="21"/>
                      <w:u w:val="none"/>
                      <w:vertAlign w:val="superscript"/>
                      <w:lang w:val="en-US" w:eastAsia="zh-CN"/>
                    </w:rPr>
                    <w:t>3</w:t>
                  </w:r>
                  <w:r>
                    <w:rPr>
                      <w:rFonts w:hint="eastAsia" w:ascii="Times New Roman" w:cs="Times New Roman"/>
                      <w:b w:val="0"/>
                      <w:bCs/>
                      <w:color w:val="auto"/>
                      <w:sz w:val="21"/>
                      <w:szCs w:val="21"/>
                      <w:u w:val="none"/>
                      <w:vertAlign w:val="baseline"/>
                      <w:lang w:val="en-US" w:eastAsia="zh-CN"/>
                    </w:rPr>
                    <w:t>/d</w:t>
                  </w:r>
                  <w:r>
                    <w:rPr>
                      <w:rFonts w:hint="eastAsia" w:ascii="Times New Roman" w:cs="Times New Roman"/>
                      <w:b w:val="0"/>
                      <w:bCs/>
                      <w:color w:val="auto"/>
                      <w:sz w:val="21"/>
                      <w:szCs w:val="21"/>
                      <w:u w:val="none"/>
                      <w:lang w:val="en-US" w:eastAsia="zh-CN"/>
                    </w:rPr>
                    <w:t>净水生产线</w:t>
                  </w:r>
                </w:p>
              </w:tc>
            </w:tr>
            <w:tr w14:paraId="04F4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5C1DD754">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17</w:t>
                  </w:r>
                </w:p>
              </w:tc>
              <w:tc>
                <w:tcPr>
                  <w:tcW w:w="1283" w:type="pct"/>
                  <w:tcBorders>
                    <w:tl2br w:val="nil"/>
                    <w:tr2bl w:val="nil"/>
                  </w:tcBorders>
                  <w:shd w:val="clear" w:color="auto" w:fill="auto"/>
                  <w:noWrap w:val="0"/>
                  <w:vAlign w:val="center"/>
                </w:tcPr>
                <w:p w14:paraId="623BC17B">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斜管沉淀池</w:t>
                  </w:r>
                </w:p>
              </w:tc>
              <w:tc>
                <w:tcPr>
                  <w:tcW w:w="1743" w:type="pct"/>
                  <w:tcBorders>
                    <w:tl2br w:val="nil"/>
                    <w:tr2bl w:val="nil"/>
                  </w:tcBorders>
                  <w:shd w:val="clear" w:color="auto" w:fill="auto"/>
                  <w:noWrap w:val="0"/>
                  <w:vAlign w:val="center"/>
                </w:tcPr>
                <w:p w14:paraId="6494A022">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11m×10m</w:t>
                  </w:r>
                </w:p>
              </w:tc>
              <w:tc>
                <w:tcPr>
                  <w:tcW w:w="394" w:type="pct"/>
                  <w:tcBorders>
                    <w:tl2br w:val="nil"/>
                    <w:tr2bl w:val="nil"/>
                  </w:tcBorders>
                  <w:shd w:val="clear" w:color="auto" w:fill="auto"/>
                  <w:noWrap w:val="0"/>
                  <w:vAlign w:val="center"/>
                </w:tcPr>
                <w:p w14:paraId="66F841FD">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6FE9D2FC">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55728FE4">
                  <w:pPr>
                    <w:snapToGrid w:val="0"/>
                    <w:jc w:val="center"/>
                    <w:rPr>
                      <w:rFonts w:hint="default" w:ascii="Times New Roman" w:hAnsi="Times New Roman" w:eastAsia="宋体" w:cs="Times New Roman"/>
                      <w:b/>
                      <w:bCs/>
                      <w:color w:val="auto"/>
                      <w:sz w:val="21"/>
                      <w:szCs w:val="21"/>
                    </w:rPr>
                  </w:pPr>
                </w:p>
              </w:tc>
            </w:tr>
            <w:tr w14:paraId="3C2F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43F4F496">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18</w:t>
                  </w:r>
                </w:p>
              </w:tc>
              <w:tc>
                <w:tcPr>
                  <w:tcW w:w="1283" w:type="pct"/>
                  <w:tcBorders>
                    <w:tl2br w:val="nil"/>
                    <w:tr2bl w:val="nil"/>
                  </w:tcBorders>
                  <w:shd w:val="clear" w:color="auto" w:fill="auto"/>
                  <w:noWrap w:val="0"/>
                  <w:vAlign w:val="center"/>
                </w:tcPr>
                <w:p w14:paraId="68AF1658">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虹吸滤池</w:t>
                  </w:r>
                </w:p>
              </w:tc>
              <w:tc>
                <w:tcPr>
                  <w:tcW w:w="1743" w:type="pct"/>
                  <w:tcBorders>
                    <w:tl2br w:val="nil"/>
                    <w:tr2bl w:val="nil"/>
                  </w:tcBorders>
                  <w:shd w:val="clear" w:color="auto" w:fill="auto"/>
                  <w:noWrap w:val="0"/>
                  <w:vAlign w:val="center"/>
                </w:tcPr>
                <w:p w14:paraId="095FF5D8">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15m×3m</w:t>
                  </w:r>
                </w:p>
              </w:tc>
              <w:tc>
                <w:tcPr>
                  <w:tcW w:w="394" w:type="pct"/>
                  <w:tcBorders>
                    <w:tl2br w:val="nil"/>
                    <w:tr2bl w:val="nil"/>
                  </w:tcBorders>
                  <w:shd w:val="clear" w:color="auto" w:fill="auto"/>
                  <w:noWrap w:val="0"/>
                  <w:vAlign w:val="center"/>
                </w:tcPr>
                <w:p w14:paraId="0254EAF1">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58040A9F">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w:t>
                  </w:r>
                </w:p>
              </w:tc>
              <w:tc>
                <w:tcPr>
                  <w:tcW w:w="819" w:type="pct"/>
                  <w:vMerge w:val="continue"/>
                  <w:tcBorders>
                    <w:tl2br w:val="nil"/>
                    <w:tr2bl w:val="nil"/>
                  </w:tcBorders>
                  <w:noWrap w:val="0"/>
                  <w:vAlign w:val="center"/>
                </w:tcPr>
                <w:p w14:paraId="02920FD4">
                  <w:pPr>
                    <w:snapToGrid w:val="0"/>
                    <w:jc w:val="center"/>
                    <w:rPr>
                      <w:rFonts w:hint="default" w:ascii="Times New Roman" w:hAnsi="Times New Roman" w:eastAsia="宋体" w:cs="Times New Roman"/>
                      <w:b/>
                      <w:bCs/>
                      <w:color w:val="auto"/>
                      <w:sz w:val="21"/>
                      <w:szCs w:val="21"/>
                    </w:rPr>
                  </w:pPr>
                </w:p>
              </w:tc>
            </w:tr>
            <w:tr w14:paraId="3176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29B2FA0C">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19</w:t>
                  </w:r>
                </w:p>
              </w:tc>
              <w:tc>
                <w:tcPr>
                  <w:tcW w:w="1283" w:type="pct"/>
                  <w:tcBorders>
                    <w:tl2br w:val="nil"/>
                    <w:tr2bl w:val="nil"/>
                  </w:tcBorders>
                  <w:shd w:val="clear" w:color="auto" w:fill="auto"/>
                  <w:noWrap w:val="0"/>
                  <w:vAlign w:val="center"/>
                </w:tcPr>
                <w:p w14:paraId="1EB28D8D">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清水池</w:t>
                  </w:r>
                </w:p>
              </w:tc>
              <w:tc>
                <w:tcPr>
                  <w:tcW w:w="1743" w:type="pct"/>
                  <w:tcBorders>
                    <w:tl2br w:val="nil"/>
                    <w:tr2bl w:val="nil"/>
                  </w:tcBorders>
                  <w:shd w:val="clear" w:color="auto" w:fill="auto"/>
                  <w:noWrap w:val="0"/>
                  <w:vAlign w:val="center"/>
                </w:tcPr>
                <w:p w14:paraId="75CA3AC9">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18m×9m</w:t>
                  </w:r>
                </w:p>
              </w:tc>
              <w:tc>
                <w:tcPr>
                  <w:tcW w:w="394" w:type="pct"/>
                  <w:tcBorders>
                    <w:tl2br w:val="nil"/>
                    <w:tr2bl w:val="nil"/>
                  </w:tcBorders>
                  <w:shd w:val="clear" w:color="auto" w:fill="auto"/>
                  <w:noWrap w:val="0"/>
                  <w:vAlign w:val="center"/>
                </w:tcPr>
                <w:p w14:paraId="0A6BBA0A">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43EF9191">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00AB50D9">
                  <w:pPr>
                    <w:snapToGrid w:val="0"/>
                    <w:jc w:val="center"/>
                    <w:rPr>
                      <w:rFonts w:hint="default" w:ascii="Times New Roman" w:hAnsi="Times New Roman" w:eastAsia="宋体" w:cs="Times New Roman"/>
                      <w:b/>
                      <w:bCs/>
                      <w:color w:val="auto"/>
                      <w:sz w:val="21"/>
                      <w:szCs w:val="21"/>
                    </w:rPr>
                  </w:pPr>
                </w:p>
              </w:tc>
            </w:tr>
            <w:tr w14:paraId="388AA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5E7557F2">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20</w:t>
                  </w:r>
                </w:p>
              </w:tc>
              <w:tc>
                <w:tcPr>
                  <w:tcW w:w="1283" w:type="pct"/>
                  <w:tcBorders>
                    <w:tl2br w:val="nil"/>
                    <w:tr2bl w:val="nil"/>
                  </w:tcBorders>
                  <w:shd w:val="clear" w:color="auto" w:fill="auto"/>
                  <w:noWrap w:val="0"/>
                  <w:vAlign w:val="center"/>
                </w:tcPr>
                <w:p w14:paraId="3E2F42BF">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回流板反应池</w:t>
                  </w:r>
                </w:p>
              </w:tc>
              <w:tc>
                <w:tcPr>
                  <w:tcW w:w="1743" w:type="pct"/>
                  <w:tcBorders>
                    <w:tl2br w:val="nil"/>
                    <w:tr2bl w:val="nil"/>
                  </w:tcBorders>
                  <w:shd w:val="clear" w:color="auto" w:fill="auto"/>
                  <w:noWrap w:val="0"/>
                  <w:vAlign w:val="center"/>
                </w:tcPr>
                <w:p w14:paraId="69904439">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9m×7m</w:t>
                  </w:r>
                </w:p>
              </w:tc>
              <w:tc>
                <w:tcPr>
                  <w:tcW w:w="394" w:type="pct"/>
                  <w:tcBorders>
                    <w:tl2br w:val="nil"/>
                    <w:tr2bl w:val="nil"/>
                  </w:tcBorders>
                  <w:shd w:val="clear" w:color="auto" w:fill="auto"/>
                  <w:noWrap w:val="0"/>
                  <w:vAlign w:val="center"/>
                </w:tcPr>
                <w:p w14:paraId="7DD9A653">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2D832653">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4</w:t>
                  </w:r>
                </w:p>
              </w:tc>
              <w:tc>
                <w:tcPr>
                  <w:tcW w:w="819" w:type="pct"/>
                  <w:vMerge w:val="restart"/>
                  <w:tcBorders>
                    <w:tl2br w:val="nil"/>
                    <w:tr2bl w:val="nil"/>
                  </w:tcBorders>
                  <w:shd w:val="clear" w:color="auto" w:fill="auto"/>
                  <w:noWrap w:val="0"/>
                  <w:vAlign w:val="center"/>
                </w:tcPr>
                <w:p w14:paraId="0A79EAF4">
                  <w:pPr>
                    <w:snapToGrid w:val="0"/>
                    <w:jc w:val="center"/>
                    <w:rPr>
                      <w:rFonts w:hint="default" w:ascii="Times New Roman" w:hAnsi="Times New Roman" w:eastAsia="宋体" w:cs="Times New Roman"/>
                      <w:b/>
                      <w:bCs/>
                      <w:color w:val="auto"/>
                      <w:kern w:val="2"/>
                      <w:sz w:val="21"/>
                      <w:szCs w:val="21"/>
                      <w:lang w:val="en-US" w:eastAsia="zh-CN" w:bidi="ar-SA"/>
                    </w:rPr>
                  </w:pPr>
                  <w:r>
                    <w:rPr>
                      <w:rFonts w:hint="eastAsia" w:cs="Times New Roman"/>
                      <w:b w:val="0"/>
                      <w:bCs/>
                      <w:color w:val="auto"/>
                      <w:sz w:val="21"/>
                      <w:szCs w:val="21"/>
                      <w:u w:val="none"/>
                      <w:lang w:val="en-US" w:eastAsia="zh-CN"/>
                    </w:rPr>
                    <w:t>5</w:t>
                  </w:r>
                  <w:r>
                    <w:rPr>
                      <w:rFonts w:hint="eastAsia" w:ascii="Times New Roman" w:cs="Times New Roman"/>
                      <w:b w:val="0"/>
                      <w:bCs/>
                      <w:color w:val="auto"/>
                      <w:sz w:val="21"/>
                      <w:szCs w:val="21"/>
                      <w:u w:val="none"/>
                      <w:lang w:val="en-US" w:eastAsia="zh-CN"/>
                    </w:rPr>
                    <w:t>万</w:t>
                  </w:r>
                  <w:r>
                    <w:rPr>
                      <w:rFonts w:hint="default" w:ascii="Times New Roman" w:hAnsi="Times New Roman" w:eastAsia="宋体" w:cs="Times New Roman"/>
                      <w:b w:val="0"/>
                      <w:bCs/>
                      <w:color w:val="auto"/>
                      <w:sz w:val="21"/>
                      <w:szCs w:val="21"/>
                      <w:u w:val="none"/>
                    </w:rPr>
                    <w:t>m</w:t>
                  </w:r>
                  <w:r>
                    <w:rPr>
                      <w:rFonts w:hint="eastAsia" w:ascii="Times New Roman" w:cs="Times New Roman"/>
                      <w:b w:val="0"/>
                      <w:bCs/>
                      <w:color w:val="auto"/>
                      <w:sz w:val="21"/>
                      <w:szCs w:val="21"/>
                      <w:u w:val="none"/>
                      <w:vertAlign w:val="superscript"/>
                      <w:lang w:val="en-US" w:eastAsia="zh-CN"/>
                    </w:rPr>
                    <w:t>3</w:t>
                  </w:r>
                  <w:r>
                    <w:rPr>
                      <w:rFonts w:hint="eastAsia" w:ascii="Times New Roman" w:cs="Times New Roman"/>
                      <w:b w:val="0"/>
                      <w:bCs/>
                      <w:color w:val="auto"/>
                      <w:sz w:val="21"/>
                      <w:szCs w:val="21"/>
                      <w:u w:val="none"/>
                      <w:vertAlign w:val="baseline"/>
                      <w:lang w:val="en-US" w:eastAsia="zh-CN"/>
                    </w:rPr>
                    <w:t>/d</w:t>
                  </w:r>
                  <w:r>
                    <w:rPr>
                      <w:rFonts w:hint="eastAsia" w:ascii="Times New Roman" w:cs="Times New Roman"/>
                      <w:b w:val="0"/>
                      <w:bCs/>
                      <w:color w:val="auto"/>
                      <w:sz w:val="21"/>
                      <w:szCs w:val="21"/>
                      <w:u w:val="none"/>
                      <w:lang w:val="en-US" w:eastAsia="zh-CN"/>
                    </w:rPr>
                    <w:t>净水生产线</w:t>
                  </w:r>
                </w:p>
              </w:tc>
            </w:tr>
            <w:tr w14:paraId="35A2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1E6A91F4">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21</w:t>
                  </w:r>
                </w:p>
              </w:tc>
              <w:tc>
                <w:tcPr>
                  <w:tcW w:w="1283" w:type="pct"/>
                  <w:tcBorders>
                    <w:tl2br w:val="nil"/>
                    <w:tr2bl w:val="nil"/>
                  </w:tcBorders>
                  <w:shd w:val="clear" w:color="auto" w:fill="auto"/>
                  <w:noWrap w:val="0"/>
                  <w:vAlign w:val="center"/>
                </w:tcPr>
                <w:p w14:paraId="22D79B56">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斜管沉淀池</w:t>
                  </w:r>
                </w:p>
              </w:tc>
              <w:tc>
                <w:tcPr>
                  <w:tcW w:w="1743" w:type="pct"/>
                  <w:tcBorders>
                    <w:tl2br w:val="nil"/>
                    <w:tr2bl w:val="nil"/>
                  </w:tcBorders>
                  <w:shd w:val="clear" w:color="auto" w:fill="auto"/>
                  <w:noWrap w:val="0"/>
                  <w:vAlign w:val="center"/>
                </w:tcPr>
                <w:p w14:paraId="6177C49A">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20m×8m</w:t>
                  </w:r>
                </w:p>
              </w:tc>
              <w:tc>
                <w:tcPr>
                  <w:tcW w:w="394" w:type="pct"/>
                  <w:tcBorders>
                    <w:tl2br w:val="nil"/>
                    <w:tr2bl w:val="nil"/>
                  </w:tcBorders>
                  <w:shd w:val="clear" w:color="auto" w:fill="auto"/>
                  <w:noWrap w:val="0"/>
                  <w:vAlign w:val="center"/>
                </w:tcPr>
                <w:p w14:paraId="39D28FE9">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6D2CC23E">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5A7F18F6">
                  <w:pPr>
                    <w:snapToGrid w:val="0"/>
                    <w:jc w:val="center"/>
                    <w:rPr>
                      <w:rFonts w:hint="default" w:ascii="Times New Roman" w:hAnsi="Times New Roman" w:eastAsia="宋体" w:cs="Times New Roman"/>
                      <w:b/>
                      <w:bCs/>
                      <w:color w:val="auto"/>
                      <w:sz w:val="21"/>
                      <w:szCs w:val="21"/>
                    </w:rPr>
                  </w:pPr>
                </w:p>
              </w:tc>
            </w:tr>
            <w:tr w14:paraId="0210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323A13D7">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22</w:t>
                  </w:r>
                </w:p>
              </w:tc>
              <w:tc>
                <w:tcPr>
                  <w:tcW w:w="1283" w:type="pct"/>
                  <w:tcBorders>
                    <w:tl2br w:val="nil"/>
                    <w:tr2bl w:val="nil"/>
                  </w:tcBorders>
                  <w:shd w:val="clear" w:color="auto" w:fill="auto"/>
                  <w:noWrap w:val="0"/>
                  <w:vAlign w:val="center"/>
                </w:tcPr>
                <w:p w14:paraId="68855944">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虹吸滤池</w:t>
                  </w:r>
                </w:p>
              </w:tc>
              <w:tc>
                <w:tcPr>
                  <w:tcW w:w="1743" w:type="pct"/>
                  <w:tcBorders>
                    <w:tl2br w:val="nil"/>
                    <w:tr2bl w:val="nil"/>
                  </w:tcBorders>
                  <w:shd w:val="clear" w:color="auto" w:fill="auto"/>
                  <w:noWrap w:val="0"/>
                  <w:vAlign w:val="center"/>
                </w:tcPr>
                <w:p w14:paraId="5CDBC75A">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23m×5m</w:t>
                  </w:r>
                </w:p>
              </w:tc>
              <w:tc>
                <w:tcPr>
                  <w:tcW w:w="394" w:type="pct"/>
                  <w:tcBorders>
                    <w:tl2br w:val="nil"/>
                    <w:tr2bl w:val="nil"/>
                  </w:tcBorders>
                  <w:shd w:val="clear" w:color="auto" w:fill="auto"/>
                  <w:noWrap w:val="0"/>
                  <w:vAlign w:val="center"/>
                </w:tcPr>
                <w:p w14:paraId="6B9123CD">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0659AD56">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w:t>
                  </w:r>
                </w:p>
              </w:tc>
              <w:tc>
                <w:tcPr>
                  <w:tcW w:w="819" w:type="pct"/>
                  <w:vMerge w:val="continue"/>
                  <w:tcBorders>
                    <w:tl2br w:val="nil"/>
                    <w:tr2bl w:val="nil"/>
                  </w:tcBorders>
                  <w:noWrap w:val="0"/>
                  <w:vAlign w:val="center"/>
                </w:tcPr>
                <w:p w14:paraId="1138FB07">
                  <w:pPr>
                    <w:snapToGrid w:val="0"/>
                    <w:jc w:val="center"/>
                    <w:rPr>
                      <w:rFonts w:hint="default" w:ascii="Times New Roman" w:hAnsi="Times New Roman" w:eastAsia="宋体" w:cs="Times New Roman"/>
                      <w:b/>
                      <w:bCs/>
                      <w:color w:val="auto"/>
                      <w:sz w:val="21"/>
                      <w:szCs w:val="21"/>
                    </w:rPr>
                  </w:pPr>
                </w:p>
              </w:tc>
            </w:tr>
            <w:tr w14:paraId="215F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5DAF07ED">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23</w:t>
                  </w:r>
                </w:p>
              </w:tc>
              <w:tc>
                <w:tcPr>
                  <w:tcW w:w="1283" w:type="pct"/>
                  <w:tcBorders>
                    <w:tl2br w:val="nil"/>
                    <w:tr2bl w:val="nil"/>
                  </w:tcBorders>
                  <w:shd w:val="clear" w:color="auto" w:fill="auto"/>
                  <w:noWrap w:val="0"/>
                  <w:vAlign w:val="center"/>
                </w:tcPr>
                <w:p w14:paraId="4E5F8417">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清水池</w:t>
                  </w:r>
                </w:p>
              </w:tc>
              <w:tc>
                <w:tcPr>
                  <w:tcW w:w="1743" w:type="pct"/>
                  <w:tcBorders>
                    <w:tl2br w:val="nil"/>
                    <w:tr2bl w:val="nil"/>
                  </w:tcBorders>
                  <w:shd w:val="clear" w:color="auto" w:fill="auto"/>
                  <w:noWrap w:val="0"/>
                  <w:vAlign w:val="center"/>
                </w:tcPr>
                <w:p w14:paraId="18FF276A">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18m×9m</w:t>
                  </w:r>
                </w:p>
              </w:tc>
              <w:tc>
                <w:tcPr>
                  <w:tcW w:w="394" w:type="pct"/>
                  <w:tcBorders>
                    <w:tl2br w:val="nil"/>
                    <w:tr2bl w:val="nil"/>
                  </w:tcBorders>
                  <w:shd w:val="clear" w:color="auto" w:fill="auto"/>
                  <w:noWrap w:val="0"/>
                  <w:vAlign w:val="center"/>
                </w:tcPr>
                <w:p w14:paraId="527566FE">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53D5AE3E">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26506E5E">
                  <w:pPr>
                    <w:snapToGrid w:val="0"/>
                    <w:jc w:val="center"/>
                    <w:rPr>
                      <w:rFonts w:hint="default" w:ascii="Times New Roman" w:hAnsi="Times New Roman" w:eastAsia="宋体" w:cs="Times New Roman"/>
                      <w:b/>
                      <w:bCs/>
                      <w:color w:val="auto"/>
                      <w:sz w:val="21"/>
                      <w:szCs w:val="21"/>
                    </w:rPr>
                  </w:pPr>
                </w:p>
              </w:tc>
            </w:tr>
            <w:tr w14:paraId="5992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49E91E04">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24</w:t>
                  </w:r>
                </w:p>
              </w:tc>
              <w:tc>
                <w:tcPr>
                  <w:tcW w:w="1283" w:type="pct"/>
                  <w:tcBorders>
                    <w:tl2br w:val="nil"/>
                    <w:tr2bl w:val="nil"/>
                  </w:tcBorders>
                  <w:noWrap w:val="0"/>
                  <w:vAlign w:val="center"/>
                </w:tcPr>
                <w:p w14:paraId="104AFFBD">
                  <w:pPr>
                    <w:snapToGrid w:val="0"/>
                    <w:jc w:val="center"/>
                    <w:rPr>
                      <w:rFonts w:hint="eastAsia"/>
                      <w:lang w:val="en-US" w:eastAsia="zh-CN"/>
                    </w:rPr>
                  </w:pPr>
                  <w:r>
                    <w:rPr>
                      <w:rFonts w:hint="eastAsia"/>
                      <w:lang w:val="en-US" w:eastAsia="zh-CN"/>
                    </w:rPr>
                    <w:t>漏氯吸收安全装置</w:t>
                  </w:r>
                </w:p>
              </w:tc>
              <w:tc>
                <w:tcPr>
                  <w:tcW w:w="1743" w:type="pct"/>
                  <w:tcBorders>
                    <w:tl2br w:val="nil"/>
                    <w:tr2bl w:val="nil"/>
                  </w:tcBorders>
                  <w:noWrap w:val="0"/>
                  <w:vAlign w:val="center"/>
                </w:tcPr>
                <w:p w14:paraId="6BC5792D">
                  <w:pPr>
                    <w:snapToGrid w:val="0"/>
                    <w:jc w:val="center"/>
                    <w:rPr>
                      <w:rFonts w:hint="eastAsia"/>
                      <w:lang w:val="en-US" w:eastAsia="zh-CN"/>
                    </w:rPr>
                  </w:pPr>
                  <w:r>
                    <w:rPr>
                      <w:rFonts w:hint="eastAsia"/>
                      <w:lang w:val="en-US" w:eastAsia="zh-CN"/>
                    </w:rPr>
                    <w:t>DQ—S1000型</w:t>
                  </w:r>
                </w:p>
              </w:tc>
              <w:tc>
                <w:tcPr>
                  <w:tcW w:w="394" w:type="pct"/>
                  <w:tcBorders>
                    <w:tl2br w:val="nil"/>
                    <w:tr2bl w:val="nil"/>
                  </w:tcBorders>
                  <w:noWrap w:val="0"/>
                  <w:vAlign w:val="center"/>
                </w:tcPr>
                <w:p w14:paraId="15183FA0">
                  <w:pPr>
                    <w:snapToGrid w:val="0"/>
                    <w:jc w:val="center"/>
                    <w:rPr>
                      <w:rFonts w:hint="default"/>
                      <w:lang w:val="en-US" w:eastAsia="zh-CN"/>
                    </w:rPr>
                  </w:pPr>
                  <w:r>
                    <w:rPr>
                      <w:rFonts w:hint="eastAsia"/>
                      <w:lang w:val="en-US" w:eastAsia="zh-CN"/>
                    </w:rPr>
                    <w:t>套</w:t>
                  </w:r>
                </w:p>
              </w:tc>
              <w:tc>
                <w:tcPr>
                  <w:tcW w:w="439" w:type="pct"/>
                  <w:tcBorders>
                    <w:tl2br w:val="nil"/>
                    <w:tr2bl w:val="nil"/>
                  </w:tcBorders>
                  <w:noWrap w:val="0"/>
                  <w:vAlign w:val="center"/>
                </w:tcPr>
                <w:p w14:paraId="7802192D">
                  <w:pPr>
                    <w:snapToGrid w:val="0"/>
                    <w:jc w:val="center"/>
                    <w:rPr>
                      <w:rFonts w:hint="default"/>
                      <w:lang w:val="en-US" w:eastAsia="zh-CN"/>
                    </w:rPr>
                  </w:pPr>
                  <w:r>
                    <w:rPr>
                      <w:rFonts w:hint="eastAsia"/>
                      <w:lang w:val="en-US" w:eastAsia="zh-CN"/>
                    </w:rPr>
                    <w:t>1</w:t>
                  </w:r>
                </w:p>
              </w:tc>
              <w:tc>
                <w:tcPr>
                  <w:tcW w:w="819" w:type="pct"/>
                  <w:vMerge w:val="restart"/>
                  <w:tcBorders>
                    <w:tl2br w:val="nil"/>
                    <w:tr2bl w:val="nil"/>
                  </w:tcBorders>
                  <w:noWrap w:val="0"/>
                  <w:vAlign w:val="center"/>
                </w:tcPr>
                <w:p w14:paraId="0A03B512">
                  <w:pPr>
                    <w:snapToGrid w:val="0"/>
                    <w:jc w:val="center"/>
                    <w:rPr>
                      <w:rFonts w:hint="default"/>
                      <w:lang w:val="en-US" w:eastAsia="zh-CN"/>
                    </w:rPr>
                  </w:pPr>
                  <w:r>
                    <w:rPr>
                      <w:rFonts w:hint="eastAsia"/>
                      <w:lang w:val="en-US" w:eastAsia="zh-CN"/>
                    </w:rPr>
                    <w:t>加氯间</w:t>
                  </w:r>
                </w:p>
              </w:tc>
            </w:tr>
            <w:tr w14:paraId="2607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02A2820B">
                  <w:pPr>
                    <w:snapToGrid w:val="0"/>
                    <w:jc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25</w:t>
                  </w:r>
                </w:p>
              </w:tc>
              <w:tc>
                <w:tcPr>
                  <w:tcW w:w="1283" w:type="pct"/>
                  <w:tcBorders>
                    <w:tl2br w:val="nil"/>
                    <w:tr2bl w:val="nil"/>
                  </w:tcBorders>
                  <w:shd w:val="clear" w:color="auto" w:fill="auto"/>
                  <w:noWrap w:val="0"/>
                  <w:vAlign w:val="center"/>
                </w:tcPr>
                <w:p w14:paraId="281A2842">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加氯机</w:t>
                  </w:r>
                </w:p>
              </w:tc>
              <w:tc>
                <w:tcPr>
                  <w:tcW w:w="1743" w:type="pct"/>
                  <w:tcBorders>
                    <w:tl2br w:val="nil"/>
                    <w:tr2bl w:val="nil"/>
                  </w:tcBorders>
                  <w:shd w:val="clear" w:color="auto" w:fill="auto"/>
                  <w:noWrap w:val="0"/>
                  <w:vAlign w:val="center"/>
                </w:tcPr>
                <w:p w14:paraId="5B7F270E">
                  <w:pPr>
                    <w:snapToGrid w:val="0"/>
                    <w:jc w:val="center"/>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w:t>
                  </w:r>
                </w:p>
              </w:tc>
              <w:tc>
                <w:tcPr>
                  <w:tcW w:w="394" w:type="pct"/>
                  <w:tcBorders>
                    <w:tl2br w:val="nil"/>
                    <w:tr2bl w:val="nil"/>
                  </w:tcBorders>
                  <w:shd w:val="clear" w:color="auto" w:fill="auto"/>
                  <w:noWrap w:val="0"/>
                  <w:vAlign w:val="center"/>
                </w:tcPr>
                <w:p w14:paraId="600BDE86">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台</w:t>
                  </w:r>
                </w:p>
              </w:tc>
              <w:tc>
                <w:tcPr>
                  <w:tcW w:w="439" w:type="pct"/>
                  <w:tcBorders>
                    <w:tl2br w:val="nil"/>
                    <w:tr2bl w:val="nil"/>
                  </w:tcBorders>
                  <w:shd w:val="clear" w:color="auto" w:fill="auto"/>
                  <w:noWrap w:val="0"/>
                  <w:vAlign w:val="center"/>
                </w:tcPr>
                <w:p w14:paraId="79A1478B">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5</w:t>
                  </w:r>
                </w:p>
              </w:tc>
              <w:tc>
                <w:tcPr>
                  <w:tcW w:w="819" w:type="pct"/>
                  <w:vMerge w:val="continue"/>
                  <w:tcBorders>
                    <w:tl2br w:val="nil"/>
                    <w:tr2bl w:val="nil"/>
                  </w:tcBorders>
                  <w:noWrap w:val="0"/>
                  <w:vAlign w:val="center"/>
                </w:tcPr>
                <w:p w14:paraId="1A499550">
                  <w:pPr>
                    <w:snapToGrid w:val="0"/>
                    <w:jc w:val="center"/>
                    <w:rPr>
                      <w:rFonts w:hint="eastAsia"/>
                      <w:lang w:val="en-US" w:eastAsia="zh-CN"/>
                    </w:rPr>
                  </w:pPr>
                </w:p>
              </w:tc>
            </w:tr>
            <w:tr w14:paraId="5ACD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shd w:val="clear" w:color="auto" w:fill="auto"/>
                  <w:noWrap w:val="0"/>
                  <w:vAlign w:val="center"/>
                </w:tcPr>
                <w:p w14:paraId="5EADE460">
                  <w:pPr>
                    <w:snapToGrid w:val="0"/>
                    <w:jc w:val="center"/>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26</w:t>
                  </w:r>
                </w:p>
              </w:tc>
              <w:tc>
                <w:tcPr>
                  <w:tcW w:w="1283" w:type="pct"/>
                  <w:tcBorders>
                    <w:tl2br w:val="nil"/>
                    <w:tr2bl w:val="nil"/>
                  </w:tcBorders>
                  <w:noWrap w:val="0"/>
                  <w:vAlign w:val="center"/>
                </w:tcPr>
                <w:p w14:paraId="74D5C2A4">
                  <w:pPr>
                    <w:snapToGrid w:val="0"/>
                    <w:jc w:val="center"/>
                    <w:rPr>
                      <w:rFonts w:hint="default"/>
                      <w:lang w:val="en-US" w:eastAsia="zh-CN"/>
                    </w:rPr>
                  </w:pPr>
                  <w:r>
                    <w:rPr>
                      <w:rFonts w:hint="eastAsia"/>
                      <w:lang w:val="en-US" w:eastAsia="zh-CN"/>
                    </w:rPr>
                    <w:t>液氯泄漏报警仪</w:t>
                  </w:r>
                </w:p>
              </w:tc>
              <w:tc>
                <w:tcPr>
                  <w:tcW w:w="1743" w:type="pct"/>
                  <w:tcBorders>
                    <w:tl2br w:val="nil"/>
                    <w:tr2bl w:val="nil"/>
                  </w:tcBorders>
                  <w:noWrap w:val="0"/>
                  <w:vAlign w:val="center"/>
                </w:tcPr>
                <w:p w14:paraId="302B2E6C">
                  <w:pPr>
                    <w:snapToGrid w:val="0"/>
                    <w:jc w:val="center"/>
                    <w:rPr>
                      <w:rFonts w:hint="default"/>
                      <w:lang w:val="en-US" w:eastAsia="zh-CN"/>
                    </w:rPr>
                  </w:pPr>
                  <w:r>
                    <w:rPr>
                      <w:rFonts w:hint="eastAsia"/>
                      <w:lang w:val="en-US" w:eastAsia="zh-CN"/>
                    </w:rPr>
                    <w:t>/</w:t>
                  </w:r>
                </w:p>
              </w:tc>
              <w:tc>
                <w:tcPr>
                  <w:tcW w:w="394" w:type="pct"/>
                  <w:tcBorders>
                    <w:tl2br w:val="nil"/>
                    <w:tr2bl w:val="nil"/>
                  </w:tcBorders>
                  <w:shd w:val="clear" w:color="auto" w:fill="auto"/>
                  <w:noWrap w:val="0"/>
                  <w:vAlign w:val="center"/>
                </w:tcPr>
                <w:p w14:paraId="54B61CF7">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套</w:t>
                  </w:r>
                </w:p>
              </w:tc>
              <w:tc>
                <w:tcPr>
                  <w:tcW w:w="439" w:type="pct"/>
                  <w:tcBorders>
                    <w:tl2br w:val="nil"/>
                    <w:tr2bl w:val="nil"/>
                  </w:tcBorders>
                  <w:shd w:val="clear" w:color="auto" w:fill="auto"/>
                  <w:noWrap w:val="0"/>
                  <w:vAlign w:val="center"/>
                </w:tcPr>
                <w:p w14:paraId="5A1B15F0">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819" w:type="pct"/>
                  <w:vMerge w:val="continue"/>
                  <w:tcBorders>
                    <w:tl2br w:val="nil"/>
                    <w:tr2bl w:val="nil"/>
                  </w:tcBorders>
                  <w:noWrap w:val="0"/>
                  <w:vAlign w:val="center"/>
                </w:tcPr>
                <w:p w14:paraId="79693747">
                  <w:pPr>
                    <w:snapToGrid w:val="0"/>
                    <w:jc w:val="center"/>
                    <w:rPr>
                      <w:rFonts w:hint="eastAsia"/>
                      <w:lang w:val="en-US" w:eastAsia="zh-CN"/>
                    </w:rPr>
                  </w:pPr>
                </w:p>
              </w:tc>
            </w:tr>
            <w:tr w14:paraId="540BF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shd w:val="clear" w:color="auto" w:fill="auto"/>
                  <w:noWrap w:val="0"/>
                  <w:vAlign w:val="center"/>
                </w:tcPr>
                <w:p w14:paraId="31CC7B1C">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27</w:t>
                  </w:r>
                </w:p>
              </w:tc>
              <w:tc>
                <w:tcPr>
                  <w:tcW w:w="1283" w:type="pct"/>
                  <w:tcBorders>
                    <w:tl2br w:val="nil"/>
                    <w:tr2bl w:val="nil"/>
                  </w:tcBorders>
                  <w:noWrap w:val="0"/>
                  <w:vAlign w:val="center"/>
                </w:tcPr>
                <w:p w14:paraId="096DCED3">
                  <w:pPr>
                    <w:snapToGrid w:val="0"/>
                    <w:jc w:val="center"/>
                    <w:rPr>
                      <w:rFonts w:hint="eastAsia"/>
                      <w:lang w:val="en-US" w:eastAsia="zh-CN"/>
                    </w:rPr>
                  </w:pPr>
                  <w:r>
                    <w:rPr>
                      <w:rFonts w:hint="eastAsia"/>
                      <w:lang w:val="en-US" w:eastAsia="zh-CN"/>
                    </w:rPr>
                    <w:t>米顿罗隔膜计量泵</w:t>
                  </w:r>
                </w:p>
              </w:tc>
              <w:tc>
                <w:tcPr>
                  <w:tcW w:w="1743" w:type="pct"/>
                  <w:tcBorders>
                    <w:tl2br w:val="nil"/>
                    <w:tr2bl w:val="nil"/>
                  </w:tcBorders>
                  <w:noWrap w:val="0"/>
                  <w:vAlign w:val="center"/>
                </w:tcPr>
                <w:p w14:paraId="793F39C4">
                  <w:pPr>
                    <w:snapToGrid w:val="0"/>
                    <w:jc w:val="center"/>
                    <w:rPr>
                      <w:rFonts w:hint="eastAsia"/>
                      <w:lang w:val="en-US" w:eastAsia="zh-CN"/>
                    </w:rPr>
                  </w:pPr>
                  <w:r>
                    <w:rPr>
                      <w:rFonts w:hint="eastAsia"/>
                      <w:lang w:val="en-US" w:eastAsia="zh-CN"/>
                    </w:rPr>
                    <w:t>GB1200流量：1200L/H</w:t>
                  </w:r>
                </w:p>
              </w:tc>
              <w:tc>
                <w:tcPr>
                  <w:tcW w:w="394" w:type="pct"/>
                  <w:tcBorders>
                    <w:tl2br w:val="nil"/>
                    <w:tr2bl w:val="nil"/>
                  </w:tcBorders>
                  <w:noWrap w:val="0"/>
                  <w:vAlign w:val="center"/>
                </w:tcPr>
                <w:p w14:paraId="3852E488">
                  <w:pPr>
                    <w:snapToGrid w:val="0"/>
                    <w:jc w:val="center"/>
                    <w:rPr>
                      <w:rFonts w:hint="default"/>
                      <w:lang w:val="en-US" w:eastAsia="zh-CN"/>
                    </w:rPr>
                  </w:pPr>
                  <w:r>
                    <w:rPr>
                      <w:rFonts w:hint="eastAsia"/>
                      <w:lang w:val="en-US" w:eastAsia="zh-CN"/>
                    </w:rPr>
                    <w:t>台</w:t>
                  </w:r>
                </w:p>
              </w:tc>
              <w:tc>
                <w:tcPr>
                  <w:tcW w:w="439" w:type="pct"/>
                  <w:tcBorders>
                    <w:tl2br w:val="nil"/>
                    <w:tr2bl w:val="nil"/>
                  </w:tcBorders>
                  <w:noWrap w:val="0"/>
                  <w:vAlign w:val="center"/>
                </w:tcPr>
                <w:p w14:paraId="1583CA63">
                  <w:pPr>
                    <w:snapToGrid w:val="0"/>
                    <w:jc w:val="center"/>
                    <w:rPr>
                      <w:rFonts w:hint="default"/>
                      <w:lang w:val="en-US" w:eastAsia="zh-CN"/>
                    </w:rPr>
                  </w:pPr>
                  <w:r>
                    <w:rPr>
                      <w:rFonts w:hint="eastAsia"/>
                      <w:lang w:val="en-US" w:eastAsia="zh-CN"/>
                    </w:rPr>
                    <w:t>5</w:t>
                  </w:r>
                </w:p>
              </w:tc>
              <w:tc>
                <w:tcPr>
                  <w:tcW w:w="819" w:type="pct"/>
                  <w:vMerge w:val="restart"/>
                  <w:tcBorders>
                    <w:tl2br w:val="nil"/>
                    <w:tr2bl w:val="nil"/>
                  </w:tcBorders>
                  <w:noWrap w:val="0"/>
                  <w:vAlign w:val="center"/>
                </w:tcPr>
                <w:p w14:paraId="3B5F61A9">
                  <w:pPr>
                    <w:snapToGrid w:val="0"/>
                    <w:jc w:val="center"/>
                    <w:rPr>
                      <w:rFonts w:hint="eastAsia" w:ascii="Times New Roman" w:hAnsi="Times New Roman" w:eastAsia="宋体" w:cs="Times New Roman"/>
                      <w:b/>
                      <w:bCs/>
                      <w:color w:val="auto"/>
                      <w:sz w:val="21"/>
                      <w:szCs w:val="21"/>
                      <w:lang w:val="en-US" w:eastAsia="zh-CN"/>
                    </w:rPr>
                  </w:pPr>
                  <w:r>
                    <w:rPr>
                      <w:rFonts w:hint="eastAsia" w:cs="Times New Roman"/>
                      <w:b w:val="0"/>
                      <w:bCs w:val="0"/>
                      <w:color w:val="auto"/>
                      <w:sz w:val="21"/>
                      <w:szCs w:val="21"/>
                      <w:lang w:val="en-US" w:eastAsia="zh-CN"/>
                    </w:rPr>
                    <w:t>加药间</w:t>
                  </w:r>
                </w:p>
              </w:tc>
            </w:tr>
            <w:tr w14:paraId="6234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shd w:val="clear" w:color="auto" w:fill="auto"/>
                  <w:noWrap w:val="0"/>
                  <w:vAlign w:val="center"/>
                </w:tcPr>
                <w:p w14:paraId="302C7D70">
                  <w:pPr>
                    <w:snapToGrid w:val="0"/>
                    <w:jc w:val="center"/>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28</w:t>
                  </w:r>
                </w:p>
              </w:tc>
              <w:tc>
                <w:tcPr>
                  <w:tcW w:w="1283" w:type="pct"/>
                  <w:tcBorders>
                    <w:tl2br w:val="nil"/>
                    <w:tr2bl w:val="nil"/>
                  </w:tcBorders>
                  <w:noWrap w:val="0"/>
                  <w:vAlign w:val="center"/>
                </w:tcPr>
                <w:p w14:paraId="2B51EB51">
                  <w:pPr>
                    <w:snapToGrid w:val="0"/>
                    <w:jc w:val="center"/>
                    <w:rPr>
                      <w:rFonts w:hint="default"/>
                      <w:lang w:val="en-US" w:eastAsia="zh-CN"/>
                    </w:rPr>
                  </w:pPr>
                  <w:r>
                    <w:rPr>
                      <w:rFonts w:hint="eastAsia"/>
                      <w:lang w:val="en-US" w:eastAsia="zh-CN"/>
                    </w:rPr>
                    <w:t>原矾池</w:t>
                  </w:r>
                </w:p>
              </w:tc>
              <w:tc>
                <w:tcPr>
                  <w:tcW w:w="1743" w:type="pct"/>
                  <w:tcBorders>
                    <w:tl2br w:val="nil"/>
                    <w:tr2bl w:val="nil"/>
                  </w:tcBorders>
                  <w:noWrap w:val="0"/>
                  <w:vAlign w:val="center"/>
                </w:tcPr>
                <w:p w14:paraId="5249E201">
                  <w:pPr>
                    <w:snapToGrid w:val="0"/>
                    <w:jc w:val="center"/>
                    <w:rPr>
                      <w:rFonts w:hint="eastAsia"/>
                      <w:lang w:val="en-US" w:eastAsia="zh-CN"/>
                    </w:rPr>
                  </w:pPr>
                  <w:r>
                    <w:rPr>
                      <w:rFonts w:hint="eastAsia"/>
                      <w:lang w:val="en-US" w:eastAsia="zh-CN"/>
                    </w:rPr>
                    <w:t>3.8m×5.3m×2.4m</w:t>
                  </w:r>
                </w:p>
              </w:tc>
              <w:tc>
                <w:tcPr>
                  <w:tcW w:w="394" w:type="pct"/>
                  <w:tcBorders>
                    <w:tl2br w:val="nil"/>
                    <w:tr2bl w:val="nil"/>
                  </w:tcBorders>
                  <w:noWrap w:val="0"/>
                  <w:vAlign w:val="center"/>
                </w:tcPr>
                <w:p w14:paraId="6DD427C6">
                  <w:pPr>
                    <w:snapToGrid w:val="0"/>
                    <w:jc w:val="center"/>
                    <w:rPr>
                      <w:rFonts w:hint="default"/>
                      <w:lang w:val="en-US" w:eastAsia="zh-CN"/>
                    </w:rPr>
                  </w:pPr>
                  <w:r>
                    <w:rPr>
                      <w:rFonts w:hint="eastAsia"/>
                      <w:lang w:val="en-US" w:eastAsia="zh-CN"/>
                    </w:rPr>
                    <w:t>个</w:t>
                  </w:r>
                </w:p>
              </w:tc>
              <w:tc>
                <w:tcPr>
                  <w:tcW w:w="439" w:type="pct"/>
                  <w:tcBorders>
                    <w:tl2br w:val="nil"/>
                    <w:tr2bl w:val="nil"/>
                  </w:tcBorders>
                  <w:noWrap w:val="0"/>
                  <w:vAlign w:val="center"/>
                </w:tcPr>
                <w:p w14:paraId="0E65DFC0">
                  <w:pPr>
                    <w:snapToGrid w:val="0"/>
                    <w:jc w:val="center"/>
                    <w:rPr>
                      <w:rFonts w:hint="default"/>
                      <w:lang w:val="en-US" w:eastAsia="zh-CN"/>
                    </w:rPr>
                  </w:pPr>
                  <w:r>
                    <w:rPr>
                      <w:rFonts w:hint="eastAsia"/>
                      <w:lang w:val="en-US" w:eastAsia="zh-CN"/>
                    </w:rPr>
                    <w:t>2</w:t>
                  </w:r>
                </w:p>
              </w:tc>
              <w:tc>
                <w:tcPr>
                  <w:tcW w:w="819" w:type="pct"/>
                  <w:vMerge w:val="continue"/>
                  <w:tcBorders>
                    <w:tl2br w:val="nil"/>
                    <w:tr2bl w:val="nil"/>
                  </w:tcBorders>
                  <w:noWrap w:val="0"/>
                  <w:vAlign w:val="center"/>
                </w:tcPr>
                <w:p w14:paraId="7323FE85">
                  <w:pPr>
                    <w:snapToGrid w:val="0"/>
                    <w:jc w:val="center"/>
                    <w:rPr>
                      <w:rFonts w:hint="eastAsia" w:cs="Times New Roman"/>
                      <w:b w:val="0"/>
                      <w:bCs w:val="0"/>
                      <w:color w:val="auto"/>
                      <w:sz w:val="21"/>
                      <w:szCs w:val="21"/>
                      <w:lang w:val="en-US" w:eastAsia="zh-CN"/>
                    </w:rPr>
                  </w:pPr>
                </w:p>
              </w:tc>
            </w:tr>
            <w:tr w14:paraId="0AED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shd w:val="clear" w:color="auto" w:fill="auto"/>
                  <w:noWrap w:val="0"/>
                  <w:vAlign w:val="center"/>
                </w:tcPr>
                <w:p w14:paraId="7E26CB14">
                  <w:pPr>
                    <w:snapToGrid w:val="0"/>
                    <w:jc w:val="center"/>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29</w:t>
                  </w:r>
                </w:p>
              </w:tc>
              <w:tc>
                <w:tcPr>
                  <w:tcW w:w="1283" w:type="pct"/>
                  <w:tcBorders>
                    <w:tl2br w:val="nil"/>
                    <w:tr2bl w:val="nil"/>
                  </w:tcBorders>
                  <w:noWrap w:val="0"/>
                  <w:vAlign w:val="center"/>
                </w:tcPr>
                <w:p w14:paraId="290BB4BE">
                  <w:pPr>
                    <w:snapToGrid w:val="0"/>
                    <w:jc w:val="center"/>
                    <w:rPr>
                      <w:rFonts w:hint="default"/>
                      <w:lang w:val="en-US" w:eastAsia="zh-CN"/>
                    </w:rPr>
                  </w:pPr>
                  <w:r>
                    <w:rPr>
                      <w:rFonts w:hint="eastAsia"/>
                      <w:lang w:val="en-US" w:eastAsia="zh-CN"/>
                    </w:rPr>
                    <w:t>药液配置池</w:t>
                  </w:r>
                </w:p>
              </w:tc>
              <w:tc>
                <w:tcPr>
                  <w:tcW w:w="1743" w:type="pct"/>
                  <w:tcBorders>
                    <w:tl2br w:val="nil"/>
                    <w:tr2bl w:val="nil"/>
                  </w:tcBorders>
                  <w:noWrap w:val="0"/>
                  <w:vAlign w:val="center"/>
                </w:tcPr>
                <w:p w14:paraId="6B1948D2">
                  <w:pPr>
                    <w:snapToGrid w:val="0"/>
                    <w:jc w:val="center"/>
                    <w:rPr>
                      <w:rFonts w:hint="eastAsia"/>
                      <w:lang w:val="en-US" w:eastAsia="zh-CN"/>
                    </w:rPr>
                  </w:pPr>
                  <w:r>
                    <w:rPr>
                      <w:rFonts w:hint="eastAsia"/>
                      <w:lang w:val="en-US" w:eastAsia="zh-CN"/>
                    </w:rPr>
                    <w:t>3.8m×6m×2.5m</w:t>
                  </w:r>
                </w:p>
              </w:tc>
              <w:tc>
                <w:tcPr>
                  <w:tcW w:w="394" w:type="pct"/>
                  <w:tcBorders>
                    <w:tl2br w:val="nil"/>
                    <w:tr2bl w:val="nil"/>
                  </w:tcBorders>
                  <w:shd w:val="clear" w:color="auto" w:fill="auto"/>
                  <w:noWrap w:val="0"/>
                  <w:vAlign w:val="center"/>
                </w:tcPr>
                <w:p w14:paraId="251FD751">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个</w:t>
                  </w:r>
                </w:p>
              </w:tc>
              <w:tc>
                <w:tcPr>
                  <w:tcW w:w="439" w:type="pct"/>
                  <w:tcBorders>
                    <w:tl2br w:val="nil"/>
                    <w:tr2bl w:val="nil"/>
                  </w:tcBorders>
                  <w:shd w:val="clear" w:color="auto" w:fill="auto"/>
                  <w:noWrap w:val="0"/>
                  <w:vAlign w:val="center"/>
                </w:tcPr>
                <w:p w14:paraId="53C17FE7">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2</w:t>
                  </w:r>
                </w:p>
              </w:tc>
              <w:tc>
                <w:tcPr>
                  <w:tcW w:w="819" w:type="pct"/>
                  <w:vMerge w:val="continue"/>
                  <w:tcBorders>
                    <w:tl2br w:val="nil"/>
                    <w:tr2bl w:val="nil"/>
                  </w:tcBorders>
                  <w:noWrap w:val="0"/>
                  <w:vAlign w:val="center"/>
                </w:tcPr>
                <w:p w14:paraId="5A042041">
                  <w:pPr>
                    <w:snapToGrid w:val="0"/>
                    <w:jc w:val="center"/>
                    <w:rPr>
                      <w:rFonts w:hint="eastAsia" w:cs="Times New Roman"/>
                      <w:b w:val="0"/>
                      <w:bCs w:val="0"/>
                      <w:color w:val="auto"/>
                      <w:sz w:val="21"/>
                      <w:szCs w:val="21"/>
                      <w:lang w:val="en-US" w:eastAsia="zh-CN"/>
                    </w:rPr>
                  </w:pPr>
                </w:p>
              </w:tc>
            </w:tr>
            <w:tr w14:paraId="1F8D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shd w:val="clear" w:color="auto" w:fill="auto"/>
                  <w:noWrap w:val="0"/>
                  <w:vAlign w:val="center"/>
                </w:tcPr>
                <w:p w14:paraId="2AA316FF">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30</w:t>
                  </w:r>
                </w:p>
              </w:tc>
              <w:tc>
                <w:tcPr>
                  <w:tcW w:w="1283" w:type="pct"/>
                  <w:tcBorders>
                    <w:tl2br w:val="nil"/>
                    <w:tr2bl w:val="nil"/>
                  </w:tcBorders>
                  <w:noWrap w:val="0"/>
                  <w:vAlign w:val="center"/>
                </w:tcPr>
                <w:p w14:paraId="7750BC85">
                  <w:pPr>
                    <w:snapToGrid w:val="0"/>
                    <w:jc w:val="center"/>
                    <w:rPr>
                      <w:rFonts w:hint="eastAsia"/>
                      <w:lang w:val="en-US" w:eastAsia="zh-CN"/>
                    </w:rPr>
                  </w:pPr>
                  <w:r>
                    <w:rPr>
                      <w:rFonts w:hint="eastAsia"/>
                      <w:lang w:val="en-US" w:eastAsia="zh-CN"/>
                    </w:rPr>
                    <w:t>浓缩机</w:t>
                  </w:r>
                </w:p>
              </w:tc>
              <w:tc>
                <w:tcPr>
                  <w:tcW w:w="1743" w:type="pct"/>
                  <w:tcBorders>
                    <w:tl2br w:val="nil"/>
                    <w:tr2bl w:val="nil"/>
                  </w:tcBorders>
                  <w:noWrap w:val="0"/>
                  <w:vAlign w:val="center"/>
                </w:tcPr>
                <w:p w14:paraId="4D404F72">
                  <w:pPr>
                    <w:snapToGrid w:val="0"/>
                    <w:jc w:val="center"/>
                    <w:rPr>
                      <w:rFonts w:hint="eastAsia"/>
                      <w:lang w:val="en-US" w:eastAsia="zh-CN"/>
                    </w:rPr>
                  </w:pPr>
                  <w:r>
                    <w:rPr>
                      <w:rFonts w:hint="eastAsia"/>
                      <w:lang w:val="en-US" w:eastAsia="zh-CN"/>
                    </w:rPr>
                    <w:t>SK 90LP/4 TF</w:t>
                  </w:r>
                </w:p>
              </w:tc>
              <w:tc>
                <w:tcPr>
                  <w:tcW w:w="394" w:type="pct"/>
                  <w:tcBorders>
                    <w:tl2br w:val="nil"/>
                    <w:tr2bl w:val="nil"/>
                  </w:tcBorders>
                  <w:noWrap w:val="0"/>
                  <w:vAlign w:val="center"/>
                </w:tcPr>
                <w:p w14:paraId="2E68DC8B">
                  <w:pPr>
                    <w:snapToGrid w:val="0"/>
                    <w:jc w:val="center"/>
                    <w:rPr>
                      <w:rFonts w:hint="default"/>
                      <w:lang w:val="en-US" w:eastAsia="zh-CN"/>
                    </w:rPr>
                  </w:pPr>
                  <w:r>
                    <w:rPr>
                      <w:rFonts w:hint="eastAsia"/>
                      <w:lang w:val="en-US" w:eastAsia="zh-CN"/>
                    </w:rPr>
                    <w:t>台</w:t>
                  </w:r>
                </w:p>
              </w:tc>
              <w:tc>
                <w:tcPr>
                  <w:tcW w:w="439" w:type="pct"/>
                  <w:tcBorders>
                    <w:tl2br w:val="nil"/>
                    <w:tr2bl w:val="nil"/>
                  </w:tcBorders>
                  <w:noWrap w:val="0"/>
                  <w:vAlign w:val="center"/>
                </w:tcPr>
                <w:p w14:paraId="07E5DD99">
                  <w:pPr>
                    <w:snapToGrid w:val="0"/>
                    <w:jc w:val="center"/>
                    <w:rPr>
                      <w:rFonts w:hint="default"/>
                      <w:lang w:val="en-US" w:eastAsia="zh-CN"/>
                    </w:rPr>
                  </w:pPr>
                  <w:r>
                    <w:rPr>
                      <w:rFonts w:hint="eastAsia"/>
                      <w:lang w:val="en-US" w:eastAsia="zh-CN"/>
                    </w:rPr>
                    <w:t>4</w:t>
                  </w:r>
                </w:p>
              </w:tc>
              <w:tc>
                <w:tcPr>
                  <w:tcW w:w="819" w:type="pct"/>
                  <w:vMerge w:val="restart"/>
                  <w:tcBorders>
                    <w:tl2br w:val="nil"/>
                    <w:tr2bl w:val="nil"/>
                  </w:tcBorders>
                  <w:noWrap w:val="0"/>
                  <w:vAlign w:val="center"/>
                </w:tcPr>
                <w:p w14:paraId="00650312">
                  <w:pPr>
                    <w:snapToGrid w:val="0"/>
                    <w:jc w:val="center"/>
                    <w:rPr>
                      <w:rFonts w:hint="default"/>
                      <w:lang w:val="en-US" w:eastAsia="zh-CN"/>
                    </w:rPr>
                  </w:pPr>
                  <w:r>
                    <w:rPr>
                      <w:rFonts w:hint="eastAsia" w:ascii="Times New Roman" w:cs="Times New Roman"/>
                      <w:b w:val="0"/>
                      <w:bCs/>
                      <w:color w:val="auto"/>
                      <w:sz w:val="21"/>
                      <w:szCs w:val="21"/>
                      <w:u w:val="none"/>
                      <w:lang w:val="en-US" w:eastAsia="zh-CN"/>
                    </w:rPr>
                    <w:t>排泥水处理</w:t>
                  </w:r>
                  <w:r>
                    <w:rPr>
                      <w:rFonts w:hint="eastAsia" w:cs="Times New Roman"/>
                      <w:b w:val="0"/>
                      <w:bCs/>
                      <w:color w:val="auto"/>
                      <w:sz w:val="21"/>
                      <w:szCs w:val="21"/>
                      <w:u w:val="none"/>
                      <w:lang w:val="en-US" w:eastAsia="zh-CN"/>
                    </w:rPr>
                    <w:t>车间（污泥处置）</w:t>
                  </w:r>
                </w:p>
              </w:tc>
            </w:tr>
            <w:tr w14:paraId="4D90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shd w:val="clear" w:color="auto" w:fill="auto"/>
                  <w:noWrap w:val="0"/>
                  <w:vAlign w:val="center"/>
                </w:tcPr>
                <w:p w14:paraId="49C9F51E">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31</w:t>
                  </w:r>
                </w:p>
              </w:tc>
              <w:tc>
                <w:tcPr>
                  <w:tcW w:w="1283" w:type="pct"/>
                  <w:tcBorders>
                    <w:tl2br w:val="nil"/>
                    <w:tr2bl w:val="nil"/>
                  </w:tcBorders>
                  <w:noWrap w:val="0"/>
                  <w:vAlign w:val="center"/>
                </w:tcPr>
                <w:p w14:paraId="03DCC604">
                  <w:pPr>
                    <w:snapToGrid w:val="0"/>
                    <w:jc w:val="center"/>
                    <w:rPr>
                      <w:rFonts w:hint="default"/>
                      <w:lang w:val="en-US" w:eastAsia="zh-CN"/>
                    </w:rPr>
                  </w:pPr>
                  <w:r>
                    <w:rPr>
                      <w:rFonts w:hint="eastAsia"/>
                      <w:lang w:val="en-US" w:eastAsia="zh-CN"/>
                    </w:rPr>
                    <w:t>贮泥池</w:t>
                  </w:r>
                </w:p>
              </w:tc>
              <w:tc>
                <w:tcPr>
                  <w:tcW w:w="1743" w:type="pct"/>
                  <w:tcBorders>
                    <w:tl2br w:val="nil"/>
                    <w:tr2bl w:val="nil"/>
                  </w:tcBorders>
                  <w:noWrap w:val="0"/>
                  <w:vAlign w:val="center"/>
                </w:tcPr>
                <w:p w14:paraId="7F768592">
                  <w:pPr>
                    <w:snapToGrid w:val="0"/>
                    <w:jc w:val="center"/>
                    <w:rPr>
                      <w:rFonts w:hint="default"/>
                      <w:lang w:val="en-US" w:eastAsia="zh-CN"/>
                    </w:rPr>
                  </w:pPr>
                  <w:r>
                    <w:rPr>
                      <w:rFonts w:hint="eastAsia"/>
                      <w:lang w:val="en-US" w:eastAsia="zh-CN"/>
                    </w:rPr>
                    <w:t>/</w:t>
                  </w:r>
                </w:p>
              </w:tc>
              <w:tc>
                <w:tcPr>
                  <w:tcW w:w="394" w:type="pct"/>
                  <w:tcBorders>
                    <w:tl2br w:val="nil"/>
                    <w:tr2bl w:val="nil"/>
                  </w:tcBorders>
                  <w:shd w:val="clear" w:color="auto" w:fill="auto"/>
                  <w:noWrap w:val="0"/>
                  <w:vAlign w:val="center"/>
                </w:tcPr>
                <w:p w14:paraId="24E5B6D0">
                  <w:pPr>
                    <w:snapToGrid w:val="0"/>
                    <w:jc w:val="center"/>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1CAE2F87">
                  <w:pPr>
                    <w:snapToGrid w:val="0"/>
                    <w:jc w:val="center"/>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noWrap w:val="0"/>
                  <w:vAlign w:val="center"/>
                </w:tcPr>
                <w:p w14:paraId="47E79468">
                  <w:pPr>
                    <w:snapToGrid w:val="0"/>
                    <w:jc w:val="center"/>
                    <w:rPr>
                      <w:rFonts w:hint="eastAsia" w:ascii="Times New Roman" w:cs="Times New Roman"/>
                      <w:b w:val="0"/>
                      <w:bCs/>
                      <w:color w:val="auto"/>
                      <w:sz w:val="21"/>
                      <w:szCs w:val="21"/>
                      <w:u w:val="none"/>
                      <w:lang w:val="en-US" w:eastAsia="zh-CN"/>
                    </w:rPr>
                  </w:pPr>
                </w:p>
              </w:tc>
            </w:tr>
            <w:tr w14:paraId="1BDF5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253AEFB4">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32</w:t>
                  </w:r>
                </w:p>
              </w:tc>
              <w:tc>
                <w:tcPr>
                  <w:tcW w:w="1283" w:type="pct"/>
                  <w:tcBorders>
                    <w:tl2br w:val="nil"/>
                    <w:tr2bl w:val="nil"/>
                  </w:tcBorders>
                  <w:noWrap w:val="0"/>
                  <w:vAlign w:val="center"/>
                </w:tcPr>
                <w:p w14:paraId="4ACB13CB">
                  <w:pPr>
                    <w:snapToGrid w:val="0"/>
                    <w:jc w:val="center"/>
                    <w:rPr>
                      <w:rFonts w:hint="eastAsia"/>
                      <w:lang w:val="en-US" w:eastAsia="zh-CN"/>
                    </w:rPr>
                  </w:pPr>
                  <w:r>
                    <w:rPr>
                      <w:rFonts w:hint="eastAsia"/>
                      <w:lang w:val="en-US" w:eastAsia="zh-CN"/>
                    </w:rPr>
                    <w:t>转筛浓缩机</w:t>
                  </w:r>
                </w:p>
              </w:tc>
              <w:tc>
                <w:tcPr>
                  <w:tcW w:w="1743" w:type="pct"/>
                  <w:tcBorders>
                    <w:tl2br w:val="nil"/>
                    <w:tr2bl w:val="nil"/>
                  </w:tcBorders>
                  <w:noWrap w:val="0"/>
                  <w:vAlign w:val="center"/>
                </w:tcPr>
                <w:p w14:paraId="1B08E066">
                  <w:pPr>
                    <w:snapToGrid w:val="0"/>
                    <w:jc w:val="center"/>
                    <w:rPr>
                      <w:rFonts w:hint="eastAsia"/>
                      <w:lang w:val="en-US" w:eastAsia="zh-CN"/>
                    </w:rPr>
                  </w:pPr>
                  <w:r>
                    <w:rPr>
                      <w:rFonts w:hint="eastAsia"/>
                      <w:lang w:val="en-US" w:eastAsia="zh-CN"/>
                    </w:rPr>
                    <w:t>FRDT—50</w:t>
                  </w:r>
                </w:p>
              </w:tc>
              <w:tc>
                <w:tcPr>
                  <w:tcW w:w="394" w:type="pct"/>
                  <w:tcBorders>
                    <w:tl2br w:val="nil"/>
                    <w:tr2bl w:val="nil"/>
                  </w:tcBorders>
                  <w:noWrap w:val="0"/>
                  <w:vAlign w:val="center"/>
                </w:tcPr>
                <w:p w14:paraId="3C4C443E">
                  <w:pPr>
                    <w:snapToGrid w:val="0"/>
                    <w:jc w:val="center"/>
                    <w:rPr>
                      <w:rFonts w:hint="default"/>
                      <w:lang w:val="en-US" w:eastAsia="zh-CN"/>
                    </w:rPr>
                  </w:pPr>
                  <w:r>
                    <w:rPr>
                      <w:rFonts w:hint="eastAsia"/>
                      <w:lang w:val="en-US" w:eastAsia="zh-CN"/>
                    </w:rPr>
                    <w:t>台</w:t>
                  </w:r>
                </w:p>
              </w:tc>
              <w:tc>
                <w:tcPr>
                  <w:tcW w:w="439" w:type="pct"/>
                  <w:tcBorders>
                    <w:tl2br w:val="nil"/>
                    <w:tr2bl w:val="nil"/>
                  </w:tcBorders>
                  <w:noWrap w:val="0"/>
                  <w:vAlign w:val="center"/>
                </w:tcPr>
                <w:p w14:paraId="06822C8F">
                  <w:pPr>
                    <w:snapToGrid w:val="0"/>
                    <w:jc w:val="center"/>
                    <w:rPr>
                      <w:rFonts w:hint="default"/>
                      <w:lang w:val="en-US" w:eastAsia="zh-CN"/>
                    </w:rPr>
                  </w:pPr>
                  <w:r>
                    <w:rPr>
                      <w:rFonts w:hint="eastAsia"/>
                      <w:lang w:val="en-US" w:eastAsia="zh-CN"/>
                    </w:rPr>
                    <w:t>2</w:t>
                  </w:r>
                </w:p>
              </w:tc>
              <w:tc>
                <w:tcPr>
                  <w:tcW w:w="819" w:type="pct"/>
                  <w:vMerge w:val="continue"/>
                  <w:tcBorders>
                    <w:tl2br w:val="nil"/>
                    <w:tr2bl w:val="nil"/>
                  </w:tcBorders>
                  <w:noWrap w:val="0"/>
                  <w:vAlign w:val="center"/>
                </w:tcPr>
                <w:p w14:paraId="703DB46F">
                  <w:pPr>
                    <w:snapToGrid w:val="0"/>
                    <w:jc w:val="center"/>
                    <w:rPr>
                      <w:rFonts w:hint="default" w:ascii="Times New Roman" w:hAnsi="Times New Roman" w:eastAsia="宋体" w:cs="Times New Roman"/>
                      <w:b/>
                      <w:bCs/>
                      <w:color w:val="auto"/>
                      <w:sz w:val="21"/>
                      <w:szCs w:val="21"/>
                    </w:rPr>
                  </w:pPr>
                </w:p>
              </w:tc>
            </w:tr>
            <w:tr w14:paraId="3F85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7AB24E4F">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33</w:t>
                  </w:r>
                </w:p>
              </w:tc>
              <w:tc>
                <w:tcPr>
                  <w:tcW w:w="1283" w:type="pct"/>
                  <w:tcBorders>
                    <w:tl2br w:val="nil"/>
                    <w:tr2bl w:val="nil"/>
                  </w:tcBorders>
                  <w:noWrap w:val="0"/>
                  <w:vAlign w:val="center"/>
                </w:tcPr>
                <w:p w14:paraId="041D889B">
                  <w:pPr>
                    <w:snapToGrid w:val="0"/>
                    <w:jc w:val="center"/>
                    <w:rPr>
                      <w:rFonts w:hint="eastAsia"/>
                      <w:lang w:val="en-US" w:eastAsia="zh-CN"/>
                    </w:rPr>
                  </w:pPr>
                  <w:r>
                    <w:rPr>
                      <w:rFonts w:hint="eastAsia"/>
                      <w:lang w:val="en-US" w:eastAsia="zh-CN"/>
                    </w:rPr>
                    <w:t>一体化离心机</w:t>
                  </w:r>
                </w:p>
              </w:tc>
              <w:tc>
                <w:tcPr>
                  <w:tcW w:w="1743" w:type="pct"/>
                  <w:tcBorders>
                    <w:tl2br w:val="nil"/>
                    <w:tr2bl w:val="nil"/>
                  </w:tcBorders>
                  <w:noWrap w:val="0"/>
                  <w:vAlign w:val="center"/>
                </w:tcPr>
                <w:p w14:paraId="3F4F43A0">
                  <w:pPr>
                    <w:snapToGrid w:val="0"/>
                    <w:jc w:val="center"/>
                    <w:rPr>
                      <w:rFonts w:hint="eastAsia"/>
                      <w:lang w:val="en-US" w:eastAsia="zh-CN"/>
                    </w:rPr>
                  </w:pPr>
                  <w:r>
                    <w:rPr>
                      <w:rFonts w:hint="eastAsia"/>
                      <w:lang w:val="en-US" w:eastAsia="zh-CN"/>
                    </w:rPr>
                    <w:t>M3BP 225SMA 4 IMB3/IM1001</w:t>
                  </w:r>
                </w:p>
              </w:tc>
              <w:tc>
                <w:tcPr>
                  <w:tcW w:w="394" w:type="pct"/>
                  <w:tcBorders>
                    <w:tl2br w:val="nil"/>
                    <w:tr2bl w:val="nil"/>
                  </w:tcBorders>
                  <w:noWrap w:val="0"/>
                  <w:vAlign w:val="center"/>
                </w:tcPr>
                <w:p w14:paraId="590E803B">
                  <w:pPr>
                    <w:snapToGrid w:val="0"/>
                    <w:jc w:val="center"/>
                    <w:rPr>
                      <w:rFonts w:hint="default"/>
                      <w:lang w:val="en-US" w:eastAsia="zh-CN"/>
                    </w:rPr>
                  </w:pPr>
                  <w:r>
                    <w:rPr>
                      <w:rFonts w:hint="eastAsia"/>
                      <w:lang w:val="en-US" w:eastAsia="zh-CN"/>
                    </w:rPr>
                    <w:t>台</w:t>
                  </w:r>
                </w:p>
              </w:tc>
              <w:tc>
                <w:tcPr>
                  <w:tcW w:w="439" w:type="pct"/>
                  <w:tcBorders>
                    <w:tl2br w:val="nil"/>
                    <w:tr2bl w:val="nil"/>
                  </w:tcBorders>
                  <w:noWrap w:val="0"/>
                  <w:vAlign w:val="center"/>
                </w:tcPr>
                <w:p w14:paraId="3496C0C5">
                  <w:pPr>
                    <w:snapToGrid w:val="0"/>
                    <w:jc w:val="center"/>
                    <w:rPr>
                      <w:rFonts w:hint="default"/>
                      <w:lang w:val="en-US" w:eastAsia="zh-CN"/>
                    </w:rPr>
                  </w:pPr>
                  <w:r>
                    <w:rPr>
                      <w:rFonts w:hint="eastAsia"/>
                      <w:lang w:val="en-US" w:eastAsia="zh-CN"/>
                    </w:rPr>
                    <w:t>2</w:t>
                  </w:r>
                </w:p>
              </w:tc>
              <w:tc>
                <w:tcPr>
                  <w:tcW w:w="819" w:type="pct"/>
                  <w:vMerge w:val="continue"/>
                  <w:tcBorders>
                    <w:tl2br w:val="nil"/>
                    <w:tr2bl w:val="nil"/>
                  </w:tcBorders>
                  <w:noWrap w:val="0"/>
                  <w:vAlign w:val="center"/>
                </w:tcPr>
                <w:p w14:paraId="3DFE640C">
                  <w:pPr>
                    <w:snapToGrid w:val="0"/>
                    <w:jc w:val="center"/>
                    <w:rPr>
                      <w:rFonts w:hint="default" w:ascii="Times New Roman" w:hAnsi="Times New Roman" w:eastAsia="宋体" w:cs="Times New Roman"/>
                      <w:b/>
                      <w:bCs/>
                      <w:color w:val="auto"/>
                      <w:sz w:val="21"/>
                      <w:szCs w:val="21"/>
                    </w:rPr>
                  </w:pPr>
                </w:p>
              </w:tc>
            </w:tr>
            <w:tr w14:paraId="59CA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51133DE7">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34</w:t>
                  </w:r>
                </w:p>
              </w:tc>
              <w:tc>
                <w:tcPr>
                  <w:tcW w:w="1283" w:type="pct"/>
                  <w:tcBorders>
                    <w:tl2br w:val="nil"/>
                    <w:tr2bl w:val="nil"/>
                  </w:tcBorders>
                  <w:noWrap w:val="0"/>
                  <w:vAlign w:val="center"/>
                </w:tcPr>
                <w:p w14:paraId="2B81CE46">
                  <w:pPr>
                    <w:snapToGrid w:val="0"/>
                    <w:jc w:val="center"/>
                    <w:rPr>
                      <w:rFonts w:hint="default"/>
                      <w:lang w:val="en-US" w:eastAsia="zh-CN"/>
                    </w:rPr>
                  </w:pPr>
                  <w:r>
                    <w:rPr>
                      <w:rFonts w:hint="eastAsia"/>
                      <w:lang w:val="en-US" w:eastAsia="zh-CN"/>
                    </w:rPr>
                    <w:t>排泥池</w:t>
                  </w:r>
                </w:p>
              </w:tc>
              <w:tc>
                <w:tcPr>
                  <w:tcW w:w="1743" w:type="pct"/>
                  <w:tcBorders>
                    <w:tl2br w:val="nil"/>
                    <w:tr2bl w:val="nil"/>
                  </w:tcBorders>
                  <w:shd w:val="clear" w:color="auto" w:fill="auto"/>
                  <w:noWrap w:val="0"/>
                  <w:vAlign w:val="center"/>
                </w:tcPr>
                <w:p w14:paraId="5CECB3E5">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15.8m×8.8m</w:t>
                  </w:r>
                </w:p>
              </w:tc>
              <w:tc>
                <w:tcPr>
                  <w:tcW w:w="394" w:type="pct"/>
                  <w:tcBorders>
                    <w:tl2br w:val="nil"/>
                    <w:tr2bl w:val="nil"/>
                  </w:tcBorders>
                  <w:shd w:val="clear" w:color="auto" w:fill="auto"/>
                  <w:noWrap w:val="0"/>
                  <w:vAlign w:val="center"/>
                </w:tcPr>
                <w:p w14:paraId="57F39F2F">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58C3E6D8">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restart"/>
                  <w:tcBorders>
                    <w:tl2br w:val="nil"/>
                    <w:tr2bl w:val="nil"/>
                  </w:tcBorders>
                  <w:noWrap w:val="0"/>
                  <w:vAlign w:val="center"/>
                </w:tcPr>
                <w:p w14:paraId="4AF11CF6">
                  <w:pPr>
                    <w:snapToGrid w:val="0"/>
                    <w:jc w:val="center"/>
                    <w:rPr>
                      <w:rFonts w:hint="eastAsia" w:ascii="Times New Roman" w:hAnsi="Times New Roman" w:eastAsia="宋体" w:cs="Times New Roman"/>
                      <w:b/>
                      <w:bCs/>
                      <w:color w:val="auto"/>
                      <w:kern w:val="2"/>
                      <w:sz w:val="21"/>
                      <w:szCs w:val="21"/>
                      <w:lang w:val="en-US" w:eastAsia="zh-CN" w:bidi="ar-SA"/>
                    </w:rPr>
                  </w:pPr>
                  <w:r>
                    <w:rPr>
                      <w:rFonts w:hint="eastAsia" w:ascii="Times New Roman" w:cs="Times New Roman"/>
                      <w:b w:val="0"/>
                      <w:bCs/>
                      <w:color w:val="auto"/>
                      <w:sz w:val="21"/>
                      <w:szCs w:val="21"/>
                      <w:u w:val="none"/>
                      <w:lang w:val="en-US" w:eastAsia="zh-CN"/>
                    </w:rPr>
                    <w:t>排泥水处理</w:t>
                  </w:r>
                </w:p>
              </w:tc>
            </w:tr>
            <w:tr w14:paraId="0FFE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18" w:type="pct"/>
                  <w:tcBorders>
                    <w:tl2br w:val="nil"/>
                    <w:tr2bl w:val="nil"/>
                  </w:tcBorders>
                  <w:noWrap w:val="0"/>
                  <w:vAlign w:val="center"/>
                </w:tcPr>
                <w:p w14:paraId="3A5D19B9">
                  <w:pPr>
                    <w:snapToGrid w:val="0"/>
                    <w:jc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35</w:t>
                  </w:r>
                </w:p>
              </w:tc>
              <w:tc>
                <w:tcPr>
                  <w:tcW w:w="1283" w:type="pct"/>
                  <w:tcBorders>
                    <w:tl2br w:val="nil"/>
                    <w:tr2bl w:val="nil"/>
                  </w:tcBorders>
                  <w:shd w:val="clear" w:color="auto" w:fill="auto"/>
                  <w:noWrap w:val="0"/>
                  <w:vAlign w:val="center"/>
                </w:tcPr>
                <w:p w14:paraId="1223456C">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回收水池（预留）</w:t>
                  </w:r>
                </w:p>
              </w:tc>
              <w:tc>
                <w:tcPr>
                  <w:tcW w:w="1743" w:type="pct"/>
                  <w:tcBorders>
                    <w:tl2br w:val="nil"/>
                    <w:tr2bl w:val="nil"/>
                  </w:tcBorders>
                  <w:shd w:val="clear" w:color="auto" w:fill="auto"/>
                  <w:noWrap w:val="0"/>
                  <w:vAlign w:val="center"/>
                </w:tcPr>
                <w:p w14:paraId="264A81C8">
                  <w:pPr>
                    <w:snapToGrid w:val="0"/>
                    <w:jc w:val="center"/>
                    <w:rPr>
                      <w:rFonts w:hint="eastAsia" w:ascii="Times New Roman" w:hAnsi="Times New Roman" w:eastAsia="宋体" w:cs="Times New Roman"/>
                      <w:kern w:val="2"/>
                      <w:sz w:val="21"/>
                      <w:szCs w:val="24"/>
                      <w:lang w:val="en-US" w:eastAsia="zh-CN" w:bidi="ar-SA"/>
                    </w:rPr>
                  </w:pPr>
                  <w:r>
                    <w:rPr>
                      <w:rFonts w:hint="eastAsia"/>
                      <w:lang w:val="en-US" w:eastAsia="zh-CN"/>
                    </w:rPr>
                    <w:t>24.8m×11.35m</w:t>
                  </w:r>
                </w:p>
              </w:tc>
              <w:tc>
                <w:tcPr>
                  <w:tcW w:w="394" w:type="pct"/>
                  <w:tcBorders>
                    <w:tl2br w:val="nil"/>
                    <w:tr2bl w:val="nil"/>
                  </w:tcBorders>
                  <w:shd w:val="clear" w:color="auto" w:fill="auto"/>
                  <w:noWrap w:val="0"/>
                  <w:vAlign w:val="center"/>
                </w:tcPr>
                <w:p w14:paraId="7095AD3F">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座</w:t>
                  </w:r>
                </w:p>
              </w:tc>
              <w:tc>
                <w:tcPr>
                  <w:tcW w:w="439" w:type="pct"/>
                  <w:tcBorders>
                    <w:tl2br w:val="nil"/>
                    <w:tr2bl w:val="nil"/>
                  </w:tcBorders>
                  <w:shd w:val="clear" w:color="auto" w:fill="auto"/>
                  <w:noWrap w:val="0"/>
                  <w:vAlign w:val="center"/>
                </w:tcPr>
                <w:p w14:paraId="2A1F3F0F">
                  <w:pPr>
                    <w:snapToGrid w:val="0"/>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w:t>
                  </w:r>
                </w:p>
              </w:tc>
              <w:tc>
                <w:tcPr>
                  <w:tcW w:w="819" w:type="pct"/>
                  <w:vMerge w:val="continue"/>
                  <w:tcBorders>
                    <w:tl2br w:val="nil"/>
                    <w:tr2bl w:val="nil"/>
                  </w:tcBorders>
                  <w:shd w:val="clear" w:color="auto" w:fill="auto"/>
                  <w:noWrap w:val="0"/>
                  <w:vAlign w:val="center"/>
                </w:tcPr>
                <w:p w14:paraId="32B1998A">
                  <w:pPr>
                    <w:snapToGrid w:val="0"/>
                    <w:jc w:val="center"/>
                    <w:rPr>
                      <w:rFonts w:hint="eastAsia" w:ascii="Times New Roman" w:hAnsi="Times New Roman" w:eastAsia="宋体" w:cs="Times New Roman"/>
                      <w:b/>
                      <w:bCs/>
                      <w:color w:val="auto"/>
                      <w:kern w:val="2"/>
                      <w:sz w:val="21"/>
                      <w:szCs w:val="21"/>
                      <w:lang w:val="en-US" w:eastAsia="zh-CN" w:bidi="ar-SA"/>
                    </w:rPr>
                  </w:pPr>
                </w:p>
              </w:tc>
            </w:tr>
          </w:tbl>
          <w:p w14:paraId="74D4E605">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Arial" w:hAnsi="Arial" w:eastAsia="宋体" w:cs="Arial"/>
                <w:i w:val="0"/>
                <w:iCs w:val="0"/>
                <w:caps w:val="0"/>
                <w:color w:val="auto"/>
                <w:spacing w:val="0"/>
                <w:sz w:val="24"/>
                <w:szCs w:val="24"/>
                <w:shd w:val="clear" w:fill="FFFFFF"/>
                <w:lang w:val="en-US" w:eastAsia="zh-CN"/>
              </w:rPr>
            </w:pPr>
            <w:r>
              <w:rPr>
                <w:rFonts w:hint="eastAsia" w:ascii="Times New Roman" w:hAnsi="Times New Roman" w:cs="Times New Roman"/>
                <w:color w:val="auto"/>
                <w:sz w:val="24"/>
                <w:szCs w:val="24"/>
                <w:u w:val="none"/>
                <w:lang w:val="en-US" w:eastAsia="zh-CN"/>
              </w:rPr>
              <w:t>以上设备符合现行《产业结构调整指导目录（2024年本）》和工信部发布的</w:t>
            </w:r>
            <w:r>
              <w:rPr>
                <w:rFonts w:ascii="Arial" w:hAnsi="Arial" w:eastAsia="Arial" w:cs="Arial"/>
                <w:i w:val="0"/>
                <w:iCs w:val="0"/>
                <w:caps w:val="0"/>
                <w:color w:val="auto"/>
                <w:spacing w:val="0"/>
                <w:sz w:val="24"/>
                <w:szCs w:val="24"/>
                <w:shd w:val="clear" w:fill="FFFFFF"/>
              </w:rPr>
              <w:t>《高耗能落后机电设备（产品）淘汰目录》</w:t>
            </w:r>
            <w:r>
              <w:rPr>
                <w:rFonts w:hint="eastAsia" w:ascii="Arial" w:hAnsi="Arial" w:eastAsia="宋体" w:cs="Arial"/>
                <w:i w:val="0"/>
                <w:iCs w:val="0"/>
                <w:caps w:val="0"/>
                <w:color w:val="auto"/>
                <w:spacing w:val="0"/>
                <w:sz w:val="24"/>
                <w:szCs w:val="24"/>
                <w:shd w:val="clear" w:fill="FFFFFF"/>
                <w:lang w:val="en-US" w:eastAsia="zh-CN"/>
              </w:rPr>
              <w:t>中有关要求，不属于落后淘汰的生产设备。</w:t>
            </w:r>
          </w:p>
          <w:p w14:paraId="31BF2467">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single"/>
                <w:lang w:val="en-US" w:eastAsia="zh-CN"/>
              </w:rPr>
            </w:pPr>
            <w:r>
              <w:rPr>
                <w:rFonts w:hint="eastAsia" w:ascii="Times New Roman" w:hAnsi="Times New Roman" w:cs="Times New Roman"/>
                <w:color w:val="auto"/>
                <w:sz w:val="24"/>
                <w:szCs w:val="24"/>
                <w:u w:val="single"/>
                <w:lang w:val="en-US" w:eastAsia="zh-CN"/>
              </w:rPr>
              <w:t>主要设备与供水规模匹配性分析：制水一厂采用絮凝沉淀、过滤消毒的净水工艺，从进水到清水池消毒完成待出水的总水力停留时间约2h左右，现有的三条净水生产线，统一使用进水和出水泵房进行输配。其中进水/送水泵房配置的主供水加压泵设计流量为2700m</w:t>
            </w:r>
            <w:r>
              <w:rPr>
                <w:rFonts w:hint="eastAsia" w:ascii="Times New Roman" w:hAnsi="Times New Roman" w:cs="Times New Roman"/>
                <w:color w:val="auto"/>
                <w:sz w:val="24"/>
                <w:szCs w:val="24"/>
                <w:u w:val="single"/>
                <w:vertAlign w:val="superscript"/>
                <w:lang w:val="en-US" w:eastAsia="zh-CN"/>
              </w:rPr>
              <w:t>3</w:t>
            </w:r>
            <w:r>
              <w:rPr>
                <w:rFonts w:hint="eastAsia" w:ascii="Times New Roman" w:hAnsi="Times New Roman" w:cs="Times New Roman"/>
                <w:color w:val="auto"/>
                <w:sz w:val="24"/>
                <w:szCs w:val="24"/>
                <w:u w:val="single"/>
                <w:lang w:val="en-US" w:eastAsia="zh-CN"/>
              </w:rPr>
              <w:t>/h（共4台，另外分别配置备用水泵），日设计流量为2700m</w:t>
            </w:r>
            <w:r>
              <w:rPr>
                <w:rFonts w:hint="eastAsia" w:ascii="Times New Roman" w:hAnsi="Times New Roman" w:cs="Times New Roman"/>
                <w:color w:val="auto"/>
                <w:sz w:val="24"/>
                <w:szCs w:val="24"/>
                <w:u w:val="single"/>
                <w:vertAlign w:val="superscript"/>
                <w:lang w:val="en-US" w:eastAsia="zh-CN"/>
              </w:rPr>
              <w:t>3</w:t>
            </w:r>
            <w:r>
              <w:rPr>
                <w:rFonts w:hint="eastAsia" w:ascii="Times New Roman" w:hAnsi="Times New Roman" w:cs="Times New Roman"/>
                <w:color w:val="auto"/>
                <w:sz w:val="24"/>
                <w:szCs w:val="24"/>
                <w:u w:val="single"/>
                <w:lang w:val="en-US" w:eastAsia="zh-CN"/>
              </w:rPr>
              <w:t>/h×24h×4=25.92万m</w:t>
            </w:r>
            <w:r>
              <w:rPr>
                <w:rFonts w:hint="eastAsia" w:ascii="Times New Roman" w:hAnsi="Times New Roman" w:cs="Times New Roman"/>
                <w:color w:val="auto"/>
                <w:sz w:val="24"/>
                <w:szCs w:val="24"/>
                <w:u w:val="single"/>
                <w:vertAlign w:val="superscript"/>
                <w:lang w:val="en-US" w:eastAsia="zh-CN"/>
              </w:rPr>
              <w:t>3</w:t>
            </w:r>
            <w:r>
              <w:rPr>
                <w:rFonts w:hint="eastAsia" w:ascii="Times New Roman" w:hAnsi="Times New Roman" w:cs="Times New Roman"/>
                <w:color w:val="auto"/>
                <w:sz w:val="24"/>
                <w:szCs w:val="24"/>
                <w:u w:val="single"/>
                <w:lang w:val="en-US" w:eastAsia="zh-CN"/>
              </w:rPr>
              <w:t>/d，可以达到设计规模19万m</w:t>
            </w:r>
            <w:r>
              <w:rPr>
                <w:rFonts w:hint="eastAsia" w:ascii="Times New Roman" w:hAnsi="Times New Roman" w:cs="Times New Roman"/>
                <w:color w:val="auto"/>
                <w:sz w:val="24"/>
                <w:szCs w:val="24"/>
                <w:u w:val="single"/>
                <w:vertAlign w:val="superscript"/>
                <w:lang w:val="en-US" w:eastAsia="zh-CN"/>
              </w:rPr>
              <w:t>3</w:t>
            </w:r>
            <w:r>
              <w:rPr>
                <w:rFonts w:hint="eastAsia" w:ascii="Times New Roman" w:hAnsi="Times New Roman" w:cs="Times New Roman"/>
                <w:color w:val="auto"/>
                <w:sz w:val="24"/>
                <w:szCs w:val="24"/>
                <w:u w:val="single"/>
                <w:lang w:val="en-US" w:eastAsia="zh-CN"/>
              </w:rPr>
              <w:t>/d的需求。</w:t>
            </w:r>
          </w:p>
          <w:p w14:paraId="42D29DE3">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4、产品方案规模</w:t>
            </w:r>
          </w:p>
          <w:p w14:paraId="4EEE1A5A">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项目厂区内现有三条自来水净水生产线，设计自来水产能分别为4万m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/d、5万m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/d、10万m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/d，共计19万m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/d的生产供应能力。厂区内部配套净水过程排泥水污泥进行浓缩脱水，对滤池冲洗水进行回用，不改变本身自来水产量。</w:t>
            </w:r>
          </w:p>
          <w:p w14:paraId="3DC6989F">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自来水产品在水厂内分别采用浊度仪进行浊度检测，以及采用余氯仪和四甲基联苯胺比色法进行余氯检测，此外定期由集团公司城市供水水质监测机构岳阳广源检测技术有限公司进行水质检测。确保出水符合《生活饮用水卫生标准》（GB 5749-2022）的要求，保证城市居民用水安全。</w:t>
            </w:r>
          </w:p>
          <w:p w14:paraId="3BB3D91D">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single"/>
                <w:lang w:val="en-US" w:eastAsia="zh-CN"/>
              </w:rPr>
            </w:pPr>
            <w:r>
              <w:rPr>
                <w:rFonts w:hint="eastAsia" w:ascii="Times New Roman" w:hAnsi="Times New Roman" w:cs="Times New Roman"/>
                <w:b/>
                <w:bCs w:val="0"/>
                <w:color w:val="auto"/>
                <w:sz w:val="24"/>
                <w:szCs w:val="24"/>
                <w:u w:val="single"/>
                <w:lang w:val="en-US" w:eastAsia="zh-CN"/>
              </w:rPr>
              <w:t>5、项目水平衡分析</w:t>
            </w:r>
          </w:p>
          <w:p w14:paraId="516B22CC">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val="0"/>
                <w:bCs/>
                <w:color w:val="auto"/>
                <w:sz w:val="24"/>
                <w:szCs w:val="24"/>
                <w:highlight w:val="none"/>
                <w:u w:val="single"/>
                <w:lang w:val="en-US" w:eastAsia="zh-CN"/>
              </w:rPr>
            </w:pPr>
            <w:r>
              <w:rPr>
                <w:rFonts w:hint="eastAsia" w:ascii="Times New Roman" w:hAnsi="Times New Roman" w:cs="Times New Roman"/>
                <w:b w:val="0"/>
                <w:bCs/>
                <w:color w:val="auto"/>
                <w:sz w:val="24"/>
                <w:szCs w:val="24"/>
                <w:u w:val="single"/>
                <w:lang w:val="en-US" w:eastAsia="zh-CN"/>
              </w:rPr>
              <w:t>本项目净水厂按照日供水19万吨规模进行设计，厂区内用水环节主要为生产用水、生</w:t>
            </w:r>
            <w:r>
              <w:rPr>
                <w:rFonts w:hint="eastAsia" w:ascii="Times New Roman" w:hAnsi="Times New Roman" w:cs="Times New Roman"/>
                <w:b w:val="0"/>
                <w:bCs/>
                <w:color w:val="auto"/>
                <w:sz w:val="24"/>
                <w:szCs w:val="24"/>
                <w:highlight w:val="none"/>
                <w:u w:val="single"/>
                <w:lang w:val="en-US" w:eastAsia="zh-CN"/>
              </w:rPr>
              <w:t>活用水及不可预见环节用水（管道内部漏损、厂区保洁绿化等），本项目水平衡如下图所示：</w:t>
            </w:r>
          </w:p>
          <w:p w14:paraId="5B12A516">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p>
          <w:p w14:paraId="203ED428">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p>
          <w:p w14:paraId="24BC7913">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p>
          <w:p w14:paraId="7D467FDE">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p>
          <w:p w14:paraId="60E33085">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p>
          <w:p w14:paraId="39C3EFEC">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p>
          <w:p w14:paraId="60C476B4">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p>
          <w:p w14:paraId="76E9B798">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mc:AlternateContent>
                <mc:Choice Requires="wps">
                  <w:drawing>
                    <wp:anchor distT="0" distB="0" distL="114300" distR="114300" simplePos="0" relativeHeight="251707392" behindDoc="0" locked="0" layoutInCell="1" allowOverlap="1">
                      <wp:simplePos x="0" y="0"/>
                      <wp:positionH relativeFrom="column">
                        <wp:posOffset>2689860</wp:posOffset>
                      </wp:positionH>
                      <wp:positionV relativeFrom="paragraph">
                        <wp:posOffset>161925</wp:posOffset>
                      </wp:positionV>
                      <wp:extent cx="661670" cy="288925"/>
                      <wp:effectExtent l="0" t="0" r="0" b="0"/>
                      <wp:wrapNone/>
                      <wp:docPr id="178" name="Text Box 12"/>
                      <wp:cNvGraphicFramePr/>
                      <a:graphic xmlns:a="http://schemas.openxmlformats.org/drawingml/2006/main">
                        <a:graphicData uri="http://schemas.microsoft.com/office/word/2010/wordprocessingShape">
                          <wps:wsp>
                            <wps:cNvSpPr txBox="1">
                              <a:spLocks noChangeArrowheads="1"/>
                            </wps:cNvSpPr>
                            <wps:spPr bwMode="auto">
                              <a:xfrm>
                                <a:off x="0" y="0"/>
                                <a:ext cx="661702" cy="288833"/>
                              </a:xfrm>
                              <a:prstGeom prst="rect">
                                <a:avLst/>
                              </a:prstGeom>
                              <a:noFill/>
                              <a:ln w="9525">
                                <a:noFill/>
                                <a:prstDash val="dash"/>
                                <a:miter lim="800000"/>
                              </a:ln>
                            </wps:spPr>
                            <wps:txbx>
                              <w:txbxContent>
                                <w:p w14:paraId="68578909">
                                  <w:pPr>
                                    <w:rPr>
                                      <w:rFonts w:hint="default" w:eastAsia="宋体"/>
                                      <w:lang w:val="en-US" w:eastAsia="zh-CN"/>
                                    </w:rPr>
                                  </w:pPr>
                                  <w:r>
                                    <w:rPr>
                                      <w:rFonts w:hint="eastAsia"/>
                                      <w:lang w:val="en-US" w:eastAsia="zh-CN"/>
                                    </w:rPr>
                                    <w:t>190000</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211.8pt;margin-top:12.75pt;height:22.75pt;width:52.1pt;z-index:251707392;mso-width-relative:page;mso-height-relative:page;" filled="f" stroked="f" coordsize="21600,21600" o:gfxdata="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dHJGeNYAAAAJAQAADwAAAAAAAAABACAAAAAiAAAAZHJzL2Rvd25yZXYueG1sUEsBAhQAFAAA&#10;AAgAh07iQLi3yJ4qAgAATgQAAA4AAAAAAAAAAQAgAAAAJQEAAGRycy9lMm9Eb2MueG1sUEsFBgAA&#10;AAAGAAYAWQEAAMEFAAAAAA==&#10;">
                      <v:fill on="f" focussize="0,0"/>
                      <v:stroke on="f" miterlimit="8" joinstyle="miter" dashstyle="dash"/>
                      <v:imagedata o:title=""/>
                      <o:lock v:ext="edit" aspectratio="f"/>
                      <v:textbox>
                        <w:txbxContent>
                          <w:p w14:paraId="68578909">
                            <w:pPr>
                              <w:rPr>
                                <w:rFonts w:hint="default" w:eastAsia="宋体"/>
                                <w:lang w:val="en-US" w:eastAsia="zh-CN"/>
                              </w:rPr>
                            </w:pPr>
                            <w:r>
                              <w:rPr>
                                <w:rFonts w:hint="eastAsia"/>
                                <w:lang w:val="en-US" w:eastAsia="zh-CN"/>
                              </w:rPr>
                              <w:t>190000</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3437890</wp:posOffset>
                      </wp:positionH>
                      <wp:positionV relativeFrom="paragraph">
                        <wp:posOffset>175895</wp:posOffset>
                      </wp:positionV>
                      <wp:extent cx="680720" cy="478790"/>
                      <wp:effectExtent l="4445" t="4445" r="19685" b="12065"/>
                      <wp:wrapNone/>
                      <wp:docPr id="130" name="Text Box 9"/>
                      <wp:cNvGraphicFramePr/>
                      <a:graphic xmlns:a="http://schemas.openxmlformats.org/drawingml/2006/main">
                        <a:graphicData uri="http://schemas.microsoft.com/office/word/2010/wordprocessingShape">
                          <wps:wsp>
                            <wps:cNvSpPr txBox="1">
                              <a:spLocks noChangeArrowheads="1"/>
                            </wps:cNvSpPr>
                            <wps:spPr bwMode="auto">
                              <a:xfrm>
                                <a:off x="0" y="0"/>
                                <a:ext cx="680720" cy="478790"/>
                              </a:xfrm>
                              <a:prstGeom prst="rect">
                                <a:avLst/>
                              </a:prstGeom>
                              <a:solidFill>
                                <a:srgbClr val="FFFFFF"/>
                              </a:solidFill>
                              <a:ln w="9525">
                                <a:solidFill>
                                  <a:srgbClr val="000000"/>
                                </a:solidFill>
                                <a:miter lim="800000"/>
                              </a:ln>
                            </wps:spPr>
                            <wps:txbx>
                              <w:txbxContent>
                                <w:p w14:paraId="52286AB8">
                                  <w:pPr>
                                    <w:jc w:val="center"/>
                                    <w:rPr>
                                      <w:rFonts w:hint="default"/>
                                      <w:lang w:val="en-US"/>
                                    </w:rPr>
                                  </w:pPr>
                                  <w:r>
                                    <w:rPr>
                                      <w:rFonts w:hint="eastAsia"/>
                                      <w:lang w:val="en-US" w:eastAsia="zh-CN"/>
                                    </w:rPr>
                                    <w:t>市政供水管网</w:t>
                                  </w:r>
                                </w:p>
                              </w:txbxContent>
                            </wps:txbx>
                            <wps:bodyPr rot="0" vert="horz" wrap="square" lIns="91440" tIns="45720" rIns="91440" bIns="45720" anchor="t" anchorCtr="0" upright="1">
                              <a:noAutofit/>
                            </wps:bodyPr>
                          </wps:wsp>
                        </a:graphicData>
                      </a:graphic>
                    </wp:anchor>
                  </w:drawing>
                </mc:Choice>
                <mc:Fallback>
                  <w:pict>
                    <v:shape id="Text Box 9" o:spid="_x0000_s1026" o:spt="202" type="#_x0000_t202" style="position:absolute;left:0pt;margin-left:270.7pt;margin-top:13.85pt;height:37.7pt;width:53.6pt;z-index:251713536;mso-width-relative:page;mso-height-relative:page;" fillcolor="#FFFFFF" filled="t" stroked="t" coordsize="21600,21600" o:gfxdata="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7bVxC2QAAAAoBAAAPAAAAAAAAAAEAIAAAACIAAABkcnMvZG93bnJldi54bWxQ&#10;SwECFAAUAAAACACHTuJA10Qa9i8CAACHBAAADgAAAAAAAAABACAAAAAoAQAAZHJzL2Uyb0RvYy54&#10;bWxQSwUGAAAAAAYABgBZAQAAyQUAAAAA&#10;">
                      <v:fill on="t" focussize="0,0"/>
                      <v:stroke color="#000000" miterlimit="8" joinstyle="miter"/>
                      <v:imagedata o:title=""/>
                      <o:lock v:ext="edit" aspectratio="f"/>
                      <v:textbox>
                        <w:txbxContent>
                          <w:p w14:paraId="52286AB8">
                            <w:pPr>
                              <w:jc w:val="center"/>
                              <w:rPr>
                                <w:rFonts w:hint="default"/>
                                <w:lang w:val="en-US"/>
                              </w:rPr>
                            </w:pPr>
                            <w:r>
                              <w:rPr>
                                <w:rFonts w:hint="eastAsia"/>
                                <w:lang w:val="en-US" w:eastAsia="zh-CN"/>
                              </w:rPr>
                              <w:t>市政供水管网</w:t>
                            </w:r>
                          </w:p>
                        </w:txbxContent>
                      </v:textbox>
                    </v:shape>
                  </w:pict>
                </mc:Fallback>
              </mc:AlternateContent>
            </w:r>
          </w:p>
          <w:p w14:paraId="181A5C81">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mc:AlternateContent>
                <mc:Choice Requires="wps">
                  <w:drawing>
                    <wp:anchor distT="0" distB="0" distL="114300" distR="114300" simplePos="0" relativeHeight="251710464" behindDoc="0" locked="0" layoutInCell="1" allowOverlap="1">
                      <wp:simplePos x="0" y="0"/>
                      <wp:positionH relativeFrom="column">
                        <wp:posOffset>1870710</wp:posOffset>
                      </wp:positionH>
                      <wp:positionV relativeFrom="paragraph">
                        <wp:posOffset>122555</wp:posOffset>
                      </wp:positionV>
                      <wp:extent cx="4445" cy="3816350"/>
                      <wp:effectExtent l="4445" t="0" r="10160" b="12700"/>
                      <wp:wrapNone/>
                      <wp:docPr id="128" name="AutoShape 8"/>
                      <wp:cNvGraphicFramePr/>
                      <a:graphic xmlns:a="http://schemas.openxmlformats.org/drawingml/2006/main">
                        <a:graphicData uri="http://schemas.microsoft.com/office/word/2010/wordprocessingShape">
                          <wps:wsp>
                            <wps:cNvCnPr>
                              <a:cxnSpLocks noChangeShapeType="1"/>
                            </wps:cNvCnPr>
                            <wps:spPr bwMode="auto">
                              <a:xfrm>
                                <a:off x="0" y="0"/>
                                <a:ext cx="4445" cy="3816350"/>
                              </a:xfrm>
                              <a:prstGeom prst="straightConnector1">
                                <a:avLst/>
                              </a:prstGeom>
                              <a:noFill/>
                              <a:ln w="9525">
                                <a:solidFill>
                                  <a:srgbClr val="000000"/>
                                </a:solidFill>
                                <a:round/>
                                <a:tailEnd type="none" w="med" len="med"/>
                              </a:ln>
                            </wps:spPr>
                            <wps:bodyPr/>
                          </wps:wsp>
                        </a:graphicData>
                      </a:graphic>
                    </wp:anchor>
                  </w:drawing>
                </mc:Choice>
                <mc:Fallback>
                  <w:pict>
                    <v:shape id="AutoShape 8" o:spid="_x0000_s1026" o:spt="32" type="#_x0000_t32" style="position:absolute;left:0pt;margin-left:147.3pt;margin-top:9.65pt;height:300.5pt;width:0.35pt;z-index:251710464;mso-width-relative:page;mso-height-relative:page;" filled="f" stroked="t" coordsize="21600,21600" o:gfxdata="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JUigTYAAAACgEAAA8AAAAAAAAAAQAgAAAAIgAAAGRycy9kb3ducmV2LnhtbFBLAQIU&#10;ABQAAAAIAIdO4kAwKVXu8wEAAOEDAAAOAAAAAAAAAAEAIAAAACcBAABkcnMvZTJvRG9jLnhtbFBL&#10;BQYAAAAABgAGAFkBAACM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1873885</wp:posOffset>
                      </wp:positionH>
                      <wp:positionV relativeFrom="paragraph">
                        <wp:posOffset>120650</wp:posOffset>
                      </wp:positionV>
                      <wp:extent cx="1588770" cy="2540"/>
                      <wp:effectExtent l="0" t="38100" r="11430" b="35560"/>
                      <wp:wrapNone/>
                      <wp:docPr id="146" name="AutoShape 8"/>
                      <wp:cNvGraphicFramePr/>
                      <a:graphic xmlns:a="http://schemas.openxmlformats.org/drawingml/2006/main">
                        <a:graphicData uri="http://schemas.microsoft.com/office/word/2010/wordprocessingShape">
                          <wps:wsp>
                            <wps:cNvCnPr>
                              <a:cxnSpLocks noChangeShapeType="1"/>
                            </wps:cNvCnPr>
                            <wps:spPr bwMode="auto">
                              <a:xfrm flipV="1">
                                <a:off x="0" y="0"/>
                                <a:ext cx="1588770" cy="2540"/>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flip:y;margin-left:147.55pt;margin-top:9.5pt;height:0.2pt;width:125.1pt;z-index:251712512;mso-width-relative:page;mso-height-relative:page;" filled="f" stroked="t" coordsize="21600,21600" o:gfxdata="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54k7u2AAAAAkBAAAPAAAAAAAAAAEAIAAAACIAAABkcnMvZG93bnJldi54&#10;bWxQSwECFAAUAAAACACHTuJAltelo/oBAADvAwAADgAAAAAAAAABACAAAAAnAQAAZHJzL2Uyb0Rv&#10;Yy54bWxQSwUGAAAAAAYABgBZAQAAkwUAAAAA&#10;">
                      <v:fill on="f" focussize="0,0"/>
                      <v:stroke color="#000000" joinstyle="round" endarrow="block"/>
                      <v:imagedata o:title=""/>
                      <o:lock v:ext="edit" aspectratio="f"/>
                    </v:shape>
                  </w:pict>
                </mc:Fallback>
              </mc:AlternateContent>
            </w:r>
          </w:p>
          <w:p w14:paraId="73C18C4F">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mc:AlternateContent>
                <mc:Choice Requires="wps">
                  <w:drawing>
                    <wp:anchor distT="0" distB="0" distL="114300" distR="114300" simplePos="0" relativeHeight="251745280" behindDoc="0" locked="0" layoutInCell="1" allowOverlap="1">
                      <wp:simplePos x="0" y="0"/>
                      <wp:positionH relativeFrom="column">
                        <wp:posOffset>2207260</wp:posOffset>
                      </wp:positionH>
                      <wp:positionV relativeFrom="paragraph">
                        <wp:posOffset>78105</wp:posOffset>
                      </wp:positionV>
                      <wp:extent cx="1285875" cy="288925"/>
                      <wp:effectExtent l="0" t="0" r="0" b="0"/>
                      <wp:wrapNone/>
                      <wp:docPr id="188" name="Text Box 12"/>
                      <wp:cNvGraphicFramePr/>
                      <a:graphic xmlns:a="http://schemas.openxmlformats.org/drawingml/2006/main">
                        <a:graphicData uri="http://schemas.microsoft.com/office/word/2010/wordprocessingShape">
                          <wps:wsp>
                            <wps:cNvSpPr txBox="1">
                              <a:spLocks noChangeArrowheads="1"/>
                            </wps:cNvSpPr>
                            <wps:spPr bwMode="auto">
                              <a:xfrm>
                                <a:off x="0" y="0"/>
                                <a:ext cx="1285875" cy="288925"/>
                              </a:xfrm>
                              <a:prstGeom prst="rect">
                                <a:avLst/>
                              </a:prstGeom>
                              <a:noFill/>
                              <a:ln w="9525">
                                <a:noFill/>
                                <a:prstDash val="dash"/>
                                <a:miter lim="800000"/>
                              </a:ln>
                            </wps:spPr>
                            <wps:txbx>
                              <w:txbxContent>
                                <w:p w14:paraId="7C2C31F8">
                                  <w:pPr>
                                    <w:rPr>
                                      <w:rFonts w:hint="default" w:eastAsia="宋体"/>
                                      <w:lang w:val="en-US" w:eastAsia="zh-CN"/>
                                    </w:rPr>
                                  </w:pPr>
                                  <w:r>
                                    <w:rPr>
                                      <w:rFonts w:hint="eastAsia"/>
                                      <w:lang w:val="en-US" w:eastAsia="zh-CN"/>
                                    </w:rPr>
                                    <w:t>7723.5回制水工序</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173.8pt;margin-top:6.15pt;height:22.75pt;width:101.25pt;z-index:251745280;mso-width-relative:page;mso-height-relative:page;" filled="f" stroked="f" coordsize="21600,21600" o:gfxdata="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qYagbWAAAACQEAAA8AAAAAAAAAAQAgAAAAIgAAAGRycy9kb3ducmV2LnhtbFBLAQIUABQAAAAI&#10;AIdO4kDUBbMZKAIAAE8EAAAOAAAAAAAAAAEAIAAAACUBAABkcnMvZTJvRG9jLnhtbFBLBQYAAAAA&#10;BgAGAFkBAAC/BQAAAAA=&#10;">
                      <v:fill on="f" focussize="0,0"/>
                      <v:stroke on="f" miterlimit="8" joinstyle="miter" dashstyle="dash"/>
                      <v:imagedata o:title=""/>
                      <o:lock v:ext="edit" aspectratio="f"/>
                      <v:textbox>
                        <w:txbxContent>
                          <w:p w14:paraId="7C2C31F8">
                            <w:pPr>
                              <w:rPr>
                                <w:rFonts w:hint="default" w:eastAsia="宋体"/>
                                <w:lang w:val="en-US" w:eastAsia="zh-CN"/>
                              </w:rPr>
                            </w:pPr>
                            <w:r>
                              <w:rPr>
                                <w:rFonts w:hint="eastAsia"/>
                                <w:lang w:val="en-US" w:eastAsia="zh-CN"/>
                              </w:rPr>
                              <w:t>7723.5回制水工序</w:t>
                            </w:r>
                          </w:p>
                        </w:txbxContent>
                      </v:textbox>
                    </v:shape>
                  </w:pict>
                </mc:Fallback>
              </mc:AlternateContent>
            </w:r>
            <w:r>
              <mc:AlternateContent>
                <mc:Choice Requires="wps">
                  <w:drawing>
                    <wp:anchor distT="0" distB="0" distL="114300" distR="114300" simplePos="0" relativeHeight="251744256" behindDoc="0" locked="0" layoutInCell="1" allowOverlap="1">
                      <wp:simplePos x="0" y="0"/>
                      <wp:positionH relativeFrom="column">
                        <wp:posOffset>1463040</wp:posOffset>
                      </wp:positionH>
                      <wp:positionV relativeFrom="paragraph">
                        <wp:posOffset>309245</wp:posOffset>
                      </wp:positionV>
                      <wp:extent cx="2300605" cy="0"/>
                      <wp:effectExtent l="0" t="38100" r="4445" b="38100"/>
                      <wp:wrapNone/>
                      <wp:docPr id="187" name="AutoShape 11"/>
                      <wp:cNvGraphicFramePr/>
                      <a:graphic xmlns:a="http://schemas.openxmlformats.org/drawingml/2006/main">
                        <a:graphicData uri="http://schemas.microsoft.com/office/word/2010/wordprocessingShape">
                          <wps:wsp>
                            <wps:cNvCnPr>
                              <a:cxnSpLocks noChangeShapeType="1"/>
                            </wps:cNvCnPr>
                            <wps:spPr bwMode="auto">
                              <a:xfrm flipH="1">
                                <a:off x="0" y="0"/>
                                <a:ext cx="2300605" cy="0"/>
                              </a:xfrm>
                              <a:prstGeom prst="straightConnector1">
                                <a:avLst/>
                              </a:prstGeom>
                              <a:noFill/>
                              <a:ln w="9525">
                                <a:solidFill>
                                  <a:srgbClr val="000000"/>
                                </a:solidFill>
                                <a:prstDash val="dash"/>
                                <a:round/>
                                <a:tailEnd type="triangle" w="med" len="med"/>
                              </a:ln>
                            </wps:spPr>
                            <wps:bodyPr/>
                          </wps:wsp>
                        </a:graphicData>
                      </a:graphic>
                    </wp:anchor>
                  </w:drawing>
                </mc:Choice>
                <mc:Fallback>
                  <w:pict>
                    <v:shape id="AutoShape 11" o:spid="_x0000_s1026" o:spt="32" type="#_x0000_t32" style="position:absolute;left:0pt;flip:x;margin-left:115.2pt;margin-top:24.35pt;height:0pt;width:181.15pt;z-index:251744256;mso-width-relative:page;mso-height-relative:page;" filled="f" stroked="t" coordsize="21600,21600" o:gfxdata="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NG3b9QAAAAJAQAADwAAAAAAAAABACAAAAAiAAAAZHJzL2Rvd25y&#10;ZXYueG1sUEsBAhQAFAAAAAgAh07iQM8VHKsCAgAABQQAAA4AAAAAAAAAAQAgAAAAIwEAAGRycy9l&#10;Mm9Eb2MueG1sUEsFBgAAAAAGAAYAWQEAAJcFAAAAAA==&#10;">
                      <v:fill on="f" focussize="0,0"/>
                      <v:stroke color="#000000" joinstyle="round" dashstyle="dash" endarrow="block"/>
                      <v:imagedata o:title=""/>
                      <o:lock v:ext="edit" aspectratio="f"/>
                    </v:shape>
                  </w:pict>
                </mc:Fallback>
              </mc:AlternateContent>
            </w:r>
            <w:r>
              <mc:AlternateContent>
                <mc:Choice Requires="wps">
                  <w:drawing>
                    <wp:anchor distT="0" distB="0" distL="114300" distR="114300" simplePos="0" relativeHeight="251743232" behindDoc="0" locked="0" layoutInCell="1" allowOverlap="1">
                      <wp:simplePos x="0" y="0"/>
                      <wp:positionH relativeFrom="column">
                        <wp:posOffset>3772535</wp:posOffset>
                      </wp:positionH>
                      <wp:positionV relativeFrom="paragraph">
                        <wp:posOffset>309245</wp:posOffset>
                      </wp:positionV>
                      <wp:extent cx="3175" cy="399415"/>
                      <wp:effectExtent l="35560" t="0" r="37465" b="635"/>
                      <wp:wrapNone/>
                      <wp:docPr id="186" name="AutoShape 11"/>
                      <wp:cNvGraphicFramePr/>
                      <a:graphic xmlns:a="http://schemas.openxmlformats.org/drawingml/2006/main">
                        <a:graphicData uri="http://schemas.microsoft.com/office/word/2010/wordprocessingShape">
                          <wps:wsp>
                            <wps:cNvCnPr>
                              <a:cxnSpLocks noChangeShapeType="1"/>
                            </wps:cNvCnPr>
                            <wps:spPr bwMode="auto">
                              <a:xfrm flipV="1">
                                <a:off x="0" y="0"/>
                                <a:ext cx="3175" cy="399415"/>
                              </a:xfrm>
                              <a:prstGeom prst="straightConnector1">
                                <a:avLst/>
                              </a:prstGeom>
                              <a:noFill/>
                              <a:ln w="9525">
                                <a:solidFill>
                                  <a:srgbClr val="000000"/>
                                </a:solidFill>
                                <a:prstDash val="dash"/>
                                <a:round/>
                                <a:tailEnd type="triangle" w="med" len="med"/>
                              </a:ln>
                            </wps:spPr>
                            <wps:bodyPr/>
                          </wps:wsp>
                        </a:graphicData>
                      </a:graphic>
                    </wp:anchor>
                  </w:drawing>
                </mc:Choice>
                <mc:Fallback>
                  <w:pict>
                    <v:shape id="AutoShape 11" o:spid="_x0000_s1026" o:spt="32" type="#_x0000_t32" style="position:absolute;left:0pt;flip:y;margin-left:297.05pt;margin-top:24.35pt;height:31.45pt;width:0.25pt;z-index:251743232;mso-width-relative:page;mso-height-relative:page;" filled="f" stroked="t" coordsize="21600,21600" o:gfxdata="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2kHnjVAAAACgEAAA8AAAAAAAAAAQAgAAAAIgAAAGRycy9k&#10;b3ducmV2LnhtbFBLAQIUABQAAAAIAIdO4kDZxh6+BQIAAAcEAAAOAAAAAAAAAAEAIAAAACQBAABk&#10;cnMvZTJvRG9jLnhtbFBLBQYAAAAABgAGAFkBAACbBQAAAAA=&#10;">
                      <v:fill on="f" focussize="0,0"/>
                      <v:stroke color="#000000" joinstyle="round" dashstyle="dash" endarrow="block"/>
                      <v:imagedata o:title=""/>
                      <o:lock v:ext="edit" aspectratio="f"/>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954405</wp:posOffset>
                      </wp:positionH>
                      <wp:positionV relativeFrom="paragraph">
                        <wp:posOffset>200660</wp:posOffset>
                      </wp:positionV>
                      <wp:extent cx="504825" cy="546100"/>
                      <wp:effectExtent l="5080" t="4445" r="4445" b="20955"/>
                      <wp:wrapNone/>
                      <wp:docPr id="147" name="Text Box 9"/>
                      <wp:cNvGraphicFramePr/>
                      <a:graphic xmlns:a="http://schemas.openxmlformats.org/drawingml/2006/main">
                        <a:graphicData uri="http://schemas.microsoft.com/office/word/2010/wordprocessingShape">
                          <wps:wsp>
                            <wps:cNvSpPr txBox="1">
                              <a:spLocks noChangeArrowheads="1"/>
                            </wps:cNvSpPr>
                            <wps:spPr bwMode="auto">
                              <a:xfrm>
                                <a:off x="0" y="0"/>
                                <a:ext cx="504825" cy="546100"/>
                              </a:xfrm>
                              <a:prstGeom prst="rect">
                                <a:avLst/>
                              </a:prstGeom>
                              <a:solidFill>
                                <a:srgbClr val="FFFFFF"/>
                              </a:solidFill>
                              <a:ln w="9525">
                                <a:solidFill>
                                  <a:srgbClr val="000000"/>
                                </a:solidFill>
                                <a:miter lim="800000"/>
                              </a:ln>
                            </wps:spPr>
                            <wps:txbx>
                              <w:txbxContent>
                                <w:p w14:paraId="377C95DF">
                                  <w:pPr>
                                    <w:jc w:val="center"/>
                                    <w:rPr>
                                      <w:rFonts w:hint="default"/>
                                      <w:lang w:val="en-US"/>
                                    </w:rPr>
                                  </w:pPr>
                                  <w:r>
                                    <w:rPr>
                                      <w:rFonts w:hint="eastAsia"/>
                                      <w:lang w:val="en-US" w:eastAsia="zh-CN"/>
                                    </w:rPr>
                                    <w:t>制水工序</w:t>
                                  </w:r>
                                </w:p>
                              </w:txbxContent>
                            </wps:txbx>
                            <wps:bodyPr rot="0" vert="horz" wrap="square" lIns="91440" tIns="45720" rIns="91440" bIns="45720" anchor="t" anchorCtr="0" upright="1">
                              <a:noAutofit/>
                            </wps:bodyPr>
                          </wps:wsp>
                        </a:graphicData>
                      </a:graphic>
                    </wp:anchor>
                  </w:drawing>
                </mc:Choice>
                <mc:Fallback>
                  <w:pict>
                    <v:shape id="Text Box 9" o:spid="_x0000_s1026" o:spt="202" type="#_x0000_t202" style="position:absolute;left:0pt;margin-left:75.15pt;margin-top:15.8pt;height:43pt;width:39.75pt;z-index:251708416;mso-width-relative:page;mso-height-relative:page;" fillcolor="#FFFFFF" filled="t" stroked="t" coordsize="21600,21600" o:gfxdata="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myQmnYAAAACgEAAA8AAAAAAAAAAQAgAAAAIgAAAGRycy9kb3ducmV2LnhtbFBL&#10;AQIUABQAAAAIAIdO4kCo1guCLwIAAIcEAAAOAAAAAAAAAAEAIAAAACcBAABkcnMvZTJvRG9jLnht&#10;bFBLBQYAAAAABgAGAFkBAADIBQAAAAA=&#10;">
                      <v:fill on="t" focussize="0,0"/>
                      <v:stroke color="#000000" miterlimit="8" joinstyle="miter"/>
                      <v:imagedata o:title=""/>
                      <o:lock v:ext="edit" aspectratio="f"/>
                      <v:textbox>
                        <w:txbxContent>
                          <w:p w14:paraId="377C95DF">
                            <w:pPr>
                              <w:jc w:val="center"/>
                              <w:rPr>
                                <w:rFonts w:hint="default"/>
                                <w:lang w:val="en-US"/>
                              </w:rPr>
                            </w:pPr>
                            <w:r>
                              <w:rPr>
                                <w:rFonts w:hint="eastAsia"/>
                                <w:lang w:val="en-US" w:eastAsia="zh-CN"/>
                              </w:rPr>
                              <w:t>制水工序</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-635</wp:posOffset>
                      </wp:positionH>
                      <wp:positionV relativeFrom="paragraph">
                        <wp:posOffset>42545</wp:posOffset>
                      </wp:positionV>
                      <wp:extent cx="568325" cy="875030"/>
                      <wp:effectExtent l="5080" t="4445" r="17145" b="15875"/>
                      <wp:wrapNone/>
                      <wp:docPr id="134" name="Text Box 3"/>
                      <wp:cNvGraphicFramePr/>
                      <a:graphic xmlns:a="http://schemas.openxmlformats.org/drawingml/2006/main">
                        <a:graphicData uri="http://schemas.microsoft.com/office/word/2010/wordprocessingShape">
                          <wps:wsp>
                            <wps:cNvSpPr txBox="1">
                              <a:spLocks noChangeArrowheads="1"/>
                            </wps:cNvSpPr>
                            <wps:spPr bwMode="auto">
                              <a:xfrm>
                                <a:off x="0" y="0"/>
                                <a:ext cx="568325" cy="875357"/>
                              </a:xfrm>
                              <a:prstGeom prst="rect">
                                <a:avLst/>
                              </a:prstGeom>
                              <a:solidFill>
                                <a:srgbClr val="FFFFFF"/>
                              </a:solidFill>
                              <a:ln w="9525">
                                <a:solidFill>
                                  <a:srgbClr val="000000"/>
                                </a:solidFill>
                                <a:prstDash val="dash"/>
                                <a:miter lim="800000"/>
                              </a:ln>
                            </wps:spPr>
                            <wps:txbx>
                              <w:txbxContent>
                                <w:p w14:paraId="0C0B43FF">
                                  <w:pPr>
                                    <w:jc w:val="left"/>
                                    <w:rPr>
                                      <w:rFonts w:hint="default" w:eastAsia="宋体"/>
                                      <w:b w:val="0"/>
                                      <w:bCs w:val="0"/>
                                      <w:color w:val="auto"/>
                                      <w:lang w:val="en-US" w:eastAsia="zh-CN"/>
                                    </w:rPr>
                                  </w:pPr>
                                  <w:r>
                                    <w:rPr>
                                      <w:rFonts w:hint="eastAsia"/>
                                      <w:b/>
                                      <w:bCs/>
                                      <w:lang w:val="en-US" w:eastAsia="zh-CN"/>
                                    </w:rPr>
                                    <w:t>原水</w:t>
                                  </w:r>
                                  <w:r>
                                    <w:rPr>
                                      <w:rFonts w:hint="eastAsia"/>
                                      <w:b/>
                                      <w:bCs/>
                                    </w:rPr>
                                    <w:t xml:space="preserve">带入 </w:t>
                                  </w:r>
                                  <w:r>
                                    <w:rPr>
                                      <w:rFonts w:hint="eastAsia" w:cs="Times New Roman"/>
                                      <w:b w:val="0"/>
                                      <w:bCs w:val="0"/>
                                      <w:color w:val="auto"/>
                                      <w:sz w:val="21"/>
                                      <w:szCs w:val="21"/>
                                      <w:lang w:val="en-US" w:eastAsia="zh-CN"/>
                                    </w:rPr>
                                    <w:t>192468.625</w:t>
                                  </w:r>
                                </w:p>
                              </w:txbxContent>
                            </wps:txbx>
                            <wps:bodyPr rot="0" vert="horz" wrap="square" lIns="91440" tIns="45720" rIns="91440" bIns="45720" anchor="t" anchorCtr="0" upright="1">
                              <a:noAutofit/>
                            </wps:bodyPr>
                          </wps:wsp>
                        </a:graphicData>
                      </a:graphic>
                    </wp:anchor>
                  </w:drawing>
                </mc:Choice>
                <mc:Fallback>
                  <w:pict>
                    <v:shape id="Text Box 3" o:spid="_x0000_s1026" o:spt="202" type="#_x0000_t202" style="position:absolute;left:0pt;margin-left:-0.05pt;margin-top:3.35pt;height:68.9pt;width:44.75pt;z-index:251705344;mso-width-relative:page;mso-height-relative:page;" fillcolor="#FFFFFF" filled="t" stroked="t" coordsize="21600,21600" o:gfxdata="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0befhdQAAAAGAQAADwAAAAAAAAABACAAAAAiAAAAZHJzL2Rvd25y&#10;ZXYueG1sUEsBAhQAFAAAAAgAh07iQPTVYuU7AgAAnwQAAA4AAAAAAAAAAQAgAAAAIwEAAGRycy9l&#10;Mm9Eb2MueG1sUEsFBgAAAAAGAAYAWQEAANAFAAAAAA==&#10;">
                      <v:fill on="t" focussize="0,0"/>
                      <v:stroke color="#000000" miterlimit="8" joinstyle="miter" dashstyle="dash"/>
                      <v:imagedata o:title=""/>
                      <o:lock v:ext="edit" aspectratio="f"/>
                      <v:textbox>
                        <w:txbxContent>
                          <w:p w14:paraId="0C0B43FF">
                            <w:pPr>
                              <w:jc w:val="left"/>
                              <w:rPr>
                                <w:rFonts w:hint="default" w:eastAsia="宋体"/>
                                <w:b w:val="0"/>
                                <w:bCs w:val="0"/>
                                <w:color w:val="auto"/>
                                <w:lang w:val="en-US" w:eastAsia="zh-CN"/>
                              </w:rPr>
                            </w:pPr>
                            <w:r>
                              <w:rPr>
                                <w:rFonts w:hint="eastAsia"/>
                                <w:b/>
                                <w:bCs/>
                                <w:lang w:val="en-US" w:eastAsia="zh-CN"/>
                              </w:rPr>
                              <w:t>原水</w:t>
                            </w:r>
                            <w:r>
                              <w:rPr>
                                <w:rFonts w:hint="eastAsia"/>
                                <w:b/>
                                <w:bCs/>
                              </w:rPr>
                              <w:t xml:space="preserve">带入 </w:t>
                            </w:r>
                            <w:r>
                              <w:rPr>
                                <w:rFonts w:hint="eastAsia" w:cs="Times New Roman"/>
                                <w:b w:val="0"/>
                                <w:bCs w:val="0"/>
                                <w:color w:val="auto"/>
                                <w:sz w:val="21"/>
                                <w:szCs w:val="21"/>
                                <w:lang w:val="en-US" w:eastAsia="zh-CN"/>
                              </w:rPr>
                              <w:t>192468.625</w:t>
                            </w:r>
                          </w:p>
                        </w:txbxContent>
                      </v:textbox>
                    </v:shape>
                  </w:pict>
                </mc:Fallback>
              </mc:AlternateContent>
            </w:r>
          </w:p>
          <w:p w14:paraId="22E09512">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mc:AlternateContent>
                <mc:Choice Requires="wps">
                  <w:drawing>
                    <wp:anchor distT="0" distB="0" distL="114300" distR="114300" simplePos="0" relativeHeight="251711488" behindDoc="0" locked="0" layoutInCell="1" allowOverlap="1">
                      <wp:simplePos x="0" y="0"/>
                      <wp:positionH relativeFrom="column">
                        <wp:posOffset>1464310</wp:posOffset>
                      </wp:positionH>
                      <wp:positionV relativeFrom="paragraph">
                        <wp:posOffset>178435</wp:posOffset>
                      </wp:positionV>
                      <wp:extent cx="401320" cy="0"/>
                      <wp:effectExtent l="0" t="38100" r="17780" b="38100"/>
                      <wp:wrapNone/>
                      <wp:docPr id="129" name="AutoShape 8"/>
                      <wp:cNvGraphicFramePr/>
                      <a:graphic xmlns:a="http://schemas.openxmlformats.org/drawingml/2006/main">
                        <a:graphicData uri="http://schemas.microsoft.com/office/word/2010/wordprocessingShape">
                          <wps:wsp>
                            <wps:cNvCnPr>
                              <a:cxnSpLocks noChangeShapeType="1"/>
                            </wps:cNvCnPr>
                            <wps:spPr bwMode="auto">
                              <a:xfrm>
                                <a:off x="0" y="0"/>
                                <a:ext cx="401320" cy="0"/>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margin-left:115.3pt;margin-top:14.05pt;height:0pt;width:31.6pt;z-index:251711488;mso-width-relative:page;mso-height-relative:page;" filled="f" stroked="t" coordsize="21600,21600" o:gfxdata="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qxkgLYAAAACQEAAA8AAAAAAAAAAQAgAAAAIgAAAGRycy9kb3ducmV2LnhtbFBLAQIUABQA&#10;AAAIAIdO4kDEurnq8AEAAOEDAAAOAAAAAAAAAAEAIAAAACcBAABkcnMvZTJvRG9jLnhtbFBLBQYA&#10;AAAABgAGAFkBAACJ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575310</wp:posOffset>
                      </wp:positionH>
                      <wp:positionV relativeFrom="paragraph">
                        <wp:posOffset>178435</wp:posOffset>
                      </wp:positionV>
                      <wp:extent cx="401320" cy="0"/>
                      <wp:effectExtent l="0" t="38100" r="17780" b="38100"/>
                      <wp:wrapNone/>
                      <wp:docPr id="177" name="AutoShape 8"/>
                      <wp:cNvGraphicFramePr/>
                      <a:graphic xmlns:a="http://schemas.openxmlformats.org/drawingml/2006/main">
                        <a:graphicData uri="http://schemas.microsoft.com/office/word/2010/wordprocessingShape">
                          <wps:wsp>
                            <wps:cNvCnPr>
                              <a:cxnSpLocks noChangeShapeType="1"/>
                            </wps:cNvCnPr>
                            <wps:spPr bwMode="auto">
                              <a:xfrm>
                                <a:off x="0" y="0"/>
                                <a:ext cx="401340" cy="0"/>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margin-left:45.3pt;margin-top:14.05pt;height:0pt;width:31.6pt;z-index:251706368;mso-width-relative:page;mso-height-relative:page;" filled="f" stroked="t" coordsize="21600,21600" o:gfxdata="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wemYvYAAAACAEAAA8AAAAAAAAAAQAgAAAAIgAAAGRycy9kb3ducmV2LnhtbFBLAQIUABQA&#10;AAAIAIdO4kBIeent8AEAAOEDAAAOAAAAAAAAAAEAIAAAACcBAABkcnMvZTJvRG9jLnhtbFBLBQYA&#10;AAAABgAGAFkBAACJBQAAAAA=&#10;">
                      <v:fill on="f" focussize="0,0"/>
                      <v:stroke color="#000000" joinstyle="round" endarrow="block"/>
                      <v:imagedata o:title=""/>
                      <o:lock v:ext="edit" aspectratio="f"/>
                    </v:shape>
                  </w:pict>
                </mc:Fallback>
              </mc:AlternateContent>
            </w:r>
          </w:p>
          <w:p w14:paraId="23E8B1F5">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mc:AlternateContent>
                <mc:Choice Requires="wps">
                  <w:drawing>
                    <wp:anchor distT="0" distB="0" distL="114300" distR="114300" simplePos="0" relativeHeight="251752448" behindDoc="0" locked="0" layoutInCell="1" allowOverlap="1">
                      <wp:simplePos x="0" y="0"/>
                      <wp:positionH relativeFrom="column">
                        <wp:posOffset>3981450</wp:posOffset>
                      </wp:positionH>
                      <wp:positionV relativeFrom="paragraph">
                        <wp:posOffset>85725</wp:posOffset>
                      </wp:positionV>
                      <wp:extent cx="1123950" cy="288925"/>
                      <wp:effectExtent l="0" t="0" r="0" b="0"/>
                      <wp:wrapNone/>
                      <wp:docPr id="195" name="Text Box 12"/>
                      <wp:cNvGraphicFramePr/>
                      <a:graphic xmlns:a="http://schemas.openxmlformats.org/drawingml/2006/main">
                        <a:graphicData uri="http://schemas.microsoft.com/office/word/2010/wordprocessingShape">
                          <wps:wsp>
                            <wps:cNvSpPr txBox="1">
                              <a:spLocks noChangeArrowheads="1"/>
                            </wps:cNvSpPr>
                            <wps:spPr bwMode="auto">
                              <a:xfrm>
                                <a:off x="0" y="0"/>
                                <a:ext cx="1123950" cy="288925"/>
                              </a:xfrm>
                              <a:prstGeom prst="rect">
                                <a:avLst/>
                              </a:prstGeom>
                              <a:noFill/>
                              <a:ln w="9525">
                                <a:noFill/>
                                <a:prstDash val="dash"/>
                                <a:miter lim="800000"/>
                              </a:ln>
                            </wps:spPr>
                            <wps:txbx>
                              <w:txbxContent>
                                <w:p w14:paraId="299F0D2F">
                                  <w:pPr>
                                    <w:rPr>
                                      <w:rFonts w:hint="default" w:eastAsia="宋体"/>
                                      <w:lang w:val="en-US" w:eastAsia="zh-CN"/>
                                    </w:rPr>
                                  </w:pPr>
                                  <w:r>
                                    <w:rPr>
                                      <w:rFonts w:hint="eastAsia"/>
                                      <w:lang w:val="en-US" w:eastAsia="zh-CN"/>
                                    </w:rPr>
                                    <w:t>上清液1428.5</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313.5pt;margin-top:6.75pt;height:22.75pt;width:88.5pt;z-index:251752448;mso-width-relative:page;mso-height-relative:page;" filled="f" stroked="f" coordsize="21600,21600" o:gfxdata="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eV8xtYAAAAJAQAADwAAAAAAAAABACAAAAAiAAAAZHJzL2Rvd25yZXYueG1sUEsBAhQAFAAAAAgA&#10;h07iQNfA1KonAgAATwQAAA4AAAAAAAAAAQAgAAAAJQEAAGRycy9lMm9Eb2MueG1sUEsFBgAAAAAG&#10;AAYAWQEAAL4FAAAAAA==&#10;">
                      <v:fill on="f" focussize="0,0"/>
                      <v:stroke on="f" miterlimit="8" joinstyle="miter" dashstyle="dash"/>
                      <v:imagedata o:title=""/>
                      <o:lock v:ext="edit" aspectratio="f"/>
                      <v:textbox>
                        <w:txbxContent>
                          <w:p w14:paraId="299F0D2F">
                            <w:pPr>
                              <w:rPr>
                                <w:rFonts w:hint="default" w:eastAsia="宋体"/>
                                <w:lang w:val="en-US" w:eastAsia="zh-CN"/>
                              </w:rPr>
                            </w:pPr>
                            <w:r>
                              <w:rPr>
                                <w:rFonts w:hint="eastAsia"/>
                                <w:lang w:val="en-US" w:eastAsia="zh-CN"/>
                              </w:rPr>
                              <w:t>上清液1428.5</w:t>
                            </w:r>
                          </w:p>
                        </w:txbxContent>
                      </v:textbox>
                    </v:shape>
                  </w:pict>
                </mc:Fallback>
              </mc:AlternateContent>
            </w:r>
            <w:r>
              <mc:AlternateContent>
                <mc:Choice Requires="wps">
                  <w:drawing>
                    <wp:anchor distT="0" distB="0" distL="114300" distR="114300" simplePos="0" relativeHeight="251747328" behindDoc="0" locked="0" layoutInCell="1" allowOverlap="1">
                      <wp:simplePos x="0" y="0"/>
                      <wp:positionH relativeFrom="column">
                        <wp:posOffset>1939925</wp:posOffset>
                      </wp:positionH>
                      <wp:positionV relativeFrom="paragraph">
                        <wp:posOffset>127635</wp:posOffset>
                      </wp:positionV>
                      <wp:extent cx="495935" cy="288925"/>
                      <wp:effectExtent l="0" t="0" r="0" b="0"/>
                      <wp:wrapNone/>
                      <wp:docPr id="190" name="Text Box 12"/>
                      <wp:cNvGraphicFramePr/>
                      <a:graphic xmlns:a="http://schemas.openxmlformats.org/drawingml/2006/main">
                        <a:graphicData uri="http://schemas.microsoft.com/office/word/2010/wordprocessingShape">
                          <wps:wsp>
                            <wps:cNvSpPr txBox="1">
                              <a:spLocks noChangeArrowheads="1"/>
                            </wps:cNvSpPr>
                            <wps:spPr bwMode="auto">
                              <a:xfrm>
                                <a:off x="0" y="0"/>
                                <a:ext cx="495935" cy="288925"/>
                              </a:xfrm>
                              <a:prstGeom prst="rect">
                                <a:avLst/>
                              </a:prstGeom>
                              <a:noFill/>
                              <a:ln w="9525">
                                <a:noFill/>
                                <a:prstDash val="dash"/>
                                <a:miter lim="800000"/>
                              </a:ln>
                            </wps:spPr>
                            <wps:txbx>
                              <w:txbxContent>
                                <w:p w14:paraId="0B54D750">
                                  <w:pPr>
                                    <w:rPr>
                                      <w:rFonts w:hint="default" w:eastAsia="宋体"/>
                                      <w:lang w:val="en-US" w:eastAsia="zh-CN"/>
                                    </w:rPr>
                                  </w:pPr>
                                  <w:r>
                                    <w:rPr>
                                      <w:rFonts w:hint="eastAsia"/>
                                      <w:lang w:val="en-US" w:eastAsia="zh-CN"/>
                                    </w:rPr>
                                    <w:t>6627</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152.75pt;margin-top:10.05pt;height:22.75pt;width:39.05pt;z-index:251747328;mso-width-relative:page;mso-height-relative:page;" filled="f" stroked="f" coordsize="21600,21600" o:gfxdata="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P6gQNYAAAAJAQAADwAAAAAAAAABACAAAAAiAAAAZHJzL2Rvd25yZXYueG1sUEsBAhQAFAAAAAgA&#10;h07iQNZrdcknAgAATgQAAA4AAAAAAAAAAQAgAAAAJQEAAGRycy9lMm9Eb2MueG1sUEsFBgAAAAAG&#10;AAYAWQEAAL4FAAAAAA==&#10;">
                      <v:fill on="f" focussize="0,0"/>
                      <v:stroke on="f" miterlimit="8" joinstyle="miter" dashstyle="dash"/>
                      <v:imagedata o:title=""/>
                      <o:lock v:ext="edit" aspectratio="f"/>
                      <v:textbox>
                        <w:txbxContent>
                          <w:p w14:paraId="0B54D750">
                            <w:pPr>
                              <w:rPr>
                                <w:rFonts w:hint="default" w:eastAsia="宋体"/>
                                <w:lang w:val="en-US" w:eastAsia="zh-CN"/>
                              </w:rPr>
                            </w:pPr>
                            <w:r>
                              <w:rPr>
                                <w:rFonts w:hint="eastAsia"/>
                                <w:lang w:val="en-US" w:eastAsia="zh-CN"/>
                              </w:rPr>
                              <w:t>6627</w:t>
                            </w:r>
                          </w:p>
                        </w:txbxContent>
                      </v:textbox>
                    </v:shape>
                  </w:pict>
                </mc:Fallback>
              </mc:AlternateContent>
            </w:r>
            <w:r>
              <mc:AlternateContent>
                <mc:Choice Requires="wps">
                  <w:drawing>
                    <wp:anchor distT="0" distB="0" distL="114300" distR="114300" simplePos="0" relativeHeight="251746304" behindDoc="0" locked="0" layoutInCell="1" allowOverlap="1">
                      <wp:simplePos x="0" y="0"/>
                      <wp:positionH relativeFrom="column">
                        <wp:posOffset>3045460</wp:posOffset>
                      </wp:positionH>
                      <wp:positionV relativeFrom="paragraph">
                        <wp:posOffset>111125</wp:posOffset>
                      </wp:positionV>
                      <wp:extent cx="495935" cy="288925"/>
                      <wp:effectExtent l="0" t="0" r="0" b="0"/>
                      <wp:wrapNone/>
                      <wp:docPr id="189" name="Text Box 12"/>
                      <wp:cNvGraphicFramePr/>
                      <a:graphic xmlns:a="http://schemas.openxmlformats.org/drawingml/2006/main">
                        <a:graphicData uri="http://schemas.microsoft.com/office/word/2010/wordprocessingShape">
                          <wps:wsp>
                            <wps:cNvSpPr txBox="1">
                              <a:spLocks noChangeArrowheads="1"/>
                            </wps:cNvSpPr>
                            <wps:spPr bwMode="auto">
                              <a:xfrm>
                                <a:off x="0" y="0"/>
                                <a:ext cx="495935" cy="288925"/>
                              </a:xfrm>
                              <a:prstGeom prst="rect">
                                <a:avLst/>
                              </a:prstGeom>
                              <a:noFill/>
                              <a:ln w="9525">
                                <a:noFill/>
                                <a:prstDash val="dash"/>
                                <a:miter lim="800000"/>
                              </a:ln>
                            </wps:spPr>
                            <wps:txbx>
                              <w:txbxContent>
                                <w:p w14:paraId="680C0EE8">
                                  <w:pPr>
                                    <w:rPr>
                                      <w:rFonts w:hint="default" w:eastAsia="宋体"/>
                                      <w:lang w:val="en-US" w:eastAsia="zh-CN"/>
                                    </w:rPr>
                                  </w:pPr>
                                  <w:r>
                                    <w:rPr>
                                      <w:rFonts w:hint="eastAsia"/>
                                      <w:lang w:val="en-US" w:eastAsia="zh-CN"/>
                                    </w:rPr>
                                    <w:t>6627</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239.8pt;margin-top:8.75pt;height:22.75pt;width:39.05pt;z-index:251746304;mso-width-relative:page;mso-height-relative:page;" filled="f" stroked="f" coordsize="21600,21600" o:gfxdata="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CP4PWAAAACQEAAA8AAAAAAAAAAQAgAAAAIgAAAGRycy9kb3ducmV2LnhtbFBLAQIUABQAAAAI&#10;AIdO4kAAk5B6KAIAAE4EAAAOAAAAAAAAAAEAIAAAACUBAABkcnMvZTJvRG9jLnhtbFBLBQYAAAAA&#10;BgAGAFkBAAC/BQAAAAA=&#10;">
                      <v:fill on="f" focussize="0,0"/>
                      <v:stroke on="f" miterlimit="8" joinstyle="miter" dashstyle="dash"/>
                      <v:imagedata o:title=""/>
                      <o:lock v:ext="edit" aspectratio="f"/>
                      <v:textbox>
                        <w:txbxContent>
                          <w:p w14:paraId="680C0EE8">
                            <w:pPr>
                              <w:rPr>
                                <w:rFonts w:hint="default" w:eastAsia="宋体"/>
                                <w:lang w:val="en-US" w:eastAsia="zh-CN"/>
                              </w:rPr>
                            </w:pPr>
                            <w:r>
                              <w:rPr>
                                <w:rFonts w:hint="eastAsia"/>
                                <w:lang w:val="en-US" w:eastAsia="zh-CN"/>
                              </w:rPr>
                              <w:t>6627</w:t>
                            </w:r>
                          </w:p>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3536315</wp:posOffset>
                      </wp:positionH>
                      <wp:positionV relativeFrom="paragraph">
                        <wp:posOffset>114300</wp:posOffset>
                      </wp:positionV>
                      <wp:extent cx="472440" cy="478790"/>
                      <wp:effectExtent l="4445" t="4445" r="18415" b="12065"/>
                      <wp:wrapNone/>
                      <wp:docPr id="138" name="Text Box 9"/>
                      <wp:cNvGraphicFramePr/>
                      <a:graphic xmlns:a="http://schemas.openxmlformats.org/drawingml/2006/main">
                        <a:graphicData uri="http://schemas.microsoft.com/office/word/2010/wordprocessingShape">
                          <wps:wsp>
                            <wps:cNvSpPr txBox="1">
                              <a:spLocks noChangeArrowheads="1"/>
                            </wps:cNvSpPr>
                            <wps:spPr bwMode="auto">
                              <a:xfrm>
                                <a:off x="0" y="0"/>
                                <a:ext cx="472440" cy="478790"/>
                              </a:xfrm>
                              <a:prstGeom prst="rect">
                                <a:avLst/>
                              </a:prstGeom>
                              <a:solidFill>
                                <a:srgbClr val="FFFFFF"/>
                              </a:solidFill>
                              <a:ln w="9525">
                                <a:solidFill>
                                  <a:srgbClr val="000000"/>
                                </a:solidFill>
                                <a:miter lim="800000"/>
                              </a:ln>
                            </wps:spPr>
                            <wps:txbx>
                              <w:txbxContent>
                                <w:p w14:paraId="5A975535">
                                  <w:pPr>
                                    <w:jc w:val="center"/>
                                    <w:rPr>
                                      <w:rFonts w:hint="default"/>
                                      <w:lang w:val="en-US"/>
                                    </w:rPr>
                                  </w:pPr>
                                  <w:r>
                                    <w:rPr>
                                      <w:rFonts w:hint="eastAsia"/>
                                      <w:lang w:val="en-US" w:eastAsia="zh-CN"/>
                                    </w:rPr>
                                    <w:t>回收水池</w:t>
                                  </w:r>
                                </w:p>
                              </w:txbxContent>
                            </wps:txbx>
                            <wps:bodyPr rot="0" vert="horz" wrap="square" lIns="91440" tIns="45720" rIns="91440" bIns="45720" anchor="t" anchorCtr="0" upright="1">
                              <a:noAutofit/>
                            </wps:bodyPr>
                          </wps:wsp>
                        </a:graphicData>
                      </a:graphic>
                    </wp:anchor>
                  </w:drawing>
                </mc:Choice>
                <mc:Fallback>
                  <w:pict>
                    <v:shape id="Text Box 9" o:spid="_x0000_s1026" o:spt="202" type="#_x0000_t202" style="position:absolute;left:0pt;margin-left:278.45pt;margin-top:9pt;height:37.7pt;width:37.2pt;z-index:251718656;mso-width-relative:page;mso-height-relative:page;" fillcolor="#FFFFFF" filled="t" stroked="t" coordsize="21600,21600" o:gfxdata="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VCe4rYAAAACQEAAA8AAAAAAAAAAQAgAAAAIgAAAGRycy9kb3ducmV2LnhtbFBL&#10;AQIUABQAAAAIAIdO4kC/q3AtLwIAAIcEAAAOAAAAAAAAAAEAIAAAACcBAABkcnMvZTJvRG9jLnht&#10;bFBLBQYAAAAABgAGAFkBAADIBQAAAAA=&#10;">
                      <v:fill on="t" focussize="0,0"/>
                      <v:stroke color="#000000" miterlimit="8" joinstyle="miter"/>
                      <v:imagedata o:title=""/>
                      <o:lock v:ext="edit" aspectratio="f"/>
                      <v:textbox>
                        <w:txbxContent>
                          <w:p w14:paraId="5A975535">
                            <w:pPr>
                              <w:jc w:val="center"/>
                              <w:rPr>
                                <w:rFonts w:hint="default"/>
                                <w:lang w:val="en-US"/>
                              </w:rPr>
                            </w:pPr>
                            <w:r>
                              <w:rPr>
                                <w:rFonts w:hint="eastAsia"/>
                                <w:lang w:val="en-US" w:eastAsia="zh-CN"/>
                              </w:rPr>
                              <w:t>回收水池</w:t>
                            </w:r>
                          </w:p>
                        </w:txbxContent>
                      </v:textbox>
                    </v:shap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2479675</wp:posOffset>
                      </wp:positionH>
                      <wp:positionV relativeFrom="paragraph">
                        <wp:posOffset>109855</wp:posOffset>
                      </wp:positionV>
                      <wp:extent cx="598805" cy="478790"/>
                      <wp:effectExtent l="4445" t="4445" r="6350" b="12065"/>
                      <wp:wrapNone/>
                      <wp:docPr id="132" name="Text Box 9"/>
                      <wp:cNvGraphicFramePr/>
                      <a:graphic xmlns:a="http://schemas.openxmlformats.org/drawingml/2006/main">
                        <a:graphicData uri="http://schemas.microsoft.com/office/word/2010/wordprocessingShape">
                          <wps:wsp>
                            <wps:cNvSpPr txBox="1">
                              <a:spLocks noChangeArrowheads="1"/>
                            </wps:cNvSpPr>
                            <wps:spPr bwMode="auto">
                              <a:xfrm>
                                <a:off x="0" y="0"/>
                                <a:ext cx="598805" cy="478790"/>
                              </a:xfrm>
                              <a:prstGeom prst="rect">
                                <a:avLst/>
                              </a:prstGeom>
                              <a:solidFill>
                                <a:srgbClr val="FFFFFF"/>
                              </a:solidFill>
                              <a:ln w="9525">
                                <a:solidFill>
                                  <a:srgbClr val="000000"/>
                                </a:solidFill>
                                <a:miter lim="800000"/>
                              </a:ln>
                            </wps:spPr>
                            <wps:txbx>
                              <w:txbxContent>
                                <w:p w14:paraId="0EAE9AD7">
                                  <w:pPr>
                                    <w:jc w:val="center"/>
                                    <w:rPr>
                                      <w:rFonts w:hint="eastAsia"/>
                                      <w:lang w:val="en-US" w:eastAsia="zh-CN"/>
                                    </w:rPr>
                                  </w:pPr>
                                  <w:r>
                                    <w:rPr>
                                      <w:rFonts w:hint="eastAsia"/>
                                      <w:lang w:val="en-US" w:eastAsia="zh-CN"/>
                                    </w:rPr>
                                    <w:t>滤池</w:t>
                                  </w:r>
                                </w:p>
                                <w:p w14:paraId="00A5492C">
                                  <w:pPr>
                                    <w:jc w:val="center"/>
                                    <w:rPr>
                                      <w:rFonts w:hint="default"/>
                                      <w:lang w:val="en-US"/>
                                    </w:rPr>
                                  </w:pPr>
                                  <w:r>
                                    <w:rPr>
                                      <w:rFonts w:hint="eastAsia"/>
                                      <w:lang w:val="en-US" w:eastAsia="zh-CN"/>
                                    </w:rPr>
                                    <w:t>反冲洗</w:t>
                                  </w:r>
                                </w:p>
                              </w:txbxContent>
                            </wps:txbx>
                            <wps:bodyPr rot="0" vert="horz" wrap="square" lIns="91440" tIns="45720" rIns="91440" bIns="45720" anchor="t" anchorCtr="0" upright="1">
                              <a:noAutofit/>
                            </wps:bodyPr>
                          </wps:wsp>
                        </a:graphicData>
                      </a:graphic>
                    </wp:anchor>
                  </w:drawing>
                </mc:Choice>
                <mc:Fallback>
                  <w:pict>
                    <v:shape id="Text Box 9" o:spid="_x0000_s1026" o:spt="202" type="#_x0000_t202" style="position:absolute;left:0pt;margin-left:195.25pt;margin-top:8.65pt;height:37.7pt;width:47.15pt;z-index:251715584;mso-width-relative:page;mso-height-relative:page;" fillcolor="#FFFFFF" filled="t" stroked="t" coordsize="21600,21600" o:gfxdata="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8IbHWNgAAAAJAQAADwAAAAAAAAABACAAAAAiAAAAZHJzL2Rvd25yZXYueG1s&#10;UEsBAhQAFAAAAAgAh07iQKhStPoxAgAAhwQAAA4AAAAAAAAAAQAgAAAAJwEAAGRycy9lMm9Eb2Mu&#10;eG1sUEsFBgAAAAAGAAYAWQEAAMoFAAAAAA==&#10;">
                      <v:fill on="t" focussize="0,0"/>
                      <v:stroke color="#000000" miterlimit="8" joinstyle="miter"/>
                      <v:imagedata o:title=""/>
                      <o:lock v:ext="edit" aspectratio="f"/>
                      <v:textbox>
                        <w:txbxContent>
                          <w:p w14:paraId="0EAE9AD7">
                            <w:pPr>
                              <w:jc w:val="center"/>
                              <w:rPr>
                                <w:rFonts w:hint="eastAsia"/>
                                <w:lang w:val="en-US" w:eastAsia="zh-CN"/>
                              </w:rPr>
                            </w:pPr>
                            <w:r>
                              <w:rPr>
                                <w:rFonts w:hint="eastAsia"/>
                                <w:lang w:val="en-US" w:eastAsia="zh-CN"/>
                              </w:rPr>
                              <w:t>滤池</w:t>
                            </w:r>
                          </w:p>
                          <w:p w14:paraId="00A5492C">
                            <w:pPr>
                              <w:jc w:val="center"/>
                              <w:rPr>
                                <w:rFonts w:hint="default"/>
                                <w:lang w:val="en-US"/>
                              </w:rPr>
                            </w:pPr>
                            <w:r>
                              <w:rPr>
                                <w:rFonts w:hint="eastAsia"/>
                                <w:lang w:val="en-US" w:eastAsia="zh-CN"/>
                              </w:rPr>
                              <w:t>反冲洗</w:t>
                            </w:r>
                          </w:p>
                        </w:txbxContent>
                      </v:textbox>
                    </v:shape>
                  </w:pict>
                </mc:Fallback>
              </mc:AlternateContent>
            </w:r>
          </w:p>
          <w:p w14:paraId="1D719A3D">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mc:AlternateContent>
                <mc:Choice Requires="wps">
                  <w:drawing>
                    <wp:anchor distT="0" distB="0" distL="114300" distR="114300" simplePos="0" relativeHeight="251748352" behindDoc="0" locked="0" layoutInCell="1" allowOverlap="1">
                      <wp:simplePos x="0" y="0"/>
                      <wp:positionH relativeFrom="column">
                        <wp:posOffset>4000500</wp:posOffset>
                      </wp:positionH>
                      <wp:positionV relativeFrom="paragraph">
                        <wp:posOffset>63500</wp:posOffset>
                      </wp:positionV>
                      <wp:extent cx="579120" cy="3175"/>
                      <wp:effectExtent l="0" t="37465" r="11430" b="35560"/>
                      <wp:wrapNone/>
                      <wp:docPr id="194" name="AutoShape 11"/>
                      <wp:cNvGraphicFramePr/>
                      <a:graphic xmlns:a="http://schemas.openxmlformats.org/drawingml/2006/main">
                        <a:graphicData uri="http://schemas.microsoft.com/office/word/2010/wordprocessingShape">
                          <wps:wsp>
                            <wps:cNvCnPr>
                              <a:cxnSpLocks noChangeShapeType="1"/>
                            </wps:cNvCnPr>
                            <wps:spPr bwMode="auto">
                              <a:xfrm flipH="1" flipV="1">
                                <a:off x="0" y="0"/>
                                <a:ext cx="579120" cy="3175"/>
                              </a:xfrm>
                              <a:prstGeom prst="straightConnector1">
                                <a:avLst/>
                              </a:prstGeom>
                              <a:noFill/>
                              <a:ln w="9525">
                                <a:solidFill>
                                  <a:srgbClr val="000000"/>
                                </a:solidFill>
                                <a:prstDash val="dash"/>
                                <a:round/>
                                <a:tailEnd type="triangle" w="med" len="med"/>
                              </a:ln>
                            </wps:spPr>
                            <wps:bodyPr/>
                          </wps:wsp>
                        </a:graphicData>
                      </a:graphic>
                    </wp:anchor>
                  </w:drawing>
                </mc:Choice>
                <mc:Fallback>
                  <w:pict>
                    <v:shape id="AutoShape 11" o:spid="_x0000_s1026" o:spt="32" type="#_x0000_t32" style="position:absolute;left:0pt;flip:x y;margin-left:315pt;margin-top:5pt;height:0.25pt;width:45.6pt;z-index:251748352;mso-width-relative:page;mso-height-relative:page;" filled="f" stroked="t" coordsize="21600,21600" o:gfxdata="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7wrDr2QAAAAkBAAAPAAAAAAAAAAEAIAAAACIA&#10;AABkcnMvZG93bnJldi54bWxQSwECFAAUAAAACACHTuJAygj2dggCAAARBAAADgAAAAAAAAABACAA&#10;AAAoAQAAZHJzL2Uyb0RvYy54bWxQSwUGAAAAAAYABgBZAQAAogUAAAAA&#10;">
                      <v:fill on="f" focussize="0,0"/>
                      <v:stroke color="#000000" joinstyle="round" dashstyle="dash" endarrow="block"/>
                      <v:imagedata o:title=""/>
                      <o:lock v:ext="edit" aspectratio="f"/>
                    </v:shape>
                  </w:pict>
                </mc:Fallback>
              </mc:AlternateContent>
            </w:r>
            <w:r>
              <mc:AlternateContent>
                <mc:Choice Requires="wps">
                  <w:drawing>
                    <wp:anchor distT="0" distB="0" distL="114300" distR="114300" simplePos="0" relativeHeight="251751424" behindDoc="0" locked="0" layoutInCell="1" allowOverlap="1">
                      <wp:simplePos x="0" y="0"/>
                      <wp:positionH relativeFrom="column">
                        <wp:posOffset>4587875</wp:posOffset>
                      </wp:positionH>
                      <wp:positionV relativeFrom="paragraph">
                        <wp:posOffset>59055</wp:posOffset>
                      </wp:positionV>
                      <wp:extent cx="4445" cy="515620"/>
                      <wp:effectExtent l="4445" t="0" r="10160" b="17780"/>
                      <wp:wrapNone/>
                      <wp:docPr id="193" name="AutoShape 11"/>
                      <wp:cNvGraphicFramePr/>
                      <a:graphic xmlns:a="http://schemas.openxmlformats.org/drawingml/2006/main">
                        <a:graphicData uri="http://schemas.microsoft.com/office/word/2010/wordprocessingShape">
                          <wps:wsp>
                            <wps:cNvCnPr>
                              <a:cxnSpLocks noChangeShapeType="1"/>
                            </wps:cNvCnPr>
                            <wps:spPr bwMode="auto">
                              <a:xfrm flipH="1" flipV="1">
                                <a:off x="0" y="0"/>
                                <a:ext cx="4445" cy="515620"/>
                              </a:xfrm>
                              <a:prstGeom prst="straightConnector1">
                                <a:avLst/>
                              </a:prstGeom>
                              <a:noFill/>
                              <a:ln w="9525">
                                <a:solidFill>
                                  <a:srgbClr val="000000"/>
                                </a:solidFill>
                                <a:prstDash val="dash"/>
                                <a:round/>
                                <a:tailEnd type="none" w="med" len="med"/>
                              </a:ln>
                            </wps:spPr>
                            <wps:bodyPr/>
                          </wps:wsp>
                        </a:graphicData>
                      </a:graphic>
                    </wp:anchor>
                  </w:drawing>
                </mc:Choice>
                <mc:Fallback>
                  <w:pict>
                    <v:shape id="AutoShape 11" o:spid="_x0000_s1026" o:spt="32" type="#_x0000_t32" style="position:absolute;left:0pt;flip:x y;margin-left:361.25pt;margin-top:4.65pt;height:40.6pt;width:0.35pt;z-index:251751424;mso-width-relative:page;mso-height-relative:page;" filled="f" stroked="t" coordsize="21600,21600" o:gfxdata="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DcXDKNcAAAAIAQAADwAAAAAAAAABACAAAAAiAAAA&#10;ZHJzL2Rvd25yZXYueG1sUEsBAhQAFAAAAAgAh07iQBEGxJoIAgAADQQAAA4AAAAAAAAAAQAgAAAA&#10;JgEAAGRycy9lMm9Eb2MueG1sUEsFBgAAAAAGAAYAWQEAAKAFAAAAAA==&#10;">
                      <v:fill on="f" focussize="0,0"/>
                      <v:stroke color="#000000" joinstyle="round" dashstyle="dash"/>
                      <v:imagedata o:title=""/>
                      <o:lock v:ext="edit" aspectratio="f"/>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3772535</wp:posOffset>
                      </wp:positionH>
                      <wp:positionV relativeFrom="paragraph">
                        <wp:posOffset>295910</wp:posOffset>
                      </wp:positionV>
                      <wp:extent cx="4445" cy="292100"/>
                      <wp:effectExtent l="34925" t="0" r="36830" b="12700"/>
                      <wp:wrapNone/>
                      <wp:docPr id="152" name="AutoShape 8"/>
                      <wp:cNvGraphicFramePr/>
                      <a:graphic xmlns:a="http://schemas.openxmlformats.org/drawingml/2006/main">
                        <a:graphicData uri="http://schemas.microsoft.com/office/word/2010/wordprocessingShape">
                          <wps:wsp>
                            <wps:cNvCnPr>
                              <a:cxnSpLocks noChangeShapeType="1"/>
                            </wps:cNvCnPr>
                            <wps:spPr bwMode="auto">
                              <a:xfrm>
                                <a:off x="0" y="0"/>
                                <a:ext cx="4445" cy="292100"/>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margin-left:297.05pt;margin-top:23.3pt;height:23pt;width:0.35pt;z-index:251722752;mso-width-relative:page;mso-height-relative:page;" filled="f" stroked="t" coordsize="21600,21600" o:gfxdata="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42hKGNkAAAAJAQAADwAAAAAAAAABACAAAAAiAAAAZHJzL2Rvd25yZXYueG1sUEsB&#10;AhQAFAAAAAgAh07iQAHyuCD0AQAA5AMAAA4AAAAAAAAAAQAgAAAAKAEAAGRycy9lMm9Eb2MueG1s&#10;UEsFBgAAAAAGAAYAWQEAAI4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3084830</wp:posOffset>
                      </wp:positionH>
                      <wp:positionV relativeFrom="paragraph">
                        <wp:posOffset>60325</wp:posOffset>
                      </wp:positionV>
                      <wp:extent cx="447675" cy="1905"/>
                      <wp:effectExtent l="0" t="37465" r="9525" b="36830"/>
                      <wp:wrapNone/>
                      <wp:docPr id="137" name="AutoShape 8"/>
                      <wp:cNvGraphicFramePr/>
                      <a:graphic xmlns:a="http://schemas.openxmlformats.org/drawingml/2006/main">
                        <a:graphicData uri="http://schemas.microsoft.com/office/word/2010/wordprocessingShape">
                          <wps:wsp>
                            <wps:cNvCnPr>
                              <a:cxnSpLocks noChangeShapeType="1"/>
                            </wps:cNvCnPr>
                            <wps:spPr bwMode="auto">
                              <a:xfrm flipV="1">
                                <a:off x="0" y="0"/>
                                <a:ext cx="447675" cy="1905"/>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flip:y;margin-left:242.9pt;margin-top:4.75pt;height:0.15pt;width:35.25pt;z-index:251717632;mso-width-relative:page;mso-height-relative:page;" filled="f" stroked="t" coordsize="21600,21600" o:gfxdata="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OzpLv1gAAAAcBAAAPAAAAAAAAAAEAIAAAACIAAABkcnMvZG93bnJldi54bWxQ&#10;SwECFAAUAAAACACHTuJAcBJW2fkBAADuAwAADgAAAAAAAAABACAAAAAlAQAAZHJzL2Uyb0RvYy54&#10;bWxQSwUGAAAAAAYABgBZAQAAk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1873885</wp:posOffset>
                      </wp:positionH>
                      <wp:positionV relativeFrom="paragraph">
                        <wp:posOffset>55245</wp:posOffset>
                      </wp:positionV>
                      <wp:extent cx="616585" cy="2540"/>
                      <wp:effectExtent l="0" t="38100" r="12065" b="35560"/>
                      <wp:wrapNone/>
                      <wp:docPr id="131" name="AutoShape 8"/>
                      <wp:cNvGraphicFramePr/>
                      <a:graphic xmlns:a="http://schemas.openxmlformats.org/drawingml/2006/main">
                        <a:graphicData uri="http://schemas.microsoft.com/office/word/2010/wordprocessingShape">
                          <wps:wsp>
                            <wps:cNvCnPr>
                              <a:cxnSpLocks noChangeShapeType="1"/>
                            </wps:cNvCnPr>
                            <wps:spPr bwMode="auto">
                              <a:xfrm flipV="1">
                                <a:off x="0" y="0"/>
                                <a:ext cx="616585" cy="2540"/>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flip:y;margin-left:147.55pt;margin-top:4.35pt;height:0.2pt;width:48.55pt;z-index:251714560;mso-width-relative:page;mso-height-relative:page;" filled="f" stroked="t" coordsize="21600,21600" o:gfxdata="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dq1AdcAAAAHAQAADwAAAAAAAAABACAAAAAiAAAAZHJzL2Rvd25yZXYueG1s&#10;UEsBAhQAFAAAAAgAh07iQJJHLtT5AQAA7gMAAA4AAAAAAAAAAQAgAAAAJgEAAGRycy9lMm9Eb2Mu&#10;eG1sUEsFBgAAAAAGAAYAWQEAAJEFAAAAAA==&#10;">
                      <v:fill on="f" focussize="0,0"/>
                      <v:stroke color="#000000" joinstyle="round" endarrow="block"/>
                      <v:imagedata o:title=""/>
                      <o:lock v:ext="edit" aspectratio="f"/>
                    </v:shape>
                  </w:pict>
                </mc:Fallback>
              </mc:AlternateContent>
            </w:r>
          </w:p>
          <w:p w14:paraId="18092091">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mc:AlternateContent>
                <mc:Choice Requires="wps">
                  <w:drawing>
                    <wp:anchor distT="0" distB="0" distL="114300" distR="114300" simplePos="0" relativeHeight="251750400" behindDoc="0" locked="0" layoutInCell="1" allowOverlap="1">
                      <wp:simplePos x="0" y="0"/>
                      <wp:positionH relativeFrom="column">
                        <wp:posOffset>3937000</wp:posOffset>
                      </wp:positionH>
                      <wp:positionV relativeFrom="paragraph">
                        <wp:posOffset>296545</wp:posOffset>
                      </wp:positionV>
                      <wp:extent cx="501650" cy="288925"/>
                      <wp:effectExtent l="0" t="0" r="0" b="0"/>
                      <wp:wrapNone/>
                      <wp:docPr id="192" name="Text Box 12"/>
                      <wp:cNvGraphicFramePr/>
                      <a:graphic xmlns:a="http://schemas.openxmlformats.org/drawingml/2006/main">
                        <a:graphicData uri="http://schemas.microsoft.com/office/word/2010/wordprocessingShape">
                          <wps:wsp>
                            <wps:cNvSpPr txBox="1">
                              <a:spLocks noChangeArrowheads="1"/>
                            </wps:cNvSpPr>
                            <wps:spPr bwMode="auto">
                              <a:xfrm>
                                <a:off x="0" y="0"/>
                                <a:ext cx="501650" cy="288925"/>
                              </a:xfrm>
                              <a:prstGeom prst="rect">
                                <a:avLst/>
                              </a:prstGeom>
                              <a:noFill/>
                              <a:ln w="9525">
                                <a:noFill/>
                                <a:prstDash val="dash"/>
                                <a:miter lim="800000"/>
                              </a:ln>
                            </wps:spPr>
                            <wps:txbx>
                              <w:txbxContent>
                                <w:p w14:paraId="6A269593">
                                  <w:pPr>
                                    <w:rPr>
                                      <w:rFonts w:hint="default" w:eastAsia="宋体"/>
                                      <w:lang w:val="en-US" w:eastAsia="zh-CN"/>
                                    </w:rPr>
                                  </w:pPr>
                                  <w:r>
                                    <w:rPr>
                                      <w:rFonts w:hint="eastAsia"/>
                                      <w:lang w:val="en-US" w:eastAsia="zh-CN"/>
                                    </w:rPr>
                                    <w:t>1989</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310pt;margin-top:23.35pt;height:22.75pt;width:39.5pt;z-index:251750400;mso-width-relative:page;mso-height-relative:page;" filled="f" stroked="f" coordsize="21600,21600" o:gfxdata="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T&#10;55jU1QAAAAkBAAAPAAAAAAAAAAEAIAAAACIAAABkcnMvZG93bnJldi54bWxQSwECFAAUAAAACACH&#10;TuJAm6iaMicCAABOBAAADgAAAAAAAAABACAAAAAkAQAAZHJzL2Uyb0RvYy54bWxQSwUGAAAAAAYA&#10;BgBZAQAAvQUAAAAA&#10;">
                      <v:fill on="f" focussize="0,0"/>
                      <v:stroke on="f" miterlimit="8" joinstyle="miter" dashstyle="dash"/>
                      <v:imagedata o:title=""/>
                      <o:lock v:ext="edit" aspectratio="f"/>
                      <v:textbox>
                        <w:txbxContent>
                          <w:p w14:paraId="6A269593">
                            <w:pPr>
                              <w:rPr>
                                <w:rFonts w:hint="default" w:eastAsia="宋体"/>
                                <w:lang w:val="en-US" w:eastAsia="zh-CN"/>
                              </w:rPr>
                            </w:pPr>
                            <w:r>
                              <w:rPr>
                                <w:rFonts w:hint="eastAsia"/>
                                <w:lang w:val="en-US" w:eastAsia="zh-CN"/>
                              </w:rPr>
                              <w:t>1989</w:t>
                            </w:r>
                          </w:p>
                        </w:txbxContent>
                      </v:textbox>
                    </v:shape>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3009900</wp:posOffset>
                      </wp:positionH>
                      <wp:positionV relativeFrom="paragraph">
                        <wp:posOffset>1905</wp:posOffset>
                      </wp:positionV>
                      <wp:extent cx="1123950" cy="288925"/>
                      <wp:effectExtent l="0" t="0" r="0" b="0"/>
                      <wp:wrapNone/>
                      <wp:docPr id="153" name="Text Box 12"/>
                      <wp:cNvGraphicFramePr/>
                      <a:graphic xmlns:a="http://schemas.openxmlformats.org/drawingml/2006/main">
                        <a:graphicData uri="http://schemas.microsoft.com/office/word/2010/wordprocessingShape">
                          <wps:wsp>
                            <wps:cNvSpPr txBox="1">
                              <a:spLocks noChangeArrowheads="1"/>
                            </wps:cNvSpPr>
                            <wps:spPr bwMode="auto">
                              <a:xfrm>
                                <a:off x="0" y="0"/>
                                <a:ext cx="1123950" cy="288925"/>
                              </a:xfrm>
                              <a:prstGeom prst="rect">
                                <a:avLst/>
                              </a:prstGeom>
                              <a:noFill/>
                              <a:ln w="9525">
                                <a:noFill/>
                                <a:prstDash val="dash"/>
                                <a:miter lim="800000"/>
                              </a:ln>
                            </wps:spPr>
                            <wps:txbx>
                              <w:txbxContent>
                                <w:p w14:paraId="24128DA7">
                                  <w:pPr>
                                    <w:rPr>
                                      <w:rFonts w:hint="default" w:eastAsia="宋体"/>
                                      <w:lang w:val="en-US" w:eastAsia="zh-CN"/>
                                    </w:rPr>
                                  </w:pPr>
                                  <w:r>
                                    <w:rPr>
                                      <w:rFonts w:hint="eastAsia"/>
                                      <w:lang w:val="en-US" w:eastAsia="zh-CN"/>
                                    </w:rPr>
                                    <w:t>底部排泥渣332</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237pt;margin-top:0.15pt;height:22.75pt;width:88.5pt;z-index:251723776;mso-width-relative:page;mso-height-relative:page;" filled="f" stroked="f" coordsize="21600,21600" o:gfxdata="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5&#10;Yi3a1AAAAAcBAAAPAAAAAAAAAAEAIAAAACIAAABkcnMvZG93bnJldi54bWxQSwECFAAUAAAACACH&#10;TuJANLAYbygCAABPBAAADgAAAAAAAAABACAAAAAjAQAAZHJzL2Uyb0RvYy54bWxQSwUGAAAAAAYA&#10;BgBZAQAAvQUAAAAA&#10;">
                      <v:fill on="f" focussize="0,0"/>
                      <v:stroke on="f" miterlimit="8" joinstyle="miter" dashstyle="dash"/>
                      <v:imagedata o:title=""/>
                      <o:lock v:ext="edit" aspectratio="f"/>
                      <v:textbox>
                        <w:txbxContent>
                          <w:p w14:paraId="24128DA7">
                            <w:pPr>
                              <w:rPr>
                                <w:rFonts w:hint="default" w:eastAsia="宋体"/>
                                <w:lang w:val="en-US" w:eastAsia="zh-CN"/>
                              </w:rPr>
                            </w:pPr>
                            <w:r>
                              <w:rPr>
                                <w:rFonts w:hint="eastAsia"/>
                                <w:lang w:val="en-US" w:eastAsia="zh-CN"/>
                              </w:rPr>
                              <w:t>底部排泥渣332</w:t>
                            </w:r>
                          </w:p>
                        </w:txbxContent>
                      </v:textbox>
                    </v:shape>
                  </w:pict>
                </mc:Fallback>
              </mc:AlternateContent>
            </w:r>
            <w:r>
              <mc:AlternateContent>
                <mc:Choice Requires="wps">
                  <w:drawing>
                    <wp:anchor distT="0" distB="0" distL="114300" distR="114300" simplePos="0" relativeHeight="251749376" behindDoc="0" locked="0" layoutInCell="1" allowOverlap="1">
                      <wp:simplePos x="0" y="0"/>
                      <wp:positionH relativeFrom="column">
                        <wp:posOffset>1923415</wp:posOffset>
                      </wp:positionH>
                      <wp:positionV relativeFrom="paragraph">
                        <wp:posOffset>262255</wp:posOffset>
                      </wp:positionV>
                      <wp:extent cx="495935" cy="288925"/>
                      <wp:effectExtent l="0" t="0" r="0" b="0"/>
                      <wp:wrapNone/>
                      <wp:docPr id="191" name="Text Box 12"/>
                      <wp:cNvGraphicFramePr/>
                      <a:graphic xmlns:a="http://schemas.openxmlformats.org/drawingml/2006/main">
                        <a:graphicData uri="http://schemas.microsoft.com/office/word/2010/wordprocessingShape">
                          <wps:wsp>
                            <wps:cNvSpPr txBox="1">
                              <a:spLocks noChangeArrowheads="1"/>
                            </wps:cNvSpPr>
                            <wps:spPr bwMode="auto">
                              <a:xfrm>
                                <a:off x="0" y="0"/>
                                <a:ext cx="495935" cy="288925"/>
                              </a:xfrm>
                              <a:prstGeom prst="rect">
                                <a:avLst/>
                              </a:prstGeom>
                              <a:noFill/>
                              <a:ln w="9525">
                                <a:noFill/>
                                <a:prstDash val="dash"/>
                                <a:miter lim="800000"/>
                              </a:ln>
                            </wps:spPr>
                            <wps:txbx>
                              <w:txbxContent>
                                <w:p w14:paraId="3C430278">
                                  <w:pPr>
                                    <w:rPr>
                                      <w:rFonts w:hint="default" w:eastAsia="宋体"/>
                                      <w:lang w:val="en-US" w:eastAsia="zh-CN"/>
                                    </w:rPr>
                                  </w:pPr>
                                  <w:r>
                                    <w:rPr>
                                      <w:rFonts w:hint="eastAsia"/>
                                      <w:lang w:val="en-US" w:eastAsia="zh-CN"/>
                                    </w:rPr>
                                    <w:t>1657</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151.45pt;margin-top:20.65pt;height:22.75pt;width:39.05pt;z-index:251749376;mso-width-relative:page;mso-height-relative:page;" filled="f" stroked="f" coordsize="21600,21600" o:gfxdata="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BHqQPWAAAACQEAAA8AAAAAAAAAAQAgAAAAIgAAAGRycy9kb3ducmV2LnhtbFBLAQIUABQAAAAI&#10;AIdO4kD1cjlBKAIAAE4EAAAOAAAAAAAAAAEAIAAAACUBAABkcnMvZTJvRG9jLnhtbFBLBQYAAAAA&#10;BgAGAFkBAAC/BQAAAAA=&#10;">
                      <v:fill on="f" focussize="0,0"/>
                      <v:stroke on="f" miterlimit="8" joinstyle="miter" dashstyle="dash"/>
                      <v:imagedata o:title=""/>
                      <o:lock v:ext="edit" aspectratio="f"/>
                      <v:textbox>
                        <w:txbxContent>
                          <w:p w14:paraId="3C430278">
                            <w:pPr>
                              <w:rPr>
                                <w:rFonts w:hint="default" w:eastAsia="宋体"/>
                                <w:lang w:val="en-US" w:eastAsia="zh-CN"/>
                              </w:rPr>
                            </w:pPr>
                            <w:r>
                              <w:rPr>
                                <w:rFonts w:hint="eastAsia"/>
                                <w:lang w:val="en-US" w:eastAsia="zh-CN"/>
                              </w:rPr>
                              <w:t>1657</w:t>
                            </w:r>
                          </w:p>
                        </w:txbxContent>
                      </v:textbox>
                    </v:shape>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4373245</wp:posOffset>
                      </wp:positionH>
                      <wp:positionV relativeFrom="paragraph">
                        <wp:posOffset>288925</wp:posOffset>
                      </wp:positionV>
                      <wp:extent cx="472440" cy="478790"/>
                      <wp:effectExtent l="4445" t="4445" r="18415" b="12065"/>
                      <wp:wrapNone/>
                      <wp:docPr id="165" name="Text Box 9"/>
                      <wp:cNvGraphicFramePr/>
                      <a:graphic xmlns:a="http://schemas.openxmlformats.org/drawingml/2006/main">
                        <a:graphicData uri="http://schemas.microsoft.com/office/word/2010/wordprocessingShape">
                          <wps:wsp>
                            <wps:cNvSpPr txBox="1">
                              <a:spLocks noChangeArrowheads="1"/>
                            </wps:cNvSpPr>
                            <wps:spPr bwMode="auto">
                              <a:xfrm>
                                <a:off x="0" y="0"/>
                                <a:ext cx="472440" cy="478790"/>
                              </a:xfrm>
                              <a:prstGeom prst="rect">
                                <a:avLst/>
                              </a:prstGeom>
                              <a:solidFill>
                                <a:srgbClr val="FFFFFF"/>
                              </a:solidFill>
                              <a:ln w="9525">
                                <a:solidFill>
                                  <a:srgbClr val="000000"/>
                                </a:solidFill>
                                <a:miter lim="800000"/>
                              </a:ln>
                            </wps:spPr>
                            <wps:txbx>
                              <w:txbxContent>
                                <w:p w14:paraId="60445187">
                                  <w:pPr>
                                    <w:jc w:val="center"/>
                                    <w:rPr>
                                      <w:rFonts w:hint="default"/>
                                      <w:lang w:val="en-US"/>
                                    </w:rPr>
                                  </w:pPr>
                                  <w:r>
                                    <w:rPr>
                                      <w:rFonts w:hint="eastAsia"/>
                                      <w:lang w:val="en-US" w:eastAsia="zh-CN"/>
                                    </w:rPr>
                                    <w:t>污泥浓缩</w:t>
                                  </w:r>
                                </w:p>
                              </w:txbxContent>
                            </wps:txbx>
                            <wps:bodyPr rot="0" vert="horz" wrap="square" lIns="91440" tIns="45720" rIns="91440" bIns="45720" anchor="t" anchorCtr="0" upright="1">
                              <a:noAutofit/>
                            </wps:bodyPr>
                          </wps:wsp>
                        </a:graphicData>
                      </a:graphic>
                    </wp:anchor>
                  </w:drawing>
                </mc:Choice>
                <mc:Fallback>
                  <w:pict>
                    <v:shape id="Text Box 9" o:spid="_x0000_s1026" o:spt="202" type="#_x0000_t202" style="position:absolute;left:0pt;margin-left:344.35pt;margin-top:22.75pt;height:37.7pt;width:37.2pt;z-index:251727872;mso-width-relative:page;mso-height-relative:page;" fillcolor="#FFFFFF" filled="t" stroked="t" coordsize="21600,21600" o:gfxdata="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9kc0toAAAAKAQAADwAAAAAAAAABACAAAAAiAAAAZHJzL2Rvd25yZXYueG1s&#10;UEsBAhQAFAAAAAgAh07iQN9xWIcvAgAAhwQAAA4AAAAAAAAAAQAgAAAAKQEAAGRycy9lMm9Eb2Mu&#10;eG1sUEsFBgAAAAAGAAYAWQEAAMoFAAAAAA==&#10;">
                      <v:fill on="t" focussize="0,0"/>
                      <v:stroke color="#000000" miterlimit="8" joinstyle="miter"/>
                      <v:imagedata o:title=""/>
                      <o:lock v:ext="edit" aspectratio="f"/>
                      <v:textbox>
                        <w:txbxContent>
                          <w:p w14:paraId="60445187">
                            <w:pPr>
                              <w:jc w:val="center"/>
                              <w:rPr>
                                <w:rFonts w:hint="default"/>
                                <w:lang w:val="en-US"/>
                              </w:rPr>
                            </w:pPr>
                            <w:r>
                              <w:rPr>
                                <w:rFonts w:hint="eastAsia"/>
                                <w:lang w:val="en-US" w:eastAsia="zh-CN"/>
                              </w:rPr>
                              <w:t>污泥浓缩</w:t>
                            </w:r>
                          </w:p>
                        </w:txbxContent>
                      </v:textbox>
                    </v:shap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2502535</wp:posOffset>
                      </wp:positionH>
                      <wp:positionV relativeFrom="paragraph">
                        <wp:posOffset>286385</wp:posOffset>
                      </wp:positionV>
                      <wp:extent cx="598805" cy="478790"/>
                      <wp:effectExtent l="4445" t="4445" r="6350" b="12065"/>
                      <wp:wrapNone/>
                      <wp:docPr id="140" name="Text Box 9"/>
                      <wp:cNvGraphicFramePr/>
                      <a:graphic xmlns:a="http://schemas.openxmlformats.org/drawingml/2006/main">
                        <a:graphicData uri="http://schemas.microsoft.com/office/word/2010/wordprocessingShape">
                          <wps:wsp>
                            <wps:cNvSpPr txBox="1">
                              <a:spLocks noChangeArrowheads="1"/>
                            </wps:cNvSpPr>
                            <wps:spPr bwMode="auto">
                              <a:xfrm>
                                <a:off x="0" y="0"/>
                                <a:ext cx="598805" cy="478790"/>
                              </a:xfrm>
                              <a:prstGeom prst="rect">
                                <a:avLst/>
                              </a:prstGeom>
                              <a:solidFill>
                                <a:srgbClr val="FFFFFF"/>
                              </a:solidFill>
                              <a:ln w="9525">
                                <a:solidFill>
                                  <a:srgbClr val="000000"/>
                                </a:solidFill>
                                <a:miter lim="800000"/>
                              </a:ln>
                            </wps:spPr>
                            <wps:txbx>
                              <w:txbxContent>
                                <w:p w14:paraId="2BA41F7B">
                                  <w:pPr>
                                    <w:jc w:val="center"/>
                                    <w:rPr>
                                      <w:rFonts w:hint="eastAsia"/>
                                      <w:lang w:val="en-US" w:eastAsia="zh-CN"/>
                                    </w:rPr>
                                  </w:pPr>
                                  <w:r>
                                    <w:rPr>
                                      <w:rFonts w:hint="eastAsia"/>
                                      <w:lang w:val="en-US" w:eastAsia="zh-CN"/>
                                    </w:rPr>
                                    <w:t>沉淀池</w:t>
                                  </w:r>
                                </w:p>
                                <w:p w14:paraId="65B4B378">
                                  <w:pPr>
                                    <w:jc w:val="center"/>
                                    <w:rPr>
                                      <w:rFonts w:hint="default"/>
                                      <w:lang w:val="en-US"/>
                                    </w:rPr>
                                  </w:pPr>
                                  <w:r>
                                    <w:rPr>
                                      <w:rFonts w:hint="eastAsia"/>
                                      <w:lang w:val="en-US" w:eastAsia="zh-CN"/>
                                    </w:rPr>
                                    <w:t>排泥水</w:t>
                                  </w:r>
                                </w:p>
                              </w:txbxContent>
                            </wps:txbx>
                            <wps:bodyPr rot="0" vert="horz" wrap="square" lIns="91440" tIns="45720" rIns="91440" bIns="45720" anchor="t" anchorCtr="0" upright="1">
                              <a:noAutofit/>
                            </wps:bodyPr>
                          </wps:wsp>
                        </a:graphicData>
                      </a:graphic>
                    </wp:anchor>
                  </w:drawing>
                </mc:Choice>
                <mc:Fallback>
                  <w:pict>
                    <v:shape id="Text Box 9" o:spid="_x0000_s1026" o:spt="202" type="#_x0000_t202" style="position:absolute;left:0pt;margin-left:197.05pt;margin-top:22.55pt;height:37.7pt;width:47.15pt;z-index:251719680;mso-width-relative:page;mso-height-relative:page;" fillcolor="#FFFFFF" filled="t" stroked="t" coordsize="21600,21600" o:gfxdata="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kRMQ9kAAAAKAQAADwAAAAAAAAABACAAAAAiAAAAZHJzL2Rvd25yZXYueG1s&#10;UEsBAhQAFAAAAAgAh07iQAEdFjswAgAAhwQAAA4AAAAAAAAAAQAgAAAAKAEAAGRycy9lMm9Eb2Mu&#10;eG1sUEsFBgAAAAAGAAYAWQEAAMoFAAAAAA==&#10;">
                      <v:fill on="t" focussize="0,0"/>
                      <v:stroke color="#000000" miterlimit="8" joinstyle="miter"/>
                      <v:imagedata o:title=""/>
                      <o:lock v:ext="edit" aspectratio="f"/>
                      <v:textbox>
                        <w:txbxContent>
                          <w:p w14:paraId="2BA41F7B">
                            <w:pPr>
                              <w:jc w:val="center"/>
                              <w:rPr>
                                <w:rFonts w:hint="eastAsia"/>
                                <w:lang w:val="en-US" w:eastAsia="zh-CN"/>
                              </w:rPr>
                            </w:pPr>
                            <w:r>
                              <w:rPr>
                                <w:rFonts w:hint="eastAsia"/>
                                <w:lang w:val="en-US" w:eastAsia="zh-CN"/>
                              </w:rPr>
                              <w:t>沉淀池</w:t>
                            </w:r>
                          </w:p>
                          <w:p w14:paraId="65B4B378">
                            <w:pPr>
                              <w:jc w:val="center"/>
                              <w:rPr>
                                <w:rFonts w:hint="default"/>
                                <w:lang w:val="en-US"/>
                              </w:rPr>
                            </w:pPr>
                            <w:r>
                              <w:rPr>
                                <w:rFonts w:hint="eastAsia"/>
                                <w:lang w:val="en-US" w:eastAsia="zh-CN"/>
                              </w:rPr>
                              <w:t>排泥水</w:t>
                            </w:r>
                          </w:p>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3540760</wp:posOffset>
                      </wp:positionH>
                      <wp:positionV relativeFrom="paragraph">
                        <wp:posOffset>290830</wp:posOffset>
                      </wp:positionV>
                      <wp:extent cx="472440" cy="478790"/>
                      <wp:effectExtent l="4445" t="4445" r="18415" b="12065"/>
                      <wp:wrapNone/>
                      <wp:docPr id="141" name="Text Box 9"/>
                      <wp:cNvGraphicFramePr/>
                      <a:graphic xmlns:a="http://schemas.openxmlformats.org/drawingml/2006/main">
                        <a:graphicData uri="http://schemas.microsoft.com/office/word/2010/wordprocessingShape">
                          <wps:wsp>
                            <wps:cNvSpPr txBox="1">
                              <a:spLocks noChangeArrowheads="1"/>
                            </wps:cNvSpPr>
                            <wps:spPr bwMode="auto">
                              <a:xfrm>
                                <a:off x="0" y="0"/>
                                <a:ext cx="472440" cy="478790"/>
                              </a:xfrm>
                              <a:prstGeom prst="rect">
                                <a:avLst/>
                              </a:prstGeom>
                              <a:solidFill>
                                <a:srgbClr val="FFFFFF"/>
                              </a:solidFill>
                              <a:ln w="9525">
                                <a:solidFill>
                                  <a:srgbClr val="000000"/>
                                </a:solidFill>
                                <a:miter lim="800000"/>
                              </a:ln>
                            </wps:spPr>
                            <wps:txbx>
                              <w:txbxContent>
                                <w:p w14:paraId="7B5C4CD4">
                                  <w:pPr>
                                    <w:jc w:val="center"/>
                                    <w:rPr>
                                      <w:rFonts w:hint="default"/>
                                      <w:lang w:val="en-US"/>
                                    </w:rPr>
                                  </w:pPr>
                                  <w:r>
                                    <w:rPr>
                                      <w:rFonts w:hint="eastAsia"/>
                                      <w:lang w:val="en-US" w:eastAsia="zh-CN"/>
                                    </w:rPr>
                                    <w:t>排泥水池</w:t>
                                  </w:r>
                                </w:p>
                              </w:txbxContent>
                            </wps:txbx>
                            <wps:bodyPr rot="0" vert="horz" wrap="square" lIns="91440" tIns="45720" rIns="91440" bIns="45720" anchor="t" anchorCtr="0" upright="1">
                              <a:noAutofit/>
                            </wps:bodyPr>
                          </wps:wsp>
                        </a:graphicData>
                      </a:graphic>
                    </wp:anchor>
                  </w:drawing>
                </mc:Choice>
                <mc:Fallback>
                  <w:pict>
                    <v:shape id="Text Box 9" o:spid="_x0000_s1026" o:spt="202" type="#_x0000_t202" style="position:absolute;left:0pt;margin-left:278.8pt;margin-top:22.9pt;height:37.7pt;width:37.2pt;z-index:251720704;mso-width-relative:page;mso-height-relative:page;" fillcolor="#FFFFFF" filled="t" stroked="t" coordsize="21600,21600" o:gfxdata="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7SB5t2QAAAAoBAAAPAAAAAAAAAAEAIAAAACIAAABkcnMvZG93bnJldi54bWxQ&#10;SwECFAAUAAAACACHTuJA4n5mtC8CAACHBAAADgAAAAAAAAABACAAAAAoAQAAZHJzL2Uyb0RvYy54&#10;bWxQSwUGAAAAAAYABgBZAQAAyQUAAAAA&#10;">
                      <v:fill on="t" focussize="0,0"/>
                      <v:stroke color="#000000" miterlimit="8" joinstyle="miter"/>
                      <v:imagedata o:title=""/>
                      <o:lock v:ext="edit" aspectratio="f"/>
                      <v:textbox>
                        <w:txbxContent>
                          <w:p w14:paraId="7B5C4CD4">
                            <w:pPr>
                              <w:jc w:val="center"/>
                              <w:rPr>
                                <w:rFonts w:hint="default"/>
                                <w:lang w:val="en-US"/>
                              </w:rPr>
                            </w:pPr>
                            <w:r>
                              <w:rPr>
                                <w:rFonts w:hint="eastAsia"/>
                                <w:lang w:val="en-US" w:eastAsia="zh-CN"/>
                              </w:rPr>
                              <w:t>排泥水池</w:t>
                            </w:r>
                          </w:p>
                        </w:txbxContent>
                      </v:textbox>
                    </v:shape>
                  </w:pict>
                </mc:Fallback>
              </mc:AlternateContent>
            </w:r>
          </w:p>
          <w:p w14:paraId="774B331F">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mc:AlternateContent>
                <mc:Choice Requires="wps">
                  <w:drawing>
                    <wp:anchor distT="0" distB="0" distL="114300" distR="114300" simplePos="0" relativeHeight="251728896" behindDoc="0" locked="0" layoutInCell="1" allowOverlap="1">
                      <wp:simplePos x="0" y="0"/>
                      <wp:positionH relativeFrom="column">
                        <wp:posOffset>4013200</wp:posOffset>
                      </wp:positionH>
                      <wp:positionV relativeFrom="paragraph">
                        <wp:posOffset>231140</wp:posOffset>
                      </wp:positionV>
                      <wp:extent cx="360045" cy="1905"/>
                      <wp:effectExtent l="0" t="37465" r="1905" b="36830"/>
                      <wp:wrapNone/>
                      <wp:docPr id="166" name="AutoShape 8"/>
                      <wp:cNvGraphicFramePr/>
                      <a:graphic xmlns:a="http://schemas.openxmlformats.org/drawingml/2006/main">
                        <a:graphicData uri="http://schemas.microsoft.com/office/word/2010/wordprocessingShape">
                          <wps:wsp>
                            <wps:cNvCnPr>
                              <a:cxnSpLocks noChangeShapeType="1"/>
                            </wps:cNvCnPr>
                            <wps:spPr bwMode="auto">
                              <a:xfrm flipV="1">
                                <a:off x="0" y="0"/>
                                <a:ext cx="360045" cy="1905"/>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flip:y;margin-left:316pt;margin-top:18.2pt;height:0.15pt;width:28.35pt;z-index:251728896;mso-width-relative:page;mso-height-relative:page;" filled="f" stroked="t" coordsize="21600,21600" o:gfxdata="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1d+CzZAAAACQEAAA8AAAAAAAAAAQAgAAAAIgAAAGRycy9kb3ducmV2Lnht&#10;bFBLAQIUABQAAAAIAIdO4kDkO34C+AEAAO4DAAAOAAAAAAAAAAEAIAAAACgBAABkcnMvZTJvRG9j&#10;LnhtbFBLBQYAAAAABgAGAFkBAACS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3016885</wp:posOffset>
                      </wp:positionH>
                      <wp:positionV relativeFrom="paragraph">
                        <wp:posOffset>10160</wp:posOffset>
                      </wp:positionV>
                      <wp:extent cx="661670" cy="288925"/>
                      <wp:effectExtent l="0" t="0" r="0" b="0"/>
                      <wp:wrapNone/>
                      <wp:docPr id="154" name="Text Box 12"/>
                      <wp:cNvGraphicFramePr/>
                      <a:graphic xmlns:a="http://schemas.openxmlformats.org/drawingml/2006/main">
                        <a:graphicData uri="http://schemas.microsoft.com/office/word/2010/wordprocessingShape">
                          <wps:wsp>
                            <wps:cNvSpPr txBox="1">
                              <a:spLocks noChangeArrowheads="1"/>
                            </wps:cNvSpPr>
                            <wps:spPr bwMode="auto">
                              <a:xfrm>
                                <a:off x="0" y="0"/>
                                <a:ext cx="661670" cy="288925"/>
                              </a:xfrm>
                              <a:prstGeom prst="rect">
                                <a:avLst/>
                              </a:prstGeom>
                              <a:noFill/>
                              <a:ln w="9525">
                                <a:noFill/>
                                <a:prstDash val="dash"/>
                                <a:miter lim="800000"/>
                              </a:ln>
                            </wps:spPr>
                            <wps:txbx>
                              <w:txbxContent>
                                <w:p w14:paraId="44FEC5AF">
                                  <w:pPr>
                                    <w:rPr>
                                      <w:rFonts w:hint="default" w:eastAsia="宋体"/>
                                      <w:lang w:val="en-US" w:eastAsia="zh-CN"/>
                                    </w:rPr>
                                  </w:pPr>
                                  <w:r>
                                    <w:rPr>
                                      <w:rFonts w:hint="eastAsia"/>
                                      <w:lang w:val="en-US" w:eastAsia="zh-CN"/>
                                    </w:rPr>
                                    <w:t>1657</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237.55pt;margin-top:0.8pt;height:22.75pt;width:52.1pt;z-index:251724800;mso-width-relative:page;mso-height-relative:page;" filled="f" stroked="f" coordsize="21600,21600" o:gfxdata="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Fb&#10;IIjUAAAACAEAAA8AAAAAAAAAAQAgAAAAIgAAAGRycy9kb3ducmV2LnhtbFBLAQIUABQAAAAIAIdO&#10;4kBuuTrKJwIAAE4EAAAOAAAAAAAAAAEAIAAAACMBAABkcnMvZTJvRG9jLnhtbFBLBQYAAAAABgAG&#10;AFkBAAC8BQAAAAA=&#10;">
                      <v:fill on="f" focussize="0,0"/>
                      <v:stroke on="f" miterlimit="8" joinstyle="miter" dashstyle="dash"/>
                      <v:imagedata o:title=""/>
                      <o:lock v:ext="edit" aspectratio="f"/>
                      <v:textbox>
                        <w:txbxContent>
                          <w:p w14:paraId="44FEC5AF">
                            <w:pPr>
                              <w:rPr>
                                <w:rFonts w:hint="default" w:eastAsia="宋体"/>
                                <w:lang w:val="en-US" w:eastAsia="zh-CN"/>
                              </w:rPr>
                            </w:pPr>
                            <w:r>
                              <w:rPr>
                                <w:rFonts w:hint="eastAsia"/>
                                <w:lang w:val="en-US" w:eastAsia="zh-CN"/>
                              </w:rPr>
                              <w:t>1657</w:t>
                            </w:r>
                          </w:p>
                        </w:txbxContent>
                      </v:textbox>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3103245</wp:posOffset>
                      </wp:positionH>
                      <wp:positionV relativeFrom="paragraph">
                        <wp:posOffset>232410</wp:posOffset>
                      </wp:positionV>
                      <wp:extent cx="447675" cy="1905"/>
                      <wp:effectExtent l="0" t="37465" r="9525" b="36830"/>
                      <wp:wrapNone/>
                      <wp:docPr id="142" name="AutoShape 8"/>
                      <wp:cNvGraphicFramePr/>
                      <a:graphic xmlns:a="http://schemas.openxmlformats.org/drawingml/2006/main">
                        <a:graphicData uri="http://schemas.microsoft.com/office/word/2010/wordprocessingShape">
                          <wps:wsp>
                            <wps:cNvCnPr>
                              <a:cxnSpLocks noChangeShapeType="1"/>
                            </wps:cNvCnPr>
                            <wps:spPr bwMode="auto">
                              <a:xfrm flipV="1">
                                <a:off x="0" y="0"/>
                                <a:ext cx="447675" cy="1905"/>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flip:y;margin-left:244.35pt;margin-top:18.3pt;height:0.15pt;width:35.25pt;z-index:251721728;mso-width-relative:page;mso-height-relative:page;" filled="f" stroked="t" coordsize="21600,21600" o:gfxdata="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j9hzV2QAAAAkBAAAPAAAAAAAAAAEAIAAAACIAAABkcnMvZG93bnJldi54&#10;bWxQSwECFAAUAAAACACHTuJAzoeHhPkBAADuAwAADgAAAAAAAAABACAAAAAoAQAAZHJzL2Uyb0Rv&#10;Yy54bWxQSwUGAAAAAAYABgBZAQAAk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1880235</wp:posOffset>
                      </wp:positionH>
                      <wp:positionV relativeFrom="paragraph">
                        <wp:posOffset>233680</wp:posOffset>
                      </wp:positionV>
                      <wp:extent cx="616585" cy="2540"/>
                      <wp:effectExtent l="0" t="38100" r="12065" b="35560"/>
                      <wp:wrapNone/>
                      <wp:docPr id="133" name="AutoShape 8"/>
                      <wp:cNvGraphicFramePr/>
                      <a:graphic xmlns:a="http://schemas.openxmlformats.org/drawingml/2006/main">
                        <a:graphicData uri="http://schemas.microsoft.com/office/word/2010/wordprocessingShape">
                          <wps:wsp>
                            <wps:cNvCnPr>
                              <a:cxnSpLocks noChangeShapeType="1"/>
                            </wps:cNvCnPr>
                            <wps:spPr bwMode="auto">
                              <a:xfrm flipV="1">
                                <a:off x="0" y="0"/>
                                <a:ext cx="616585" cy="2540"/>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flip:y;margin-left:148.05pt;margin-top:18.4pt;height:0.2pt;width:48.55pt;z-index:251716608;mso-width-relative:page;mso-height-relative:page;" filled="f" stroked="t" coordsize="21600,21600" o:gfxdata="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HdPaR2QAAAAkBAAAPAAAAAAAAAAEAIAAAACIAAABkcnMvZG93bnJldi54&#10;bWxQSwECFAAUAAAACACHTuJA1Bmmg/kBAADuAwAADgAAAAAAAAABACAAAAAoAQAAZHJzL2Uyb0Rv&#10;Yy54bWxQSwUGAAAAAAYABgBZAQAAkwUAAAAA&#10;">
                      <v:fill on="f" focussize="0,0"/>
                      <v:stroke color="#000000" joinstyle="round" endarrow="block"/>
                      <v:imagedata o:title=""/>
                      <o:lock v:ext="edit" aspectratio="f"/>
                    </v:shape>
                  </w:pict>
                </mc:Fallback>
              </mc:AlternateContent>
            </w:r>
          </w:p>
          <w:p w14:paraId="734AE64A">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mc:AlternateContent>
                <mc:Choice Requires="wps">
                  <w:drawing>
                    <wp:anchor distT="0" distB="0" distL="114300" distR="114300" simplePos="0" relativeHeight="251753472" behindDoc="0" locked="0" layoutInCell="1" allowOverlap="1">
                      <wp:simplePos x="0" y="0"/>
                      <wp:positionH relativeFrom="column">
                        <wp:posOffset>4177030</wp:posOffset>
                      </wp:positionH>
                      <wp:positionV relativeFrom="paragraph">
                        <wp:posOffset>145415</wp:posOffset>
                      </wp:positionV>
                      <wp:extent cx="495935" cy="288925"/>
                      <wp:effectExtent l="0" t="0" r="0" b="0"/>
                      <wp:wrapNone/>
                      <wp:docPr id="196" name="Text Box 12"/>
                      <wp:cNvGraphicFramePr/>
                      <a:graphic xmlns:a="http://schemas.openxmlformats.org/drawingml/2006/main">
                        <a:graphicData uri="http://schemas.microsoft.com/office/word/2010/wordprocessingShape">
                          <wps:wsp>
                            <wps:cNvSpPr txBox="1">
                              <a:spLocks noChangeArrowheads="1"/>
                            </wps:cNvSpPr>
                            <wps:spPr bwMode="auto">
                              <a:xfrm>
                                <a:off x="0" y="0"/>
                                <a:ext cx="495935" cy="288925"/>
                              </a:xfrm>
                              <a:prstGeom prst="rect">
                                <a:avLst/>
                              </a:prstGeom>
                              <a:noFill/>
                              <a:ln w="9525">
                                <a:noFill/>
                                <a:prstDash val="dash"/>
                                <a:miter lim="800000"/>
                              </a:ln>
                            </wps:spPr>
                            <wps:txbx>
                              <w:txbxContent>
                                <w:p w14:paraId="5955A2C9">
                                  <w:pPr>
                                    <w:rPr>
                                      <w:rFonts w:hint="default" w:eastAsia="宋体"/>
                                      <w:lang w:val="en-US" w:eastAsia="zh-CN"/>
                                    </w:rPr>
                                  </w:pPr>
                                  <w:r>
                                    <w:rPr>
                                      <w:rFonts w:hint="eastAsia"/>
                                      <w:lang w:val="en-US" w:eastAsia="zh-CN"/>
                                    </w:rPr>
                                    <w:t>560.5</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328.9pt;margin-top:11.45pt;height:22.75pt;width:39.05pt;z-index:251753472;mso-width-relative:page;mso-height-relative:page;" filled="f" stroked="f" coordsize="21600,21600" o:gfxdata="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lCXx/WAAAACQEAAA8AAAAAAAAAAQAgAAAAIgAAAGRycy9kb3ducmV2LnhtbFBLAQIUABQAAAAI&#10;AIdO4kCeMT9OKAIAAE4EAAAOAAAAAAAAAAEAIAAAACUBAABkcnMvZTJvRG9jLnhtbFBLBQYAAAAA&#10;BgAGAFkBAAC/BQAAAAA=&#10;">
                      <v:fill on="f" focussize="0,0"/>
                      <v:stroke on="f" miterlimit="8" joinstyle="miter" dashstyle="dash"/>
                      <v:imagedata o:title=""/>
                      <o:lock v:ext="edit" aspectratio="f"/>
                      <v:textbox>
                        <w:txbxContent>
                          <w:p w14:paraId="5955A2C9">
                            <w:pPr>
                              <w:rPr>
                                <w:rFonts w:hint="default" w:eastAsia="宋体"/>
                                <w:lang w:val="en-US" w:eastAsia="zh-CN"/>
                              </w:rPr>
                            </w:pPr>
                            <w:r>
                              <w:rPr>
                                <w:rFonts w:hint="eastAsia"/>
                                <w:lang w:val="en-US" w:eastAsia="zh-CN"/>
                              </w:rPr>
                              <w:t>560.5</w:t>
                            </w:r>
                          </w:p>
                        </w:txbxContent>
                      </v:textbox>
                    </v:shape>
                  </w:pict>
                </mc:Fallback>
              </mc:AlternateContent>
            </w:r>
            <w:r>
              <mc:AlternateContent>
                <mc:Choice Requires="wps">
                  <w:drawing>
                    <wp:anchor distT="0" distB="0" distL="114300" distR="114300" simplePos="0" relativeHeight="251725824" behindDoc="0" locked="0" layoutInCell="1" allowOverlap="1">
                      <wp:simplePos x="0" y="0"/>
                      <wp:positionH relativeFrom="column">
                        <wp:posOffset>4605020</wp:posOffset>
                      </wp:positionH>
                      <wp:positionV relativeFrom="paragraph">
                        <wp:posOffset>173355</wp:posOffset>
                      </wp:positionV>
                      <wp:extent cx="4445" cy="276860"/>
                      <wp:effectExtent l="36830" t="0" r="34925" b="8890"/>
                      <wp:wrapNone/>
                      <wp:docPr id="157" name="AutoShape 8"/>
                      <wp:cNvGraphicFramePr/>
                      <a:graphic xmlns:a="http://schemas.openxmlformats.org/drawingml/2006/main">
                        <a:graphicData uri="http://schemas.microsoft.com/office/word/2010/wordprocessingShape">
                          <wps:wsp>
                            <wps:cNvCnPr>
                              <a:cxnSpLocks noChangeShapeType="1"/>
                            </wps:cNvCnPr>
                            <wps:spPr bwMode="auto">
                              <a:xfrm flipH="1">
                                <a:off x="0" y="0"/>
                                <a:ext cx="4445" cy="276860"/>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flip:x;margin-left:362.6pt;margin-top:13.65pt;height:21.8pt;width:0.35pt;z-index:251725824;mso-width-relative:page;mso-height-relative:page;" filled="f" stroked="t" coordsize="21600,21600" o:gfxdata="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r0NLB2AAAAAkBAAAPAAAAAAAAAAEAIAAAACIAAABkcnMvZG93bnJldi54&#10;bWxQSwECFAAUAAAACACHTuJA0DkI5foBAADuAwAADgAAAAAAAAABACAAAAAnAQAAZHJzL2Uyb0Rv&#10;Yy54bWxQSwUGAAAAAAYABgBZAQAAkwUAAAAA&#10;">
                      <v:fill on="f" focussize="0,0"/>
                      <v:stroke color="#000000" joinstyle="round" endarrow="block"/>
                      <v:imagedata o:title=""/>
                      <o:lock v:ext="edit" aspectratio="f"/>
                    </v:shape>
                  </w:pict>
                </mc:Fallback>
              </mc:AlternateContent>
            </w:r>
          </w:p>
          <w:p w14:paraId="67EB0BBC">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mc:AlternateContent>
                <mc:Choice Requires="wps">
                  <w:drawing>
                    <wp:anchor distT="0" distB="0" distL="114300" distR="114300" simplePos="0" relativeHeight="251737088" behindDoc="0" locked="0" layoutInCell="1" allowOverlap="1">
                      <wp:simplePos x="0" y="0"/>
                      <wp:positionH relativeFrom="column">
                        <wp:posOffset>3641725</wp:posOffset>
                      </wp:positionH>
                      <wp:positionV relativeFrom="paragraph">
                        <wp:posOffset>44450</wp:posOffset>
                      </wp:positionV>
                      <wp:extent cx="483235" cy="288925"/>
                      <wp:effectExtent l="0" t="0" r="0" b="0"/>
                      <wp:wrapNone/>
                      <wp:docPr id="180" name="Text Box 12"/>
                      <wp:cNvGraphicFramePr/>
                      <a:graphic xmlns:a="http://schemas.openxmlformats.org/drawingml/2006/main">
                        <a:graphicData uri="http://schemas.microsoft.com/office/word/2010/wordprocessingShape">
                          <wps:wsp>
                            <wps:cNvSpPr txBox="1">
                              <a:spLocks noChangeArrowheads="1"/>
                            </wps:cNvSpPr>
                            <wps:spPr bwMode="auto">
                              <a:xfrm>
                                <a:off x="0" y="0"/>
                                <a:ext cx="483235" cy="288925"/>
                              </a:xfrm>
                              <a:prstGeom prst="rect">
                                <a:avLst/>
                              </a:prstGeom>
                              <a:noFill/>
                              <a:ln w="9525">
                                <a:noFill/>
                                <a:prstDash val="dash"/>
                                <a:miter lim="800000"/>
                              </a:ln>
                            </wps:spPr>
                            <wps:txbx>
                              <w:txbxContent>
                                <w:p w14:paraId="60F91F9A">
                                  <w:pPr>
                                    <w:rPr>
                                      <w:rFonts w:hint="default" w:eastAsia="宋体"/>
                                      <w:lang w:val="en-US" w:eastAsia="zh-CN"/>
                                    </w:rPr>
                                  </w:pPr>
                                  <w:r>
                                    <w:rPr>
                                      <w:rFonts w:hint="eastAsia"/>
                                      <w:lang w:val="en-US" w:eastAsia="zh-CN"/>
                                    </w:rPr>
                                    <w:t>外运</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286.75pt;margin-top:3.5pt;height:22.75pt;width:38.05pt;z-index:251737088;mso-width-relative:page;mso-height-relative:page;" filled="f" stroked="f" coordsize="21600,21600" o:gfxdata="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GV5AtUAAAAIAQAADwAAAAAAAAABACAAAAAiAAAAZHJzL2Rvd25yZXYueG1sUEsBAhQAFAAAAAgA&#10;h07iQOOXyIcoAgAATgQAAA4AAAAAAAAAAQAgAAAAJAEAAGRycy9lMm9Eb2MueG1sUEsFBgAAAAAG&#10;AAYAWQEAAL4FAAAAAA==&#10;">
                      <v:fill on="f" focussize="0,0"/>
                      <v:stroke on="f" miterlimit="8" joinstyle="miter" dashstyle="dash"/>
                      <v:imagedata o:title=""/>
                      <o:lock v:ext="edit" aspectratio="f"/>
                      <v:textbox>
                        <w:txbxContent>
                          <w:p w14:paraId="60F91F9A">
                            <w:pPr>
                              <w:rPr>
                                <w:rFonts w:hint="default" w:eastAsia="宋体"/>
                                <w:lang w:val="en-US" w:eastAsia="zh-CN"/>
                              </w:rPr>
                            </w:pPr>
                            <w:r>
                              <w:rPr>
                                <w:rFonts w:hint="eastAsia"/>
                                <w:lang w:val="en-US" w:eastAsia="zh-CN"/>
                              </w:rPr>
                              <w:t>外运</w:t>
                            </w:r>
                          </w:p>
                        </w:txbxContent>
                      </v:textbox>
                    </v:shape>
                  </w:pict>
                </mc:Fallback>
              </mc:AlternateContent>
            </w:r>
            <w:r>
              <mc:AlternateContent>
                <mc:Choice Requires="wps">
                  <w:drawing>
                    <wp:anchor distT="0" distB="0" distL="114300" distR="114300" simplePos="0" relativeHeight="251736064" behindDoc="0" locked="0" layoutInCell="1" allowOverlap="1">
                      <wp:simplePos x="0" y="0"/>
                      <wp:positionH relativeFrom="column">
                        <wp:posOffset>2898140</wp:posOffset>
                      </wp:positionH>
                      <wp:positionV relativeFrom="paragraph">
                        <wp:posOffset>140970</wp:posOffset>
                      </wp:positionV>
                      <wp:extent cx="808990" cy="288925"/>
                      <wp:effectExtent l="0" t="0" r="0" b="0"/>
                      <wp:wrapNone/>
                      <wp:docPr id="173" name="Text Box 12"/>
                      <wp:cNvGraphicFramePr/>
                      <a:graphic xmlns:a="http://schemas.openxmlformats.org/drawingml/2006/main">
                        <a:graphicData uri="http://schemas.microsoft.com/office/word/2010/wordprocessingShape">
                          <wps:wsp>
                            <wps:cNvSpPr txBox="1">
                              <a:spLocks noChangeArrowheads="1"/>
                            </wps:cNvSpPr>
                            <wps:spPr bwMode="auto">
                              <a:xfrm>
                                <a:off x="0" y="0"/>
                                <a:ext cx="808990" cy="288925"/>
                              </a:xfrm>
                              <a:prstGeom prst="rect">
                                <a:avLst/>
                              </a:prstGeom>
                              <a:noFill/>
                              <a:ln w="9525">
                                <a:noFill/>
                                <a:prstDash val="dash"/>
                                <a:miter lim="800000"/>
                              </a:ln>
                            </wps:spPr>
                            <wps:txbx>
                              <w:txbxContent>
                                <w:p w14:paraId="1E7DEF8D">
                                  <w:pPr>
                                    <w:rPr>
                                      <w:rFonts w:hint="default" w:eastAsia="宋体"/>
                                      <w:lang w:val="en-US" w:eastAsia="zh-CN"/>
                                    </w:rPr>
                                  </w:pPr>
                                  <w:r>
                                    <w:rPr>
                                      <w:rFonts w:hint="eastAsia"/>
                                      <w:lang w:val="en-US" w:eastAsia="zh-CN"/>
                                    </w:rPr>
                                    <w:t>泥饼112.1</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228.2pt;margin-top:11.1pt;height:22.75pt;width:63.7pt;z-index:251736064;mso-width-relative:page;mso-height-relative:page;" filled="f" stroked="f" coordsize="21600,21600" o:gfxdata="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nxkHn9cAAAAJAQAADwAAAAAAAAABACAAAAAiAAAAZHJzL2Rvd25yZXYueG1sUEsBAhQAFAAAAAgA&#10;h07iQFtZkZomAgAATgQAAA4AAAAAAAAAAQAgAAAAJgEAAGRycy9lMm9Eb2MueG1sUEsFBgAAAAAG&#10;AAYAWQEAAL4FAAAAAA==&#10;">
                      <v:fill on="f" focussize="0,0"/>
                      <v:stroke on="f" miterlimit="8" joinstyle="miter" dashstyle="dash"/>
                      <v:imagedata o:title=""/>
                      <o:lock v:ext="edit" aspectratio="f"/>
                      <v:textbox>
                        <w:txbxContent>
                          <w:p w14:paraId="1E7DEF8D">
                            <w:pPr>
                              <w:rPr>
                                <w:rFonts w:hint="default" w:eastAsia="宋体"/>
                                <w:lang w:val="en-US" w:eastAsia="zh-CN"/>
                              </w:rPr>
                            </w:pPr>
                            <w:r>
                              <w:rPr>
                                <w:rFonts w:hint="eastAsia"/>
                                <w:lang w:val="en-US" w:eastAsia="zh-CN"/>
                              </w:rPr>
                              <w:t>泥饼112.1</w:t>
                            </w:r>
                          </w:p>
                        </w:txbxContent>
                      </v:textbox>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3707130</wp:posOffset>
                      </wp:positionH>
                      <wp:positionV relativeFrom="paragraph">
                        <wp:posOffset>285115</wp:posOffset>
                      </wp:positionV>
                      <wp:extent cx="344805" cy="635"/>
                      <wp:effectExtent l="0" t="37465" r="17145" b="38100"/>
                      <wp:wrapNone/>
                      <wp:docPr id="155" name="AutoShape 11"/>
                      <wp:cNvGraphicFramePr/>
                      <a:graphic xmlns:a="http://schemas.openxmlformats.org/drawingml/2006/main">
                        <a:graphicData uri="http://schemas.microsoft.com/office/word/2010/wordprocessingShape">
                          <wps:wsp>
                            <wps:cNvCnPr>
                              <a:cxnSpLocks noChangeShapeType="1"/>
                            </wps:cNvCnPr>
                            <wps:spPr bwMode="auto">
                              <a:xfrm flipH="1">
                                <a:off x="0" y="0"/>
                                <a:ext cx="344805" cy="635"/>
                              </a:xfrm>
                              <a:prstGeom prst="straightConnector1">
                                <a:avLst/>
                              </a:prstGeom>
                              <a:noFill/>
                              <a:ln w="9525">
                                <a:solidFill>
                                  <a:srgbClr val="000000"/>
                                </a:solidFill>
                                <a:prstDash val="dash"/>
                                <a:round/>
                                <a:tailEnd type="triangle" w="med" len="med"/>
                              </a:ln>
                            </wps:spPr>
                            <wps:bodyPr/>
                          </wps:wsp>
                        </a:graphicData>
                      </a:graphic>
                    </wp:anchor>
                  </w:drawing>
                </mc:Choice>
                <mc:Fallback>
                  <w:pict>
                    <v:shape id="AutoShape 11" o:spid="_x0000_s1026" o:spt="32" type="#_x0000_t32" style="position:absolute;left:0pt;flip:x;margin-left:291.9pt;margin-top:22.45pt;height:0.05pt;width:27.15pt;z-index:251709440;mso-width-relative:page;mso-height-relative:page;" filled="f" stroked="t" coordsize="21600,21600" o:gfxdata="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D7BMW1QAAAAkBAAAPAAAAAAAAAAEAIAAAACIAAABkcnMvZG93&#10;bnJldi54bWxQSwECFAAUAAAACACHTuJA+XEjVQMCAAAGBAAADgAAAAAAAAABACAAAAAkAQAAZHJz&#10;L2Uyb0RvYy54bWxQSwUGAAAAAAYABgBZAQAAmQUAAAAA&#10;">
                      <v:fill on="f" focussize="0,0"/>
                      <v:stroke color="#000000" joinstyle="round" dashstyle="dash" endarrow="block"/>
                      <v:imagedata o:title=""/>
                      <o:lock v:ext="edit" aspectratio="f"/>
                    </v:shape>
                  </w:pict>
                </mc:Fallback>
              </mc:AlternateContent>
            </w:r>
            <w:r>
              <mc:AlternateContent>
                <mc:Choice Requires="wps">
                  <w:drawing>
                    <wp:anchor distT="0" distB="0" distL="114300" distR="114300" simplePos="0" relativeHeight="251729920" behindDoc="0" locked="0" layoutInCell="1" allowOverlap="1">
                      <wp:simplePos x="0" y="0"/>
                      <wp:positionH relativeFrom="column">
                        <wp:posOffset>4051935</wp:posOffset>
                      </wp:positionH>
                      <wp:positionV relativeFrom="paragraph">
                        <wp:posOffset>146050</wp:posOffset>
                      </wp:positionV>
                      <wp:extent cx="765810" cy="277495"/>
                      <wp:effectExtent l="5080" t="4445" r="10160" b="22860"/>
                      <wp:wrapNone/>
                      <wp:docPr id="167" name="Text Box 9"/>
                      <wp:cNvGraphicFramePr/>
                      <a:graphic xmlns:a="http://schemas.openxmlformats.org/drawingml/2006/main">
                        <a:graphicData uri="http://schemas.microsoft.com/office/word/2010/wordprocessingShape">
                          <wps:wsp>
                            <wps:cNvSpPr txBox="1">
                              <a:spLocks noChangeArrowheads="1"/>
                            </wps:cNvSpPr>
                            <wps:spPr bwMode="auto">
                              <a:xfrm>
                                <a:off x="0" y="0"/>
                                <a:ext cx="765810" cy="277495"/>
                              </a:xfrm>
                              <a:prstGeom prst="rect">
                                <a:avLst/>
                              </a:prstGeom>
                              <a:solidFill>
                                <a:srgbClr val="FFFFFF"/>
                              </a:solidFill>
                              <a:ln w="9525">
                                <a:solidFill>
                                  <a:srgbClr val="000000"/>
                                </a:solidFill>
                                <a:miter lim="800000"/>
                              </a:ln>
                            </wps:spPr>
                            <wps:txbx>
                              <w:txbxContent>
                                <w:p w14:paraId="35DDBEFB">
                                  <w:pPr>
                                    <w:jc w:val="center"/>
                                    <w:rPr>
                                      <w:rFonts w:hint="default"/>
                                      <w:lang w:val="en-US"/>
                                    </w:rPr>
                                  </w:pPr>
                                  <w:r>
                                    <w:rPr>
                                      <w:rFonts w:hint="eastAsia"/>
                                      <w:lang w:val="en-US" w:eastAsia="zh-CN"/>
                                    </w:rPr>
                                    <w:t>离心脱水</w:t>
                                  </w:r>
                                </w:p>
                              </w:txbxContent>
                            </wps:txbx>
                            <wps:bodyPr rot="0" vert="horz" wrap="square" lIns="91440" tIns="45720" rIns="91440" bIns="45720" anchor="t" anchorCtr="0" upright="1">
                              <a:noAutofit/>
                            </wps:bodyPr>
                          </wps:wsp>
                        </a:graphicData>
                      </a:graphic>
                    </wp:anchor>
                  </w:drawing>
                </mc:Choice>
                <mc:Fallback>
                  <w:pict>
                    <v:shape id="Text Box 9" o:spid="_x0000_s1026" o:spt="202" type="#_x0000_t202" style="position:absolute;left:0pt;margin-left:319.05pt;margin-top:11.5pt;height:21.85pt;width:60.3pt;z-index:251729920;mso-width-relative:page;mso-height-relative:page;" fillcolor="#FFFFFF" filled="t" stroked="t" coordsize="21600,21600" o:gfxdata="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db8jM2AAAAAkBAAAPAAAAAAAAAAEAIAAAACIAAABkcnMvZG93bnJldi54bWxQ&#10;SwECFAAUAAAACACHTuJA0j3ZWDACAACHBAAADgAAAAAAAAABACAAAAAnAQAAZHJzL2Uyb0RvYy54&#10;bWxQSwUGAAAAAAYABgBZAQAAyQUAAAAA&#10;">
                      <v:fill on="t" focussize="0,0"/>
                      <v:stroke color="#000000" miterlimit="8" joinstyle="miter"/>
                      <v:imagedata o:title=""/>
                      <o:lock v:ext="edit" aspectratio="f"/>
                      <v:textbox>
                        <w:txbxContent>
                          <w:p w14:paraId="35DDBEFB">
                            <w:pPr>
                              <w:jc w:val="center"/>
                              <w:rPr>
                                <w:rFonts w:hint="default"/>
                                <w:lang w:val="en-US"/>
                              </w:rPr>
                            </w:pPr>
                            <w:r>
                              <w:rPr>
                                <w:rFonts w:hint="eastAsia"/>
                                <w:lang w:val="en-US" w:eastAsia="zh-CN"/>
                              </w:rPr>
                              <w:t>离心脱水</w:t>
                            </w:r>
                          </w:p>
                        </w:txbxContent>
                      </v:textbox>
                    </v:shape>
                  </w:pict>
                </mc:Fallback>
              </mc:AlternateContent>
            </w:r>
          </w:p>
          <w:p w14:paraId="0F969873">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mc:AlternateContent>
                <mc:Choice Requires="wps">
                  <w:drawing>
                    <wp:anchor distT="0" distB="0" distL="114300" distR="114300" simplePos="0" relativeHeight="251742208" behindDoc="0" locked="0" layoutInCell="1" allowOverlap="1">
                      <wp:simplePos x="0" y="0"/>
                      <wp:positionH relativeFrom="column">
                        <wp:posOffset>2927350</wp:posOffset>
                      </wp:positionH>
                      <wp:positionV relativeFrom="paragraph">
                        <wp:posOffset>125095</wp:posOffset>
                      </wp:positionV>
                      <wp:extent cx="808990" cy="288925"/>
                      <wp:effectExtent l="0" t="0" r="0" b="0"/>
                      <wp:wrapNone/>
                      <wp:docPr id="185" name="Text Box 12"/>
                      <wp:cNvGraphicFramePr/>
                      <a:graphic xmlns:a="http://schemas.openxmlformats.org/drawingml/2006/main">
                        <a:graphicData uri="http://schemas.microsoft.com/office/word/2010/wordprocessingShape">
                          <wps:wsp>
                            <wps:cNvSpPr txBox="1">
                              <a:spLocks noChangeArrowheads="1"/>
                            </wps:cNvSpPr>
                            <wps:spPr bwMode="auto">
                              <a:xfrm>
                                <a:off x="0" y="0"/>
                                <a:ext cx="808990" cy="288925"/>
                              </a:xfrm>
                              <a:prstGeom prst="rect">
                                <a:avLst/>
                              </a:prstGeom>
                              <a:noFill/>
                              <a:ln w="9525">
                                <a:noFill/>
                                <a:prstDash val="dash"/>
                                <a:miter lim="800000"/>
                              </a:ln>
                            </wps:spPr>
                            <wps:txbx>
                              <w:txbxContent>
                                <w:p w14:paraId="2D64F9BF">
                                  <w:pPr>
                                    <w:rPr>
                                      <w:rFonts w:hint="default" w:eastAsia="宋体"/>
                                      <w:lang w:val="en-US" w:eastAsia="zh-CN"/>
                                    </w:rPr>
                                  </w:pPr>
                                  <w:r>
                                    <w:rPr>
                                      <w:rFonts w:hint="eastAsia"/>
                                      <w:lang w:val="en-US" w:eastAsia="zh-CN"/>
                                    </w:rPr>
                                    <w:t>损耗1.625</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230.5pt;margin-top:9.85pt;height:22.75pt;width:63.7pt;z-index:251742208;mso-width-relative:page;mso-height-relative:page;" filled="f" stroked="f" coordsize="21600,21600" o:gfxdata="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J&#10;NgRV1gAAAAkBAAAPAAAAAAAAAAEAIAAAACIAAABkcnMvZG93bnJldi54bWxQSwECFAAUAAAACACH&#10;TuJAH0Wa0CYCAABOBAAADgAAAAAAAAABACAAAAAlAQAAZHJzL2Uyb0RvYy54bWxQSwUGAAAAAAYA&#10;BgBZAQAAvQUAAAAA&#10;">
                      <v:fill on="f" focussize="0,0"/>
                      <v:stroke on="f" miterlimit="8" joinstyle="miter" dashstyle="dash"/>
                      <v:imagedata o:title=""/>
                      <o:lock v:ext="edit" aspectratio="f"/>
                      <v:textbox>
                        <w:txbxContent>
                          <w:p w14:paraId="2D64F9BF">
                            <w:pPr>
                              <w:rPr>
                                <w:rFonts w:hint="default" w:eastAsia="宋体"/>
                                <w:lang w:val="en-US" w:eastAsia="zh-CN"/>
                              </w:rPr>
                            </w:pPr>
                            <w:r>
                              <w:rPr>
                                <w:rFonts w:hint="eastAsia"/>
                                <w:lang w:val="en-US" w:eastAsia="zh-CN"/>
                              </w:rPr>
                              <w:t>损耗1.625</w:t>
                            </w:r>
                          </w:p>
                        </w:txbxContent>
                      </v:textbox>
                    </v:shape>
                  </w:pict>
                </mc:Fallback>
              </mc:AlternateContent>
            </w:r>
            <w:r>
              <mc:AlternateContent>
                <mc:Choice Requires="wps">
                  <w:drawing>
                    <wp:anchor distT="0" distB="0" distL="114300" distR="114300" simplePos="0" relativeHeight="251740160" behindDoc="0" locked="0" layoutInCell="1" allowOverlap="1">
                      <wp:simplePos x="0" y="0"/>
                      <wp:positionH relativeFrom="column">
                        <wp:posOffset>4358640</wp:posOffset>
                      </wp:positionH>
                      <wp:positionV relativeFrom="paragraph">
                        <wp:posOffset>140970</wp:posOffset>
                      </wp:positionV>
                      <wp:extent cx="661670" cy="288925"/>
                      <wp:effectExtent l="0" t="0" r="0" b="0"/>
                      <wp:wrapNone/>
                      <wp:docPr id="183" name="Text Box 12"/>
                      <wp:cNvGraphicFramePr/>
                      <a:graphic xmlns:a="http://schemas.openxmlformats.org/drawingml/2006/main">
                        <a:graphicData uri="http://schemas.microsoft.com/office/word/2010/wordprocessingShape">
                          <wps:wsp>
                            <wps:cNvSpPr txBox="1">
                              <a:spLocks noChangeArrowheads="1"/>
                            </wps:cNvSpPr>
                            <wps:spPr bwMode="auto">
                              <a:xfrm>
                                <a:off x="0" y="0"/>
                                <a:ext cx="661670" cy="288925"/>
                              </a:xfrm>
                              <a:prstGeom prst="rect">
                                <a:avLst/>
                              </a:prstGeom>
                              <a:noFill/>
                              <a:ln w="9525">
                                <a:noFill/>
                                <a:prstDash val="dash"/>
                                <a:miter lim="800000"/>
                              </a:ln>
                            </wps:spPr>
                            <wps:txbx>
                              <w:txbxContent>
                                <w:p w14:paraId="7803C815">
                                  <w:pPr>
                                    <w:rPr>
                                      <w:rFonts w:hint="default" w:eastAsia="宋体"/>
                                      <w:lang w:val="en-US" w:eastAsia="zh-CN"/>
                                    </w:rPr>
                                  </w:pPr>
                                  <w:r>
                                    <w:rPr>
                                      <w:rFonts w:hint="eastAsia"/>
                                      <w:lang w:val="en-US" w:eastAsia="zh-CN"/>
                                    </w:rPr>
                                    <w:t>448.4</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343.2pt;margin-top:11.1pt;height:22.75pt;width:52.1pt;z-index:251740160;mso-width-relative:page;mso-height-relative:page;" filled="f" stroked="f" coordsize="21600,21600" o:gfxdata="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78GOdUAAAAJAQAADwAAAAAAAAABACAAAAAiAAAAZHJzL2Rvd25yZXYueG1sUEsBAhQAFAAAAAgA&#10;h07iQJ7A0pYoAgAATgQAAA4AAAAAAAAAAQAgAAAAJAEAAGRycy9lMm9Eb2MueG1sUEsFBgAAAAAG&#10;AAYAWQEAAL4FAAAAAA==&#10;">
                      <v:fill on="f" focussize="0,0"/>
                      <v:stroke on="f" miterlimit="8" joinstyle="miter" dashstyle="dash"/>
                      <v:imagedata o:title=""/>
                      <o:lock v:ext="edit" aspectratio="f"/>
                      <v:textbox>
                        <w:txbxContent>
                          <w:p w14:paraId="7803C815">
                            <w:pPr>
                              <w:rPr>
                                <w:rFonts w:hint="default" w:eastAsia="宋体"/>
                                <w:lang w:val="en-US" w:eastAsia="zh-CN"/>
                              </w:rPr>
                            </w:pPr>
                            <w:r>
                              <w:rPr>
                                <w:rFonts w:hint="eastAsia"/>
                                <w:lang w:val="en-US" w:eastAsia="zh-CN"/>
                              </w:rPr>
                              <w:t>448.4</w:t>
                            </w:r>
                          </w:p>
                        </w:txbxContent>
                      </v:textbox>
                    </v:shape>
                  </w:pict>
                </mc:Fallback>
              </mc:AlternateContent>
            </w:r>
            <w:r>
              <mc:AlternateContent>
                <mc:Choice Requires="wps">
                  <w:drawing>
                    <wp:anchor distT="0" distB="0" distL="114300" distR="114300" simplePos="0" relativeHeight="251730944" behindDoc="0" locked="0" layoutInCell="1" allowOverlap="1">
                      <wp:simplePos x="0" y="0"/>
                      <wp:positionH relativeFrom="column">
                        <wp:posOffset>4434205</wp:posOffset>
                      </wp:positionH>
                      <wp:positionV relativeFrom="paragraph">
                        <wp:posOffset>126365</wp:posOffset>
                      </wp:positionV>
                      <wp:extent cx="635" cy="349885"/>
                      <wp:effectExtent l="38100" t="0" r="37465" b="12065"/>
                      <wp:wrapNone/>
                      <wp:docPr id="168" name="AutoShape 8"/>
                      <wp:cNvGraphicFramePr/>
                      <a:graphic xmlns:a="http://schemas.openxmlformats.org/drawingml/2006/main">
                        <a:graphicData uri="http://schemas.microsoft.com/office/word/2010/wordprocessingShape">
                          <wps:wsp>
                            <wps:cNvCnPr>
                              <a:cxnSpLocks noChangeShapeType="1"/>
                              <a:stCxn id="167" idx="2"/>
                            </wps:cNvCnPr>
                            <wps:spPr bwMode="auto">
                              <a:xfrm flipH="1">
                                <a:off x="0" y="0"/>
                                <a:ext cx="635" cy="349885"/>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flip:x;margin-left:349.15pt;margin-top:9.95pt;height:27.55pt;width:0.05pt;z-index:251730944;mso-width-relative:page;mso-height-relative:page;" filled="f" stroked="t" coordsize="21600,21600" o:gfxdata="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MePt9gAAAAJAQAADwAAAAAAAAABACAAAAAiAAAA&#10;ZHJzL2Rvd25yZXYueG1sUEsBAhQAFAAAAAgAh07iQIdcqXQHAgAACAQAAA4AAAAAAAAAAQAgAAAA&#10;JwEAAGRycy9lMm9Eb2MueG1sUEsFBgAAAAAGAAYAWQEAAKAFAAAAAA==&#10;">
                      <v:fill on="f" focussize="0,0"/>
                      <v:stroke color="#000000" joinstyle="round" endarrow="block"/>
                      <v:imagedata o:title=""/>
                      <o:lock v:ext="edit" aspectratio="f"/>
                    </v:shape>
                  </w:pict>
                </mc:Fallback>
              </mc:AlternateContent>
            </w:r>
          </w:p>
          <w:p w14:paraId="2F92A16C">
            <w:pPr>
              <w:rPr>
                <w:rFonts w:hint="eastAsia"/>
                <w:lang w:val="en-US" w:eastAsia="zh-CN"/>
              </w:rPr>
            </w:pPr>
            <w:r>
              <mc:AlternateContent>
                <mc:Choice Requires="wps">
                  <w:drawing>
                    <wp:anchor distT="0" distB="0" distL="114300" distR="114300" simplePos="0" relativeHeight="251759616" behindDoc="0" locked="0" layoutInCell="1" allowOverlap="1">
                      <wp:simplePos x="0" y="0"/>
                      <wp:positionH relativeFrom="column">
                        <wp:posOffset>2886710</wp:posOffset>
                      </wp:positionH>
                      <wp:positionV relativeFrom="paragraph">
                        <wp:posOffset>147320</wp:posOffset>
                      </wp:positionV>
                      <wp:extent cx="661670" cy="288925"/>
                      <wp:effectExtent l="0" t="0" r="0" b="0"/>
                      <wp:wrapNone/>
                      <wp:docPr id="123" name="Text Box 12"/>
                      <wp:cNvGraphicFramePr/>
                      <a:graphic xmlns:a="http://schemas.openxmlformats.org/drawingml/2006/main">
                        <a:graphicData uri="http://schemas.microsoft.com/office/word/2010/wordprocessingShape">
                          <wps:wsp>
                            <wps:cNvSpPr txBox="1">
                              <a:spLocks noChangeArrowheads="1"/>
                            </wps:cNvSpPr>
                            <wps:spPr bwMode="auto">
                              <a:xfrm>
                                <a:off x="0" y="0"/>
                                <a:ext cx="661670" cy="288925"/>
                              </a:xfrm>
                              <a:prstGeom prst="rect">
                                <a:avLst/>
                              </a:prstGeom>
                              <a:noFill/>
                              <a:ln w="9525">
                                <a:noFill/>
                                <a:prstDash val="dash"/>
                                <a:miter lim="800000"/>
                              </a:ln>
                            </wps:spPr>
                            <wps:txbx>
                              <w:txbxContent>
                                <w:p w14:paraId="2EF32CA2">
                                  <w:pPr>
                                    <w:rPr>
                                      <w:rFonts w:hint="default" w:eastAsia="宋体"/>
                                      <w:lang w:val="en-US" w:eastAsia="zh-CN"/>
                                    </w:rPr>
                                  </w:pPr>
                                  <w:r>
                                    <w:rPr>
                                      <w:rFonts w:hint="eastAsia"/>
                                      <w:lang w:val="en-US" w:eastAsia="zh-CN"/>
                                    </w:rPr>
                                    <w:t>6.5</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227.3pt;margin-top:11.6pt;height:22.75pt;width:52.1pt;z-index:251759616;mso-width-relative:page;mso-height-relative:page;" filled="f" stroked="f" coordsize="21600,21600" o:gfxdata="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kyaE+1wAAAAkBAAAPAAAAAAAAAAEAIAAAACIAAABkcnMvZG93bnJldi54bWxQSwECFAAUAAAA&#10;CACHTuJAlkRTHygCAABOBAAADgAAAAAAAAABACAAAAAmAQAAZHJzL2Uyb0RvYy54bWxQSwUGAAAA&#10;AAYABgBZAQAAwAUAAAAA&#10;">
                      <v:fill on="f" focussize="0,0"/>
                      <v:stroke on="f" miterlimit="8" joinstyle="miter" dashstyle="dash"/>
                      <v:imagedata o:title=""/>
                      <o:lock v:ext="edit" aspectratio="f"/>
                      <v:textbox>
                        <w:txbxContent>
                          <w:p w14:paraId="2EF32CA2">
                            <w:pPr>
                              <w:rPr>
                                <w:rFonts w:hint="default" w:eastAsia="宋体"/>
                                <w:lang w:val="en-US" w:eastAsia="zh-CN"/>
                              </w:rPr>
                            </w:pPr>
                            <w:r>
                              <w:rPr>
                                <w:rFonts w:hint="eastAsia"/>
                                <w:lang w:val="en-US" w:eastAsia="zh-CN"/>
                              </w:rPr>
                              <w:t>6.5</w:t>
                            </w:r>
                          </w:p>
                        </w:txbxContent>
                      </v:textbox>
                    </v:shape>
                  </w:pict>
                </mc:Fallback>
              </mc:AlternateContent>
            </w:r>
            <w:r>
              <mc:AlternateContent>
                <mc:Choice Requires="wps">
                  <w:drawing>
                    <wp:anchor distT="0" distB="0" distL="114300" distR="114300" simplePos="0" relativeHeight="251726848" behindDoc="0" locked="0" layoutInCell="1" allowOverlap="1">
                      <wp:simplePos x="0" y="0"/>
                      <wp:positionH relativeFrom="column">
                        <wp:posOffset>1944370</wp:posOffset>
                      </wp:positionH>
                      <wp:positionV relativeFrom="paragraph">
                        <wp:posOffset>171450</wp:posOffset>
                      </wp:positionV>
                      <wp:extent cx="535940" cy="288925"/>
                      <wp:effectExtent l="0" t="0" r="0" b="0"/>
                      <wp:wrapNone/>
                      <wp:docPr id="158" name="Text Box 12"/>
                      <wp:cNvGraphicFramePr/>
                      <a:graphic xmlns:a="http://schemas.openxmlformats.org/drawingml/2006/main">
                        <a:graphicData uri="http://schemas.microsoft.com/office/word/2010/wordprocessingShape">
                          <wps:wsp>
                            <wps:cNvSpPr txBox="1">
                              <a:spLocks noChangeArrowheads="1"/>
                            </wps:cNvSpPr>
                            <wps:spPr bwMode="auto">
                              <a:xfrm>
                                <a:off x="0" y="0"/>
                                <a:ext cx="535940" cy="288925"/>
                              </a:xfrm>
                              <a:prstGeom prst="rect">
                                <a:avLst/>
                              </a:prstGeom>
                              <a:noFill/>
                              <a:ln w="9525">
                                <a:noFill/>
                                <a:prstDash val="dash"/>
                                <a:miter lim="800000"/>
                              </a:ln>
                            </wps:spPr>
                            <wps:txbx>
                              <w:txbxContent>
                                <w:p w14:paraId="57E3222E">
                                  <w:pPr>
                                    <w:rPr>
                                      <w:rFonts w:hint="default" w:eastAsia="宋体"/>
                                      <w:color w:val="auto"/>
                                      <w:lang w:val="en-US" w:eastAsia="zh-CN"/>
                                    </w:rPr>
                                  </w:pPr>
                                  <w:r>
                                    <w:rPr>
                                      <w:rFonts w:hint="eastAsia"/>
                                      <w:color w:val="auto"/>
                                      <w:lang w:val="en-US" w:eastAsia="zh-CN"/>
                                    </w:rPr>
                                    <w:t>8.125</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153.1pt;margin-top:13.5pt;height:22.75pt;width:42.2pt;z-index:251726848;mso-width-relative:page;mso-height-relative:page;" filled="f" stroked="f" coordsize="21600,21600" o:gfxdata="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y&#10;6eC01gAAAAkBAAAPAAAAAAAAAAEAIAAAACIAAABkcnMvZG93bnJldi54bWxQSwECFAAUAAAACACH&#10;TuJAUBf1WiYCAABOBAAADgAAAAAAAAABACAAAAAlAQAAZHJzL2Uyb0RvYy54bWxQSwUGAAAAAAYA&#10;BgBZAQAAvQUAAAAA&#10;">
                      <v:fill on="f" focussize="0,0"/>
                      <v:stroke on="f" miterlimit="8" joinstyle="miter" dashstyle="dash"/>
                      <v:imagedata o:title=""/>
                      <o:lock v:ext="edit" aspectratio="f"/>
                      <v:textbox>
                        <w:txbxContent>
                          <w:p w14:paraId="57E3222E">
                            <w:pPr>
                              <w:rPr>
                                <w:rFonts w:hint="default" w:eastAsia="宋体"/>
                                <w:color w:val="auto"/>
                                <w:lang w:val="en-US" w:eastAsia="zh-CN"/>
                              </w:rPr>
                            </w:pPr>
                            <w:r>
                              <w:rPr>
                                <w:rFonts w:hint="eastAsia"/>
                                <w:color w:val="auto"/>
                                <w:lang w:val="en-US" w:eastAsia="zh-CN"/>
                              </w:rPr>
                              <w:t>8.125</w:t>
                            </w:r>
                          </w:p>
                        </w:txbxContent>
                      </v:textbox>
                    </v:shape>
                  </w:pict>
                </mc:Fallback>
              </mc:AlternateContent>
            </w:r>
            <w:r>
              <mc:AlternateContent>
                <mc:Choice Requires="wps">
                  <w:drawing>
                    <wp:anchor distT="0" distB="0" distL="114300" distR="114300" simplePos="0" relativeHeight="251738112" behindDoc="0" locked="0" layoutInCell="1" allowOverlap="1">
                      <wp:simplePos x="0" y="0"/>
                      <wp:positionH relativeFrom="column">
                        <wp:posOffset>4389755</wp:posOffset>
                      </wp:positionH>
                      <wp:positionV relativeFrom="paragraph">
                        <wp:posOffset>176530</wp:posOffset>
                      </wp:positionV>
                      <wp:extent cx="676275" cy="473075"/>
                      <wp:effectExtent l="4445" t="4445" r="5080" b="17780"/>
                      <wp:wrapNone/>
                      <wp:docPr id="181" name="Text Box 3"/>
                      <wp:cNvGraphicFramePr/>
                      <a:graphic xmlns:a="http://schemas.openxmlformats.org/drawingml/2006/main">
                        <a:graphicData uri="http://schemas.microsoft.com/office/word/2010/wordprocessingShape">
                          <wps:wsp>
                            <wps:cNvSpPr txBox="1">
                              <a:spLocks noChangeArrowheads="1"/>
                            </wps:cNvSpPr>
                            <wps:spPr bwMode="auto">
                              <a:xfrm>
                                <a:off x="0" y="0"/>
                                <a:ext cx="676275" cy="473075"/>
                              </a:xfrm>
                              <a:prstGeom prst="rect">
                                <a:avLst/>
                              </a:prstGeom>
                              <a:solidFill>
                                <a:srgbClr val="FFFFFF"/>
                              </a:solidFill>
                              <a:ln w="9525">
                                <a:solidFill>
                                  <a:srgbClr val="000000"/>
                                </a:solidFill>
                                <a:prstDash val="dash"/>
                                <a:miter lim="800000"/>
                              </a:ln>
                            </wps:spPr>
                            <wps:txbx>
                              <w:txbxContent>
                                <w:p w14:paraId="0CD99DEB">
                                  <w:pPr>
                                    <w:jc w:val="left"/>
                                    <w:rPr>
                                      <w:rFonts w:hint="default" w:eastAsia="宋体"/>
                                      <w:b w:val="0"/>
                                      <w:bCs w:val="0"/>
                                      <w:color w:val="auto"/>
                                      <w:lang w:val="en-US" w:eastAsia="zh-CN"/>
                                    </w:rPr>
                                  </w:pPr>
                                  <w:r>
                                    <w:rPr>
                                      <w:rFonts w:hint="eastAsia"/>
                                      <w:b/>
                                      <w:bCs/>
                                      <w:lang w:val="en-US" w:eastAsia="zh-CN"/>
                                    </w:rPr>
                                    <w:t>市政污水管网</w:t>
                                  </w:r>
                                </w:p>
                              </w:txbxContent>
                            </wps:txbx>
                            <wps:bodyPr rot="0" vert="horz" wrap="square" lIns="91440" tIns="45720" rIns="91440" bIns="45720" anchor="t" anchorCtr="0" upright="1">
                              <a:noAutofit/>
                            </wps:bodyPr>
                          </wps:wsp>
                        </a:graphicData>
                      </a:graphic>
                    </wp:anchor>
                  </w:drawing>
                </mc:Choice>
                <mc:Fallback>
                  <w:pict>
                    <v:shape id="Text Box 3" o:spid="_x0000_s1026" o:spt="202" type="#_x0000_t202" style="position:absolute;left:0pt;margin-left:345.65pt;margin-top:13.9pt;height:37.25pt;width:53.25pt;z-index:251738112;mso-width-relative:page;mso-height-relative:page;" fillcolor="#FFFFFF" filled="t" stroked="t" coordsize="21600,21600" o:gfxdata="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IWBADXAAAACgEAAA8AAAAAAAAAAQAgAAAAIgAAAGRycy9k&#10;b3ducmV2LnhtbFBLAQIUABQAAAAIAIdO4kBvmHe5PAIAAJ8EAAAOAAAAAAAAAAEAIAAAACYBAABk&#10;cnMvZTJvRG9jLnhtbFBLBQYAAAAABgAGAFkBAADUBQAAAAA=&#10;">
                      <v:fill on="t" focussize="0,0"/>
                      <v:stroke color="#000000" miterlimit="8" joinstyle="miter" dashstyle="dash"/>
                      <v:imagedata o:title=""/>
                      <o:lock v:ext="edit" aspectratio="f"/>
                      <v:textbox>
                        <w:txbxContent>
                          <w:p w14:paraId="0CD99DEB">
                            <w:pPr>
                              <w:jc w:val="left"/>
                              <w:rPr>
                                <w:rFonts w:hint="default" w:eastAsia="宋体"/>
                                <w:b w:val="0"/>
                                <w:bCs w:val="0"/>
                                <w:color w:val="auto"/>
                                <w:lang w:val="en-US" w:eastAsia="zh-CN"/>
                              </w:rPr>
                            </w:pPr>
                            <w:r>
                              <w:rPr>
                                <w:rFonts w:hint="eastAsia"/>
                                <w:b/>
                                <w:bCs/>
                                <w:lang w:val="en-US" w:eastAsia="zh-CN"/>
                              </w:rPr>
                              <w:t>市政污水管网</w:t>
                            </w:r>
                          </w:p>
                        </w:txbxContent>
                      </v:textbox>
                    </v:shape>
                  </w:pict>
                </mc:Fallback>
              </mc:AlternateContent>
            </w:r>
            <w:r>
              <mc:AlternateContent>
                <mc:Choice Requires="wps">
                  <w:drawing>
                    <wp:anchor distT="0" distB="0" distL="114300" distR="114300" simplePos="0" relativeHeight="251741184" behindDoc="0" locked="0" layoutInCell="1" allowOverlap="1">
                      <wp:simplePos x="0" y="0"/>
                      <wp:positionH relativeFrom="column">
                        <wp:posOffset>2733040</wp:posOffset>
                      </wp:positionH>
                      <wp:positionV relativeFrom="paragraph">
                        <wp:posOffset>8890</wp:posOffset>
                      </wp:positionV>
                      <wp:extent cx="194310" cy="149225"/>
                      <wp:effectExtent l="3175" t="0" r="12065" b="22225"/>
                      <wp:wrapNone/>
                      <wp:docPr id="184" name="AutoShape 11"/>
                      <wp:cNvGraphicFramePr/>
                      <a:graphic xmlns:a="http://schemas.openxmlformats.org/drawingml/2006/main">
                        <a:graphicData uri="http://schemas.microsoft.com/office/word/2010/wordprocessingShape">
                          <wps:wsp>
                            <wps:cNvCnPr>
                              <a:cxnSpLocks noChangeShapeType="1"/>
                            </wps:cNvCnPr>
                            <wps:spPr bwMode="auto">
                              <a:xfrm flipV="1">
                                <a:off x="0" y="0"/>
                                <a:ext cx="194310" cy="149225"/>
                              </a:xfrm>
                              <a:prstGeom prst="straightConnector1">
                                <a:avLst/>
                              </a:prstGeom>
                              <a:noFill/>
                              <a:ln w="9525">
                                <a:solidFill>
                                  <a:srgbClr val="000000"/>
                                </a:solidFill>
                                <a:prstDash val="dash"/>
                                <a:round/>
                                <a:tailEnd type="triangle" w="med" len="med"/>
                              </a:ln>
                            </wps:spPr>
                            <wps:bodyPr/>
                          </wps:wsp>
                        </a:graphicData>
                      </a:graphic>
                    </wp:anchor>
                  </w:drawing>
                </mc:Choice>
                <mc:Fallback>
                  <w:pict>
                    <v:shape id="AutoShape 11" o:spid="_x0000_s1026" o:spt="32" type="#_x0000_t32" style="position:absolute;left:0pt;flip:y;margin-left:215.2pt;margin-top:0.7pt;height:11.75pt;width:15.3pt;z-index:251741184;mso-width-relative:page;mso-height-relative:page;" filled="f" stroked="t" coordsize="21600,21600" o:gfxdata="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0TOtfTAAAACAEAAA8AAAAAAAAAAQAgAAAAIgAAAGRycy9kb3du&#10;cmV2LnhtbFBLAQIUABQAAAAIAIdO4kCy3X3aBAIAAAkEAAAOAAAAAAAAAAEAIAAAACIBAABkcnMv&#10;ZTJvRG9jLnhtbFBLBQYAAAAABgAGAFkBAACYBQAAAAA=&#10;">
                      <v:fill on="f" focussize="0,0"/>
                      <v:stroke color="#000000" joinstyle="round" dashstyle="dash" endarrow="block"/>
                      <v:imagedata o:title=""/>
                      <o:lock v:ext="edit" aspectratio="f"/>
                    </v:shape>
                  </w:pict>
                </mc:Fallback>
              </mc:AlternateContent>
            </w:r>
            <w:r>
              <mc:AlternateContent>
                <mc:Choice Requires="wps">
                  <w:drawing>
                    <wp:anchor distT="0" distB="0" distL="114300" distR="114300" simplePos="0" relativeHeight="251732992" behindDoc="0" locked="0" layoutInCell="1" allowOverlap="1">
                      <wp:simplePos x="0" y="0"/>
                      <wp:positionH relativeFrom="column">
                        <wp:posOffset>2496820</wp:posOffset>
                      </wp:positionH>
                      <wp:positionV relativeFrom="paragraph">
                        <wp:posOffset>158115</wp:posOffset>
                      </wp:positionV>
                      <wp:extent cx="472440" cy="478790"/>
                      <wp:effectExtent l="4445" t="4445" r="18415" b="12065"/>
                      <wp:wrapNone/>
                      <wp:docPr id="170" name="Text Box 9"/>
                      <wp:cNvGraphicFramePr/>
                      <a:graphic xmlns:a="http://schemas.openxmlformats.org/drawingml/2006/main">
                        <a:graphicData uri="http://schemas.microsoft.com/office/word/2010/wordprocessingShape">
                          <wps:wsp>
                            <wps:cNvSpPr txBox="1">
                              <a:spLocks noChangeArrowheads="1"/>
                            </wps:cNvSpPr>
                            <wps:spPr bwMode="auto">
                              <a:xfrm>
                                <a:off x="0" y="0"/>
                                <a:ext cx="472440" cy="478790"/>
                              </a:xfrm>
                              <a:prstGeom prst="rect">
                                <a:avLst/>
                              </a:prstGeom>
                              <a:solidFill>
                                <a:srgbClr val="FFFFFF"/>
                              </a:solidFill>
                              <a:ln w="9525">
                                <a:solidFill>
                                  <a:srgbClr val="000000"/>
                                </a:solidFill>
                                <a:miter lim="800000"/>
                              </a:ln>
                            </wps:spPr>
                            <wps:txbx>
                              <w:txbxContent>
                                <w:p w14:paraId="4C201B13">
                                  <w:pPr>
                                    <w:jc w:val="center"/>
                                    <w:rPr>
                                      <w:rFonts w:hint="default"/>
                                      <w:lang w:val="en-US"/>
                                    </w:rPr>
                                  </w:pPr>
                                  <w:r>
                                    <w:rPr>
                                      <w:rFonts w:hint="eastAsia"/>
                                      <w:lang w:val="en-US" w:eastAsia="zh-CN"/>
                                    </w:rPr>
                                    <w:t>生活用水</w:t>
                                  </w:r>
                                </w:p>
                              </w:txbxContent>
                            </wps:txbx>
                            <wps:bodyPr rot="0" vert="horz" wrap="square" lIns="91440" tIns="45720" rIns="91440" bIns="45720" anchor="t" anchorCtr="0" upright="1">
                              <a:noAutofit/>
                            </wps:bodyPr>
                          </wps:wsp>
                        </a:graphicData>
                      </a:graphic>
                    </wp:anchor>
                  </w:drawing>
                </mc:Choice>
                <mc:Fallback>
                  <w:pict>
                    <v:shape id="Text Box 9" o:spid="_x0000_s1026" o:spt="202" type="#_x0000_t202" style="position:absolute;left:0pt;margin-left:196.6pt;margin-top:12.45pt;height:37.7pt;width:37.2pt;z-index:251732992;mso-width-relative:page;mso-height-relative:page;" fillcolor="#FFFFFF" filled="t" stroked="t" coordsize="21600,21600" o:gfxdata="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r5HmLZAAAACgEAAA8AAAAAAAAAAQAgAAAAIgAAAGRycy9kb3ducmV2LnhtbFBL&#10;AQIUABQAAAAIAIdO4kDFtQxLLgIAAIcEAAAOAAAAAAAAAAEAIAAAACgBAABkcnMvZTJvRG9jLnht&#10;bFBLBQYAAAAABgAGAFkBAADIBQAAAAA=&#10;">
                      <v:fill on="t" focussize="0,0"/>
                      <v:stroke color="#000000" miterlimit="8" joinstyle="miter"/>
                      <v:imagedata o:title=""/>
                      <o:lock v:ext="edit" aspectratio="f"/>
                      <v:textbox>
                        <w:txbxContent>
                          <w:p w14:paraId="4C201B13">
                            <w:pPr>
                              <w:jc w:val="center"/>
                              <w:rPr>
                                <w:rFonts w:hint="default"/>
                                <w:lang w:val="en-US"/>
                              </w:rPr>
                            </w:pPr>
                            <w:r>
                              <w:rPr>
                                <w:rFonts w:hint="eastAsia"/>
                                <w:lang w:val="en-US" w:eastAsia="zh-CN"/>
                              </w:rPr>
                              <w:t>生活用水</w:t>
                            </w:r>
                          </w:p>
                        </w:txbxContent>
                      </v:textbox>
                    </v:shape>
                  </w:pict>
                </mc:Fallback>
              </mc:AlternateContent>
            </w:r>
          </w:p>
          <w:p w14:paraId="53B51A71">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mc:AlternateContent>
                <mc:Choice Requires="wps">
                  <w:drawing>
                    <wp:anchor distT="0" distB="0" distL="114300" distR="114300" simplePos="0" relativeHeight="251739136" behindDoc="0" locked="0" layoutInCell="1" allowOverlap="1">
                      <wp:simplePos x="0" y="0"/>
                      <wp:positionH relativeFrom="column">
                        <wp:posOffset>4093845</wp:posOffset>
                      </wp:positionH>
                      <wp:positionV relativeFrom="paragraph">
                        <wp:posOffset>208280</wp:posOffset>
                      </wp:positionV>
                      <wp:extent cx="295910" cy="6985"/>
                      <wp:effectExtent l="0" t="33020" r="8890" b="36195"/>
                      <wp:wrapNone/>
                      <wp:docPr id="182" name="AutoShape 8"/>
                      <wp:cNvGraphicFramePr/>
                      <a:graphic xmlns:a="http://schemas.openxmlformats.org/drawingml/2006/main">
                        <a:graphicData uri="http://schemas.microsoft.com/office/word/2010/wordprocessingShape">
                          <wps:wsp>
                            <wps:cNvCnPr>
                              <a:cxnSpLocks noChangeShapeType="1"/>
                              <a:stCxn id="172" idx="3"/>
                              <a:endCxn id="181" idx="1"/>
                            </wps:cNvCnPr>
                            <wps:spPr bwMode="auto">
                              <a:xfrm>
                                <a:off x="0" y="0"/>
                                <a:ext cx="295910" cy="6985"/>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margin-left:322.35pt;margin-top:16.4pt;height:0.55pt;width:23.3pt;z-index:251739136;mso-width-relative:page;mso-height-relative:page;" filled="f" stroked="t" coordsize="21600,21600" o:gfxdata="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5YcVjaAAAACQEAAA8AAAAAAAAAAQAgAAAA&#10;IgAAAGRycy9kb3ducmV2LnhtbFBLAQIUABQAAAAIAIdO4kBKdhnJCQIAABsEAAAOAAAAAAAAAAEA&#10;IAAAACkBAABkcnMvZTJvRG9jLnhtbFBLBQYAAAAABgAGAFkBAACk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35040" behindDoc="0" locked="0" layoutInCell="1" allowOverlap="1">
                      <wp:simplePos x="0" y="0"/>
                      <wp:positionH relativeFrom="column">
                        <wp:posOffset>3328035</wp:posOffset>
                      </wp:positionH>
                      <wp:positionV relativeFrom="paragraph">
                        <wp:posOffset>69215</wp:posOffset>
                      </wp:positionV>
                      <wp:extent cx="765810" cy="277495"/>
                      <wp:effectExtent l="5080" t="4445" r="10160" b="22860"/>
                      <wp:wrapNone/>
                      <wp:docPr id="172" name="Text Box 9"/>
                      <wp:cNvGraphicFramePr/>
                      <a:graphic xmlns:a="http://schemas.openxmlformats.org/drawingml/2006/main">
                        <a:graphicData uri="http://schemas.microsoft.com/office/word/2010/wordprocessingShape">
                          <wps:wsp>
                            <wps:cNvSpPr txBox="1">
                              <a:spLocks noChangeArrowheads="1"/>
                            </wps:cNvSpPr>
                            <wps:spPr bwMode="auto">
                              <a:xfrm>
                                <a:off x="0" y="0"/>
                                <a:ext cx="765810" cy="277495"/>
                              </a:xfrm>
                              <a:prstGeom prst="rect">
                                <a:avLst/>
                              </a:prstGeom>
                              <a:solidFill>
                                <a:srgbClr val="FFFFFF"/>
                              </a:solidFill>
                              <a:ln w="9525">
                                <a:solidFill>
                                  <a:srgbClr val="000000"/>
                                </a:solidFill>
                                <a:miter lim="800000"/>
                              </a:ln>
                            </wps:spPr>
                            <wps:txbx>
                              <w:txbxContent>
                                <w:p w14:paraId="5D6061D4">
                                  <w:pPr>
                                    <w:jc w:val="center"/>
                                    <w:rPr>
                                      <w:rFonts w:hint="default"/>
                                      <w:lang w:val="en-US"/>
                                    </w:rPr>
                                  </w:pPr>
                                  <w:r>
                                    <w:rPr>
                                      <w:rFonts w:hint="eastAsia"/>
                                      <w:lang w:val="en-US" w:eastAsia="zh-CN"/>
                                    </w:rPr>
                                    <w:t>化粪池</w:t>
                                  </w:r>
                                </w:p>
                              </w:txbxContent>
                            </wps:txbx>
                            <wps:bodyPr rot="0" vert="horz" wrap="square" lIns="91440" tIns="45720" rIns="91440" bIns="45720" anchor="t" anchorCtr="0" upright="1">
                              <a:noAutofit/>
                            </wps:bodyPr>
                          </wps:wsp>
                        </a:graphicData>
                      </a:graphic>
                    </wp:anchor>
                  </w:drawing>
                </mc:Choice>
                <mc:Fallback>
                  <w:pict>
                    <v:shape id="Text Box 9" o:spid="_x0000_s1026" o:spt="202" type="#_x0000_t202" style="position:absolute;left:0pt;margin-left:262.05pt;margin-top:5.45pt;height:21.85pt;width:60.3pt;z-index:251735040;mso-width-relative:page;mso-height-relative:page;" fillcolor="#FFFFFF" filled="t" stroked="t" coordsize="21600,21600" o:gfxdata="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G9M32AAAAAkBAAAPAAAAAAAAAAEAIAAAACIAAABkcnMvZG93bnJldi54bWxQ&#10;SwECFAAUAAAACACHTuJAyPmNlDACAACHBAAADgAAAAAAAAABACAAAAAnAQAAZHJzL2Uyb0RvYy54&#10;bWxQSwUGAAAAAAYABgBZAQAAyQUAAAAA&#10;">
                      <v:fill on="t" focussize="0,0"/>
                      <v:stroke color="#000000" miterlimit="8" joinstyle="miter"/>
                      <v:imagedata o:title=""/>
                      <o:lock v:ext="edit" aspectratio="f"/>
                      <v:textbox>
                        <w:txbxContent>
                          <w:p w14:paraId="5D6061D4">
                            <w:pPr>
                              <w:jc w:val="center"/>
                              <w:rPr>
                                <w:rFonts w:hint="default"/>
                                <w:lang w:val="en-US"/>
                              </w:rPr>
                            </w:pPr>
                            <w:r>
                              <w:rPr>
                                <w:rFonts w:hint="eastAsia"/>
                                <w:lang w:val="en-US" w:eastAsia="zh-CN"/>
                              </w:rPr>
                              <w:t>化粪池</w:t>
                            </w:r>
                          </w:p>
                        </w:txbxContent>
                      </v:textbox>
                    </v:shape>
                  </w:pict>
                </mc:Fallback>
              </mc:AlternateContent>
            </w:r>
            <w:r>
              <mc:AlternateContent>
                <mc:Choice Requires="wps">
                  <w:drawing>
                    <wp:anchor distT="0" distB="0" distL="114300" distR="114300" simplePos="0" relativeHeight="251734016" behindDoc="0" locked="0" layoutInCell="1" allowOverlap="1">
                      <wp:simplePos x="0" y="0"/>
                      <wp:positionH relativeFrom="column">
                        <wp:posOffset>2969260</wp:posOffset>
                      </wp:positionH>
                      <wp:positionV relativeFrom="paragraph">
                        <wp:posOffset>203200</wp:posOffset>
                      </wp:positionV>
                      <wp:extent cx="363855" cy="3810"/>
                      <wp:effectExtent l="0" t="37465" r="17145" b="34925"/>
                      <wp:wrapNone/>
                      <wp:docPr id="171" name="AutoShape 8"/>
                      <wp:cNvGraphicFramePr/>
                      <a:graphic xmlns:a="http://schemas.openxmlformats.org/drawingml/2006/main">
                        <a:graphicData uri="http://schemas.microsoft.com/office/word/2010/wordprocessingShape">
                          <wps:wsp>
                            <wps:cNvCnPr>
                              <a:cxnSpLocks noChangeShapeType="1"/>
                            </wps:cNvCnPr>
                            <wps:spPr bwMode="auto">
                              <a:xfrm flipV="1">
                                <a:off x="0" y="0"/>
                                <a:ext cx="363855" cy="3810"/>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flip:y;margin-left:233.8pt;margin-top:16pt;height:0.3pt;width:28.65pt;z-index:251734016;mso-width-relative:page;mso-height-relative:page;" filled="f" stroked="t" coordsize="21600,21600" o:gfxdata="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0Arkj9kAAAAJAQAADwAAAAAAAAABACAAAAAiAAAAZHJzL2Rvd25yZXYu&#10;eG1sUEsBAhQAFAAAAAgAh07iQOCAe3D6AQAA7gMAAA4AAAAAAAAAAQAgAAAAKAEAAGRycy9lMm9E&#10;b2MueG1sUEsFBgAAAAAGAAYAWQEAAJQ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31968" behindDoc="0" locked="0" layoutInCell="1" allowOverlap="1">
                      <wp:simplePos x="0" y="0"/>
                      <wp:positionH relativeFrom="column">
                        <wp:posOffset>1876425</wp:posOffset>
                      </wp:positionH>
                      <wp:positionV relativeFrom="paragraph">
                        <wp:posOffset>208280</wp:posOffset>
                      </wp:positionV>
                      <wp:extent cx="616585" cy="2540"/>
                      <wp:effectExtent l="0" t="38100" r="12065" b="35560"/>
                      <wp:wrapNone/>
                      <wp:docPr id="169" name="AutoShape 8"/>
                      <wp:cNvGraphicFramePr/>
                      <a:graphic xmlns:a="http://schemas.openxmlformats.org/drawingml/2006/main">
                        <a:graphicData uri="http://schemas.microsoft.com/office/word/2010/wordprocessingShape">
                          <wps:wsp>
                            <wps:cNvCnPr>
                              <a:cxnSpLocks noChangeShapeType="1"/>
                            </wps:cNvCnPr>
                            <wps:spPr bwMode="auto">
                              <a:xfrm flipV="1">
                                <a:off x="0" y="0"/>
                                <a:ext cx="616585" cy="2540"/>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flip:y;margin-left:147.75pt;margin-top:16.4pt;height:0.2pt;width:48.55pt;z-index:251731968;mso-width-relative:page;mso-height-relative:page;" filled="f" stroked="t" coordsize="21600,21600" o:gfxdata="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kwNdG2QAAAAkBAAAPAAAAAAAAAAEAIAAAACIAAABkcnMvZG93bnJldi54&#10;bWxQSwECFAAUAAAACACHTuJAIVKTF/kBAADuAwAADgAAAAAAAAABACAAAAAoAQAAZHJzL2Uyb0Rv&#10;Yy54bWxQSwUGAAAAAAYABgBZAQAAkwUAAAAA&#10;">
                      <v:fill on="f" focussize="0,0"/>
                      <v:stroke color="#000000" joinstyle="round" endarrow="block"/>
                      <v:imagedata o:title=""/>
                      <o:lock v:ext="edit" aspectratio="f"/>
                    </v:shape>
                  </w:pict>
                </mc:Fallback>
              </mc:AlternateContent>
            </w:r>
          </w:p>
          <w:p w14:paraId="1B8E5D7D">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mc:AlternateContent>
                <mc:Choice Requires="wps">
                  <w:drawing>
                    <wp:anchor distT="0" distB="0" distL="114300" distR="114300" simplePos="0" relativeHeight="251758592" behindDoc="0" locked="0" layoutInCell="1" allowOverlap="1">
                      <wp:simplePos x="0" y="0"/>
                      <wp:positionH relativeFrom="column">
                        <wp:posOffset>1951990</wp:posOffset>
                      </wp:positionH>
                      <wp:positionV relativeFrom="paragraph">
                        <wp:posOffset>221615</wp:posOffset>
                      </wp:positionV>
                      <wp:extent cx="535940" cy="288925"/>
                      <wp:effectExtent l="0" t="0" r="0" b="0"/>
                      <wp:wrapNone/>
                      <wp:docPr id="122" name="Text Box 12"/>
                      <wp:cNvGraphicFramePr/>
                      <a:graphic xmlns:a="http://schemas.openxmlformats.org/drawingml/2006/main">
                        <a:graphicData uri="http://schemas.microsoft.com/office/word/2010/wordprocessingShape">
                          <wps:wsp>
                            <wps:cNvSpPr txBox="1">
                              <a:spLocks noChangeArrowheads="1"/>
                            </wps:cNvSpPr>
                            <wps:spPr bwMode="auto">
                              <a:xfrm>
                                <a:off x="0" y="0"/>
                                <a:ext cx="535940" cy="288925"/>
                              </a:xfrm>
                              <a:prstGeom prst="rect">
                                <a:avLst/>
                              </a:prstGeom>
                              <a:noFill/>
                              <a:ln w="9525">
                                <a:noFill/>
                                <a:prstDash val="dash"/>
                                <a:miter lim="800000"/>
                              </a:ln>
                            </wps:spPr>
                            <wps:txbx>
                              <w:txbxContent>
                                <w:p w14:paraId="4A042F7A">
                                  <w:pPr>
                                    <w:rPr>
                                      <w:rFonts w:hint="default" w:eastAsia="宋体"/>
                                      <w:color w:val="auto"/>
                                      <w:lang w:val="en-US" w:eastAsia="zh-CN"/>
                                    </w:rPr>
                                  </w:pPr>
                                  <w:r>
                                    <w:rPr>
                                      <w:rFonts w:hint="eastAsia"/>
                                      <w:color w:val="auto"/>
                                      <w:lang w:val="en-US" w:eastAsia="zh-CN"/>
                                    </w:rPr>
                                    <w:t>1900</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153.7pt;margin-top:17.45pt;height:22.75pt;width:42.2pt;z-index:251758592;mso-width-relative:page;mso-height-relative:page;" filled="f" stroked="f" coordsize="21600,21600" o:gfxdata="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h&#10;+Oj31gAAAAkBAAAPAAAAAAAAAAEAIAAAACIAAABkcnMvZG93bnJldi54bWxQSwECFAAUAAAACACH&#10;TuJAWkE10iYCAABOBAAADgAAAAAAAAABACAAAAAlAQAAZHJzL2Uyb0RvYy54bWxQSwUGAAAAAAYA&#10;BgBZAQAAvQUAAAAA&#10;">
                      <v:fill on="f" focussize="0,0"/>
                      <v:stroke on="f" miterlimit="8" joinstyle="miter" dashstyle="dash"/>
                      <v:imagedata o:title=""/>
                      <o:lock v:ext="edit" aspectratio="f"/>
                      <v:textbox>
                        <w:txbxContent>
                          <w:p w14:paraId="4A042F7A">
                            <w:pPr>
                              <w:rPr>
                                <w:rFonts w:hint="default" w:eastAsia="宋体"/>
                                <w:color w:val="auto"/>
                                <w:lang w:val="en-US" w:eastAsia="zh-CN"/>
                              </w:rPr>
                            </w:pPr>
                            <w:r>
                              <w:rPr>
                                <w:rFonts w:hint="eastAsia"/>
                                <w:color w:val="auto"/>
                                <w:lang w:val="en-US" w:eastAsia="zh-CN"/>
                              </w:rPr>
                              <w:t>1900</w:t>
                            </w:r>
                          </w:p>
                        </w:txbxContent>
                      </v:textbox>
                    </v:shape>
                  </w:pict>
                </mc:Fallback>
              </mc:AlternateContent>
            </w:r>
          </w:p>
          <w:p w14:paraId="22B05E46">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mc:AlternateContent>
                <mc:Choice Requires="wps">
                  <w:drawing>
                    <wp:anchor distT="0" distB="0" distL="114300" distR="114300" simplePos="0" relativeHeight="251757568" behindDoc="0" locked="0" layoutInCell="1" allowOverlap="1">
                      <wp:simplePos x="0" y="0"/>
                      <wp:positionH relativeFrom="column">
                        <wp:posOffset>3985260</wp:posOffset>
                      </wp:positionH>
                      <wp:positionV relativeFrom="paragraph">
                        <wp:posOffset>30480</wp:posOffset>
                      </wp:positionV>
                      <wp:extent cx="640080" cy="288925"/>
                      <wp:effectExtent l="0" t="0" r="0" b="0"/>
                      <wp:wrapNone/>
                      <wp:docPr id="201" name="Text Box 12"/>
                      <wp:cNvGraphicFramePr/>
                      <a:graphic xmlns:a="http://schemas.openxmlformats.org/drawingml/2006/main">
                        <a:graphicData uri="http://schemas.microsoft.com/office/word/2010/wordprocessingShape">
                          <wps:wsp>
                            <wps:cNvSpPr txBox="1">
                              <a:spLocks noChangeArrowheads="1"/>
                            </wps:cNvSpPr>
                            <wps:spPr bwMode="auto">
                              <a:xfrm>
                                <a:off x="0" y="0"/>
                                <a:ext cx="640080" cy="288925"/>
                              </a:xfrm>
                              <a:prstGeom prst="rect">
                                <a:avLst/>
                              </a:prstGeom>
                              <a:noFill/>
                              <a:ln w="9525">
                                <a:noFill/>
                                <a:prstDash val="dash"/>
                                <a:miter lim="800000"/>
                              </a:ln>
                            </wps:spPr>
                            <wps:txbx>
                              <w:txbxContent>
                                <w:p w14:paraId="30E72B71">
                                  <w:pPr>
                                    <w:rPr>
                                      <w:rFonts w:hint="default" w:eastAsia="宋体"/>
                                      <w:lang w:val="en-US" w:eastAsia="zh-CN"/>
                                    </w:rPr>
                                  </w:pPr>
                                  <w:r>
                                    <w:rPr>
                                      <w:rFonts w:hint="eastAsia"/>
                                      <w:lang w:val="en-US" w:eastAsia="zh-CN"/>
                                    </w:rPr>
                                    <w:t>损耗</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313.8pt;margin-top:2.4pt;height:22.75pt;width:50.4pt;z-index:251757568;mso-width-relative:page;mso-height-relative:page;" filled="f" stroked="f" coordsize="21600,21600" o:gfxdata="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fLuVr9YAAAAIAQAADwAAAAAAAAABACAAAAAiAAAAZHJzL2Rvd25yZXYueG1sUEsBAhQAFAAAAAgA&#10;h07iQLKJ/nYnAgAATgQAAA4AAAAAAAAAAQAgAAAAJQEAAGRycy9lMm9Eb2MueG1sUEsFBgAAAAAG&#10;AAYAWQEAAL4FAAAAAA==&#10;">
                      <v:fill on="f" focussize="0,0"/>
                      <v:stroke on="f" miterlimit="8" joinstyle="miter" dashstyle="dash"/>
                      <v:imagedata o:title=""/>
                      <o:lock v:ext="edit" aspectratio="f"/>
                      <v:textbox>
                        <w:txbxContent>
                          <w:p w14:paraId="30E72B71">
                            <w:pPr>
                              <w:rPr>
                                <w:rFonts w:hint="default" w:eastAsia="宋体"/>
                                <w:lang w:val="en-US" w:eastAsia="zh-CN"/>
                              </w:rPr>
                            </w:pPr>
                            <w:r>
                              <w:rPr>
                                <w:rFonts w:hint="eastAsia"/>
                                <w:lang w:val="en-US" w:eastAsia="zh-CN"/>
                              </w:rPr>
                              <w:t>损耗</w:t>
                            </w:r>
                          </w:p>
                        </w:txbxContent>
                      </v:textbox>
                    </v:shape>
                  </w:pict>
                </mc:Fallback>
              </mc:AlternateContent>
            </w:r>
            <w:r>
              <mc:AlternateContent>
                <mc:Choice Requires="wps">
                  <w:drawing>
                    <wp:anchor distT="0" distB="0" distL="114300" distR="114300" simplePos="0" relativeHeight="251755520" behindDoc="0" locked="0" layoutInCell="1" allowOverlap="1">
                      <wp:simplePos x="0" y="0"/>
                      <wp:positionH relativeFrom="column">
                        <wp:posOffset>2472690</wp:posOffset>
                      </wp:positionH>
                      <wp:positionV relativeFrom="paragraph">
                        <wp:posOffset>38100</wp:posOffset>
                      </wp:positionV>
                      <wp:extent cx="1099185" cy="277495"/>
                      <wp:effectExtent l="4445" t="4445" r="20320" b="22860"/>
                      <wp:wrapNone/>
                      <wp:docPr id="198" name="Text Box 9"/>
                      <wp:cNvGraphicFramePr/>
                      <a:graphic xmlns:a="http://schemas.openxmlformats.org/drawingml/2006/main">
                        <a:graphicData uri="http://schemas.microsoft.com/office/word/2010/wordprocessingShape">
                          <wps:wsp>
                            <wps:cNvSpPr txBox="1">
                              <a:spLocks noChangeArrowheads="1"/>
                            </wps:cNvSpPr>
                            <wps:spPr bwMode="auto">
                              <a:xfrm>
                                <a:off x="0" y="0"/>
                                <a:ext cx="1099185" cy="277495"/>
                              </a:xfrm>
                              <a:prstGeom prst="rect">
                                <a:avLst/>
                              </a:prstGeom>
                              <a:solidFill>
                                <a:srgbClr val="FFFFFF"/>
                              </a:solidFill>
                              <a:ln w="9525">
                                <a:solidFill>
                                  <a:srgbClr val="000000"/>
                                </a:solidFill>
                                <a:miter lim="800000"/>
                              </a:ln>
                            </wps:spPr>
                            <wps:txbx>
                              <w:txbxContent>
                                <w:p w14:paraId="08FC0CBB">
                                  <w:pPr>
                                    <w:jc w:val="center"/>
                                    <w:rPr>
                                      <w:rFonts w:hint="default"/>
                                      <w:lang w:val="en-US"/>
                                    </w:rPr>
                                  </w:pPr>
                                  <w:r>
                                    <w:rPr>
                                      <w:rFonts w:hint="eastAsia"/>
                                      <w:lang w:val="en-US" w:eastAsia="zh-CN"/>
                                    </w:rPr>
                                    <w:t>不可预见用水</w:t>
                                  </w:r>
                                </w:p>
                              </w:txbxContent>
                            </wps:txbx>
                            <wps:bodyPr rot="0" vert="horz" wrap="square" lIns="91440" tIns="45720" rIns="91440" bIns="45720" anchor="t" anchorCtr="0" upright="1">
                              <a:noAutofit/>
                            </wps:bodyPr>
                          </wps:wsp>
                        </a:graphicData>
                      </a:graphic>
                    </wp:anchor>
                  </w:drawing>
                </mc:Choice>
                <mc:Fallback>
                  <w:pict>
                    <v:shape id="Text Box 9" o:spid="_x0000_s1026" o:spt="202" type="#_x0000_t202" style="position:absolute;left:0pt;margin-left:194.7pt;margin-top:3pt;height:21.85pt;width:86.55pt;z-index:251755520;mso-width-relative:page;mso-height-relative:page;" fillcolor="#FFFFFF" filled="t" stroked="t" coordsize="21600,21600" o:gfxdata="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T+Vj29gAAAAIAQAADwAAAAAAAAABACAAAAAiAAAAZHJzL2Rvd25yZXYueG1s&#10;UEsBAhQAFAAAAAgAh07iQFlN5McxAgAAiAQAAA4AAAAAAAAAAQAgAAAAJwEAAGRycy9lMm9Eb2Mu&#10;eG1sUEsFBgAAAAAGAAYAWQEAAMoFAAAAAA==&#10;">
                      <v:fill on="t" focussize="0,0"/>
                      <v:stroke color="#000000" miterlimit="8" joinstyle="miter"/>
                      <v:imagedata o:title=""/>
                      <o:lock v:ext="edit" aspectratio="f"/>
                      <v:textbox>
                        <w:txbxContent>
                          <w:p w14:paraId="08FC0CBB">
                            <w:pPr>
                              <w:jc w:val="center"/>
                              <w:rPr>
                                <w:rFonts w:hint="default"/>
                                <w:lang w:val="en-US"/>
                              </w:rPr>
                            </w:pPr>
                            <w:r>
                              <w:rPr>
                                <w:rFonts w:hint="eastAsia"/>
                                <w:lang w:val="en-US" w:eastAsia="zh-CN"/>
                              </w:rPr>
                              <w:t>不可预见用水</w:t>
                            </w:r>
                          </w:p>
                        </w:txbxContent>
                      </v:textbox>
                    </v:shape>
                  </w:pict>
                </mc:Fallback>
              </mc:AlternateContent>
            </w:r>
            <w:r>
              <mc:AlternateContent>
                <mc:Choice Requires="wps">
                  <w:drawing>
                    <wp:anchor distT="0" distB="0" distL="114300" distR="114300" simplePos="0" relativeHeight="251754496" behindDoc="0" locked="0" layoutInCell="1" allowOverlap="1">
                      <wp:simplePos x="0" y="0"/>
                      <wp:positionH relativeFrom="column">
                        <wp:posOffset>1867535</wp:posOffset>
                      </wp:positionH>
                      <wp:positionV relativeFrom="paragraph">
                        <wp:posOffset>177165</wp:posOffset>
                      </wp:positionV>
                      <wp:extent cx="616585" cy="2540"/>
                      <wp:effectExtent l="0" t="38100" r="12065" b="35560"/>
                      <wp:wrapNone/>
                      <wp:docPr id="200" name="AutoShape 8"/>
                      <wp:cNvGraphicFramePr/>
                      <a:graphic xmlns:a="http://schemas.openxmlformats.org/drawingml/2006/main">
                        <a:graphicData uri="http://schemas.microsoft.com/office/word/2010/wordprocessingShape">
                          <wps:wsp>
                            <wps:cNvCnPr>
                              <a:cxnSpLocks noChangeShapeType="1"/>
                            </wps:cNvCnPr>
                            <wps:spPr bwMode="auto">
                              <a:xfrm flipV="1">
                                <a:off x="0" y="0"/>
                                <a:ext cx="616585" cy="2540"/>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flip:y;margin-left:147.05pt;margin-top:13.95pt;height:0.2pt;width:48.55pt;z-index:251754496;mso-width-relative:page;mso-height-relative:page;" filled="f" stroked="t" coordsize="21600,21600" o:gfxdata="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65VvotgAAAAJAQAADwAAAAAAAAABACAAAAAiAAAAZHJzL2Rvd25yZXYueG1s&#10;UEsBAhQAFAAAAAgAh07iQBMTxv34AQAA7gMAAA4AAAAAAAAAAQAgAAAAJwEAAGRycy9lMm9Eb2Mu&#10;eG1sUEsFBgAAAAAGAAYAWQEAAJE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56544" behindDoc="0" locked="0" layoutInCell="1" allowOverlap="1">
                      <wp:simplePos x="0" y="0"/>
                      <wp:positionH relativeFrom="column">
                        <wp:posOffset>3571875</wp:posOffset>
                      </wp:positionH>
                      <wp:positionV relativeFrom="paragraph">
                        <wp:posOffset>175260</wp:posOffset>
                      </wp:positionV>
                      <wp:extent cx="413385" cy="1905"/>
                      <wp:effectExtent l="0" t="37465" r="5715" b="36830"/>
                      <wp:wrapNone/>
                      <wp:docPr id="197" name="AutoShape 8"/>
                      <wp:cNvGraphicFramePr/>
                      <a:graphic xmlns:a="http://schemas.openxmlformats.org/drawingml/2006/main">
                        <a:graphicData uri="http://schemas.microsoft.com/office/word/2010/wordprocessingShape">
                          <wps:wsp>
                            <wps:cNvCnPr>
                              <a:cxnSpLocks noChangeShapeType="1"/>
                              <a:stCxn id="198" idx="3"/>
                              <a:endCxn id="201" idx="1"/>
                            </wps:cNvCnPr>
                            <wps:spPr bwMode="auto">
                              <a:xfrm flipV="1">
                                <a:off x="0" y="0"/>
                                <a:ext cx="413385" cy="1905"/>
                              </a:xfrm>
                              <a:prstGeom prst="straightConnector1">
                                <a:avLst/>
                              </a:prstGeom>
                              <a:noFill/>
                              <a:ln w="9525">
                                <a:solidFill>
                                  <a:srgbClr val="000000"/>
                                </a:solidFill>
                                <a:round/>
                                <a:tailEnd type="triangle" w="med" len="med"/>
                              </a:ln>
                            </wps:spPr>
                            <wps:bodyPr/>
                          </wps:wsp>
                        </a:graphicData>
                      </a:graphic>
                    </wp:anchor>
                  </w:drawing>
                </mc:Choice>
                <mc:Fallback>
                  <w:pict>
                    <v:shape id="AutoShape 8" o:spid="_x0000_s1026" o:spt="32" type="#_x0000_t32" style="position:absolute;left:0pt;flip:y;margin-left:281.25pt;margin-top:13.8pt;height:0.15pt;width:32.55pt;z-index:251756544;mso-width-relative:page;mso-height-relative:page;" filled="f" stroked="t" coordsize="21600,21600" o:gfxdata="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bva009cAAAAJAQAADwAAAAAAAAAB&#10;ACAAAAAiAAAAZHJzL2Rvd25yZXYueG1sUEsBAhQAFAAAAAgAh07iQHyTkIoRAgAAJQQAAA4AAAAA&#10;AAAAAQAgAAAAJgEAAGRycy9lMm9Eb2MueG1sUEsFBgAAAAAGAAYAWQEAAKkFAAAAAA==&#10;">
                      <v:fill on="f" focussize="0,0"/>
                      <v:stroke color="#000000" joinstyle="round" endarrow="block"/>
                      <v:imagedata o:title=""/>
                      <o:lock v:ext="edit" aspectratio="f"/>
                    </v:shape>
                  </w:pict>
                </mc:Fallback>
              </mc:AlternateContent>
            </w:r>
          </w:p>
          <w:p w14:paraId="66146ACF">
            <w:pPr>
              <w:rPr>
                <w:rFonts w:hint="default" w:ascii="Times New Roman" w:hAnsi="Times New Roman" w:cs="Times New Roman"/>
                <w:b/>
                <w:bCs w:val="0"/>
                <w:color w:val="auto"/>
                <w:sz w:val="24"/>
                <w:szCs w:val="24"/>
                <w:u w:val="none"/>
                <w:lang w:val="en-US" w:eastAsia="zh-CN"/>
              </w:rPr>
            </w:pPr>
          </w:p>
          <w:p w14:paraId="68F721DC">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u w:val="single"/>
                <w:lang w:val="en-US" w:eastAsia="zh-CN"/>
              </w:rPr>
            </w:pPr>
            <w:r>
              <w:rPr>
                <w:rFonts w:hint="eastAsia" w:ascii="Times New Roman" w:hAnsi="Times New Roman" w:cs="Times New Roman"/>
                <w:b/>
                <w:bCs w:val="0"/>
                <w:sz w:val="24"/>
                <w:szCs w:val="21"/>
                <w:u w:val="single"/>
                <w:lang w:val="en-US" w:eastAsia="zh-CN"/>
              </w:rPr>
              <w:t>图</w:t>
            </w:r>
            <w:r>
              <w:rPr>
                <w:rFonts w:hint="default" w:ascii="Times New Roman" w:hAnsi="Times New Roman" w:cs="Times New Roman"/>
                <w:b/>
                <w:bCs w:val="0"/>
                <w:sz w:val="24"/>
                <w:szCs w:val="21"/>
                <w:u w:val="single"/>
                <w:lang w:val="en-US" w:eastAsia="zh-CN"/>
              </w:rPr>
              <w:t>2-</w:t>
            </w:r>
            <w:r>
              <w:rPr>
                <w:rFonts w:hint="eastAsia" w:ascii="Times New Roman" w:hAnsi="Times New Roman" w:cs="Times New Roman"/>
                <w:b/>
                <w:bCs w:val="0"/>
                <w:sz w:val="24"/>
                <w:szCs w:val="21"/>
                <w:u w:val="single"/>
                <w:lang w:val="en-US" w:eastAsia="zh-CN"/>
              </w:rPr>
              <w:t>1</w:t>
            </w:r>
            <w:r>
              <w:rPr>
                <w:rFonts w:hint="default" w:ascii="Times New Roman" w:hAnsi="Times New Roman" w:cs="Times New Roman"/>
                <w:b/>
                <w:bCs w:val="0"/>
                <w:sz w:val="24"/>
                <w:szCs w:val="21"/>
                <w:u w:val="single"/>
                <w:lang w:val="en-US" w:eastAsia="zh-CN"/>
              </w:rPr>
              <w:t xml:space="preserve"> 项目</w:t>
            </w:r>
            <w:r>
              <w:rPr>
                <w:rFonts w:hint="eastAsia" w:ascii="Times New Roman" w:hAnsi="Times New Roman" w:cs="Times New Roman"/>
                <w:b/>
                <w:bCs w:val="0"/>
                <w:sz w:val="24"/>
                <w:szCs w:val="21"/>
                <w:u w:val="single"/>
                <w:lang w:val="en-US" w:eastAsia="zh-CN"/>
              </w:rPr>
              <w:t xml:space="preserve">运营期水平衡分析示意图   </w:t>
            </w:r>
            <w:r>
              <w:rPr>
                <w:rFonts w:hint="eastAsia" w:ascii="Times New Roman" w:hAnsi="Times New Roman" w:cs="Times New Roman"/>
                <w:b w:val="0"/>
                <w:bCs/>
                <w:sz w:val="21"/>
                <w:szCs w:val="18"/>
                <w:u w:val="single"/>
                <w:lang w:val="en-US" w:eastAsia="zh-CN"/>
              </w:rPr>
              <w:t>单位t/d</w:t>
            </w:r>
          </w:p>
          <w:p w14:paraId="712C436A">
            <w:pPr>
              <w:rPr>
                <w:rFonts w:hint="default" w:ascii="Times New Roman" w:hAnsi="Times New Roman" w:cs="Times New Roman"/>
                <w:b/>
                <w:bCs w:val="0"/>
                <w:color w:val="auto"/>
                <w:sz w:val="24"/>
                <w:szCs w:val="24"/>
                <w:u w:val="none"/>
                <w:lang w:val="en-US" w:eastAsia="zh-CN"/>
              </w:rPr>
            </w:pPr>
          </w:p>
          <w:p w14:paraId="461B4C1B">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6、劳动定员与工作制度</w:t>
            </w:r>
          </w:p>
          <w:p w14:paraId="32C1C1FB">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本项目劳动定员72名员工，四班三倒制，每班8小时，全年连续运转365天，厂区内不设置食堂、宿舍。</w:t>
            </w:r>
          </w:p>
          <w:p w14:paraId="5D892426">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7、</w:t>
            </w:r>
            <w:r>
              <w:rPr>
                <w:rFonts w:hint="default" w:ascii="Times New Roman" w:hAnsi="Times New Roman" w:cs="Times New Roman"/>
                <w:b/>
                <w:bCs w:val="0"/>
                <w:color w:val="auto"/>
                <w:sz w:val="24"/>
                <w:szCs w:val="24"/>
                <w:u w:val="none"/>
                <w:lang w:val="en-US" w:eastAsia="zh-CN"/>
              </w:rPr>
              <w:t>平面布置</w:t>
            </w:r>
          </w:p>
          <w:p w14:paraId="4BF91BAD">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本项目位于市制水一厂现有占地厂区范围内，现有厂区呈不规则矩形。厂区包括办公区、生产区、辅助配套区。</w:t>
            </w:r>
          </w:p>
          <w:p w14:paraId="1D1574DE">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其中生产区包括三条净水生产线，西南侧为四万吨净水线、中部为五万吨净水线、东侧为十万吨净水线；办公区位于厂区西北侧，辅助配套区（包括配电、排泥水池、库房等）位于厂区北侧。</w:t>
            </w:r>
          </w:p>
          <w:p w14:paraId="17C87488">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项目总体布局简洁，建筑、构筑物的布置满足工艺流程的顺畅，便于物流人流畅通，</w:t>
            </w:r>
            <w:r>
              <w:rPr>
                <w:rFonts w:hint="eastAsia" w:ascii="Times New Roman" w:hAnsi="Times New Roman" w:cs="Times New Roman"/>
                <w:color w:val="auto"/>
                <w:sz w:val="24"/>
                <w:szCs w:val="24"/>
                <w:u w:val="none"/>
                <w:lang w:val="en-US" w:eastAsia="zh-CN"/>
              </w:rPr>
              <w:t>同时满足卫生防疫</w:t>
            </w:r>
            <w:r>
              <w:rPr>
                <w:rFonts w:hint="default" w:ascii="Times New Roman" w:hAnsi="Times New Roman" w:cs="Times New Roman"/>
                <w:color w:val="auto"/>
                <w:sz w:val="24"/>
                <w:szCs w:val="24"/>
                <w:u w:val="none"/>
                <w:lang w:val="en-US" w:eastAsia="zh-CN"/>
              </w:rPr>
              <w:t>、消防安全要求。</w:t>
            </w:r>
            <w:r>
              <w:rPr>
                <w:rFonts w:hint="eastAsia" w:ascii="Times New Roman" w:hAnsi="Times New Roman" w:cs="Times New Roman"/>
                <w:color w:val="auto"/>
                <w:sz w:val="24"/>
                <w:szCs w:val="24"/>
                <w:u w:val="none"/>
                <w:lang w:val="en-US" w:eastAsia="zh-CN"/>
              </w:rPr>
              <w:t>自来水厂厂区平面布设符合《城市给水工程项目规范》（GB 55026-2022）中关于厂区布设要求规定，平面布置满足各建（构）筑物的功能、运行和维护的要求，主要建（构）筑物之间应通行方便，同时采取保障安全的措施。防火间距符合国家规定的消防要求，主要风险单元加氯间设施采取防泄漏、防爆和泄压措施。</w:t>
            </w:r>
          </w:p>
          <w:p w14:paraId="332DCB23">
            <w:pPr>
              <w:pStyle w:val="40"/>
              <w:keepNext w:val="0"/>
              <w:keepLines w:val="0"/>
              <w:pageBreakBefore w:val="0"/>
              <w:widowControl w:val="0"/>
              <w:kinsoku/>
              <w:wordWrap/>
              <w:overflowPunct/>
              <w:topLinePunct w:val="0"/>
              <w:autoSpaceDE/>
              <w:autoSpaceDN/>
              <w:bidi w:val="0"/>
              <w:adjustRightInd/>
              <w:snapToGrid/>
              <w:ind w:firstLine="480"/>
              <w:textAlignment w:val="auto"/>
            </w:pPr>
            <w:r>
              <w:rPr>
                <w:rFonts w:hint="default" w:ascii="Times New Roman" w:hAnsi="Times New Roman" w:cs="Times New Roman"/>
                <w:color w:val="auto"/>
                <w:sz w:val="24"/>
                <w:szCs w:val="24"/>
                <w:u w:val="none"/>
                <w:lang w:val="en-US" w:eastAsia="zh-CN"/>
              </w:rPr>
              <w:t>综上分析，项目平面布置合理，项目总平面布置见附图2。</w:t>
            </w:r>
          </w:p>
        </w:tc>
      </w:tr>
      <w:tr w14:paraId="1929DF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3" w:type="dxa"/>
            <w:noWrap w:val="0"/>
            <w:vAlign w:val="center"/>
          </w:tcPr>
          <w:p w14:paraId="4D7BA2F6">
            <w:pPr>
              <w:pStyle w:val="23"/>
              <w:adjustRightInd w:val="0"/>
              <w:snapToGrid w:val="0"/>
              <w:spacing w:before="0" w:beforeAutospacing="0" w:after="0" w:afterAutospacing="0"/>
              <w:jc w:val="center"/>
              <w:rPr>
                <w:rFonts w:cs="宋体"/>
                <w:sz w:val="24"/>
                <w:szCs w:val="24"/>
              </w:rPr>
            </w:pPr>
            <w:r>
              <w:rPr>
                <w:rFonts w:hint="eastAsia" w:cs="宋体"/>
                <w:sz w:val="24"/>
                <w:szCs w:val="24"/>
              </w:rPr>
              <w:t>工艺流程和产排污环节</w:t>
            </w:r>
          </w:p>
        </w:tc>
        <w:tc>
          <w:tcPr>
            <w:tcW w:w="8161" w:type="dxa"/>
            <w:noWrap w:val="0"/>
            <w:vAlign w:val="top"/>
          </w:tcPr>
          <w:p w14:paraId="14449D7E">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eastAsia"/>
                <w:b/>
                <w:bCs w:val="0"/>
                <w:sz w:val="24"/>
                <w:szCs w:val="24"/>
                <w:lang w:val="en-US" w:eastAsia="zh-CN"/>
              </w:rPr>
            </w:pPr>
            <w:r>
              <w:rPr>
                <w:rFonts w:hint="eastAsia"/>
                <w:b/>
                <w:bCs w:val="0"/>
                <w:sz w:val="24"/>
                <w:szCs w:val="24"/>
                <w:lang w:val="en-US" w:eastAsia="zh-CN"/>
              </w:rPr>
              <w:t>一、施工期</w:t>
            </w:r>
          </w:p>
          <w:p w14:paraId="456CF494">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本项目始建于1970年，前后进行3次改扩建工程，并于1976年、1984年和1992陆续扩建完成。大型土建施工期已基本结束，本次评价不再对其施工期进行评价。</w:t>
            </w:r>
          </w:p>
          <w:p w14:paraId="18C66E32">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本次评价对</w:t>
            </w:r>
            <w:r>
              <w:rPr>
                <w:rFonts w:hint="eastAsia" w:ascii="Times New Roman" w:hAnsi="Times New Roman" w:cs="Times New Roman"/>
                <w:color w:val="auto"/>
                <w:sz w:val="24"/>
                <w:szCs w:val="24"/>
                <w:u w:val="single"/>
                <w:lang w:val="en-US" w:eastAsia="zh-CN"/>
              </w:rPr>
              <w:t>现有工程未建设危险废物暂存</w:t>
            </w:r>
            <w:r>
              <w:rPr>
                <w:rFonts w:hint="eastAsia" w:ascii="Times New Roman" w:hAnsi="Times New Roman" w:cs="Times New Roman"/>
                <w:color w:val="auto"/>
                <w:sz w:val="24"/>
                <w:szCs w:val="24"/>
                <w:highlight w:val="none"/>
                <w:u w:val="single"/>
                <w:lang w:val="en-US" w:eastAsia="zh-CN"/>
              </w:rPr>
              <w:t>间，并对现有环境风险防范措施方面不足地方提出整改要求；整改工程在现有工</w:t>
            </w:r>
            <w:r>
              <w:rPr>
                <w:rFonts w:hint="eastAsia" w:ascii="Times New Roman" w:hAnsi="Times New Roman" w:cs="Times New Roman"/>
                <w:color w:val="auto"/>
                <w:sz w:val="24"/>
                <w:szCs w:val="24"/>
                <w:u w:val="single"/>
                <w:lang w:val="en-US" w:eastAsia="zh-CN"/>
              </w:rPr>
              <w:t>程厂区范围内进行，施工过程较为简单</w:t>
            </w:r>
            <w:r>
              <w:rPr>
                <w:rFonts w:hint="eastAsia" w:ascii="Times New Roman" w:hAnsi="Times New Roman" w:cs="Times New Roman"/>
                <w:color w:val="auto"/>
                <w:sz w:val="24"/>
                <w:szCs w:val="24"/>
                <w:u w:val="none"/>
                <w:lang w:val="en-US" w:eastAsia="zh-CN"/>
              </w:rPr>
              <w:t>，不再详细评述其施工期。</w:t>
            </w:r>
          </w:p>
          <w:p w14:paraId="014FCDE5">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eastAsia"/>
                <w:b/>
                <w:bCs w:val="0"/>
                <w:sz w:val="24"/>
                <w:szCs w:val="24"/>
                <w:lang w:val="en-US" w:eastAsia="zh-CN"/>
              </w:rPr>
            </w:pPr>
            <w:r>
              <w:rPr>
                <w:rFonts w:hint="eastAsia"/>
                <w:b/>
                <w:bCs w:val="0"/>
                <w:sz w:val="24"/>
                <w:szCs w:val="24"/>
                <w:lang w:val="en-US" w:eastAsia="zh-CN"/>
              </w:rPr>
              <w:t>二、运营期</w:t>
            </w:r>
          </w:p>
          <w:p w14:paraId="185C7CB7">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自来水厂主体生产工艺为净水生产，包括三条净水生产线，分为1#净水生产线（设计规模4万m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/d）、2#净水生产线（5万m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/d）、3#净水生产线（10万m</w:t>
            </w:r>
            <w:r>
              <w:rPr>
                <w:rFonts w:hint="eastAsia" w:ascii="Times New Roman" w:hAnsi="Times New Roman" w:cs="Times New Roman"/>
                <w:color w:val="auto"/>
                <w:sz w:val="24"/>
                <w:szCs w:val="24"/>
                <w:u w:val="none"/>
                <w:vertAlign w:val="superscript"/>
                <w:lang w:val="en-US" w:eastAsia="zh-CN"/>
              </w:rPr>
              <w:t>3</w:t>
            </w:r>
            <w:r>
              <w:rPr>
                <w:rFonts w:hint="eastAsia" w:ascii="Times New Roman" w:hAnsi="Times New Roman" w:cs="Times New Roman"/>
                <w:color w:val="auto"/>
                <w:sz w:val="24"/>
                <w:szCs w:val="24"/>
                <w:u w:val="none"/>
                <w:lang w:val="en-US" w:eastAsia="zh-CN"/>
              </w:rPr>
              <w:t>/d），均采用传统的絮凝沉淀、过滤消毒的净水工艺，厂区配套反冲洗水回收及泥水处理工艺。主要工艺流程见下：</w:t>
            </w:r>
          </w:p>
          <w:p w14:paraId="6B208047">
            <w:pPr>
              <w:pStyle w:val="4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drawing>
                <wp:inline distT="0" distB="0" distL="114300" distR="114300">
                  <wp:extent cx="3930650" cy="1698625"/>
                  <wp:effectExtent l="0" t="0" r="12700" b="158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5"/>
                          <a:srcRect t="13149"/>
                          <a:stretch>
                            <a:fillRect/>
                          </a:stretch>
                        </pic:blipFill>
                        <pic:spPr>
                          <a:xfrm>
                            <a:off x="0" y="0"/>
                            <a:ext cx="3930650" cy="1698625"/>
                          </a:xfrm>
                          <a:prstGeom prst="rect">
                            <a:avLst/>
                          </a:prstGeom>
                          <a:noFill/>
                          <a:ln>
                            <a:noFill/>
                          </a:ln>
                        </pic:spPr>
                      </pic:pic>
                    </a:graphicData>
                  </a:graphic>
                </wp:inline>
              </w:drawing>
            </w:r>
          </w:p>
          <w:p w14:paraId="1C1F4222">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图2-2 项目1#净水生产线生产工艺流程示意图</w:t>
            </w:r>
          </w:p>
          <w:p w14:paraId="68DA5618">
            <w:pPr>
              <w:pStyle w:val="4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drawing>
                <wp:inline distT="0" distB="0" distL="114300" distR="114300">
                  <wp:extent cx="3784600" cy="1750695"/>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6"/>
                          <a:srcRect t="12476"/>
                          <a:stretch>
                            <a:fillRect/>
                          </a:stretch>
                        </pic:blipFill>
                        <pic:spPr>
                          <a:xfrm>
                            <a:off x="0" y="0"/>
                            <a:ext cx="3784600" cy="1750695"/>
                          </a:xfrm>
                          <a:prstGeom prst="rect">
                            <a:avLst/>
                          </a:prstGeom>
                          <a:noFill/>
                          <a:ln>
                            <a:noFill/>
                          </a:ln>
                        </pic:spPr>
                      </pic:pic>
                    </a:graphicData>
                  </a:graphic>
                </wp:inline>
              </w:drawing>
            </w:r>
          </w:p>
          <w:p w14:paraId="2DC91D95">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图2-3 项目2#净水生产线生产工艺流程示意图</w:t>
            </w:r>
          </w:p>
          <w:p w14:paraId="02EBC009">
            <w:pPr>
              <w:pStyle w:val="40"/>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drawing>
                <wp:inline distT="0" distB="0" distL="114300" distR="114300">
                  <wp:extent cx="3843655" cy="1900555"/>
                  <wp:effectExtent l="0" t="0" r="4445" b="444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7"/>
                          <a:srcRect t="16825"/>
                          <a:stretch>
                            <a:fillRect/>
                          </a:stretch>
                        </pic:blipFill>
                        <pic:spPr>
                          <a:xfrm>
                            <a:off x="0" y="0"/>
                            <a:ext cx="3843655" cy="1900555"/>
                          </a:xfrm>
                          <a:prstGeom prst="rect">
                            <a:avLst/>
                          </a:prstGeom>
                          <a:noFill/>
                          <a:ln>
                            <a:noFill/>
                          </a:ln>
                        </pic:spPr>
                      </pic:pic>
                    </a:graphicData>
                  </a:graphic>
                </wp:inline>
              </w:drawing>
            </w:r>
          </w:p>
          <w:p w14:paraId="02412387">
            <w:pPr>
              <w:pStyle w:val="4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图2-4 项目3#净水生产线生产工艺流程示意图</w:t>
            </w:r>
          </w:p>
          <w:p w14:paraId="2E62ABBB">
            <w:pPr>
              <w:pStyle w:val="40"/>
              <w:bidi w:val="0"/>
              <w:ind w:left="0" w:leftChars="0" w:firstLine="0" w:firstLineChars="0"/>
              <w:rPr>
                <w:color w:val="auto"/>
              </w:rPr>
            </w:pPr>
            <w:r>
              <w:rPr>
                <w:rFonts w:hint="eastAsia" w:ascii="宋体" w:hAnsi="宋体" w:eastAsia="宋体" w:cs="宋体"/>
                <w:b/>
                <w:bCs/>
                <w:color w:val="auto"/>
                <w:kern w:val="0"/>
                <w:sz w:val="24"/>
                <w:szCs w:val="24"/>
                <w:lang w:val="en-US" w:eastAsia="zh-CN" w:bidi="ar"/>
              </w:rPr>
              <w:t>工艺流程简述：</w:t>
            </w:r>
          </w:p>
          <w:p w14:paraId="00F54AAB">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1、自来水生产供应流程</w:t>
            </w:r>
          </w:p>
          <w:p w14:paraId="5246396C">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上述三条净水生产线工艺流程相似，仅反应池构造略有区别、3#十万方净水生产线采用气水反冲洗滤池。</w:t>
            </w:r>
          </w:p>
          <w:p w14:paraId="412196A8">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single"/>
                <w:lang w:val="en-US" w:eastAsia="zh-CN"/>
              </w:rPr>
            </w:pPr>
            <w:r>
              <w:rPr>
                <w:rFonts w:hint="eastAsia" w:ascii="Times New Roman" w:hAnsi="Times New Roman" w:cs="Times New Roman"/>
                <w:color w:val="auto"/>
                <w:sz w:val="24"/>
                <w:szCs w:val="24"/>
                <w:u w:val="single"/>
                <w:lang w:val="en-US" w:eastAsia="zh-CN"/>
              </w:rPr>
              <w:t>液氯气化工艺：液氯在6~7个大气压下为液态，体积较气态时缩小457倍，储存在液氯钢瓶中的液氯压力一般为2Mpa，常温常压下会自然气化。加氯间气瓶放置在氯瓶秤上，通过汇流排、柔性连接管将液氯导出，设置压力自动切换系统保障连续供气。液氯经真空调节器减压后自然气化，再经过滤器去除杂质，气态氯进入全真空加氯机，经转子流量计计量后，由水射器与压力水充分混合溶解，形成氯水，投加到净水厂厂区内进水混合池、出水前清水池中的水体完成加氯过程。前加氯采用流量比例控制，后加氯采用流量-余氯复合环控制，保障投加精度，避免消毒副产物超标。</w:t>
            </w:r>
          </w:p>
          <w:p w14:paraId="55A88780">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Style w:val="27"/>
                <w:rFonts w:ascii="Arial" w:hAnsi="Arial" w:eastAsia="Arial" w:cs="Arial"/>
                <w:b/>
                <w:bCs/>
                <w:i w:val="0"/>
                <w:iCs w:val="0"/>
                <w:caps w:val="0"/>
                <w:color w:val="333333"/>
                <w:spacing w:val="0"/>
                <w:sz w:val="24"/>
                <w:szCs w:val="24"/>
                <w:shd w:val="clear" w:fill="FFFFFF"/>
              </w:rPr>
              <w:t>絮凝反应：</w:t>
            </w:r>
            <w:r>
              <w:rPr>
                <w:rFonts w:hint="eastAsia" w:ascii="Times New Roman" w:hAnsi="Times New Roman" w:cs="Times New Roman"/>
                <w:color w:val="auto"/>
                <w:sz w:val="24"/>
                <w:szCs w:val="24"/>
                <w:u w:val="none"/>
                <w:lang w:val="en-US" w:eastAsia="zh-CN"/>
              </w:rPr>
              <w:t>1#和2#净水生产线的取水原水进入巴氏槽后，会进行一次加氯。加氯一方面可以预氧化水中有机物，破坏水中藻类、细菌的细胞结构，起到初步消毒作用；另一方面能改善后续絮凝效果，让水中杂质更易聚集。1#净水生产线的原水</w:t>
            </w:r>
            <w:r>
              <w:rPr>
                <w:rFonts w:ascii="Arial" w:hAnsi="Arial" w:eastAsia="Arial" w:cs="Arial"/>
                <w:i w:val="0"/>
                <w:iCs w:val="0"/>
                <w:caps w:val="0"/>
                <w:color w:val="auto"/>
                <w:spacing w:val="0"/>
                <w:sz w:val="24"/>
                <w:szCs w:val="24"/>
                <w:shd w:val="clear" w:fill="FFFFFF"/>
              </w:rPr>
              <w:t>在折板反应池中，折板的设计能让水流产生紊流，延长水的停留时间，</w:t>
            </w:r>
            <w:r>
              <w:rPr>
                <w:rFonts w:hint="eastAsia" w:ascii="Times New Roman" w:hAnsi="Times New Roman" w:cs="Times New Roman"/>
                <w:color w:val="auto"/>
                <w:sz w:val="24"/>
                <w:szCs w:val="24"/>
                <w:u w:val="none"/>
                <w:lang w:val="en-US" w:eastAsia="zh-CN"/>
              </w:rPr>
              <w:t>会投加絮凝剂（如聚合氯化铝等），</w:t>
            </w:r>
            <w:r>
              <w:rPr>
                <w:rFonts w:ascii="Arial" w:hAnsi="Arial" w:eastAsia="Arial" w:cs="Arial"/>
                <w:i w:val="0"/>
                <w:iCs w:val="0"/>
                <w:caps w:val="0"/>
                <w:color w:val="auto"/>
                <w:spacing w:val="0"/>
                <w:sz w:val="24"/>
                <w:szCs w:val="24"/>
                <w:shd w:val="clear" w:fill="FFFFFF"/>
              </w:rPr>
              <w:t>让絮凝剂与水中杂质充分接触，使微小杂质持续聚集形成更大、更易沉降的絮体，保证絮凝反应充分进行。</w:t>
            </w:r>
            <w:r>
              <w:rPr>
                <w:rFonts w:hint="eastAsia" w:ascii="Times New Roman" w:hAnsi="Times New Roman" w:cs="Times New Roman"/>
                <w:color w:val="auto"/>
                <w:sz w:val="24"/>
                <w:szCs w:val="24"/>
                <w:u w:val="none"/>
                <w:lang w:val="en-US" w:eastAsia="zh-CN"/>
              </w:rPr>
              <w:t>2#净水生产线的原水在回流隔板反应池中，会投加絮凝剂（如聚合氯化铝等），絮凝剂电离出的金属离子会水解生成带正电的胶体，吸附水中带负电的悬浮颗粒、胶体杂质，让微小杂质脱稳聚集形成大絮体。回流隔板的设计能延长水的停留时间，让絮凝反应更充分，保证杂质充分聚集。</w:t>
            </w:r>
          </w:p>
          <w:p w14:paraId="3448F733">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3#净水生产线的取水原水</w:t>
            </w:r>
            <w:r>
              <w:rPr>
                <w:rFonts w:ascii="Arial" w:hAnsi="Arial" w:eastAsia="Arial" w:cs="Arial"/>
                <w:i w:val="0"/>
                <w:iCs w:val="0"/>
                <w:caps w:val="0"/>
                <w:color w:val="auto"/>
                <w:spacing w:val="0"/>
                <w:sz w:val="24"/>
                <w:szCs w:val="24"/>
                <w:shd w:val="clear" w:fill="FFFFFF"/>
              </w:rPr>
              <w:t>进入上下流网格反应池后，会进行一次加氯。加氯一方面可以预氧化水中有机物，破坏水中藻类、细菌的细胞结构，起到初步消毒作用；另一方面能改善后续絮凝效果，让水中杂质更易聚集。同时在此环节投加絮凝剂，絮凝剂电离出的金属离子会水解生成带正电的胶体，吸附水中带负电的悬浮颗粒、胶体杂质，让微小杂质脱稳聚集形成大絮体。上下流网格的设计能通过网格的切割、分流作用，让水流产生紊流，延长水的停留时间，让絮凝反应更充分，保证杂质充分聚集</w:t>
            </w:r>
            <w:r>
              <w:rPr>
                <w:rFonts w:hint="eastAsia" w:ascii="Arial" w:hAnsi="Arial" w:eastAsia="宋体" w:cs="Arial"/>
                <w:i w:val="0"/>
                <w:iCs w:val="0"/>
                <w:caps w:val="0"/>
                <w:color w:val="auto"/>
                <w:spacing w:val="0"/>
                <w:sz w:val="24"/>
                <w:szCs w:val="24"/>
                <w:shd w:val="clear" w:fill="FFFFFF"/>
                <w:lang w:eastAsia="zh-CN"/>
              </w:rPr>
              <w:t>。</w:t>
            </w:r>
          </w:p>
          <w:p w14:paraId="533732EE">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沉淀分离：</w:t>
            </w:r>
            <w:r>
              <w:rPr>
                <w:rFonts w:hint="eastAsia" w:ascii="Times New Roman" w:hAnsi="Times New Roman" w:cs="Times New Roman"/>
                <w:color w:val="auto"/>
                <w:sz w:val="24"/>
                <w:szCs w:val="24"/>
                <w:u w:val="none"/>
                <w:lang w:val="en-US" w:eastAsia="zh-CN"/>
              </w:rPr>
              <w:t>经过反应池的水进入斜管沉淀池，大絮体在重力作用下向池底沉降，斜管的设计能缩短沉降距离，提升沉淀效率，让水中的悬浮絮体快速和水分离，大幅降低水的浊度。此环节沉淀后池体排出排泥水，经收集系统排入厂区的排泥水处理系统。</w:t>
            </w:r>
          </w:p>
          <w:p w14:paraId="014FAF10">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Arial" w:hAnsi="Arial" w:eastAsia="Arial" w:cs="Arial"/>
                <w:i w:val="0"/>
                <w:iCs w:val="0"/>
                <w:caps w:val="0"/>
                <w:color w:val="auto"/>
                <w:spacing w:val="0"/>
                <w:sz w:val="24"/>
                <w:szCs w:val="24"/>
                <w:shd w:val="clear" w:fill="FFFFFF"/>
              </w:rPr>
            </w:pPr>
            <w:r>
              <w:rPr>
                <w:rFonts w:hint="eastAsia" w:ascii="Times New Roman" w:hAnsi="Times New Roman" w:cs="Times New Roman"/>
                <w:b/>
                <w:bCs w:val="0"/>
                <w:color w:val="auto"/>
                <w:sz w:val="24"/>
                <w:szCs w:val="24"/>
                <w:u w:val="none"/>
                <w:lang w:val="en-US" w:eastAsia="zh-CN"/>
              </w:rPr>
              <w:t>深度过滤：</w:t>
            </w:r>
            <w:r>
              <w:rPr>
                <w:rFonts w:hint="eastAsia" w:ascii="Times New Roman" w:hAnsi="Times New Roman" w:cs="Times New Roman"/>
                <w:color w:val="auto"/>
                <w:sz w:val="24"/>
                <w:szCs w:val="24"/>
                <w:u w:val="none"/>
                <w:lang w:val="en-US" w:eastAsia="zh-CN"/>
              </w:rPr>
              <w:t>1#和2#净水生产线采用虹吸滤池，沉淀后的水进入虹吸滤池，通过滤料层（如石英砂等）的截留、吸附作用，去除水中残留的微小絮体、悬浮杂质，进一步提升水的清澈度。此环节后进行二次加氯，保证后续输水过程中水的生物安全性，抑制管道中微生物滋生。3#净水生产线采用</w:t>
            </w:r>
            <w:r>
              <w:rPr>
                <w:rStyle w:val="27"/>
                <w:rFonts w:ascii="Arial" w:hAnsi="Arial" w:eastAsia="Arial" w:cs="Arial"/>
                <w:b/>
                <w:bCs/>
                <w:i w:val="0"/>
                <w:iCs w:val="0"/>
                <w:caps w:val="0"/>
                <w:color w:val="auto"/>
                <w:spacing w:val="0"/>
                <w:sz w:val="24"/>
                <w:szCs w:val="24"/>
                <w:shd w:val="clear" w:fill="FFFFFF"/>
              </w:rPr>
              <w:t>气</w:t>
            </w:r>
            <w:r>
              <w:rPr>
                <w:rStyle w:val="27"/>
                <w:rFonts w:ascii="Arial" w:hAnsi="Arial" w:eastAsia="Arial" w:cs="Arial"/>
                <w:b w:val="0"/>
                <w:bCs w:val="0"/>
                <w:i w:val="0"/>
                <w:iCs w:val="0"/>
                <w:caps w:val="0"/>
                <w:color w:val="auto"/>
                <w:spacing w:val="0"/>
                <w:sz w:val="24"/>
                <w:szCs w:val="24"/>
                <w:shd w:val="clear" w:fill="FFFFFF"/>
              </w:rPr>
              <w:t>水反冲洗滤池</w:t>
            </w:r>
            <w:r>
              <w:rPr>
                <w:rStyle w:val="27"/>
                <w:rFonts w:hint="eastAsia" w:ascii="Arial" w:hAnsi="Arial" w:eastAsia="宋体" w:cs="Arial"/>
                <w:b w:val="0"/>
                <w:bCs w:val="0"/>
                <w:i w:val="0"/>
                <w:iCs w:val="0"/>
                <w:caps w:val="0"/>
                <w:color w:val="auto"/>
                <w:spacing w:val="0"/>
                <w:sz w:val="24"/>
                <w:szCs w:val="24"/>
                <w:shd w:val="clear" w:fill="FFFFFF"/>
                <w:lang w:eastAsia="zh-CN"/>
              </w:rPr>
              <w:t>，</w:t>
            </w:r>
            <w:r>
              <w:rPr>
                <w:rFonts w:hint="default" w:ascii="Arial" w:hAnsi="Arial" w:eastAsia="Arial" w:cs="Arial"/>
                <w:i w:val="0"/>
                <w:iCs w:val="0"/>
                <w:caps w:val="0"/>
                <w:color w:val="auto"/>
                <w:spacing w:val="0"/>
                <w:sz w:val="24"/>
                <w:szCs w:val="24"/>
                <w:shd w:val="clear" w:fill="FFFFFF"/>
              </w:rPr>
              <w:t>沉淀后的水进入气水反冲洗滤池，通过滤料层（如石英砂等）的截留、吸附作用，去除水中残留的微小絮体、悬浮杂质，进一步提升水的清澈度。此环节采用气水反冲洗工艺，反冲洗时先通入空气，形成剧烈紊流，让滤料剧烈摩擦，破坏杂质与滤料的结合，再用水流将脱落的杂质冲出滤层，相比单水反冲，耗水量更低，滤料清洗更彻底，能更好地维持滤池的过滤能力。之后进行二次加氯，保证后续输水过程中水的生物安全性，抑制管道中微生物滋生。</w:t>
            </w:r>
          </w:p>
          <w:p w14:paraId="70A2AC08">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储存与输配：</w:t>
            </w:r>
            <w:r>
              <w:rPr>
                <w:rFonts w:hint="eastAsia" w:ascii="Times New Roman" w:hAnsi="Times New Roman" w:cs="Times New Roman"/>
                <w:color w:val="auto"/>
                <w:sz w:val="24"/>
                <w:szCs w:val="24"/>
                <w:u w:val="none"/>
                <w:lang w:val="en-US" w:eastAsia="zh-CN"/>
              </w:rPr>
              <w:t>清水池（1#和2#净水生产线配套的清水池净水，经管道接入3#净水生产线配套的10000立方米的清水池）→二级泵房→用户‌</w:t>
            </w:r>
          </w:p>
          <w:p w14:paraId="6D6A05F4">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经过滤工序后水再进行二次加氯消毒后的净水，进入清水池，最终经3#净水线清水池统一储存，再由二级泵房加压，通过市政供水管道输送至用户。清水池能调节供水量，保证供水的稳定性。</w:t>
            </w:r>
          </w:p>
          <w:p w14:paraId="4AD907D1">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b/>
                <w:bCs w:val="0"/>
                <w:color w:val="auto"/>
                <w:sz w:val="24"/>
                <w:szCs w:val="24"/>
                <w:u w:val="none"/>
                <w:lang w:val="en-US" w:eastAsia="zh-CN"/>
              </w:rPr>
            </w:pPr>
            <w:r>
              <w:rPr>
                <w:rFonts w:hint="eastAsia" w:ascii="Times New Roman" w:hAnsi="Times New Roman" w:cs="Times New Roman"/>
                <w:b/>
                <w:bCs w:val="0"/>
                <w:color w:val="auto"/>
                <w:sz w:val="24"/>
                <w:szCs w:val="24"/>
                <w:u w:val="none"/>
                <w:lang w:val="en-US" w:eastAsia="zh-CN"/>
              </w:rPr>
              <w:t>2、反冲洗水回收及泥水处理工艺</w:t>
            </w:r>
          </w:p>
          <w:p w14:paraId="26132C6B">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 xml:space="preserve">①反冲洗水回收 </w:t>
            </w:r>
          </w:p>
          <w:p w14:paraId="03406510">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 xml:space="preserve">目前三条净水生产线滤池反冲洗水收集进入3#净水生产线的回收水池后，通过水泵提升至分配井，按回用于净水生产线前端制水工序。 </w:t>
            </w:r>
          </w:p>
          <w:p w14:paraId="0EB61812">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②污泥收集及浓缩</w:t>
            </w:r>
          </w:p>
          <w:p w14:paraId="03849013">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斜管沉淀池池底泥水由水泵抽入厂区内排泥池，排泥池中的泥水均质后，由排泥泵输送至污泥浓缩池。污泥浓缩池的作用是对污泥进一步浓缩，以提高机械脱水效率，缩小容积。由于给水污泥亲水性较强，污泥必须具备一定的浓度才能取得较好的脱水效果。浓缩池是污泥处理过程中的核心部分，其底泥浓度将直接影响脱水效果，污泥浓缩（采用污泥转筛浓缩方式）后进入污泥脱水间，污泥浓缩池上清液排至厂区回收水池，回用于净水。</w:t>
            </w:r>
          </w:p>
          <w:p w14:paraId="72B2FE7B">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 xml:space="preserve">③污泥脱水 </w:t>
            </w:r>
          </w:p>
          <w:p w14:paraId="6956FFBE">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浓缩池污泥暂存在储泥池，经储泥池调质后，提升进入脱水车间，污泥脱水的目的是进一步降低污泥的含水率，以利于泥饼的搬运和最终处置。本项目采用离心脱水机进行污泥脱水，由进料泵输入脱水机，脱水间内部设置污泥堆场，污泥经自然干化由当地环卫部门进行清运处置。污泥离心脱水产生的排泥废水排入厂区污水管网，最终外排区域市政污水管网。</w:t>
            </w:r>
          </w:p>
          <w:p w14:paraId="73451ACF">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表2-4</w:t>
            </w:r>
            <w:r>
              <w:rPr>
                <w:rFonts w:hint="default" w:ascii="Times New Roman" w:hAnsi="Times New Roman" w:cs="Times New Roman"/>
                <w:b/>
                <w:bCs w:val="0"/>
                <w:sz w:val="24"/>
                <w:szCs w:val="21"/>
                <w:lang w:val="en-US" w:eastAsia="zh-CN"/>
              </w:rPr>
              <w:t xml:space="preserve"> </w:t>
            </w:r>
            <w:r>
              <w:rPr>
                <w:rFonts w:hint="eastAsia" w:ascii="Times New Roman" w:hAnsi="Times New Roman" w:cs="Times New Roman"/>
                <w:b/>
                <w:bCs w:val="0"/>
                <w:sz w:val="24"/>
                <w:szCs w:val="21"/>
                <w:lang w:val="en-US" w:eastAsia="zh-CN"/>
              </w:rPr>
              <w:t>项目营运期</w:t>
            </w:r>
            <w:r>
              <w:rPr>
                <w:rFonts w:hint="default" w:ascii="Times New Roman" w:hAnsi="Times New Roman" w:cs="Times New Roman"/>
                <w:b/>
                <w:bCs w:val="0"/>
                <w:sz w:val="24"/>
                <w:szCs w:val="21"/>
                <w:lang w:val="en-US" w:eastAsia="zh-CN"/>
              </w:rPr>
              <w:t>主要产污环节情况</w:t>
            </w:r>
            <w:r>
              <w:rPr>
                <w:rFonts w:hint="eastAsia" w:ascii="Times New Roman" w:hAnsi="Times New Roman" w:cs="Times New Roman"/>
                <w:b/>
                <w:bCs w:val="0"/>
                <w:sz w:val="24"/>
                <w:szCs w:val="21"/>
                <w:lang w:val="en-US" w:eastAsia="zh-CN"/>
              </w:rPr>
              <w:t>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9"/>
              <w:gridCol w:w="1797"/>
              <w:gridCol w:w="1867"/>
              <w:gridCol w:w="3679"/>
            </w:tblGrid>
            <w:tr w14:paraId="24B8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noWrap w:val="0"/>
                  <w:vAlign w:val="center"/>
                </w:tcPr>
                <w:p w14:paraId="58F4FE1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color w:val="auto"/>
                      <w:sz w:val="21"/>
                      <w:szCs w:val="21"/>
                      <w:lang w:val="en-US" w:eastAsia="zh-CN"/>
                    </w:rPr>
                  </w:pPr>
                  <w:r>
                    <w:rPr>
                      <w:rFonts w:hint="default" w:ascii="Times New Roman" w:hAnsi="Times New Roman" w:cs="Times New Roman"/>
                      <w:b/>
                      <w:color w:val="auto"/>
                      <w:sz w:val="21"/>
                      <w:szCs w:val="21"/>
                    </w:rPr>
                    <w:t>污染</w:t>
                  </w:r>
                  <w:r>
                    <w:rPr>
                      <w:rFonts w:hint="default" w:ascii="Times New Roman" w:hAnsi="Times New Roman" w:cs="Times New Roman"/>
                      <w:b/>
                      <w:color w:val="auto"/>
                      <w:sz w:val="21"/>
                      <w:szCs w:val="21"/>
                      <w:lang w:val="en-US" w:eastAsia="zh-CN"/>
                    </w:rPr>
                    <w:t>因素</w:t>
                  </w:r>
                </w:p>
              </w:tc>
              <w:tc>
                <w:tcPr>
                  <w:tcW w:w="1132" w:type="pct"/>
                  <w:noWrap w:val="0"/>
                  <w:vAlign w:val="center"/>
                </w:tcPr>
                <w:p w14:paraId="61198C5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b/>
                      <w:color w:val="auto"/>
                      <w:sz w:val="21"/>
                      <w:szCs w:val="21"/>
                      <w:lang w:eastAsia="zh-CN"/>
                    </w:rPr>
                  </w:pPr>
                  <w:r>
                    <w:rPr>
                      <w:rFonts w:hint="eastAsia" w:cs="Times New Roman"/>
                      <w:b/>
                      <w:color w:val="auto"/>
                      <w:sz w:val="21"/>
                      <w:szCs w:val="21"/>
                      <w:lang w:val="en-US" w:eastAsia="zh-CN"/>
                    </w:rPr>
                    <w:t>产污环节</w:t>
                  </w:r>
                </w:p>
              </w:tc>
              <w:tc>
                <w:tcPr>
                  <w:tcW w:w="1176" w:type="pct"/>
                  <w:noWrap w:val="0"/>
                  <w:vAlign w:val="center"/>
                </w:tcPr>
                <w:p w14:paraId="1828C0F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主要污染物</w:t>
                  </w:r>
                </w:p>
              </w:tc>
              <w:tc>
                <w:tcPr>
                  <w:tcW w:w="2319" w:type="pct"/>
                  <w:noWrap w:val="0"/>
                  <w:vAlign w:val="center"/>
                </w:tcPr>
                <w:p w14:paraId="7EBC025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color w:val="auto"/>
                      <w:sz w:val="21"/>
                      <w:szCs w:val="21"/>
                      <w:lang w:val="en-US" w:eastAsia="zh-CN"/>
                    </w:rPr>
                  </w:pPr>
                  <w:r>
                    <w:rPr>
                      <w:rFonts w:hint="default" w:ascii="Times New Roman" w:hAnsi="Times New Roman" w:cs="Times New Roman"/>
                      <w:b/>
                      <w:color w:val="auto"/>
                      <w:sz w:val="21"/>
                      <w:szCs w:val="21"/>
                      <w:lang w:val="en-US" w:eastAsia="zh-CN"/>
                    </w:rPr>
                    <w:t>处理措施</w:t>
                  </w:r>
                </w:p>
              </w:tc>
            </w:tr>
            <w:tr w14:paraId="601F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noWrap w:val="0"/>
                  <w:vAlign w:val="center"/>
                </w:tcPr>
                <w:p w14:paraId="1A3D059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color w:val="auto"/>
                      <w:sz w:val="21"/>
                      <w:szCs w:val="21"/>
                      <w:lang w:val="en-US" w:eastAsia="zh-CN"/>
                    </w:rPr>
                  </w:pPr>
                  <w:r>
                    <w:rPr>
                      <w:rFonts w:hint="default" w:ascii="Times New Roman" w:hAnsi="Times New Roman" w:cs="Times New Roman"/>
                      <w:b/>
                      <w:color w:val="auto"/>
                      <w:sz w:val="21"/>
                      <w:szCs w:val="21"/>
                      <w:lang w:val="en-US" w:eastAsia="zh-CN"/>
                    </w:rPr>
                    <w:t>废气</w:t>
                  </w:r>
                </w:p>
              </w:tc>
              <w:tc>
                <w:tcPr>
                  <w:tcW w:w="1132" w:type="pct"/>
                  <w:noWrap w:val="0"/>
                  <w:vAlign w:val="center"/>
                </w:tcPr>
                <w:p w14:paraId="15DFF2C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加药间/加氯间</w:t>
                  </w:r>
                </w:p>
                <w:p w14:paraId="200CEFD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污泥处理间</w:t>
                  </w:r>
                  <w:r>
                    <w:rPr>
                      <w:rFonts w:hint="default" w:ascii="Times New Roman" w:hAnsi="Times New Roman" w:cs="Times New Roman"/>
                      <w:color w:val="auto"/>
                      <w:sz w:val="21"/>
                      <w:szCs w:val="21"/>
                      <w:lang w:val="en-US" w:eastAsia="zh-CN"/>
                    </w:rPr>
                    <w:t>废气</w:t>
                  </w:r>
                </w:p>
              </w:tc>
              <w:tc>
                <w:tcPr>
                  <w:tcW w:w="1176" w:type="pct"/>
                  <w:noWrap w:val="0"/>
                  <w:vAlign w:val="center"/>
                </w:tcPr>
                <w:p w14:paraId="598193F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sz w:val="21"/>
                      <w:szCs w:val="21"/>
                      <w:lang w:val="en-US" w:eastAsia="zh-CN"/>
                    </w:rPr>
                    <w:t>少量异味</w:t>
                  </w:r>
                </w:p>
              </w:tc>
              <w:tc>
                <w:tcPr>
                  <w:tcW w:w="2319" w:type="pct"/>
                  <w:noWrap w:val="0"/>
                  <w:vAlign w:val="center"/>
                </w:tcPr>
                <w:p w14:paraId="6A48582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污泥处理车间/设备设置为密闭式、干化污泥堆放位于车间内部</w:t>
                  </w:r>
                </w:p>
                <w:p w14:paraId="7F3F4EF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加强加药</w:t>
                  </w:r>
                  <w:r>
                    <w:rPr>
                      <w:rFonts w:hint="eastAsia" w:cs="Times New Roman"/>
                      <w:color w:val="auto"/>
                      <w:sz w:val="21"/>
                      <w:szCs w:val="21"/>
                      <w:lang w:val="en-US" w:eastAsia="zh-CN"/>
                    </w:rPr>
                    <w:t>间</w:t>
                  </w:r>
                  <w:r>
                    <w:rPr>
                      <w:rFonts w:hint="default" w:ascii="Times New Roman" w:hAnsi="Times New Roman" w:cs="Times New Roman"/>
                      <w:color w:val="auto"/>
                      <w:sz w:val="21"/>
                      <w:szCs w:val="21"/>
                      <w:lang w:val="en-US" w:eastAsia="zh-CN"/>
                    </w:rPr>
                    <w:t>的厂房通风换气</w:t>
                  </w:r>
                  <w:r>
                    <w:rPr>
                      <w:rFonts w:hint="eastAsia" w:cs="Times New Roman"/>
                      <w:color w:val="auto"/>
                      <w:sz w:val="21"/>
                      <w:szCs w:val="21"/>
                      <w:lang w:val="en-US" w:eastAsia="zh-CN"/>
                    </w:rPr>
                    <w:t>，加氯间发生泄漏报警及时启动</w:t>
                  </w:r>
                  <w:r>
                    <w:rPr>
                      <w:rFonts w:hint="eastAsia"/>
                      <w:lang w:val="en-US" w:eastAsia="zh-CN"/>
                    </w:rPr>
                    <w:t>漏氯吸收安全装置</w:t>
                  </w:r>
                </w:p>
              </w:tc>
            </w:tr>
            <w:tr w14:paraId="5625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vMerge w:val="restart"/>
                  <w:noWrap w:val="0"/>
                  <w:vAlign w:val="center"/>
                </w:tcPr>
                <w:p w14:paraId="3D34C9C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lang w:val="en-US" w:eastAsia="zh-CN"/>
                    </w:rPr>
                    <w:t>废水</w:t>
                  </w:r>
                </w:p>
              </w:tc>
              <w:tc>
                <w:tcPr>
                  <w:tcW w:w="1132" w:type="pct"/>
                  <w:noWrap w:val="0"/>
                  <w:vAlign w:val="center"/>
                </w:tcPr>
                <w:p w14:paraId="327444C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生活</w:t>
                  </w:r>
                  <w:r>
                    <w:rPr>
                      <w:rFonts w:hint="default" w:ascii="Times New Roman" w:hAnsi="Times New Roman" w:cs="Times New Roman"/>
                      <w:color w:val="auto"/>
                      <w:sz w:val="21"/>
                      <w:szCs w:val="21"/>
                      <w:lang w:val="en-US" w:eastAsia="zh-CN"/>
                    </w:rPr>
                    <w:t>废水</w:t>
                  </w:r>
                </w:p>
              </w:tc>
              <w:tc>
                <w:tcPr>
                  <w:tcW w:w="1176" w:type="pct"/>
                  <w:noWrap w:val="0"/>
                  <w:vAlign w:val="center"/>
                </w:tcPr>
                <w:p w14:paraId="49AB405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CODcr、BOD</w:t>
                  </w:r>
                  <w:r>
                    <w:rPr>
                      <w:rFonts w:hint="default" w:ascii="Times New Roman" w:hAnsi="Times New Roman" w:cs="Times New Roman"/>
                      <w:color w:val="auto"/>
                      <w:sz w:val="21"/>
                      <w:szCs w:val="21"/>
                      <w:vertAlign w:val="subscript"/>
                      <w:lang w:val="en-US" w:eastAsia="zh-CN"/>
                    </w:rPr>
                    <w:t>5</w:t>
                  </w:r>
                  <w:r>
                    <w:rPr>
                      <w:rFonts w:hint="default" w:ascii="Times New Roman" w:hAnsi="Times New Roman" w:cs="Times New Roman"/>
                      <w:color w:val="auto"/>
                      <w:sz w:val="21"/>
                      <w:szCs w:val="21"/>
                      <w:lang w:val="en-US" w:eastAsia="zh-CN"/>
                    </w:rPr>
                    <w:t>、SS、氨氮等</w:t>
                  </w:r>
                </w:p>
              </w:tc>
              <w:tc>
                <w:tcPr>
                  <w:tcW w:w="2319" w:type="pct"/>
                  <w:noWrap w:val="0"/>
                  <w:vAlign w:val="center"/>
                </w:tcPr>
                <w:p w14:paraId="1A96AD5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sz w:val="21"/>
                      <w:szCs w:val="21"/>
                      <w:u w:val="single"/>
                    </w:rPr>
                    <w:t>经厂区</w:t>
                  </w:r>
                  <w:r>
                    <w:rPr>
                      <w:rFonts w:hint="eastAsia"/>
                      <w:sz w:val="21"/>
                      <w:szCs w:val="21"/>
                      <w:u w:val="single"/>
                      <w:lang w:val="en-US" w:eastAsia="zh-CN"/>
                    </w:rPr>
                    <w:t>办公区现有化粪池进行处理后，外排市政污水管网</w:t>
                  </w:r>
                </w:p>
              </w:tc>
            </w:tr>
            <w:tr w14:paraId="431A9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vMerge w:val="continue"/>
                  <w:noWrap w:val="0"/>
                  <w:vAlign w:val="center"/>
                </w:tcPr>
                <w:p w14:paraId="34662D4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lang w:val="en-US" w:eastAsia="zh-CN"/>
                    </w:rPr>
                  </w:pPr>
                </w:p>
              </w:tc>
              <w:tc>
                <w:tcPr>
                  <w:tcW w:w="1132" w:type="pct"/>
                  <w:noWrap w:val="0"/>
                  <w:vAlign w:val="center"/>
                </w:tcPr>
                <w:p w14:paraId="29FBA2C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cs="Times New Roman"/>
                      <w:color w:val="auto"/>
                      <w:sz w:val="21"/>
                      <w:szCs w:val="21"/>
                      <w:lang w:val="en-US" w:eastAsia="zh-CN"/>
                    </w:rPr>
                  </w:pPr>
                  <w:r>
                    <w:rPr>
                      <w:rFonts w:hint="eastAsia" w:cs="Times New Roman"/>
                      <w:color w:val="auto"/>
                      <w:sz w:val="21"/>
                      <w:szCs w:val="21"/>
                      <w:lang w:val="en-US" w:eastAsia="zh-CN"/>
                    </w:rPr>
                    <w:t>生产废水（反冲洗废水）</w:t>
                  </w:r>
                </w:p>
              </w:tc>
              <w:tc>
                <w:tcPr>
                  <w:tcW w:w="1176" w:type="pct"/>
                  <w:noWrap w:val="0"/>
                  <w:vAlign w:val="center"/>
                </w:tcPr>
                <w:p w14:paraId="35FCC48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CODcr、SS等</w:t>
                  </w:r>
                </w:p>
              </w:tc>
              <w:tc>
                <w:tcPr>
                  <w:tcW w:w="2319" w:type="pct"/>
                  <w:noWrap w:val="0"/>
                  <w:vAlign w:val="center"/>
                </w:tcPr>
                <w:p w14:paraId="65674DF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sz w:val="21"/>
                      <w:szCs w:val="21"/>
                      <w:lang w:val="en-US" w:eastAsia="zh-CN"/>
                    </w:rPr>
                  </w:pPr>
                  <w:r>
                    <w:rPr>
                      <w:rFonts w:hint="eastAsia"/>
                      <w:sz w:val="21"/>
                      <w:szCs w:val="21"/>
                      <w:lang w:val="en-US" w:eastAsia="zh-CN"/>
                    </w:rPr>
                    <w:t>经回收水池收集，回用于净水生产再利用</w:t>
                  </w:r>
                </w:p>
              </w:tc>
            </w:tr>
            <w:tr w14:paraId="1495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vMerge w:val="continue"/>
                  <w:noWrap w:val="0"/>
                  <w:vAlign w:val="center"/>
                </w:tcPr>
                <w:p w14:paraId="165F9B7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lang w:val="en-US" w:eastAsia="zh-CN"/>
                    </w:rPr>
                  </w:pPr>
                </w:p>
              </w:tc>
              <w:tc>
                <w:tcPr>
                  <w:tcW w:w="1132" w:type="pct"/>
                  <w:noWrap w:val="0"/>
                  <w:vAlign w:val="center"/>
                </w:tcPr>
                <w:p w14:paraId="0F4CE23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生产废水（排泥水）</w:t>
                  </w:r>
                </w:p>
              </w:tc>
              <w:tc>
                <w:tcPr>
                  <w:tcW w:w="1176" w:type="pct"/>
                  <w:noWrap w:val="0"/>
                  <w:vAlign w:val="center"/>
                </w:tcPr>
                <w:p w14:paraId="75072CE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CODcr、SS等</w:t>
                  </w:r>
                </w:p>
              </w:tc>
              <w:tc>
                <w:tcPr>
                  <w:tcW w:w="2319" w:type="pct"/>
                  <w:noWrap w:val="0"/>
                  <w:vAlign w:val="center"/>
                </w:tcPr>
                <w:p w14:paraId="5E65DAB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sz w:val="21"/>
                      <w:szCs w:val="21"/>
                      <w:lang w:val="en-US" w:eastAsia="zh-CN"/>
                    </w:rPr>
                  </w:pPr>
                  <w:r>
                    <w:rPr>
                      <w:rFonts w:hint="eastAsia"/>
                      <w:sz w:val="21"/>
                      <w:szCs w:val="21"/>
                      <w:lang w:val="en-US" w:eastAsia="zh-CN"/>
                    </w:rPr>
                    <w:t>经排泥水处理设施处理后，污泥离心脱水产生的含泥废水外排市政污水管网</w:t>
                  </w:r>
                </w:p>
              </w:tc>
            </w:tr>
            <w:tr w14:paraId="1B11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noWrap w:val="0"/>
                  <w:vAlign w:val="center"/>
                </w:tcPr>
                <w:p w14:paraId="3E85FAA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噪声</w:t>
                  </w:r>
                </w:p>
              </w:tc>
              <w:tc>
                <w:tcPr>
                  <w:tcW w:w="1132" w:type="pct"/>
                  <w:noWrap w:val="0"/>
                  <w:vAlign w:val="center"/>
                </w:tcPr>
                <w:p w14:paraId="5DB8112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设备运转</w:t>
                  </w:r>
                </w:p>
              </w:tc>
              <w:tc>
                <w:tcPr>
                  <w:tcW w:w="1176" w:type="pct"/>
                  <w:noWrap w:val="0"/>
                  <w:vAlign w:val="center"/>
                </w:tcPr>
                <w:p w14:paraId="2114D8A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机械噪声</w:t>
                  </w:r>
                </w:p>
              </w:tc>
              <w:tc>
                <w:tcPr>
                  <w:tcW w:w="2319" w:type="pct"/>
                  <w:noWrap w:val="0"/>
                  <w:vAlign w:val="center"/>
                </w:tcPr>
                <w:p w14:paraId="2D03DC5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车间隔声等</w:t>
                  </w:r>
                  <w:r>
                    <w:rPr>
                      <w:rFonts w:hint="eastAsia" w:cs="Times New Roman"/>
                      <w:color w:val="auto"/>
                      <w:sz w:val="21"/>
                      <w:szCs w:val="21"/>
                      <w:lang w:val="en-US" w:eastAsia="zh-CN"/>
                    </w:rPr>
                    <w:t>、泵类基础减震</w:t>
                  </w:r>
                </w:p>
              </w:tc>
            </w:tr>
            <w:tr w14:paraId="32E8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vMerge w:val="restart"/>
                  <w:noWrap w:val="0"/>
                  <w:vAlign w:val="center"/>
                </w:tcPr>
                <w:p w14:paraId="5BF502A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固废</w:t>
                  </w:r>
                </w:p>
              </w:tc>
              <w:tc>
                <w:tcPr>
                  <w:tcW w:w="1132" w:type="pct"/>
                  <w:noWrap w:val="0"/>
                  <w:vAlign w:val="center"/>
                </w:tcPr>
                <w:p w14:paraId="1728A26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职工</w:t>
                  </w:r>
                  <w:r>
                    <w:rPr>
                      <w:rFonts w:hint="default" w:ascii="Times New Roman" w:hAnsi="Times New Roman" w:eastAsia="宋体" w:cs="Times New Roman"/>
                      <w:color w:val="auto"/>
                      <w:sz w:val="21"/>
                      <w:szCs w:val="21"/>
                    </w:rPr>
                    <w:t>生活垃圾</w:t>
                  </w:r>
                </w:p>
              </w:tc>
              <w:tc>
                <w:tcPr>
                  <w:tcW w:w="1176" w:type="pct"/>
                  <w:noWrap w:val="0"/>
                  <w:vAlign w:val="center"/>
                </w:tcPr>
                <w:p w14:paraId="3D0298B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生活垃圾</w:t>
                  </w:r>
                </w:p>
              </w:tc>
              <w:tc>
                <w:tcPr>
                  <w:tcW w:w="2319" w:type="pct"/>
                  <w:noWrap w:val="0"/>
                  <w:vAlign w:val="center"/>
                </w:tcPr>
                <w:p w14:paraId="680E1E9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分类收集，交由环卫部门处理</w:t>
                  </w:r>
                </w:p>
              </w:tc>
            </w:tr>
            <w:tr w14:paraId="266B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vMerge w:val="continue"/>
                  <w:noWrap w:val="0"/>
                  <w:vAlign w:val="center"/>
                </w:tcPr>
                <w:p w14:paraId="23056D5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rPr>
                  </w:pPr>
                </w:p>
              </w:tc>
              <w:tc>
                <w:tcPr>
                  <w:tcW w:w="1132" w:type="pct"/>
                  <w:noWrap w:val="0"/>
                  <w:vAlign w:val="center"/>
                </w:tcPr>
                <w:p w14:paraId="4829760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污泥泥饼</w:t>
                  </w:r>
                </w:p>
              </w:tc>
              <w:tc>
                <w:tcPr>
                  <w:tcW w:w="1176" w:type="pct"/>
                  <w:noWrap w:val="0"/>
                  <w:vAlign w:val="center"/>
                </w:tcPr>
                <w:p w14:paraId="359EF15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污泥</w:t>
                  </w:r>
                </w:p>
              </w:tc>
              <w:tc>
                <w:tcPr>
                  <w:tcW w:w="2319" w:type="pct"/>
                  <w:noWrap w:val="0"/>
                  <w:vAlign w:val="center"/>
                </w:tcPr>
                <w:p w14:paraId="4869D2C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污泥在污泥处置间内专用堆场区自然干化后定期交由环卫部门安全处理</w:t>
                  </w:r>
                </w:p>
              </w:tc>
            </w:tr>
            <w:tr w14:paraId="1FF3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vMerge w:val="continue"/>
                  <w:noWrap w:val="0"/>
                  <w:vAlign w:val="center"/>
                </w:tcPr>
                <w:p w14:paraId="7CDCD5F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rPr>
                  </w:pPr>
                </w:p>
              </w:tc>
              <w:tc>
                <w:tcPr>
                  <w:tcW w:w="1132" w:type="pct"/>
                  <w:noWrap w:val="0"/>
                  <w:vAlign w:val="center"/>
                </w:tcPr>
                <w:p w14:paraId="43384A7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实验室废弃试验试剂/废液</w:t>
                  </w:r>
                </w:p>
              </w:tc>
              <w:tc>
                <w:tcPr>
                  <w:tcW w:w="1176" w:type="pct"/>
                  <w:noWrap w:val="0"/>
                  <w:vAlign w:val="center"/>
                </w:tcPr>
                <w:p w14:paraId="067CF95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废弃试剂化学品及废液等</w:t>
                  </w:r>
                </w:p>
              </w:tc>
              <w:tc>
                <w:tcPr>
                  <w:tcW w:w="2319" w:type="pct"/>
                  <w:noWrap w:val="0"/>
                  <w:vAlign w:val="center"/>
                </w:tcPr>
                <w:p w14:paraId="3F86252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cs="Times New Roman"/>
                      <w:color w:val="auto"/>
                      <w:sz w:val="21"/>
                      <w:szCs w:val="21"/>
                      <w:lang w:val="en-US" w:eastAsia="zh-CN"/>
                    </w:rPr>
                    <w:t>收集</w:t>
                  </w:r>
                  <w:r>
                    <w:rPr>
                      <w:rFonts w:hint="eastAsia" w:cs="Times New Roman"/>
                      <w:color w:val="auto"/>
                      <w:sz w:val="21"/>
                      <w:szCs w:val="21"/>
                      <w:lang w:val="en-US" w:eastAsia="zh-CN"/>
                    </w:rPr>
                    <w:t>至危险废物暂存间，</w:t>
                  </w:r>
                  <w:r>
                    <w:rPr>
                      <w:rFonts w:hint="default" w:ascii="Times New Roman" w:hAnsi="Times New Roman" w:cs="Times New Roman"/>
                      <w:color w:val="auto"/>
                      <w:sz w:val="21"/>
                      <w:szCs w:val="21"/>
                      <w:lang w:val="en-US" w:eastAsia="zh-CN"/>
                    </w:rPr>
                    <w:t>交由资质单位处理</w:t>
                  </w:r>
                </w:p>
              </w:tc>
            </w:tr>
            <w:tr w14:paraId="4E96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71" w:type="pct"/>
                  <w:vMerge w:val="continue"/>
                  <w:noWrap w:val="0"/>
                  <w:vAlign w:val="center"/>
                </w:tcPr>
                <w:p w14:paraId="568728D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color w:val="auto"/>
                      <w:sz w:val="21"/>
                      <w:szCs w:val="21"/>
                    </w:rPr>
                  </w:pPr>
                </w:p>
              </w:tc>
              <w:tc>
                <w:tcPr>
                  <w:tcW w:w="1132" w:type="pct"/>
                  <w:noWrap w:val="0"/>
                  <w:vAlign w:val="center"/>
                </w:tcPr>
                <w:p w14:paraId="2ABB274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设备维保</w:t>
                  </w:r>
                </w:p>
              </w:tc>
              <w:tc>
                <w:tcPr>
                  <w:tcW w:w="1176" w:type="pct"/>
                  <w:noWrap w:val="0"/>
                  <w:vAlign w:val="center"/>
                </w:tcPr>
                <w:p w14:paraId="6C45580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废机油</w:t>
                  </w:r>
                  <w:r>
                    <w:rPr>
                      <w:rFonts w:hint="eastAsia" w:cs="Times New Roman"/>
                      <w:color w:val="auto"/>
                      <w:sz w:val="21"/>
                      <w:szCs w:val="21"/>
                      <w:lang w:val="en-US" w:eastAsia="zh-CN"/>
                    </w:rPr>
                    <w:t>/油桶</w:t>
                  </w:r>
                  <w:r>
                    <w:rPr>
                      <w:rFonts w:hint="eastAsia" w:ascii="Times New Roman" w:hAnsi="Times New Roman" w:eastAsia="宋体" w:cs="Times New Roman"/>
                      <w:color w:val="auto"/>
                      <w:sz w:val="21"/>
                      <w:szCs w:val="21"/>
                      <w:lang w:val="en-US" w:eastAsia="zh-CN"/>
                    </w:rPr>
                    <w:t>及含油抹布</w:t>
                  </w:r>
                </w:p>
              </w:tc>
              <w:tc>
                <w:tcPr>
                  <w:tcW w:w="2319" w:type="pct"/>
                  <w:noWrap w:val="0"/>
                  <w:vAlign w:val="center"/>
                </w:tcPr>
                <w:p w14:paraId="64C5DA6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收集</w:t>
                  </w:r>
                  <w:r>
                    <w:rPr>
                      <w:rFonts w:hint="eastAsia" w:cs="Times New Roman"/>
                      <w:color w:val="auto"/>
                      <w:sz w:val="21"/>
                      <w:szCs w:val="21"/>
                      <w:lang w:val="en-US" w:eastAsia="zh-CN"/>
                    </w:rPr>
                    <w:t>至危险废物暂存间，</w:t>
                  </w:r>
                  <w:r>
                    <w:rPr>
                      <w:rFonts w:hint="default" w:ascii="Times New Roman" w:hAnsi="Times New Roman" w:cs="Times New Roman"/>
                      <w:color w:val="auto"/>
                      <w:sz w:val="21"/>
                      <w:szCs w:val="21"/>
                      <w:lang w:val="en-US" w:eastAsia="zh-CN"/>
                    </w:rPr>
                    <w:t>交由资质单位处理</w:t>
                  </w:r>
                </w:p>
              </w:tc>
            </w:tr>
          </w:tbl>
          <w:p w14:paraId="443571EA">
            <w:pPr>
              <w:pStyle w:val="40"/>
              <w:bidi w:val="0"/>
              <w:rPr>
                <w:rFonts w:hint="default" w:eastAsia="宋体"/>
                <w:lang w:val="en-US" w:eastAsia="zh-CN"/>
              </w:rPr>
            </w:pPr>
          </w:p>
        </w:tc>
      </w:tr>
      <w:tr w14:paraId="3C5398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01" w:hRule="atLeast"/>
          <w:jc w:val="center"/>
        </w:trPr>
        <w:tc>
          <w:tcPr>
            <w:tcW w:w="823" w:type="dxa"/>
            <w:noWrap w:val="0"/>
            <w:vAlign w:val="center"/>
          </w:tcPr>
          <w:p w14:paraId="7F504F8B">
            <w:pPr>
              <w:pStyle w:val="23"/>
              <w:adjustRightInd w:val="0"/>
              <w:snapToGrid w:val="0"/>
              <w:spacing w:before="0" w:beforeAutospacing="0" w:after="0" w:afterAutospacing="0"/>
              <w:jc w:val="center"/>
              <w:rPr>
                <w:rFonts w:cs="宋体"/>
                <w:sz w:val="24"/>
                <w:szCs w:val="24"/>
              </w:rPr>
            </w:pPr>
            <w:r>
              <w:rPr>
                <w:rFonts w:hint="eastAsia" w:cs="宋体"/>
                <w:bCs/>
                <w:kern w:val="2"/>
                <w:sz w:val="24"/>
                <w:szCs w:val="24"/>
              </w:rPr>
              <w:t>与项目有关的原有环境污染问题</w:t>
            </w:r>
          </w:p>
        </w:tc>
        <w:tc>
          <w:tcPr>
            <w:tcW w:w="8161" w:type="dxa"/>
            <w:noWrap w:val="0"/>
            <w:vAlign w:val="top"/>
          </w:tcPr>
          <w:p w14:paraId="7B9A1225">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eastAsia"/>
                <w:b/>
                <w:bCs w:val="0"/>
                <w:sz w:val="24"/>
                <w:szCs w:val="24"/>
                <w:lang w:val="en-US" w:eastAsia="zh-CN"/>
              </w:rPr>
              <w:t>一、企业现有工程概述</w:t>
            </w:r>
          </w:p>
          <w:p w14:paraId="02A4C8D1">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本项目为已建成项目，本次评价属于补办环评。</w:t>
            </w:r>
            <w:r>
              <w:rPr>
                <w:rFonts w:hint="default" w:ascii="Times New Roman" w:hAnsi="Times New Roman" w:cs="Times New Roman"/>
                <w:color w:val="auto"/>
                <w:sz w:val="24"/>
                <w:szCs w:val="24"/>
                <w:lang w:val="en-US" w:eastAsia="zh-CN"/>
              </w:rPr>
              <w:t>公司</w:t>
            </w:r>
            <w:r>
              <w:rPr>
                <w:rFonts w:hint="eastAsia" w:ascii="Times New Roman" w:hAnsi="Times New Roman" w:cs="Times New Roman"/>
                <w:color w:val="auto"/>
                <w:sz w:val="24"/>
                <w:szCs w:val="24"/>
                <w:u w:val="none"/>
                <w:lang w:val="en-US" w:eastAsia="zh-CN"/>
              </w:rPr>
              <w:t>制水一厂的厂区范围</w:t>
            </w:r>
            <w:r>
              <w:rPr>
                <w:rFonts w:hint="default" w:ascii="Times New Roman" w:hAnsi="Times New Roman" w:cs="Times New Roman"/>
                <w:color w:val="auto"/>
                <w:sz w:val="24"/>
                <w:szCs w:val="24"/>
                <w:u w:val="none"/>
                <w:lang w:val="en-US" w:eastAsia="zh-CN"/>
              </w:rPr>
              <w:t>内建筑包括：综合楼、</w:t>
            </w:r>
            <w:r>
              <w:rPr>
                <w:rFonts w:hint="eastAsia" w:ascii="Times New Roman" w:hAnsi="Times New Roman" w:cs="Times New Roman"/>
                <w:color w:val="auto"/>
                <w:sz w:val="24"/>
                <w:szCs w:val="24"/>
                <w:u w:val="none"/>
                <w:lang w:val="en-US" w:eastAsia="zh-CN"/>
              </w:rPr>
              <w:t>门卫</w:t>
            </w:r>
            <w:r>
              <w:rPr>
                <w:rFonts w:hint="default" w:ascii="Times New Roman" w:hAnsi="Times New Roman" w:cs="Times New Roman"/>
                <w:color w:val="auto"/>
                <w:sz w:val="24"/>
                <w:szCs w:val="24"/>
                <w:u w:val="none"/>
                <w:lang w:val="en-US" w:eastAsia="zh-CN"/>
              </w:rPr>
              <w:t>、</w:t>
            </w:r>
            <w:r>
              <w:rPr>
                <w:rFonts w:hint="eastAsia" w:ascii="Times New Roman" w:hAnsi="Times New Roman" w:cs="Times New Roman"/>
                <w:color w:val="auto"/>
                <w:sz w:val="24"/>
                <w:szCs w:val="24"/>
                <w:u w:val="none"/>
                <w:lang w:val="en-US" w:eastAsia="zh-CN"/>
              </w:rPr>
              <w:t>进水取水口及取水</w:t>
            </w:r>
            <w:r>
              <w:rPr>
                <w:rFonts w:hint="default" w:ascii="Times New Roman" w:hAnsi="Times New Roman" w:cs="Times New Roman"/>
                <w:color w:val="auto"/>
                <w:sz w:val="24"/>
                <w:szCs w:val="24"/>
                <w:u w:val="none"/>
                <w:lang w:val="en-US" w:eastAsia="zh-CN"/>
              </w:rPr>
              <w:t>泵房、配电室、</w:t>
            </w:r>
            <w:r>
              <w:rPr>
                <w:rFonts w:hint="eastAsia" w:ascii="Times New Roman" w:hAnsi="Times New Roman" w:cs="Times New Roman"/>
                <w:color w:val="auto"/>
                <w:sz w:val="24"/>
                <w:szCs w:val="24"/>
                <w:u w:val="none"/>
                <w:lang w:val="en-US" w:eastAsia="zh-CN"/>
              </w:rPr>
              <w:t>净水生产设施3套</w:t>
            </w:r>
            <w:r>
              <w:rPr>
                <w:rFonts w:hint="eastAsia" w:cs="Times New Roman"/>
                <w:color w:val="auto"/>
                <w:sz w:val="24"/>
                <w:szCs w:val="24"/>
                <w:u w:val="none"/>
                <w:lang w:val="en-US" w:eastAsia="zh-CN"/>
              </w:rPr>
              <w:t>（净水能力设计规模19万m</w:t>
            </w:r>
            <w:r>
              <w:rPr>
                <w:rFonts w:hint="eastAsia" w:cs="Times New Roman"/>
                <w:color w:val="auto"/>
                <w:sz w:val="24"/>
                <w:szCs w:val="24"/>
                <w:u w:val="none"/>
                <w:vertAlign w:val="superscript"/>
                <w:lang w:val="en-US" w:eastAsia="zh-CN"/>
              </w:rPr>
              <w:t>3</w:t>
            </w:r>
            <w:r>
              <w:rPr>
                <w:rFonts w:hint="eastAsia" w:cs="Times New Roman"/>
                <w:color w:val="auto"/>
                <w:sz w:val="24"/>
                <w:szCs w:val="24"/>
                <w:u w:val="none"/>
                <w:lang w:val="en-US" w:eastAsia="zh-CN"/>
              </w:rPr>
              <w:t>/d）</w:t>
            </w:r>
            <w:r>
              <w:rPr>
                <w:rFonts w:hint="default" w:ascii="Times New Roman" w:hAnsi="Times New Roman" w:cs="Times New Roman"/>
                <w:color w:val="auto"/>
                <w:sz w:val="24"/>
                <w:szCs w:val="24"/>
                <w:u w:val="none"/>
                <w:lang w:val="en-US" w:eastAsia="zh-CN"/>
              </w:rPr>
              <w:t>、</w:t>
            </w:r>
            <w:r>
              <w:rPr>
                <w:rFonts w:hint="eastAsia" w:ascii="Times New Roman" w:hAnsi="Times New Roman" w:cs="Times New Roman"/>
                <w:color w:val="auto"/>
                <w:sz w:val="24"/>
                <w:szCs w:val="24"/>
                <w:u w:val="none"/>
                <w:lang w:val="en-US" w:eastAsia="zh-CN"/>
              </w:rPr>
              <w:t>送水加压泵房、</w:t>
            </w:r>
            <w:r>
              <w:rPr>
                <w:rFonts w:hint="default" w:ascii="Times New Roman" w:hAnsi="Times New Roman" w:cs="Times New Roman"/>
                <w:color w:val="auto"/>
                <w:sz w:val="24"/>
                <w:szCs w:val="24"/>
                <w:u w:val="none"/>
                <w:lang w:val="en-US" w:eastAsia="zh-CN"/>
              </w:rPr>
              <w:t>加药间、</w:t>
            </w:r>
            <w:r>
              <w:rPr>
                <w:rFonts w:hint="eastAsia" w:ascii="Times New Roman" w:hAnsi="Times New Roman" w:cs="Times New Roman"/>
                <w:color w:val="auto"/>
                <w:sz w:val="24"/>
                <w:szCs w:val="24"/>
                <w:u w:val="none"/>
                <w:lang w:val="en-US" w:eastAsia="zh-CN"/>
              </w:rPr>
              <w:t>加氯间、排泥水处理设施1套、库房（仓库）、</w:t>
            </w:r>
            <w:r>
              <w:rPr>
                <w:rFonts w:hint="default" w:ascii="Times New Roman" w:hAnsi="Times New Roman" w:cs="Times New Roman"/>
                <w:color w:val="auto"/>
                <w:sz w:val="24"/>
                <w:szCs w:val="24"/>
                <w:u w:val="none"/>
                <w:lang w:val="en-US" w:eastAsia="zh-CN"/>
              </w:rPr>
              <w:t>绿化等</w:t>
            </w:r>
            <w:r>
              <w:rPr>
                <w:rFonts w:hint="default" w:ascii="Times New Roman" w:hAnsi="Times New Roman" w:cs="Times New Roman"/>
                <w:color w:val="auto"/>
                <w:sz w:val="24"/>
                <w:szCs w:val="24"/>
                <w:lang w:val="en-US" w:eastAsia="zh-CN"/>
              </w:rPr>
              <w:t>。</w:t>
            </w:r>
          </w:p>
          <w:p w14:paraId="2540FC01">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eastAsia"/>
                <w:b/>
                <w:bCs w:val="0"/>
                <w:sz w:val="24"/>
                <w:szCs w:val="24"/>
                <w:lang w:val="en-US" w:eastAsia="zh-CN"/>
              </w:rPr>
              <w:t>二、企业现有项目污染物排放情况</w:t>
            </w:r>
          </w:p>
          <w:p w14:paraId="3C602E1D">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本项目为早些年历史已建成，经初步现场勘查，无施工遗留有关环境问题，本项目（已建）运行时期污染情况及采取的措施如下：</w:t>
            </w:r>
          </w:p>
          <w:p w14:paraId="44377A01">
            <w:pPr>
              <w:keepNext w:val="0"/>
              <w:keepLines w:val="0"/>
              <w:pageBreakBefore w:val="0"/>
              <w:widowControl w:val="0"/>
              <w:kinsoku/>
              <w:wordWrap/>
              <w:overflowPunct/>
              <w:topLinePunct/>
              <w:autoSpaceDE/>
              <w:autoSpaceDN/>
              <w:bidi w:val="0"/>
              <w:adjustRightInd/>
              <w:snapToGrid/>
              <w:spacing w:line="360" w:lineRule="auto"/>
              <w:ind w:firstLine="482" w:firstLineChars="200"/>
              <w:jc w:val="left"/>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1、</w:t>
            </w:r>
            <w:r>
              <w:rPr>
                <w:rFonts w:hint="default" w:ascii="Times New Roman" w:hAnsi="Times New Roman" w:cs="Times New Roman"/>
                <w:b/>
                <w:bCs/>
                <w:color w:val="auto"/>
                <w:sz w:val="24"/>
                <w:szCs w:val="24"/>
                <w:lang w:val="en-US" w:eastAsia="zh-CN"/>
              </w:rPr>
              <w:t>废气</w:t>
            </w:r>
          </w:p>
          <w:p w14:paraId="3398CEFE">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现有项目运营期无明显</w:t>
            </w:r>
            <w:r>
              <w:rPr>
                <w:rFonts w:hint="eastAsia" w:cs="Times New Roman"/>
                <w:color w:val="auto"/>
                <w:sz w:val="24"/>
                <w:szCs w:val="24"/>
                <w:lang w:val="en-US" w:eastAsia="zh-CN"/>
              </w:rPr>
              <w:t>有组织</w:t>
            </w:r>
            <w:r>
              <w:rPr>
                <w:rFonts w:hint="eastAsia" w:ascii="Times New Roman" w:hAnsi="Times New Roman" w:cs="Times New Roman"/>
                <w:color w:val="auto"/>
                <w:sz w:val="24"/>
                <w:szCs w:val="24"/>
                <w:lang w:val="en-US" w:eastAsia="zh-CN"/>
              </w:rPr>
              <w:t>废气污染源，主要为</w:t>
            </w:r>
            <w:r>
              <w:rPr>
                <w:rFonts w:hint="eastAsia" w:cs="Times New Roman"/>
                <w:color w:val="auto"/>
                <w:sz w:val="24"/>
                <w:szCs w:val="24"/>
                <w:lang w:val="en-US" w:eastAsia="zh-CN"/>
              </w:rPr>
              <w:t>污泥处理车间内污泥逸散的臭气，通过将污泥处置的污泥浓缩池、处理设备为密闭式，</w:t>
            </w:r>
            <w:r>
              <w:rPr>
                <w:rFonts w:hint="eastAsia" w:ascii="Times New Roman" w:hAnsi="Times New Roman" w:cs="Times New Roman"/>
                <w:color w:val="auto"/>
                <w:sz w:val="24"/>
                <w:szCs w:val="24"/>
                <w:lang w:val="en-US" w:eastAsia="zh-CN"/>
              </w:rPr>
              <w:t>通过设置车间通风换气系统进行防治。</w:t>
            </w:r>
          </w:p>
          <w:p w14:paraId="4FD4B4CB">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另外</w:t>
            </w:r>
            <w:r>
              <w:rPr>
                <w:rFonts w:hint="eastAsia" w:ascii="Times New Roman" w:hAnsi="Times New Roman" w:cs="Times New Roman"/>
                <w:color w:val="auto"/>
                <w:sz w:val="24"/>
                <w:szCs w:val="24"/>
                <w:lang w:val="en-US" w:eastAsia="zh-CN"/>
              </w:rPr>
              <w:t>加药间使用药剂产生的少量无组织异味，</w:t>
            </w:r>
            <w:r>
              <w:rPr>
                <w:rFonts w:hint="eastAsia" w:cs="Times New Roman"/>
                <w:color w:val="auto"/>
                <w:sz w:val="24"/>
                <w:szCs w:val="24"/>
                <w:lang w:val="en-US" w:eastAsia="zh-CN"/>
              </w:rPr>
              <w:t>同时</w:t>
            </w:r>
            <w:r>
              <w:rPr>
                <w:rFonts w:hint="eastAsia" w:ascii="Times New Roman" w:hAnsi="Times New Roman" w:cs="Times New Roman"/>
                <w:color w:val="auto"/>
                <w:sz w:val="24"/>
                <w:szCs w:val="24"/>
                <w:lang w:val="en-US" w:eastAsia="zh-CN"/>
              </w:rPr>
              <w:t>在加氯间氯气输送系统发生意外泄漏</w:t>
            </w:r>
            <w:r>
              <w:rPr>
                <w:rFonts w:hint="eastAsia" w:cs="Times New Roman"/>
                <w:color w:val="auto"/>
                <w:sz w:val="24"/>
                <w:szCs w:val="24"/>
                <w:lang w:val="en-US" w:eastAsia="zh-CN"/>
              </w:rPr>
              <w:t>和更换钢瓶</w:t>
            </w:r>
            <w:r>
              <w:rPr>
                <w:rFonts w:hint="eastAsia" w:ascii="Times New Roman" w:hAnsi="Times New Roman" w:cs="Times New Roman"/>
                <w:color w:val="auto"/>
                <w:sz w:val="24"/>
                <w:szCs w:val="24"/>
                <w:lang w:val="en-US" w:eastAsia="zh-CN"/>
              </w:rPr>
              <w:t>时</w:t>
            </w:r>
            <w:r>
              <w:rPr>
                <w:rFonts w:hint="eastAsia" w:ascii="Times New Roman" w:hAnsi="Times New Roman" w:cs="Times New Roman"/>
                <w:color w:val="auto"/>
                <w:sz w:val="24"/>
                <w:szCs w:val="24"/>
                <w:highlight w:val="red"/>
                <w:lang w:val="en-US" w:eastAsia="zh-CN"/>
              </w:rPr>
              <w:t>，启动漏氯吸收安全装置（双塔液碱溶液吸收）</w:t>
            </w:r>
            <w:r>
              <w:rPr>
                <w:rFonts w:hint="eastAsia" w:ascii="Times New Roman" w:hAnsi="Times New Roman" w:cs="Times New Roman"/>
                <w:color w:val="auto"/>
                <w:sz w:val="24"/>
                <w:szCs w:val="24"/>
                <w:lang w:val="en-US" w:eastAsia="zh-CN"/>
              </w:rPr>
              <w:t>，确保排出废气对外界环境影响较小。</w:t>
            </w:r>
          </w:p>
          <w:p w14:paraId="0237C087">
            <w:pPr>
              <w:keepNext w:val="0"/>
              <w:keepLines w:val="0"/>
              <w:pageBreakBefore w:val="0"/>
              <w:widowControl w:val="0"/>
              <w:kinsoku/>
              <w:wordWrap/>
              <w:overflowPunct/>
              <w:topLinePunct/>
              <w:autoSpaceDE/>
              <w:autoSpaceDN/>
              <w:bidi w:val="0"/>
              <w:adjustRightInd/>
              <w:snapToGrid/>
              <w:spacing w:line="360" w:lineRule="auto"/>
              <w:ind w:firstLine="482" w:firstLineChars="200"/>
              <w:jc w:val="left"/>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2、废水</w:t>
            </w:r>
          </w:p>
          <w:p w14:paraId="0FEE7F0E">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现有项目运营期中所排废水为职工生活污水及净水生产过程排泥水，生活废水经化粪池进行预处理后排入厂区市政污水管网；排泥水由收集管网进入自建排泥水处理系统，经沉淀-污泥浓缩-离心脱水后，上清液回至回用水池进净水生产线再利用，离心废水含少量泥沙，达标后排入厂区市政污水管网。最终进入岳阳马壕水质净化中心的污水处理厂进行深度处理。</w:t>
            </w:r>
            <w:r>
              <w:rPr>
                <w:rFonts w:hint="default" w:ascii="Times New Roman" w:hAnsi="Times New Roman" w:cs="Times New Roman"/>
                <w:color w:val="auto"/>
                <w:sz w:val="24"/>
                <w:szCs w:val="24"/>
                <w:lang w:val="en-US" w:eastAsia="zh-CN"/>
              </w:rPr>
              <w:t xml:space="preserve"> </w:t>
            </w:r>
          </w:p>
          <w:p w14:paraId="1296BDA2">
            <w:pPr>
              <w:keepNext w:val="0"/>
              <w:keepLines w:val="0"/>
              <w:pageBreakBefore w:val="0"/>
              <w:widowControl w:val="0"/>
              <w:kinsoku/>
              <w:wordWrap/>
              <w:overflowPunct/>
              <w:topLinePunct/>
              <w:autoSpaceDE/>
              <w:autoSpaceDN/>
              <w:bidi w:val="0"/>
              <w:adjustRightInd/>
              <w:snapToGrid/>
              <w:spacing w:line="360" w:lineRule="auto"/>
              <w:ind w:firstLine="482" w:firstLineChars="200"/>
              <w:jc w:val="left"/>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噪声</w:t>
            </w:r>
          </w:p>
          <w:p w14:paraId="7364B007">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现有项目</w:t>
            </w:r>
            <w:r>
              <w:rPr>
                <w:rFonts w:hint="default" w:ascii="Times New Roman" w:hAnsi="Times New Roman" w:cs="Times New Roman"/>
                <w:color w:val="auto"/>
                <w:sz w:val="24"/>
                <w:szCs w:val="24"/>
                <w:lang w:val="en-US" w:eastAsia="zh-CN"/>
              </w:rPr>
              <w:t>运营期主要</w:t>
            </w:r>
            <w:r>
              <w:rPr>
                <w:rFonts w:hint="eastAsia" w:ascii="Times New Roman" w:hAnsi="Times New Roman" w:cs="Times New Roman"/>
                <w:color w:val="auto"/>
                <w:sz w:val="24"/>
                <w:szCs w:val="24"/>
                <w:lang w:val="en-US" w:eastAsia="zh-CN"/>
              </w:rPr>
              <w:t>产噪</w:t>
            </w:r>
            <w:r>
              <w:rPr>
                <w:rFonts w:hint="default" w:ascii="Times New Roman" w:hAnsi="Times New Roman" w:cs="Times New Roman"/>
                <w:color w:val="auto"/>
                <w:sz w:val="24"/>
                <w:szCs w:val="24"/>
                <w:lang w:val="en-US" w:eastAsia="zh-CN"/>
              </w:rPr>
              <w:t>设备</w:t>
            </w:r>
            <w:r>
              <w:rPr>
                <w:rFonts w:hint="eastAsia" w:ascii="Times New Roman" w:hAnsi="Times New Roman" w:cs="Times New Roman"/>
                <w:color w:val="auto"/>
                <w:sz w:val="24"/>
                <w:szCs w:val="24"/>
                <w:lang w:val="en-US" w:eastAsia="zh-CN"/>
              </w:rPr>
              <w:t>为厂区内各类水泵、空压机等设备</w:t>
            </w:r>
            <w:r>
              <w:rPr>
                <w:rFonts w:hint="default" w:ascii="Times New Roman" w:hAnsi="Times New Roman" w:cs="Times New Roman"/>
                <w:color w:val="auto"/>
                <w:sz w:val="24"/>
                <w:szCs w:val="24"/>
                <w:lang w:val="en-US" w:eastAsia="zh-CN"/>
              </w:rPr>
              <w:t>噪声，</w:t>
            </w:r>
            <w:r>
              <w:rPr>
                <w:rFonts w:hint="eastAsia" w:ascii="Times New Roman" w:hAnsi="Times New Roman" w:cs="Times New Roman"/>
                <w:color w:val="auto"/>
                <w:sz w:val="24"/>
                <w:szCs w:val="24"/>
                <w:lang w:val="en-US" w:eastAsia="zh-CN"/>
              </w:rPr>
              <w:t>目前主要</w:t>
            </w:r>
            <w:r>
              <w:rPr>
                <w:rFonts w:hint="default" w:ascii="Times New Roman" w:hAnsi="Times New Roman" w:cs="Times New Roman"/>
                <w:color w:val="auto"/>
                <w:sz w:val="24"/>
                <w:szCs w:val="24"/>
                <w:lang w:val="en-US" w:eastAsia="zh-CN"/>
              </w:rPr>
              <w:t>采取措施</w:t>
            </w:r>
            <w:r>
              <w:rPr>
                <w:rFonts w:hint="eastAsia" w:ascii="Times New Roman" w:hAnsi="Times New Roman" w:cs="Times New Roman"/>
                <w:color w:val="auto"/>
                <w:sz w:val="24"/>
                <w:szCs w:val="24"/>
                <w:lang w:val="en-US" w:eastAsia="zh-CN"/>
              </w:rPr>
              <w:t>有</w:t>
            </w:r>
            <w:r>
              <w:rPr>
                <w:rFonts w:hint="default" w:ascii="Times New Roman" w:hAnsi="Times New Roman" w:cs="Times New Roman"/>
                <w:color w:val="auto"/>
                <w:sz w:val="24"/>
                <w:szCs w:val="24"/>
                <w:lang w:val="en-US" w:eastAsia="zh-CN"/>
              </w:rPr>
              <w:t>：选用低噪声设备，并设置减振垫或加装消音、隔声墙体和门窗材料，安排专人定期检查和维修</w:t>
            </w:r>
            <w:r>
              <w:rPr>
                <w:rFonts w:hint="eastAsia" w:ascii="Times New Roman" w:hAnsi="Times New Roman" w:cs="Times New Roman"/>
                <w:color w:val="auto"/>
                <w:sz w:val="24"/>
                <w:szCs w:val="24"/>
                <w:lang w:val="en-US" w:eastAsia="zh-CN"/>
              </w:rPr>
              <w:t>厂区内</w:t>
            </w:r>
            <w:r>
              <w:rPr>
                <w:rFonts w:hint="default" w:ascii="Times New Roman" w:hAnsi="Times New Roman" w:cs="Times New Roman"/>
                <w:color w:val="auto"/>
                <w:sz w:val="24"/>
                <w:szCs w:val="24"/>
                <w:lang w:val="en-US" w:eastAsia="zh-CN"/>
              </w:rPr>
              <w:t>各</w:t>
            </w:r>
            <w:r>
              <w:rPr>
                <w:rFonts w:hint="eastAsia" w:ascii="Times New Roman" w:hAnsi="Times New Roman" w:cs="Times New Roman"/>
                <w:color w:val="auto"/>
                <w:sz w:val="24"/>
                <w:szCs w:val="24"/>
                <w:lang w:val="en-US" w:eastAsia="zh-CN"/>
              </w:rPr>
              <w:t>产噪主要</w:t>
            </w:r>
            <w:r>
              <w:rPr>
                <w:rFonts w:hint="default" w:ascii="Times New Roman" w:hAnsi="Times New Roman" w:cs="Times New Roman"/>
                <w:color w:val="auto"/>
                <w:sz w:val="24"/>
                <w:szCs w:val="24"/>
                <w:lang w:val="en-US" w:eastAsia="zh-CN"/>
              </w:rPr>
              <w:t>设备，保持设备正常运转，</w:t>
            </w:r>
            <w:r>
              <w:rPr>
                <w:rFonts w:hint="eastAsia" w:ascii="Times New Roman" w:hAnsi="Times New Roman" w:cs="Times New Roman"/>
                <w:color w:val="auto"/>
                <w:sz w:val="24"/>
                <w:szCs w:val="24"/>
                <w:lang w:val="en-US" w:eastAsia="zh-CN"/>
              </w:rPr>
              <w:t>通过空气传播自然衰减、绿化隔离防护带</w:t>
            </w:r>
            <w:r>
              <w:rPr>
                <w:rFonts w:hint="default" w:ascii="Times New Roman" w:hAnsi="Times New Roman" w:cs="Times New Roman"/>
                <w:color w:val="auto"/>
                <w:sz w:val="24"/>
                <w:szCs w:val="24"/>
                <w:lang w:val="en-US" w:eastAsia="zh-CN"/>
              </w:rPr>
              <w:t>等措施</w:t>
            </w:r>
            <w:r>
              <w:rPr>
                <w:rFonts w:hint="eastAsia" w:ascii="Times New Roman" w:hAnsi="Times New Roman" w:cs="Times New Roman"/>
                <w:color w:val="auto"/>
                <w:sz w:val="24"/>
                <w:szCs w:val="24"/>
                <w:lang w:val="en-US" w:eastAsia="zh-CN"/>
              </w:rPr>
              <w:t>控制厂区内噪声对外环境的影响</w:t>
            </w:r>
            <w:r>
              <w:rPr>
                <w:rFonts w:hint="default" w:ascii="Times New Roman" w:hAnsi="Times New Roman" w:cs="Times New Roman"/>
                <w:color w:val="auto"/>
                <w:sz w:val="24"/>
                <w:szCs w:val="24"/>
                <w:lang w:val="en-US" w:eastAsia="zh-CN"/>
              </w:rPr>
              <w:t>。</w:t>
            </w:r>
          </w:p>
          <w:p w14:paraId="60647471">
            <w:pPr>
              <w:keepNext w:val="0"/>
              <w:keepLines w:val="0"/>
              <w:pageBreakBefore w:val="0"/>
              <w:widowControl w:val="0"/>
              <w:kinsoku/>
              <w:wordWrap/>
              <w:overflowPunct/>
              <w:topLinePunct/>
              <w:autoSpaceDE/>
              <w:autoSpaceDN/>
              <w:bidi w:val="0"/>
              <w:adjustRightInd/>
              <w:snapToGrid/>
              <w:spacing w:line="360" w:lineRule="auto"/>
              <w:ind w:firstLine="482" w:firstLineChars="200"/>
              <w:jc w:val="left"/>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4、固体废物</w:t>
            </w:r>
          </w:p>
          <w:p w14:paraId="76B14EA7">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现有项目运营期污泥处置车间产生的污泥</w:t>
            </w:r>
            <w:r>
              <w:rPr>
                <w:rFonts w:hint="eastAsia" w:cs="Times New Roman"/>
                <w:color w:val="auto"/>
                <w:sz w:val="24"/>
                <w:szCs w:val="24"/>
                <w:lang w:val="en-US" w:eastAsia="zh-CN"/>
              </w:rPr>
              <w:t>在堆存区暂存自然</w:t>
            </w:r>
            <w:r>
              <w:rPr>
                <w:rFonts w:hint="eastAsia" w:ascii="Times New Roman" w:hAnsi="Times New Roman" w:cs="Times New Roman"/>
                <w:color w:val="auto"/>
                <w:sz w:val="24"/>
                <w:szCs w:val="24"/>
                <w:lang w:val="en-US" w:eastAsia="zh-CN"/>
              </w:rPr>
              <w:t>干化后</w:t>
            </w:r>
            <w:r>
              <w:rPr>
                <w:rFonts w:hint="eastAsia" w:cs="Times New Roman"/>
                <w:color w:val="auto"/>
                <w:sz w:val="24"/>
                <w:szCs w:val="24"/>
                <w:lang w:val="en-US" w:eastAsia="zh-CN"/>
              </w:rPr>
              <w:t>，定期</w:t>
            </w:r>
            <w:r>
              <w:rPr>
                <w:rFonts w:hint="eastAsia" w:ascii="Times New Roman" w:hAnsi="Times New Roman" w:cs="Times New Roman"/>
                <w:color w:val="auto"/>
                <w:sz w:val="24"/>
                <w:szCs w:val="24"/>
                <w:lang w:val="en-US" w:eastAsia="zh-CN"/>
              </w:rPr>
              <w:t>交由环卫部门统一清运；生活垃圾经厂区内分类统一收集后交由环卫部门处理；</w:t>
            </w:r>
            <w:r>
              <w:rPr>
                <w:rFonts w:hint="eastAsia" w:cs="Times New Roman"/>
                <w:color w:val="auto"/>
                <w:sz w:val="24"/>
                <w:szCs w:val="24"/>
                <w:lang w:val="en-US" w:eastAsia="zh-CN"/>
              </w:rPr>
              <w:t>目前厂</w:t>
            </w:r>
            <w:r>
              <w:rPr>
                <w:rFonts w:hint="eastAsia" w:ascii="Times New Roman" w:hAnsi="Times New Roman" w:cs="Times New Roman"/>
                <w:color w:val="auto"/>
                <w:sz w:val="24"/>
                <w:szCs w:val="24"/>
                <w:lang w:val="en-US" w:eastAsia="zh-CN"/>
              </w:rPr>
              <w:t>区</w:t>
            </w:r>
            <w:r>
              <w:rPr>
                <w:rFonts w:hint="eastAsia" w:cs="Times New Roman"/>
                <w:color w:val="auto"/>
                <w:sz w:val="24"/>
                <w:szCs w:val="24"/>
                <w:lang w:val="en-US" w:eastAsia="zh-CN"/>
              </w:rPr>
              <w:t>范围内</w:t>
            </w:r>
            <w:r>
              <w:rPr>
                <w:rFonts w:hint="eastAsia" w:ascii="Times New Roman" w:hAnsi="Times New Roman" w:cs="Times New Roman"/>
                <w:color w:val="auto"/>
                <w:sz w:val="24"/>
                <w:szCs w:val="24"/>
                <w:lang w:val="en-US" w:eastAsia="zh-CN"/>
              </w:rPr>
              <w:t>未设置危废暂存间，</w:t>
            </w:r>
            <w:r>
              <w:rPr>
                <w:rFonts w:hint="eastAsia" w:cs="Times New Roman"/>
                <w:color w:val="auto"/>
                <w:sz w:val="24"/>
                <w:szCs w:val="24"/>
                <w:lang w:val="en-US" w:eastAsia="zh-CN"/>
              </w:rPr>
              <w:t>运营期产生的危险废物</w:t>
            </w:r>
            <w:r>
              <w:rPr>
                <w:rFonts w:hint="eastAsia" w:ascii="Times New Roman" w:hAnsi="Times New Roman" w:cs="Times New Roman"/>
                <w:color w:val="auto"/>
                <w:sz w:val="24"/>
                <w:szCs w:val="24"/>
                <w:lang w:val="en-US" w:eastAsia="zh-CN"/>
              </w:rPr>
              <w:t>暂时存放于实验室、维修间内</w:t>
            </w:r>
            <w:r>
              <w:rPr>
                <w:rFonts w:hint="eastAsia" w:cs="Times New Roman"/>
                <w:color w:val="auto"/>
                <w:sz w:val="24"/>
                <w:szCs w:val="24"/>
                <w:lang w:val="en-US" w:eastAsia="zh-CN"/>
              </w:rPr>
              <w:t>，未进行合理有效暂存处置</w:t>
            </w:r>
            <w:r>
              <w:rPr>
                <w:rFonts w:hint="eastAsia" w:ascii="Times New Roman" w:hAnsi="Times New Roman" w:cs="Times New Roman"/>
                <w:color w:val="auto"/>
                <w:sz w:val="24"/>
                <w:szCs w:val="24"/>
                <w:lang w:val="en-US" w:eastAsia="zh-CN"/>
              </w:rPr>
              <w:t xml:space="preserve">。 </w:t>
            </w:r>
          </w:p>
          <w:p w14:paraId="19956DEB">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eastAsia"/>
                <w:b/>
                <w:bCs w:val="0"/>
                <w:sz w:val="24"/>
                <w:szCs w:val="24"/>
                <w:lang w:val="en-US" w:eastAsia="zh-CN"/>
              </w:rPr>
              <w:t>五、</w:t>
            </w:r>
            <w:r>
              <w:rPr>
                <w:rFonts w:hint="default"/>
                <w:b/>
                <w:bCs w:val="0"/>
                <w:sz w:val="24"/>
                <w:szCs w:val="24"/>
                <w:lang w:val="en-US" w:eastAsia="zh-CN"/>
              </w:rPr>
              <w:t>主要环境问题</w:t>
            </w:r>
          </w:p>
          <w:p w14:paraId="41F42D7B">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1、现有工程未设置符合规范的危险废物暂存间</w:t>
            </w:r>
          </w:p>
          <w:p w14:paraId="0F1CFDD7">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cs="Times New Roman"/>
                <w:color w:val="auto"/>
                <w:sz w:val="24"/>
                <w:szCs w:val="24"/>
                <w:lang w:val="en-US" w:eastAsia="zh-CN"/>
              </w:rPr>
            </w:pPr>
            <w:r>
              <w:rPr>
                <w:rFonts w:hint="eastAsia" w:ascii="Times New Roman" w:hAnsi="Times New Roman" w:cs="Times New Roman"/>
                <w:color w:val="auto"/>
                <w:sz w:val="24"/>
                <w:szCs w:val="24"/>
                <w:lang w:val="en-US" w:eastAsia="zh-CN"/>
              </w:rPr>
              <w:t>项目</w:t>
            </w:r>
            <w:r>
              <w:rPr>
                <w:rFonts w:hint="eastAsia" w:cs="Times New Roman"/>
                <w:color w:val="auto"/>
                <w:sz w:val="24"/>
                <w:szCs w:val="24"/>
                <w:lang w:val="en-US" w:eastAsia="zh-CN"/>
              </w:rPr>
              <w:t>运营期产生的危险废物主要为车间各类设备维护修理产生的废机油及含油抹布、实验室废弃试验试剂/废液，目前未有合规暂存场所收集、暂存现有工程产生的危险废物，不符合危险废物环境管理要求。</w:t>
            </w:r>
          </w:p>
          <w:p w14:paraId="0B80C3FF">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cs="Times New Roman"/>
                <w:sz w:val="24"/>
                <w:szCs w:val="24"/>
                <w:u w:val="single"/>
                <w:lang w:val="en-US" w:eastAsia="zh-CN"/>
              </w:rPr>
            </w:pPr>
            <w:r>
              <w:rPr>
                <w:rFonts w:hint="eastAsia" w:ascii="Times New Roman" w:hAnsi="Times New Roman" w:cs="Times New Roman"/>
                <w:color w:val="auto"/>
                <w:sz w:val="24"/>
                <w:szCs w:val="24"/>
                <w:u w:val="single"/>
                <w:lang w:val="en-US" w:eastAsia="zh-CN"/>
              </w:rPr>
              <w:t>整改措施：</w:t>
            </w:r>
            <w:r>
              <w:rPr>
                <w:rFonts w:hint="eastAsia" w:cs="Times New Roman"/>
                <w:color w:val="auto"/>
                <w:sz w:val="24"/>
                <w:szCs w:val="24"/>
                <w:u w:val="single"/>
                <w:lang w:val="en-US" w:eastAsia="zh-CN"/>
              </w:rPr>
              <w:t>在厂区的仓库机修间区域，设置一处占地5m</w:t>
            </w:r>
            <w:r>
              <w:rPr>
                <w:rFonts w:hint="eastAsia" w:cs="Times New Roman"/>
                <w:color w:val="auto"/>
                <w:sz w:val="24"/>
                <w:szCs w:val="24"/>
                <w:u w:val="single"/>
                <w:vertAlign w:val="superscript"/>
                <w:lang w:val="en-US" w:eastAsia="zh-CN"/>
              </w:rPr>
              <w:t>2</w:t>
            </w:r>
            <w:r>
              <w:rPr>
                <w:rFonts w:hint="eastAsia" w:cs="Times New Roman"/>
                <w:color w:val="auto"/>
                <w:sz w:val="24"/>
                <w:szCs w:val="24"/>
                <w:u w:val="single"/>
                <w:lang w:val="en-US" w:eastAsia="zh-CN"/>
              </w:rPr>
              <w:t>的危险废物暂存间，严格按照</w:t>
            </w:r>
            <w:r>
              <w:rPr>
                <w:rFonts w:hint="eastAsia" w:ascii="Times New Roman" w:hAnsi="Times New Roman" w:cs="Times New Roman"/>
                <w:color w:val="auto"/>
                <w:sz w:val="24"/>
                <w:szCs w:val="24"/>
                <w:u w:val="single"/>
                <w:lang w:val="en-US" w:eastAsia="zh-CN"/>
              </w:rPr>
              <w:t>《危险废物贮存污染控制标准》</w:t>
            </w:r>
            <w:r>
              <w:rPr>
                <w:rFonts w:hint="eastAsia" w:cs="Times New Roman"/>
                <w:color w:val="auto"/>
                <w:sz w:val="24"/>
                <w:szCs w:val="24"/>
                <w:u w:val="single"/>
                <w:lang w:val="en-US" w:eastAsia="zh-CN"/>
              </w:rPr>
              <w:t>（</w:t>
            </w:r>
            <w:r>
              <w:rPr>
                <w:rFonts w:hint="eastAsia" w:ascii="Times New Roman" w:hAnsi="Times New Roman" w:cs="Times New Roman"/>
                <w:color w:val="auto"/>
                <w:sz w:val="24"/>
                <w:szCs w:val="24"/>
                <w:u w:val="single"/>
                <w:lang w:val="en-US" w:eastAsia="zh-CN"/>
              </w:rPr>
              <w:t>GB18597-2023</w:t>
            </w:r>
            <w:r>
              <w:rPr>
                <w:rFonts w:hint="eastAsia" w:cs="Times New Roman"/>
                <w:color w:val="auto"/>
                <w:sz w:val="24"/>
                <w:szCs w:val="24"/>
                <w:u w:val="single"/>
                <w:lang w:val="en-US" w:eastAsia="zh-CN"/>
              </w:rPr>
              <w:t>）中危险暂存间设置</w:t>
            </w:r>
            <w:r>
              <w:rPr>
                <w:rFonts w:hint="eastAsia" w:ascii="Times New Roman" w:hAnsi="Times New Roman" w:cs="Times New Roman"/>
                <w:color w:val="auto"/>
                <w:sz w:val="24"/>
                <w:szCs w:val="24"/>
                <w:u w:val="single"/>
                <w:lang w:val="en-US" w:eastAsia="zh-CN"/>
              </w:rPr>
              <w:t>要求</w:t>
            </w:r>
            <w:r>
              <w:rPr>
                <w:rFonts w:hint="eastAsia" w:cs="Times New Roman"/>
                <w:color w:val="auto"/>
                <w:sz w:val="24"/>
                <w:szCs w:val="24"/>
                <w:u w:val="single"/>
                <w:lang w:val="en-US" w:eastAsia="zh-CN"/>
              </w:rPr>
              <w:t>进行建设，暂存间</w:t>
            </w:r>
            <w:r>
              <w:rPr>
                <w:rFonts w:hint="default" w:ascii="Times New Roman" w:hAnsi="Times New Roman" w:cs="Times New Roman"/>
                <w:sz w:val="24"/>
                <w:szCs w:val="24"/>
                <w:u w:val="single"/>
                <w:lang w:val="en-US" w:eastAsia="zh-CN"/>
              </w:rPr>
              <w:t>地面、</w:t>
            </w:r>
            <w:r>
              <w:rPr>
                <w:rFonts w:hint="eastAsia" w:cs="Times New Roman"/>
                <w:sz w:val="24"/>
                <w:szCs w:val="24"/>
                <w:u w:val="single"/>
                <w:lang w:val="en-US" w:eastAsia="zh-CN"/>
              </w:rPr>
              <w:t>墙裙按防渗防腐防漏要求建设，内部设置托盘，合理分区存放各类危险废物，并设置标识标牌。与具有危险废物处置资质的单位签订企业危险废物处置协议，将项目产生的危险废物在产生、收集、暂存和转移处置环节进行严格管理，达到危险废物管理要求。</w:t>
            </w:r>
          </w:p>
          <w:p w14:paraId="75BB8AE3">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u w:val="single"/>
                <w:lang w:val="en-US" w:eastAsia="zh-CN"/>
              </w:rPr>
            </w:pPr>
            <w:r>
              <w:rPr>
                <w:rFonts w:hint="eastAsia" w:cs="Times New Roman"/>
                <w:color w:val="auto"/>
                <w:sz w:val="24"/>
                <w:szCs w:val="24"/>
                <w:u w:val="single"/>
                <w:lang w:val="en-US" w:eastAsia="zh-CN"/>
              </w:rPr>
              <w:t>2、目前项目水厂取水备用水源地洞庭湖水质总磷存在超标情况</w:t>
            </w:r>
          </w:p>
          <w:p w14:paraId="59D22845">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eastAsia" w:ascii="Times New Roman" w:hAnsi="Times New Roman" w:cs="Times New Roman"/>
                <w:color w:val="auto"/>
                <w:sz w:val="24"/>
                <w:szCs w:val="24"/>
                <w:u w:val="single"/>
                <w:lang w:val="en-US" w:eastAsia="zh-CN"/>
              </w:rPr>
            </w:pPr>
            <w:r>
              <w:rPr>
                <w:rFonts w:hint="eastAsia" w:ascii="Times New Roman" w:hAnsi="Times New Roman" w:cs="Times New Roman"/>
                <w:color w:val="auto"/>
                <w:sz w:val="24"/>
                <w:szCs w:val="24"/>
                <w:u w:val="single"/>
                <w:lang w:val="en-US" w:eastAsia="zh-CN"/>
              </w:rPr>
              <w:t>根据项目所在地常规水环境质量监测数据分析，备用水源地洞庭湖断面水质中总磷存在超标现象，对项目供水水质正常存在一定的影响。项目水源地所在位置为洞庭湖下游，导致水质总磷超标主要是农业面源污染主导、‌入湖河流来水携带、‌城镇与生活污染源、湖体中‌内源释放与水文特征等方面共同造成。‌</w:t>
            </w:r>
          </w:p>
          <w:p w14:paraId="6B7DEB2C">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u w:val="single"/>
                <w:lang w:val="en-US" w:eastAsia="zh-CN"/>
              </w:rPr>
            </w:pPr>
            <w:r>
              <w:rPr>
                <w:rFonts w:hint="eastAsia" w:ascii="Times New Roman" w:hAnsi="Times New Roman" w:cs="Times New Roman"/>
                <w:color w:val="auto"/>
                <w:sz w:val="24"/>
                <w:szCs w:val="24"/>
                <w:u w:val="single"/>
                <w:lang w:val="en-US" w:eastAsia="zh-CN"/>
              </w:rPr>
              <w:t>整改措施：净水生产线采用铝盐进行絮凝沉淀处理，能大幅削减水体中总磷污染物；同时密切关注洞庭湖取水水源水质情况，若原水存在大幅总磷超标情况，应采取临时加强净水过程除磷药剂使用或切换取水水源（改用铁山水库水源）。</w:t>
            </w:r>
          </w:p>
          <w:p w14:paraId="65916031">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eastAsia" w:cs="Times New Roman"/>
                <w:color w:val="auto"/>
                <w:sz w:val="24"/>
                <w:szCs w:val="24"/>
                <w:u w:val="single"/>
                <w:lang w:val="en-US" w:eastAsia="zh-CN"/>
              </w:rPr>
            </w:pPr>
            <w:r>
              <w:rPr>
                <w:rFonts w:hint="eastAsia" w:ascii="Times New Roman" w:hAnsi="Times New Roman" w:cs="Times New Roman"/>
                <w:color w:val="auto"/>
                <w:sz w:val="24"/>
                <w:szCs w:val="24"/>
                <w:u w:val="single"/>
                <w:lang w:val="en-US" w:eastAsia="zh-CN"/>
              </w:rPr>
              <w:t>当地政府</w:t>
            </w:r>
            <w:r>
              <w:rPr>
                <w:rFonts w:hint="eastAsia" w:cs="Times New Roman"/>
                <w:color w:val="auto"/>
                <w:sz w:val="24"/>
                <w:szCs w:val="24"/>
                <w:u w:val="single"/>
                <w:lang w:val="en-US" w:eastAsia="zh-CN"/>
              </w:rPr>
              <w:t>已发布</w:t>
            </w:r>
            <w:r>
              <w:rPr>
                <w:rFonts w:hint="eastAsia" w:ascii="Times New Roman" w:hAnsi="Times New Roman" w:cs="Times New Roman"/>
                <w:color w:val="auto"/>
                <w:sz w:val="24"/>
                <w:szCs w:val="24"/>
                <w:u w:val="single"/>
                <w:lang w:val="en-US" w:eastAsia="zh-CN"/>
              </w:rPr>
              <w:t>实施</w:t>
            </w:r>
            <w:r>
              <w:rPr>
                <w:rFonts w:hint="default" w:ascii="Times New Roman" w:hAnsi="Times New Roman" w:cs="Times New Roman"/>
                <w:sz w:val="24"/>
                <w:szCs w:val="24"/>
                <w:u w:val="single"/>
              </w:rPr>
              <w:t>《湖南省“一江一湖四水”总磷污染控制方案(2026</w:t>
            </w:r>
            <w:r>
              <w:rPr>
                <w:rFonts w:hint="eastAsia" w:cs="Times New Roman"/>
                <w:sz w:val="24"/>
                <w:szCs w:val="24"/>
                <w:u w:val="single"/>
                <w:lang w:val="en-US" w:eastAsia="zh-CN"/>
              </w:rPr>
              <w:t>-</w:t>
            </w:r>
            <w:r>
              <w:rPr>
                <w:rFonts w:hint="default" w:ascii="Times New Roman" w:hAnsi="Times New Roman" w:cs="Times New Roman"/>
                <w:sz w:val="24"/>
                <w:szCs w:val="24"/>
                <w:u w:val="single"/>
              </w:rPr>
              <w:t>2030年)》</w:t>
            </w:r>
            <w:r>
              <w:rPr>
                <w:rFonts w:hint="eastAsia" w:cs="Times New Roman"/>
                <w:sz w:val="24"/>
                <w:szCs w:val="24"/>
                <w:u w:val="single"/>
                <w:lang w:val="en-US" w:eastAsia="zh-CN"/>
              </w:rPr>
              <w:t>政策文件，从</w:t>
            </w:r>
            <w:r>
              <w:rPr>
                <w:rFonts w:hint="default" w:ascii="Times New Roman" w:hAnsi="Times New Roman" w:cs="Times New Roman"/>
                <w:sz w:val="24"/>
                <w:szCs w:val="24"/>
                <w:u w:val="single"/>
              </w:rPr>
              <w:t>6大方面14项具体治磷任务</w:t>
            </w:r>
            <w:r>
              <w:rPr>
                <w:rFonts w:hint="eastAsia" w:ascii="Times New Roman" w:hAnsi="Times New Roman" w:cs="Times New Roman"/>
                <w:color w:val="auto"/>
                <w:sz w:val="24"/>
                <w:szCs w:val="24"/>
                <w:u w:val="single"/>
                <w:lang w:val="en-US" w:eastAsia="zh-CN"/>
              </w:rPr>
              <w:t>中</w:t>
            </w:r>
            <w:r>
              <w:rPr>
                <w:rFonts w:hint="eastAsia" w:cs="Times New Roman"/>
                <w:color w:val="auto"/>
                <w:sz w:val="24"/>
                <w:szCs w:val="24"/>
                <w:u w:val="single"/>
                <w:lang w:val="en-US" w:eastAsia="zh-CN"/>
              </w:rPr>
              <w:t>开展湖区治理工程，针对东洞庭湖周边城镇生活污水管网提质增效、农业面源污染削减、涉磷工业企业排查整治开展专项行动，从源头降低入湖总磷负荷。结合东洞庭湖湿地保护修复项目，推进总磷拦截型人工湿地建设，2030年前将完成东洞庭湖区域湿地修复任务，强化湖体自净能力。依托东洞庭湖综合执法体系，加大对沿湖涉磷排污行为的巡查执法力度，保障各项总磷污染控制措施落地见效。</w:t>
            </w:r>
          </w:p>
          <w:p w14:paraId="6B9217DC">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cs="Times New Roman"/>
                <w:color w:val="auto"/>
                <w:sz w:val="24"/>
                <w:szCs w:val="24"/>
                <w:u w:val="single"/>
                <w:lang w:val="en-US" w:eastAsia="zh-CN"/>
              </w:rPr>
            </w:pPr>
            <w:r>
              <w:rPr>
                <w:rFonts w:hint="eastAsia" w:cs="Times New Roman"/>
                <w:color w:val="auto"/>
                <w:sz w:val="24"/>
                <w:szCs w:val="24"/>
                <w:u w:val="single"/>
                <w:lang w:val="en-US" w:eastAsia="zh-CN"/>
              </w:rPr>
              <w:t>加强洞庭湖生态环境保护、控制和削减总磷污染，待各方面协同开展整治工程后，水源地水质中总磷有望得到进一步改善。</w:t>
            </w:r>
          </w:p>
          <w:p w14:paraId="7E7E068D">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u w:val="single"/>
                <w:lang w:val="en-US" w:eastAsia="zh-CN"/>
              </w:rPr>
            </w:pPr>
            <w:r>
              <w:rPr>
                <w:rFonts w:hint="eastAsia" w:cs="Times New Roman"/>
                <w:color w:val="auto"/>
                <w:sz w:val="24"/>
                <w:szCs w:val="24"/>
                <w:u w:val="single"/>
                <w:lang w:val="en-US" w:eastAsia="zh-CN"/>
              </w:rPr>
              <w:t>3、项目主要环境风险源加氯间风险防控措施情况</w:t>
            </w:r>
          </w:p>
          <w:p w14:paraId="5FEC3535">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eastAsia" w:cs="Times New Roman"/>
                <w:color w:val="auto"/>
                <w:sz w:val="24"/>
                <w:szCs w:val="24"/>
                <w:u w:val="single"/>
                <w:lang w:val="en-US" w:eastAsia="zh-CN"/>
              </w:rPr>
            </w:pPr>
            <w:r>
              <w:rPr>
                <w:rFonts w:hint="eastAsia" w:cs="Times New Roman"/>
                <w:color w:val="auto"/>
                <w:sz w:val="24"/>
                <w:szCs w:val="24"/>
                <w:u w:val="single"/>
                <w:lang w:val="en-US" w:eastAsia="zh-CN"/>
              </w:rPr>
              <w:t>按照涉氯工业场所安全规范要求，项目加氯间包括液氯钢瓶存放、加氯机两块区域，主要风险防控措施应包括①氯气钢瓶存放区应设置‌建筑封闭与喷淋设施、‌通风与吸风设施、‌钢瓶存放配套设施、‌泄漏监测设施；②加氯间应‌物理隔离设施、‌通风换气设施、‌泄漏报警设施、‌个体防护存放设施；③整体加氯间和气瓶存放区共用环境风险防范设施为：‌事故氯吸收装置、‌在线监测设施、‌事故应急水池、‌备用动力设施、‌个体防护器材。</w:t>
            </w:r>
          </w:p>
          <w:p w14:paraId="3E21DD27">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cs="Times New Roman"/>
                <w:color w:val="auto"/>
                <w:sz w:val="24"/>
                <w:szCs w:val="24"/>
                <w:u w:val="single"/>
                <w:lang w:val="en-US" w:eastAsia="zh-CN"/>
              </w:rPr>
            </w:pPr>
            <w:r>
              <w:rPr>
                <w:rFonts w:hint="eastAsia" w:cs="Times New Roman"/>
                <w:color w:val="auto"/>
                <w:sz w:val="24"/>
                <w:szCs w:val="24"/>
                <w:u w:val="single"/>
                <w:lang w:val="en-US" w:eastAsia="zh-CN"/>
              </w:rPr>
              <w:t>项目液氯气瓶存储区和加氯区域已采用全封闭结构、设置了强排风系统、配套一座事故应急池、漏氯安全吸收装置（采用二级碱吸收工艺，配套热交换设施，设置备用循环泵和备用事故氯风机，设置氢氧化钠浓度、温度在线监测仪，尾气排放口设置氯气探测器）、氯气探测报警器和应急物资柜（包括便携式氯气报警仪、防毒面具、专用抢救工具和工具箱等设施）。液氯瓶存刚去设置不锈钢滚轮托架，实瓶、空瓶分区存放并设置明显标识，预留充足吊运间距和通道。目前加氯间未设置雾状水喷淋装置。</w:t>
            </w:r>
          </w:p>
          <w:p w14:paraId="18E1A946">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cs="Times New Roman"/>
                <w:color w:val="auto"/>
                <w:sz w:val="24"/>
                <w:szCs w:val="24"/>
                <w:u w:val="single"/>
                <w:lang w:val="en-US" w:eastAsia="zh-CN"/>
              </w:rPr>
            </w:pPr>
            <w:r>
              <w:rPr>
                <w:rFonts w:hint="eastAsia" w:cs="Times New Roman"/>
                <w:color w:val="auto"/>
                <w:sz w:val="24"/>
                <w:szCs w:val="24"/>
                <w:u w:val="single"/>
                <w:lang w:val="en-US" w:eastAsia="zh-CN"/>
              </w:rPr>
              <w:t>整改要求：加氯间的加氯机区、液氯钢瓶存放区的门、窗等密封面设置雾状水喷淋装置，防止氯气向外扩散泄漏。</w:t>
            </w:r>
          </w:p>
          <w:p w14:paraId="1D402CB5">
            <w:pPr>
              <w:keepNext w:val="0"/>
              <w:keepLines w:val="0"/>
              <w:pageBreakBefore w:val="0"/>
              <w:widowControl w:val="0"/>
              <w:kinsoku/>
              <w:wordWrap/>
              <w:overflowPunct/>
              <w:topLinePunct/>
              <w:autoSpaceDE/>
              <w:autoSpaceDN/>
              <w:bidi w:val="0"/>
              <w:adjustRightInd/>
              <w:snapToGrid/>
              <w:spacing w:line="360" w:lineRule="auto"/>
              <w:ind w:firstLine="420" w:firstLineChars="200"/>
              <w:jc w:val="left"/>
              <w:textAlignment w:val="auto"/>
            </w:pPr>
          </w:p>
        </w:tc>
      </w:tr>
    </w:tbl>
    <w:p w14:paraId="5E27C55B">
      <w:r>
        <w:br w:type="page"/>
      </w:r>
    </w:p>
    <w:p w14:paraId="157F0CC5">
      <w:pPr>
        <w:pStyle w:val="23"/>
        <w:jc w:val="center"/>
        <w:outlineLvl w:val="0"/>
        <w:rPr>
          <w:rFonts w:hint="default" w:ascii="黑体" w:hAnsi="黑体" w:eastAsia="黑体" w:cs="Times New Roman"/>
          <w:snapToGrid w:val="0"/>
          <w:sz w:val="30"/>
          <w:szCs w:val="30"/>
        </w:rPr>
      </w:pPr>
      <w:bookmarkStart w:id="9" w:name="_Toc23775"/>
      <w:bookmarkStart w:id="10" w:name="_Toc24566"/>
      <w:bookmarkStart w:id="11" w:name="_Toc27606"/>
      <w:bookmarkStart w:id="12" w:name="_Toc24936"/>
      <w:bookmarkStart w:id="13" w:name="_Toc23235"/>
      <w:bookmarkStart w:id="14" w:name="_Toc21798"/>
      <w:r>
        <w:rPr>
          <w:rFonts w:hint="default" w:ascii="黑体" w:hAnsi="黑体" w:eastAsia="黑体" w:cs="Times New Roman"/>
          <w:snapToGrid w:val="0"/>
          <w:sz w:val="30"/>
          <w:szCs w:val="30"/>
        </w:rPr>
        <w:t>三、区域环境质量现状、环境保护目标及评价标准</w:t>
      </w:r>
      <w:bookmarkEnd w:id="9"/>
      <w:bookmarkEnd w:id="10"/>
      <w:bookmarkEnd w:id="11"/>
      <w:bookmarkEnd w:id="12"/>
      <w:bookmarkEnd w:id="13"/>
      <w:bookmarkEnd w:id="14"/>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38"/>
        <w:gridCol w:w="8084"/>
      </w:tblGrid>
      <w:tr w14:paraId="5DBCB0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noWrap w:val="0"/>
            <w:vAlign w:val="center"/>
          </w:tcPr>
          <w:p w14:paraId="3FB6233D">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区域</w:t>
            </w:r>
          </w:p>
          <w:p w14:paraId="42F0C91C">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环境</w:t>
            </w:r>
          </w:p>
          <w:p w14:paraId="3A9453DC">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质量</w:t>
            </w:r>
          </w:p>
          <w:p w14:paraId="3E9021FF">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现状</w:t>
            </w:r>
          </w:p>
        </w:tc>
        <w:tc>
          <w:tcPr>
            <w:tcW w:w="8190" w:type="dxa"/>
            <w:noWrap w:val="0"/>
            <w:vAlign w:val="center"/>
          </w:tcPr>
          <w:p w14:paraId="3562F852">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一、大气环境</w:t>
            </w:r>
          </w:p>
          <w:p w14:paraId="0ED40106">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eastAsia" w:cs="Times New Roman"/>
                <w:color w:val="auto"/>
                <w:sz w:val="24"/>
                <w:szCs w:val="24"/>
                <w:lang w:val="en-US" w:eastAsia="zh-CN"/>
              </w:rPr>
            </w:pPr>
            <w:r>
              <w:rPr>
                <w:rFonts w:hint="default" w:ascii="Times New Roman" w:hAnsi="Times New Roman" w:cs="Times New Roman"/>
                <w:color w:val="auto"/>
                <w:sz w:val="24"/>
                <w:szCs w:val="24"/>
                <w:lang w:val="en-US" w:eastAsia="zh-CN"/>
              </w:rPr>
              <w:t>本项目位于岳阳市岳阳楼区</w:t>
            </w:r>
            <w:r>
              <w:rPr>
                <w:rFonts w:hint="eastAsia" w:ascii="Times New Roman" w:hAnsi="Times New Roman" w:cs="Times New Roman"/>
                <w:color w:val="auto"/>
                <w:sz w:val="24"/>
                <w:szCs w:val="24"/>
                <w:lang w:val="en-US" w:eastAsia="zh-CN"/>
              </w:rPr>
              <w:t>岳阳楼</w:t>
            </w:r>
            <w:r>
              <w:rPr>
                <w:rFonts w:hint="default" w:ascii="Times New Roman" w:hAnsi="Times New Roman" w:cs="Times New Roman"/>
                <w:color w:val="auto"/>
                <w:sz w:val="24"/>
                <w:szCs w:val="24"/>
                <w:lang w:val="en-US" w:eastAsia="zh-CN"/>
              </w:rPr>
              <w:t>街道行政区域范围内，属于岳阳市城区</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本次评价期间</w:t>
            </w:r>
            <w:r>
              <w:rPr>
                <w:rFonts w:hint="eastAsia" w:cs="Times New Roman"/>
                <w:color w:val="auto"/>
                <w:sz w:val="24"/>
                <w:szCs w:val="24"/>
                <w:lang w:val="en-US" w:eastAsia="zh-CN"/>
              </w:rPr>
              <w:t>收集</w:t>
            </w:r>
            <w:r>
              <w:rPr>
                <w:rFonts w:hint="default" w:ascii="Times New Roman" w:hAnsi="Times New Roman" w:cs="Times New Roman"/>
                <w:color w:val="auto"/>
                <w:sz w:val="24"/>
                <w:szCs w:val="24"/>
                <w:lang w:val="en-US" w:eastAsia="zh-CN"/>
              </w:rPr>
              <w:t>岳阳市生态环境主管部门</w:t>
            </w:r>
            <w:r>
              <w:rPr>
                <w:rFonts w:hint="eastAsia" w:cs="Times New Roman"/>
                <w:color w:val="auto"/>
                <w:sz w:val="24"/>
                <w:szCs w:val="24"/>
                <w:lang w:val="en-US" w:eastAsia="zh-CN"/>
              </w:rPr>
              <w:t>发布的</w:t>
            </w:r>
            <w:r>
              <w:rPr>
                <w:rFonts w:hint="default" w:ascii="Times New Roman" w:hAnsi="Times New Roman" w:cs="Times New Roman"/>
                <w:color w:val="auto"/>
                <w:sz w:val="24"/>
                <w:szCs w:val="24"/>
                <w:lang w:val="en-US" w:eastAsia="zh-CN"/>
              </w:rPr>
              <w:t>岳阳市2025年度生态环境质量公报</w:t>
            </w:r>
            <w:r>
              <w:rPr>
                <w:rFonts w:hint="eastAsia" w:cs="Times New Roman"/>
                <w:color w:val="auto"/>
                <w:sz w:val="24"/>
                <w:szCs w:val="24"/>
                <w:lang w:val="en-US" w:eastAsia="zh-CN"/>
              </w:rPr>
              <w:t>相关内容</w:t>
            </w:r>
            <w:r>
              <w:rPr>
                <w:rFonts w:hint="default" w:ascii="Times New Roman" w:hAnsi="Times New Roman" w:cs="Times New Roman"/>
                <w:color w:val="auto"/>
                <w:sz w:val="24"/>
                <w:szCs w:val="24"/>
                <w:lang w:val="en-US" w:eastAsia="zh-CN"/>
              </w:rPr>
              <w:t>，进行项目所在区域环境质量空气现状评价</w:t>
            </w:r>
            <w:r>
              <w:rPr>
                <w:rFonts w:hint="eastAsia" w:cs="Times New Roman"/>
                <w:color w:val="auto"/>
                <w:sz w:val="24"/>
                <w:szCs w:val="24"/>
                <w:lang w:val="en-US" w:eastAsia="zh-CN"/>
              </w:rPr>
              <w:t>。</w:t>
            </w:r>
          </w:p>
          <w:p w14:paraId="7CDF9F02">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根据生态</w:t>
            </w:r>
            <w:r>
              <w:rPr>
                <w:rFonts w:hint="eastAsia" w:cs="Times New Roman"/>
                <w:color w:val="auto"/>
                <w:sz w:val="24"/>
                <w:szCs w:val="24"/>
                <w:lang w:val="en-US" w:eastAsia="zh-CN"/>
              </w:rPr>
              <w:t>环境</w:t>
            </w:r>
            <w:r>
              <w:rPr>
                <w:rFonts w:hint="default" w:ascii="Times New Roman" w:hAnsi="Times New Roman" w:cs="Times New Roman"/>
                <w:color w:val="auto"/>
                <w:sz w:val="24"/>
                <w:szCs w:val="24"/>
                <w:lang w:val="en-US" w:eastAsia="zh-CN"/>
              </w:rPr>
              <w:t>部相关公告，已明确要求“2026年3月1日至2030年12月31日期间审批的建设项目，应基于获取的基准年环境质量现状数据，按照新标准中“过渡阶段浓度限值”进行达标判定，不再以旧标准评价的基准年环境质量公告或环境质量报告结论为准。”因此本次评价对标</w:t>
            </w:r>
            <w:r>
              <w:rPr>
                <w:rFonts w:hint="eastAsia" w:cs="Times New Roman"/>
                <w:color w:val="auto"/>
                <w:sz w:val="24"/>
                <w:szCs w:val="24"/>
                <w:lang w:val="en-US" w:eastAsia="zh-CN"/>
              </w:rPr>
              <w:t>环境空气质量</w:t>
            </w:r>
            <w:r>
              <w:rPr>
                <w:rFonts w:hint="default" w:ascii="Times New Roman" w:hAnsi="Times New Roman" w:cs="Times New Roman"/>
                <w:color w:val="auto"/>
                <w:sz w:val="24"/>
                <w:szCs w:val="24"/>
                <w:lang w:val="en-US" w:eastAsia="zh-CN"/>
              </w:rPr>
              <w:t>标准为《环境空气质量标准》（GB3095-2026）中表1过渡阶段浓度限值的二级标准。</w:t>
            </w:r>
          </w:p>
          <w:p w14:paraId="40A297EB">
            <w:pPr>
              <w:keepNext w:val="0"/>
              <w:keepLines w:val="0"/>
              <w:pageBreakBefore w:val="0"/>
              <w:widowControl w:val="0"/>
              <w:kinsoku/>
              <w:wordWrap/>
              <w:overflowPunct/>
              <w:topLinePunct/>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u w:val="single"/>
                <w:lang w:val="en-US" w:eastAsia="zh-CN"/>
              </w:rPr>
            </w:pPr>
            <w:r>
              <w:rPr>
                <w:rFonts w:hint="eastAsia" w:cs="Times New Roman"/>
                <w:color w:val="auto"/>
                <w:sz w:val="24"/>
                <w:szCs w:val="24"/>
                <w:u w:val="single"/>
                <w:lang w:val="en-US" w:eastAsia="zh-CN"/>
              </w:rPr>
              <w:t>按照生态环境主管部门发布的生态环境质量公报中区域常规空气环境质量监测数据，</w:t>
            </w:r>
            <w:r>
              <w:rPr>
                <w:rFonts w:hint="default" w:ascii="Times New Roman" w:hAnsi="Times New Roman" w:cs="Times New Roman"/>
                <w:color w:val="auto"/>
                <w:sz w:val="24"/>
                <w:szCs w:val="24"/>
                <w:u w:val="single"/>
                <w:lang w:val="en-US" w:eastAsia="zh-CN"/>
              </w:rPr>
              <w:t>具体统计结果如下。</w:t>
            </w:r>
          </w:p>
          <w:p w14:paraId="1C09D05A">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u w:val="single"/>
                <w:lang w:val="en-US" w:eastAsia="zh-CN"/>
              </w:rPr>
            </w:pPr>
            <w:r>
              <w:rPr>
                <w:rFonts w:hint="default" w:ascii="Times New Roman" w:hAnsi="Times New Roman" w:cs="Times New Roman"/>
                <w:b/>
                <w:bCs w:val="0"/>
                <w:sz w:val="24"/>
                <w:szCs w:val="21"/>
                <w:lang w:val="en-US" w:eastAsia="zh-CN"/>
              </w:rPr>
              <w:t xml:space="preserve">表3-1 </w:t>
            </w:r>
            <w:r>
              <w:rPr>
                <w:rFonts w:hint="default" w:ascii="Times New Roman" w:hAnsi="Times New Roman" w:cs="Times New Roman"/>
                <w:b/>
                <w:bCs w:val="0"/>
                <w:sz w:val="24"/>
                <w:szCs w:val="21"/>
                <w:u w:val="single"/>
                <w:lang w:val="en-US" w:eastAsia="zh-CN"/>
              </w:rPr>
              <w:t xml:space="preserve"> 202</w:t>
            </w:r>
            <w:r>
              <w:rPr>
                <w:rFonts w:hint="eastAsia" w:ascii="Times New Roman" w:hAnsi="Times New Roman" w:cs="Times New Roman"/>
                <w:b/>
                <w:bCs w:val="0"/>
                <w:sz w:val="24"/>
                <w:szCs w:val="21"/>
                <w:u w:val="single"/>
                <w:lang w:val="en-US" w:eastAsia="zh-CN"/>
              </w:rPr>
              <w:t>5</w:t>
            </w:r>
            <w:r>
              <w:rPr>
                <w:rFonts w:hint="default" w:ascii="Times New Roman" w:hAnsi="Times New Roman" w:cs="Times New Roman"/>
                <w:b/>
                <w:bCs w:val="0"/>
                <w:sz w:val="24"/>
                <w:szCs w:val="21"/>
                <w:u w:val="single"/>
                <w:lang w:val="en-US" w:eastAsia="zh-CN"/>
              </w:rPr>
              <w:t>年岳阳市城区空气质量现状评价表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12"/>
              <w:gridCol w:w="2374"/>
              <w:gridCol w:w="1283"/>
              <w:gridCol w:w="915"/>
              <w:gridCol w:w="910"/>
              <w:gridCol w:w="956"/>
            </w:tblGrid>
            <w:tr w14:paraId="0360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902" w:type="pct"/>
                  <w:gridSpan w:val="2"/>
                  <w:tcBorders>
                    <w:top w:val="single" w:color="auto" w:sz="4" w:space="0"/>
                    <w:left w:val="single" w:color="auto" w:sz="4" w:space="0"/>
                    <w:bottom w:val="single" w:color="auto" w:sz="4" w:space="0"/>
                    <w:right w:val="single" w:color="auto" w:sz="4" w:space="0"/>
                  </w:tcBorders>
                  <w:noWrap w:val="0"/>
                  <w:vAlign w:val="center"/>
                </w:tcPr>
                <w:p w14:paraId="1945FCB7">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污染物</w:t>
                  </w:r>
                </w:p>
              </w:tc>
              <w:tc>
                <w:tcPr>
                  <w:tcW w:w="1510" w:type="pct"/>
                  <w:tcBorders>
                    <w:top w:val="single" w:color="auto" w:sz="4" w:space="0"/>
                    <w:left w:val="nil"/>
                    <w:bottom w:val="single" w:color="auto" w:sz="4" w:space="0"/>
                    <w:right w:val="single" w:color="auto" w:sz="4" w:space="0"/>
                  </w:tcBorders>
                  <w:noWrap w:val="0"/>
                  <w:vAlign w:val="center"/>
                </w:tcPr>
                <w:p w14:paraId="6CDDD97D">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年评价指标</w:t>
                  </w:r>
                </w:p>
              </w:tc>
              <w:tc>
                <w:tcPr>
                  <w:tcW w:w="816" w:type="pct"/>
                  <w:tcBorders>
                    <w:top w:val="single" w:color="auto" w:sz="4" w:space="0"/>
                    <w:left w:val="nil"/>
                    <w:bottom w:val="single" w:color="auto" w:sz="4" w:space="0"/>
                    <w:right w:val="single" w:color="auto" w:sz="4" w:space="0"/>
                  </w:tcBorders>
                  <w:noWrap w:val="0"/>
                  <w:vAlign w:val="center"/>
                </w:tcPr>
                <w:p w14:paraId="3E7AEEB2">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现状浓度ug/m</w:t>
                  </w:r>
                  <w:r>
                    <w:rPr>
                      <w:rFonts w:hint="default" w:ascii="Times New Roman" w:hAnsi="Times New Roman" w:cs="Times New Roman"/>
                      <w:b/>
                      <w:bCs/>
                      <w:color w:val="auto"/>
                      <w:sz w:val="21"/>
                      <w:szCs w:val="21"/>
                      <w:vertAlign w:val="superscript"/>
                    </w:rPr>
                    <w:t>3</w:t>
                  </w:r>
                </w:p>
              </w:tc>
              <w:tc>
                <w:tcPr>
                  <w:tcW w:w="582" w:type="pct"/>
                  <w:tcBorders>
                    <w:top w:val="single" w:color="auto" w:sz="4" w:space="0"/>
                    <w:left w:val="nil"/>
                    <w:bottom w:val="single" w:color="auto" w:sz="4" w:space="0"/>
                    <w:right w:val="single" w:color="auto" w:sz="4" w:space="0"/>
                  </w:tcBorders>
                  <w:noWrap w:val="0"/>
                  <w:vAlign w:val="center"/>
                </w:tcPr>
                <w:p w14:paraId="4FB3266B">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标准值ug/m</w:t>
                  </w:r>
                  <w:r>
                    <w:rPr>
                      <w:rFonts w:hint="default" w:ascii="Times New Roman" w:hAnsi="Times New Roman" w:cs="Times New Roman"/>
                      <w:b/>
                      <w:bCs/>
                      <w:color w:val="auto"/>
                      <w:sz w:val="21"/>
                      <w:szCs w:val="21"/>
                      <w:vertAlign w:val="superscript"/>
                    </w:rPr>
                    <w:t>3</w:t>
                  </w:r>
                </w:p>
              </w:tc>
              <w:tc>
                <w:tcPr>
                  <w:tcW w:w="579" w:type="pct"/>
                  <w:tcBorders>
                    <w:top w:val="single" w:color="auto" w:sz="4" w:space="0"/>
                    <w:left w:val="nil"/>
                    <w:bottom w:val="single" w:color="auto" w:sz="4" w:space="0"/>
                    <w:right w:val="single" w:color="auto" w:sz="4" w:space="0"/>
                  </w:tcBorders>
                  <w:noWrap w:val="0"/>
                  <w:vAlign w:val="center"/>
                </w:tcPr>
                <w:p w14:paraId="48C9E44B">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占标率%</w:t>
                  </w:r>
                </w:p>
              </w:tc>
              <w:tc>
                <w:tcPr>
                  <w:tcW w:w="608" w:type="pct"/>
                  <w:tcBorders>
                    <w:top w:val="single" w:color="auto" w:sz="4" w:space="0"/>
                    <w:left w:val="nil"/>
                    <w:bottom w:val="single" w:color="auto" w:sz="4" w:space="0"/>
                    <w:right w:val="single" w:color="auto" w:sz="4" w:space="0"/>
                  </w:tcBorders>
                  <w:noWrap w:val="0"/>
                  <w:vAlign w:val="center"/>
                </w:tcPr>
                <w:p w14:paraId="23D15E46">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达标情况</w:t>
                  </w:r>
                </w:p>
              </w:tc>
            </w:tr>
            <w:tr w14:paraId="22B4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restart"/>
                  <w:tcBorders>
                    <w:top w:val="single" w:color="auto" w:sz="4" w:space="0"/>
                    <w:left w:val="single" w:color="auto" w:sz="4" w:space="0"/>
                    <w:right w:val="single" w:color="auto" w:sz="4" w:space="0"/>
                  </w:tcBorders>
                  <w:noWrap w:val="0"/>
                  <w:vAlign w:val="center"/>
                </w:tcPr>
                <w:p w14:paraId="1E222B81">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岳阳市城区</w:t>
                  </w:r>
                </w:p>
              </w:tc>
              <w:tc>
                <w:tcPr>
                  <w:tcW w:w="712" w:type="dxa"/>
                  <w:tcBorders>
                    <w:top w:val="single" w:color="auto" w:sz="4" w:space="0"/>
                    <w:left w:val="single" w:color="auto" w:sz="4" w:space="0"/>
                    <w:bottom w:val="single" w:color="auto" w:sz="4" w:space="0"/>
                    <w:right w:val="single" w:color="auto" w:sz="4" w:space="0"/>
                  </w:tcBorders>
                  <w:noWrap w:val="0"/>
                  <w:vAlign w:val="center"/>
                </w:tcPr>
                <w:p w14:paraId="02276D6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SO</w:t>
                  </w:r>
                  <w:r>
                    <w:rPr>
                      <w:rFonts w:hint="default" w:ascii="Times New Roman" w:hAnsi="Times New Roman" w:cs="Times New Roman"/>
                      <w:color w:val="000000" w:themeColor="text1"/>
                      <w:szCs w:val="21"/>
                      <w:u w:val="none" w:color="auto"/>
                      <w:vertAlign w:val="subscript"/>
                      <w14:textFill>
                        <w14:solidFill>
                          <w14:schemeClr w14:val="tx1"/>
                        </w14:solidFill>
                      </w14:textFill>
                    </w:rPr>
                    <w:t>2</w:t>
                  </w:r>
                </w:p>
              </w:tc>
              <w:tc>
                <w:tcPr>
                  <w:tcW w:w="2374" w:type="dxa"/>
                  <w:tcBorders>
                    <w:top w:val="single" w:color="auto" w:sz="4" w:space="0"/>
                    <w:left w:val="nil"/>
                    <w:bottom w:val="single" w:color="auto" w:sz="4" w:space="0"/>
                    <w:right w:val="single" w:color="auto" w:sz="4" w:space="0"/>
                  </w:tcBorders>
                  <w:noWrap w:val="0"/>
                  <w:vAlign w:val="center"/>
                </w:tcPr>
                <w:p w14:paraId="000DE0F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年平均质量浓度</w:t>
                  </w:r>
                </w:p>
              </w:tc>
              <w:tc>
                <w:tcPr>
                  <w:tcW w:w="1283" w:type="dxa"/>
                  <w:tcBorders>
                    <w:top w:val="single" w:color="auto" w:sz="4" w:space="0"/>
                    <w:left w:val="nil"/>
                    <w:bottom w:val="single" w:color="auto" w:sz="4" w:space="0"/>
                    <w:right w:val="single" w:color="auto" w:sz="4" w:space="0"/>
                  </w:tcBorders>
                  <w:noWrap w:val="0"/>
                  <w:vAlign w:val="center"/>
                </w:tcPr>
                <w:p w14:paraId="01FA9C6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000000" w:themeColor="text1"/>
                      <w:szCs w:val="21"/>
                      <w:u w:val="none" w:color="auto"/>
                      <w:lang w:val="en-US" w:eastAsia="zh-CN"/>
                      <w14:textFill>
                        <w14:solidFill>
                          <w14:schemeClr w14:val="tx1"/>
                        </w14:solidFill>
                      </w14:textFill>
                    </w:rPr>
                    <w:t>8</w:t>
                  </w:r>
                </w:p>
              </w:tc>
              <w:tc>
                <w:tcPr>
                  <w:tcW w:w="915" w:type="dxa"/>
                  <w:tcBorders>
                    <w:top w:val="single" w:color="auto" w:sz="4" w:space="0"/>
                    <w:left w:val="nil"/>
                    <w:bottom w:val="single" w:color="auto" w:sz="4" w:space="0"/>
                    <w:right w:val="single" w:color="auto" w:sz="4" w:space="0"/>
                  </w:tcBorders>
                  <w:noWrap w:val="0"/>
                  <w:vAlign w:val="center"/>
                </w:tcPr>
                <w:p w14:paraId="0E59081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000000" w:themeColor="text1"/>
                      <w:szCs w:val="21"/>
                      <w:highlight w:val="none"/>
                      <w:u w:val="none" w:color="auto"/>
                      <w:lang w:val="en-US" w:eastAsia="zh-CN"/>
                      <w14:textFill>
                        <w14:solidFill>
                          <w14:schemeClr w14:val="tx1"/>
                        </w14:solidFill>
                      </w14:textFill>
                    </w:rPr>
                    <w:t>60</w:t>
                  </w:r>
                </w:p>
              </w:tc>
              <w:tc>
                <w:tcPr>
                  <w:tcW w:w="910" w:type="dxa"/>
                  <w:tcBorders>
                    <w:top w:val="single" w:color="auto" w:sz="4" w:space="0"/>
                    <w:left w:val="nil"/>
                    <w:bottom w:val="single" w:color="auto" w:sz="4" w:space="0"/>
                    <w:right w:val="single" w:color="auto" w:sz="4" w:space="0"/>
                  </w:tcBorders>
                  <w:noWrap w:val="0"/>
                  <w:vAlign w:val="center"/>
                </w:tcPr>
                <w:p w14:paraId="3B8B10B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000000" w:themeColor="text1"/>
                      <w:szCs w:val="21"/>
                      <w:highlight w:val="none"/>
                      <w:u w:val="none" w:color="auto"/>
                      <w:lang w:val="en-US" w:eastAsia="zh-CN"/>
                      <w14:textFill>
                        <w14:solidFill>
                          <w14:schemeClr w14:val="tx1"/>
                        </w14:solidFill>
                      </w14:textFill>
                    </w:rPr>
                    <w:t>13.3</w:t>
                  </w:r>
                </w:p>
              </w:tc>
              <w:tc>
                <w:tcPr>
                  <w:tcW w:w="956" w:type="dxa"/>
                  <w:tcBorders>
                    <w:top w:val="single" w:color="auto" w:sz="4" w:space="0"/>
                    <w:left w:val="nil"/>
                    <w:bottom w:val="single" w:color="auto" w:sz="4" w:space="0"/>
                    <w:right w:val="single" w:color="auto" w:sz="4" w:space="0"/>
                  </w:tcBorders>
                  <w:noWrap w:val="0"/>
                  <w:vAlign w:val="center"/>
                </w:tcPr>
                <w:p w14:paraId="3DBE299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达标</w:t>
                  </w:r>
                </w:p>
              </w:tc>
            </w:tr>
            <w:tr w14:paraId="5BEF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left w:val="single" w:color="auto" w:sz="4" w:space="0"/>
                    <w:right w:val="single" w:color="auto" w:sz="4" w:space="0"/>
                  </w:tcBorders>
                  <w:noWrap w:val="0"/>
                  <w:vAlign w:val="center"/>
                </w:tcPr>
                <w:p w14:paraId="0EC615F6">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p>
              </w:tc>
              <w:tc>
                <w:tcPr>
                  <w:tcW w:w="712" w:type="dxa"/>
                  <w:tcBorders>
                    <w:top w:val="single" w:color="auto" w:sz="4" w:space="0"/>
                    <w:left w:val="single" w:color="auto" w:sz="4" w:space="0"/>
                    <w:bottom w:val="single" w:color="auto" w:sz="4" w:space="0"/>
                    <w:right w:val="single" w:color="auto" w:sz="4" w:space="0"/>
                  </w:tcBorders>
                  <w:noWrap w:val="0"/>
                  <w:vAlign w:val="center"/>
                </w:tcPr>
                <w:p w14:paraId="1A89170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NO</w:t>
                  </w:r>
                  <w:r>
                    <w:rPr>
                      <w:rFonts w:hint="default" w:ascii="Times New Roman" w:hAnsi="Times New Roman" w:cs="Times New Roman"/>
                      <w:color w:val="000000" w:themeColor="text1"/>
                      <w:szCs w:val="21"/>
                      <w:u w:val="none" w:color="auto"/>
                      <w:vertAlign w:val="subscript"/>
                      <w14:textFill>
                        <w14:solidFill>
                          <w14:schemeClr w14:val="tx1"/>
                        </w14:solidFill>
                      </w14:textFill>
                    </w:rPr>
                    <w:t>2</w:t>
                  </w:r>
                </w:p>
              </w:tc>
              <w:tc>
                <w:tcPr>
                  <w:tcW w:w="2374" w:type="dxa"/>
                  <w:tcBorders>
                    <w:top w:val="single" w:color="auto" w:sz="4" w:space="0"/>
                    <w:left w:val="nil"/>
                    <w:bottom w:val="single" w:color="auto" w:sz="4" w:space="0"/>
                    <w:right w:val="single" w:color="auto" w:sz="4" w:space="0"/>
                  </w:tcBorders>
                  <w:noWrap w:val="0"/>
                  <w:vAlign w:val="center"/>
                </w:tcPr>
                <w:p w14:paraId="13AF16B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年平均质量浓度</w:t>
                  </w:r>
                </w:p>
              </w:tc>
              <w:tc>
                <w:tcPr>
                  <w:tcW w:w="1283" w:type="dxa"/>
                  <w:tcBorders>
                    <w:top w:val="single" w:color="auto" w:sz="4" w:space="0"/>
                    <w:left w:val="nil"/>
                    <w:bottom w:val="single" w:color="auto" w:sz="4" w:space="0"/>
                    <w:right w:val="single" w:color="auto" w:sz="4" w:space="0"/>
                  </w:tcBorders>
                  <w:noWrap w:val="0"/>
                  <w:vAlign w:val="center"/>
                </w:tcPr>
                <w:p w14:paraId="02BB406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000000" w:themeColor="text1"/>
                      <w:szCs w:val="21"/>
                      <w:u w:val="none" w:color="auto"/>
                      <w:lang w:val="en-US" w:eastAsia="zh-CN"/>
                      <w14:textFill>
                        <w14:solidFill>
                          <w14:schemeClr w14:val="tx1"/>
                        </w14:solidFill>
                      </w14:textFill>
                    </w:rPr>
                    <w:t>2</w:t>
                  </w:r>
                  <w:r>
                    <w:rPr>
                      <w:rFonts w:hint="eastAsia" w:cs="Times New Roman"/>
                      <w:color w:val="000000" w:themeColor="text1"/>
                      <w:szCs w:val="21"/>
                      <w:u w:val="none" w:color="auto"/>
                      <w:lang w:val="en-US" w:eastAsia="zh-CN"/>
                      <w14:textFill>
                        <w14:solidFill>
                          <w14:schemeClr w14:val="tx1"/>
                        </w14:solidFill>
                      </w14:textFill>
                    </w:rPr>
                    <w:t>1</w:t>
                  </w:r>
                </w:p>
              </w:tc>
              <w:tc>
                <w:tcPr>
                  <w:tcW w:w="915" w:type="dxa"/>
                  <w:tcBorders>
                    <w:top w:val="single" w:color="auto" w:sz="4" w:space="0"/>
                    <w:left w:val="nil"/>
                    <w:bottom w:val="single" w:color="auto" w:sz="4" w:space="0"/>
                    <w:right w:val="single" w:color="auto" w:sz="4" w:space="0"/>
                  </w:tcBorders>
                  <w:noWrap w:val="0"/>
                  <w:vAlign w:val="center"/>
                </w:tcPr>
                <w:p w14:paraId="5473412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000000" w:themeColor="text1"/>
                      <w:szCs w:val="21"/>
                      <w:highlight w:val="none"/>
                      <w:u w:val="none" w:color="auto"/>
                      <w:lang w:val="en-US" w:eastAsia="zh-CN"/>
                      <w14:textFill>
                        <w14:solidFill>
                          <w14:schemeClr w14:val="tx1"/>
                        </w14:solidFill>
                      </w14:textFill>
                    </w:rPr>
                    <w:t>40</w:t>
                  </w:r>
                </w:p>
              </w:tc>
              <w:tc>
                <w:tcPr>
                  <w:tcW w:w="910" w:type="dxa"/>
                  <w:tcBorders>
                    <w:top w:val="single" w:color="auto" w:sz="4" w:space="0"/>
                    <w:left w:val="nil"/>
                    <w:bottom w:val="single" w:color="auto" w:sz="4" w:space="0"/>
                    <w:right w:val="single" w:color="auto" w:sz="4" w:space="0"/>
                  </w:tcBorders>
                  <w:noWrap w:val="0"/>
                  <w:vAlign w:val="center"/>
                </w:tcPr>
                <w:p w14:paraId="639A87D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000000" w:themeColor="text1"/>
                      <w:szCs w:val="21"/>
                      <w:highlight w:val="none"/>
                      <w:u w:val="none" w:color="auto"/>
                      <w:lang w:val="en-US" w:eastAsia="zh-CN"/>
                      <w14:textFill>
                        <w14:solidFill>
                          <w14:schemeClr w14:val="tx1"/>
                        </w14:solidFill>
                      </w14:textFill>
                    </w:rPr>
                    <w:t>52.5</w:t>
                  </w:r>
                </w:p>
              </w:tc>
              <w:tc>
                <w:tcPr>
                  <w:tcW w:w="956" w:type="dxa"/>
                  <w:tcBorders>
                    <w:top w:val="single" w:color="auto" w:sz="4" w:space="0"/>
                    <w:left w:val="nil"/>
                    <w:bottom w:val="single" w:color="auto" w:sz="4" w:space="0"/>
                    <w:right w:val="single" w:color="auto" w:sz="4" w:space="0"/>
                  </w:tcBorders>
                  <w:noWrap w:val="0"/>
                  <w:vAlign w:val="center"/>
                </w:tcPr>
                <w:p w14:paraId="2DA5729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达标</w:t>
                  </w:r>
                </w:p>
              </w:tc>
            </w:tr>
            <w:tr w14:paraId="7E67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left w:val="single" w:color="auto" w:sz="4" w:space="0"/>
                    <w:right w:val="single" w:color="auto" w:sz="4" w:space="0"/>
                  </w:tcBorders>
                  <w:noWrap w:val="0"/>
                  <w:vAlign w:val="center"/>
                </w:tcPr>
                <w:p w14:paraId="63F69C51">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p>
              </w:tc>
              <w:tc>
                <w:tcPr>
                  <w:tcW w:w="712" w:type="dxa"/>
                  <w:tcBorders>
                    <w:top w:val="single" w:color="auto" w:sz="4" w:space="0"/>
                    <w:left w:val="single" w:color="auto" w:sz="4" w:space="0"/>
                    <w:bottom w:val="single" w:color="auto" w:sz="4" w:space="0"/>
                    <w:right w:val="single" w:color="auto" w:sz="4" w:space="0"/>
                  </w:tcBorders>
                  <w:noWrap w:val="0"/>
                  <w:vAlign w:val="center"/>
                </w:tcPr>
                <w:p w14:paraId="28F63EA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PM</w:t>
                  </w:r>
                  <w:r>
                    <w:rPr>
                      <w:rFonts w:hint="default" w:ascii="Times New Roman" w:hAnsi="Times New Roman" w:cs="Times New Roman"/>
                      <w:color w:val="000000" w:themeColor="text1"/>
                      <w:szCs w:val="21"/>
                      <w:u w:val="none" w:color="auto"/>
                      <w:vertAlign w:val="subscript"/>
                      <w14:textFill>
                        <w14:solidFill>
                          <w14:schemeClr w14:val="tx1"/>
                        </w14:solidFill>
                      </w14:textFill>
                    </w:rPr>
                    <w:t>10</w:t>
                  </w:r>
                </w:p>
              </w:tc>
              <w:tc>
                <w:tcPr>
                  <w:tcW w:w="2374" w:type="dxa"/>
                  <w:tcBorders>
                    <w:top w:val="single" w:color="auto" w:sz="4" w:space="0"/>
                    <w:left w:val="nil"/>
                    <w:bottom w:val="single" w:color="auto" w:sz="4" w:space="0"/>
                    <w:right w:val="single" w:color="auto" w:sz="4" w:space="0"/>
                  </w:tcBorders>
                  <w:noWrap w:val="0"/>
                  <w:vAlign w:val="center"/>
                </w:tcPr>
                <w:p w14:paraId="003DE67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年平均质量浓度</w:t>
                  </w:r>
                </w:p>
              </w:tc>
              <w:tc>
                <w:tcPr>
                  <w:tcW w:w="1283" w:type="dxa"/>
                  <w:tcBorders>
                    <w:top w:val="single" w:color="auto" w:sz="4" w:space="0"/>
                    <w:left w:val="nil"/>
                    <w:bottom w:val="single" w:color="auto" w:sz="4" w:space="0"/>
                    <w:right w:val="single" w:color="auto" w:sz="4" w:space="0"/>
                  </w:tcBorders>
                  <w:noWrap w:val="0"/>
                  <w:vAlign w:val="center"/>
                </w:tcPr>
                <w:p w14:paraId="44A642C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000000" w:themeColor="text1"/>
                      <w:szCs w:val="21"/>
                      <w:u w:val="none" w:color="auto"/>
                      <w:lang w:val="en-US" w:eastAsia="zh-CN"/>
                      <w14:textFill>
                        <w14:solidFill>
                          <w14:schemeClr w14:val="tx1"/>
                        </w14:solidFill>
                      </w14:textFill>
                    </w:rPr>
                    <w:t>5</w:t>
                  </w:r>
                  <w:r>
                    <w:rPr>
                      <w:rFonts w:hint="eastAsia" w:cs="Times New Roman"/>
                      <w:color w:val="000000" w:themeColor="text1"/>
                      <w:szCs w:val="21"/>
                      <w:u w:val="none" w:color="auto"/>
                      <w:lang w:val="en-US" w:eastAsia="zh-CN"/>
                      <w14:textFill>
                        <w14:solidFill>
                          <w14:schemeClr w14:val="tx1"/>
                        </w14:solidFill>
                      </w14:textFill>
                    </w:rPr>
                    <w:t>0</w:t>
                  </w:r>
                </w:p>
              </w:tc>
              <w:tc>
                <w:tcPr>
                  <w:tcW w:w="915" w:type="dxa"/>
                  <w:tcBorders>
                    <w:top w:val="single" w:color="auto" w:sz="4" w:space="0"/>
                    <w:left w:val="nil"/>
                    <w:bottom w:val="single" w:color="auto" w:sz="4" w:space="0"/>
                    <w:right w:val="single" w:color="auto" w:sz="4" w:space="0"/>
                  </w:tcBorders>
                  <w:noWrap w:val="0"/>
                  <w:vAlign w:val="center"/>
                </w:tcPr>
                <w:p w14:paraId="5F34DCC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eastAsia" w:cs="Times New Roman"/>
                      <w:color w:val="000000" w:themeColor="text1"/>
                      <w:szCs w:val="21"/>
                      <w:highlight w:val="none"/>
                      <w:u w:val="none" w:color="auto"/>
                      <w:lang w:val="en-US" w:eastAsia="zh-CN"/>
                      <w14:textFill>
                        <w14:solidFill>
                          <w14:schemeClr w14:val="tx1"/>
                        </w14:solidFill>
                      </w14:textFill>
                    </w:rPr>
                    <w:t>60</w:t>
                  </w:r>
                </w:p>
              </w:tc>
              <w:tc>
                <w:tcPr>
                  <w:tcW w:w="910" w:type="dxa"/>
                  <w:tcBorders>
                    <w:top w:val="single" w:color="auto" w:sz="4" w:space="0"/>
                    <w:left w:val="nil"/>
                    <w:bottom w:val="single" w:color="auto" w:sz="4" w:space="0"/>
                    <w:right w:val="single" w:color="auto" w:sz="4" w:space="0"/>
                  </w:tcBorders>
                  <w:noWrap w:val="0"/>
                  <w:vAlign w:val="center"/>
                </w:tcPr>
                <w:p w14:paraId="25EDE94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000000" w:themeColor="text1"/>
                      <w:szCs w:val="21"/>
                      <w:highlight w:val="none"/>
                      <w:u w:val="none" w:color="auto"/>
                      <w:lang w:val="en-US" w:eastAsia="zh-CN"/>
                      <w14:textFill>
                        <w14:solidFill>
                          <w14:schemeClr w14:val="tx1"/>
                        </w14:solidFill>
                      </w14:textFill>
                    </w:rPr>
                    <w:t>83.3</w:t>
                  </w:r>
                </w:p>
              </w:tc>
              <w:tc>
                <w:tcPr>
                  <w:tcW w:w="956" w:type="dxa"/>
                  <w:tcBorders>
                    <w:top w:val="single" w:color="auto" w:sz="4" w:space="0"/>
                    <w:left w:val="nil"/>
                    <w:bottom w:val="single" w:color="auto" w:sz="4" w:space="0"/>
                    <w:right w:val="single" w:color="auto" w:sz="4" w:space="0"/>
                  </w:tcBorders>
                  <w:noWrap w:val="0"/>
                  <w:vAlign w:val="center"/>
                </w:tcPr>
                <w:p w14:paraId="51EE7A5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达标</w:t>
                  </w:r>
                </w:p>
              </w:tc>
            </w:tr>
            <w:tr w14:paraId="1DAB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left w:val="single" w:color="auto" w:sz="4" w:space="0"/>
                    <w:right w:val="single" w:color="auto" w:sz="4" w:space="0"/>
                  </w:tcBorders>
                  <w:noWrap w:val="0"/>
                  <w:vAlign w:val="center"/>
                </w:tcPr>
                <w:p w14:paraId="3A2F5BCA">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p>
              </w:tc>
              <w:tc>
                <w:tcPr>
                  <w:tcW w:w="712" w:type="dxa"/>
                  <w:tcBorders>
                    <w:top w:val="single" w:color="auto" w:sz="4" w:space="0"/>
                    <w:left w:val="single" w:color="auto" w:sz="4" w:space="0"/>
                    <w:bottom w:val="single" w:color="auto" w:sz="4" w:space="0"/>
                    <w:right w:val="single" w:color="auto" w:sz="4" w:space="0"/>
                  </w:tcBorders>
                  <w:noWrap w:val="0"/>
                  <w:vAlign w:val="center"/>
                </w:tcPr>
                <w:p w14:paraId="407494C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PM</w:t>
                  </w:r>
                  <w:r>
                    <w:rPr>
                      <w:rFonts w:hint="default" w:ascii="Times New Roman" w:hAnsi="Times New Roman" w:cs="Times New Roman"/>
                      <w:color w:val="000000" w:themeColor="text1"/>
                      <w:szCs w:val="21"/>
                      <w:u w:val="none" w:color="auto"/>
                      <w:vertAlign w:val="subscript"/>
                      <w14:textFill>
                        <w14:solidFill>
                          <w14:schemeClr w14:val="tx1"/>
                        </w14:solidFill>
                      </w14:textFill>
                    </w:rPr>
                    <w:t>2.5</w:t>
                  </w:r>
                </w:p>
              </w:tc>
              <w:tc>
                <w:tcPr>
                  <w:tcW w:w="2374" w:type="dxa"/>
                  <w:tcBorders>
                    <w:top w:val="single" w:color="auto" w:sz="4" w:space="0"/>
                    <w:left w:val="nil"/>
                    <w:bottom w:val="single" w:color="auto" w:sz="4" w:space="0"/>
                    <w:right w:val="single" w:color="auto" w:sz="4" w:space="0"/>
                  </w:tcBorders>
                  <w:noWrap w:val="0"/>
                  <w:vAlign w:val="center"/>
                </w:tcPr>
                <w:p w14:paraId="2FDC0D9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年平均质量浓度</w:t>
                  </w:r>
                </w:p>
              </w:tc>
              <w:tc>
                <w:tcPr>
                  <w:tcW w:w="1283" w:type="dxa"/>
                  <w:tcBorders>
                    <w:top w:val="single" w:color="auto" w:sz="4" w:space="0"/>
                    <w:left w:val="nil"/>
                    <w:bottom w:val="single" w:color="auto" w:sz="4" w:space="0"/>
                    <w:right w:val="single" w:color="auto" w:sz="4" w:space="0"/>
                  </w:tcBorders>
                  <w:noWrap w:val="0"/>
                  <w:vAlign w:val="center"/>
                </w:tcPr>
                <w:p w14:paraId="250BC0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000000" w:themeColor="text1"/>
                      <w:szCs w:val="21"/>
                      <w:u w:val="none" w:color="auto"/>
                      <w:lang w:val="en-US" w:eastAsia="zh-CN"/>
                      <w14:textFill>
                        <w14:solidFill>
                          <w14:schemeClr w14:val="tx1"/>
                        </w14:solidFill>
                      </w14:textFill>
                    </w:rPr>
                    <w:t>34.9</w:t>
                  </w:r>
                </w:p>
              </w:tc>
              <w:tc>
                <w:tcPr>
                  <w:tcW w:w="915" w:type="dxa"/>
                  <w:tcBorders>
                    <w:top w:val="single" w:color="auto" w:sz="4" w:space="0"/>
                    <w:left w:val="nil"/>
                    <w:bottom w:val="single" w:color="auto" w:sz="4" w:space="0"/>
                    <w:right w:val="single" w:color="auto" w:sz="4" w:space="0"/>
                  </w:tcBorders>
                  <w:noWrap w:val="0"/>
                  <w:vAlign w:val="center"/>
                </w:tcPr>
                <w:p w14:paraId="1DBB235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highlight w:val="none"/>
                      <w:u w:val="none" w:color="auto"/>
                      <w:lang w:val="en-US" w:eastAsia="zh-CN"/>
                      <w14:textFill>
                        <w14:solidFill>
                          <w14:schemeClr w14:val="tx1"/>
                        </w14:solidFill>
                      </w14:textFill>
                    </w:rPr>
                    <w:t>3</w:t>
                  </w:r>
                  <w:r>
                    <w:rPr>
                      <w:rFonts w:hint="eastAsia" w:cs="Times New Roman"/>
                      <w:color w:val="000000" w:themeColor="text1"/>
                      <w:szCs w:val="21"/>
                      <w:highlight w:val="none"/>
                      <w:u w:val="none" w:color="auto"/>
                      <w:lang w:val="en-US" w:eastAsia="zh-CN"/>
                      <w14:textFill>
                        <w14:solidFill>
                          <w14:schemeClr w14:val="tx1"/>
                        </w14:solidFill>
                      </w14:textFill>
                    </w:rPr>
                    <w:t>0</w:t>
                  </w:r>
                </w:p>
              </w:tc>
              <w:tc>
                <w:tcPr>
                  <w:tcW w:w="910" w:type="dxa"/>
                  <w:tcBorders>
                    <w:top w:val="single" w:color="auto" w:sz="4" w:space="0"/>
                    <w:left w:val="nil"/>
                    <w:bottom w:val="single" w:color="auto" w:sz="4" w:space="0"/>
                    <w:right w:val="single" w:color="auto" w:sz="4" w:space="0"/>
                  </w:tcBorders>
                  <w:noWrap w:val="0"/>
                  <w:vAlign w:val="center"/>
                </w:tcPr>
                <w:p w14:paraId="51CE37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000000" w:themeColor="text1"/>
                      <w:szCs w:val="21"/>
                      <w:highlight w:val="none"/>
                      <w:u w:val="none" w:color="auto"/>
                      <w:lang w:val="en-US" w:eastAsia="zh-CN"/>
                      <w14:textFill>
                        <w14:solidFill>
                          <w14:schemeClr w14:val="tx1"/>
                        </w14:solidFill>
                      </w14:textFill>
                    </w:rPr>
                    <w:t>116.3</w:t>
                  </w:r>
                </w:p>
              </w:tc>
              <w:tc>
                <w:tcPr>
                  <w:tcW w:w="956" w:type="dxa"/>
                  <w:tcBorders>
                    <w:top w:val="single" w:color="auto" w:sz="4" w:space="0"/>
                    <w:left w:val="nil"/>
                    <w:bottom w:val="single" w:color="auto" w:sz="4" w:space="0"/>
                    <w:right w:val="single" w:color="auto" w:sz="4" w:space="0"/>
                  </w:tcBorders>
                  <w:noWrap w:val="0"/>
                  <w:vAlign w:val="center"/>
                </w:tcPr>
                <w:p w14:paraId="6EE3334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eastAsia" w:cs="Times New Roman"/>
                      <w:color w:val="000000" w:themeColor="text1"/>
                      <w:szCs w:val="21"/>
                      <w:u w:val="none" w:color="auto"/>
                      <w:lang w:val="en-US" w:eastAsia="zh-CN"/>
                      <w14:textFill>
                        <w14:solidFill>
                          <w14:schemeClr w14:val="tx1"/>
                        </w14:solidFill>
                      </w14:textFill>
                    </w:rPr>
                    <w:t>不</w:t>
                  </w:r>
                  <w:r>
                    <w:rPr>
                      <w:rFonts w:hint="default" w:ascii="Times New Roman" w:hAnsi="Times New Roman" w:cs="Times New Roman"/>
                      <w:color w:val="000000" w:themeColor="text1"/>
                      <w:szCs w:val="21"/>
                      <w:u w:val="none" w:color="auto"/>
                      <w14:textFill>
                        <w14:solidFill>
                          <w14:schemeClr w14:val="tx1"/>
                        </w14:solidFill>
                      </w14:textFill>
                    </w:rPr>
                    <w:t>达标</w:t>
                  </w:r>
                </w:p>
              </w:tc>
            </w:tr>
            <w:tr w14:paraId="35C6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left w:val="single" w:color="auto" w:sz="4" w:space="0"/>
                    <w:right w:val="single" w:color="auto" w:sz="4" w:space="0"/>
                  </w:tcBorders>
                  <w:noWrap w:val="0"/>
                  <w:vAlign w:val="center"/>
                </w:tcPr>
                <w:p w14:paraId="65BDC601">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p>
              </w:tc>
              <w:tc>
                <w:tcPr>
                  <w:tcW w:w="712" w:type="dxa"/>
                  <w:tcBorders>
                    <w:top w:val="single" w:color="auto" w:sz="4" w:space="0"/>
                    <w:left w:val="single" w:color="auto" w:sz="4" w:space="0"/>
                    <w:bottom w:val="single" w:color="auto" w:sz="4" w:space="0"/>
                    <w:right w:val="single" w:color="auto" w:sz="4" w:space="0"/>
                  </w:tcBorders>
                  <w:noWrap w:val="0"/>
                  <w:vAlign w:val="center"/>
                </w:tcPr>
                <w:p w14:paraId="68E9F5C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CO</w:t>
                  </w:r>
                </w:p>
              </w:tc>
              <w:tc>
                <w:tcPr>
                  <w:tcW w:w="2374" w:type="dxa"/>
                  <w:tcBorders>
                    <w:top w:val="single" w:color="auto" w:sz="4" w:space="0"/>
                    <w:left w:val="nil"/>
                    <w:bottom w:val="single" w:color="auto" w:sz="4" w:space="0"/>
                    <w:right w:val="single" w:color="auto" w:sz="4" w:space="0"/>
                  </w:tcBorders>
                  <w:noWrap w:val="0"/>
                  <w:vAlign w:val="center"/>
                </w:tcPr>
                <w:p w14:paraId="3DA8677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CO24h平均第95百分位数浓度</w:t>
                  </w:r>
                </w:p>
              </w:tc>
              <w:tc>
                <w:tcPr>
                  <w:tcW w:w="1283" w:type="dxa"/>
                  <w:tcBorders>
                    <w:top w:val="single" w:color="auto" w:sz="4" w:space="0"/>
                    <w:left w:val="nil"/>
                    <w:bottom w:val="single" w:color="auto" w:sz="4" w:space="0"/>
                    <w:right w:val="single" w:color="auto" w:sz="4" w:space="0"/>
                  </w:tcBorders>
                  <w:noWrap w:val="0"/>
                  <w:vAlign w:val="center"/>
                </w:tcPr>
                <w:p w14:paraId="1466E10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000000" w:themeColor="text1"/>
                      <w:szCs w:val="21"/>
                      <w:u w:val="none" w:color="auto"/>
                      <w14:textFill>
                        <w14:solidFill>
                          <w14:schemeClr w14:val="tx1"/>
                        </w14:solidFill>
                      </w14:textFill>
                    </w:rPr>
                    <w:t>1</w:t>
                  </w:r>
                  <w:r>
                    <w:rPr>
                      <w:rFonts w:hint="default" w:ascii="Times New Roman" w:hAnsi="Times New Roman" w:cs="Times New Roman"/>
                      <w:color w:val="000000" w:themeColor="text1"/>
                      <w:szCs w:val="21"/>
                      <w:u w:val="none" w:color="auto"/>
                      <w:lang w:val="en-US" w:eastAsia="zh-CN"/>
                      <w14:textFill>
                        <w14:solidFill>
                          <w14:schemeClr w14:val="tx1"/>
                        </w14:solidFill>
                      </w14:textFill>
                    </w:rPr>
                    <w:t>0</w:t>
                  </w:r>
                  <w:r>
                    <w:rPr>
                      <w:rFonts w:hint="default" w:ascii="Times New Roman" w:hAnsi="Times New Roman" w:cs="Times New Roman"/>
                      <w:color w:val="000000" w:themeColor="text1"/>
                      <w:szCs w:val="21"/>
                      <w:u w:val="none" w:color="auto"/>
                      <w14:textFill>
                        <w14:solidFill>
                          <w14:schemeClr w14:val="tx1"/>
                        </w14:solidFill>
                      </w14:textFill>
                    </w:rPr>
                    <w:t>00</w:t>
                  </w:r>
                </w:p>
              </w:tc>
              <w:tc>
                <w:tcPr>
                  <w:tcW w:w="915" w:type="dxa"/>
                  <w:tcBorders>
                    <w:top w:val="single" w:color="auto" w:sz="4" w:space="0"/>
                    <w:left w:val="nil"/>
                    <w:bottom w:val="single" w:color="auto" w:sz="4" w:space="0"/>
                    <w:right w:val="single" w:color="auto" w:sz="4" w:space="0"/>
                  </w:tcBorders>
                  <w:noWrap w:val="0"/>
                  <w:vAlign w:val="center"/>
                </w:tcPr>
                <w:p w14:paraId="5F1647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highlight w:val="none"/>
                      <w:u w:val="none" w:color="auto"/>
                      <w14:textFill>
                        <w14:solidFill>
                          <w14:schemeClr w14:val="tx1"/>
                        </w14:solidFill>
                      </w14:textFill>
                    </w:rPr>
                    <w:t>4000</w:t>
                  </w:r>
                </w:p>
              </w:tc>
              <w:tc>
                <w:tcPr>
                  <w:tcW w:w="910" w:type="dxa"/>
                  <w:tcBorders>
                    <w:top w:val="single" w:color="auto" w:sz="4" w:space="0"/>
                    <w:left w:val="nil"/>
                    <w:bottom w:val="single" w:color="auto" w:sz="4" w:space="0"/>
                    <w:right w:val="single" w:color="auto" w:sz="4" w:space="0"/>
                  </w:tcBorders>
                  <w:noWrap w:val="0"/>
                  <w:vAlign w:val="center"/>
                </w:tcPr>
                <w:p w14:paraId="42D5DD7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000000" w:themeColor="text1"/>
                      <w:szCs w:val="21"/>
                      <w:highlight w:val="none"/>
                      <w:u w:val="none" w:color="auto"/>
                      <w:lang w:val="en-US" w:eastAsia="zh-CN"/>
                      <w14:textFill>
                        <w14:solidFill>
                          <w14:schemeClr w14:val="tx1"/>
                        </w14:solidFill>
                      </w14:textFill>
                    </w:rPr>
                    <w:t>25</w:t>
                  </w:r>
                </w:p>
              </w:tc>
              <w:tc>
                <w:tcPr>
                  <w:tcW w:w="956" w:type="dxa"/>
                  <w:tcBorders>
                    <w:top w:val="single" w:color="auto" w:sz="4" w:space="0"/>
                    <w:left w:val="nil"/>
                    <w:bottom w:val="single" w:color="auto" w:sz="4" w:space="0"/>
                    <w:right w:val="single" w:color="auto" w:sz="4" w:space="0"/>
                  </w:tcBorders>
                  <w:noWrap w:val="0"/>
                  <w:vAlign w:val="center"/>
                </w:tcPr>
                <w:p w14:paraId="17773BA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达标</w:t>
                  </w:r>
                </w:p>
              </w:tc>
            </w:tr>
            <w:tr w14:paraId="6929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left w:val="single" w:color="auto" w:sz="4" w:space="0"/>
                    <w:right w:val="single" w:color="auto" w:sz="4" w:space="0"/>
                  </w:tcBorders>
                  <w:noWrap w:val="0"/>
                  <w:vAlign w:val="center"/>
                </w:tcPr>
                <w:p w14:paraId="6C891B31">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p>
              </w:tc>
              <w:tc>
                <w:tcPr>
                  <w:tcW w:w="712" w:type="dxa"/>
                  <w:tcBorders>
                    <w:top w:val="single" w:color="auto" w:sz="4" w:space="0"/>
                    <w:left w:val="single" w:color="auto" w:sz="4" w:space="0"/>
                    <w:bottom w:val="single" w:color="auto" w:sz="4" w:space="0"/>
                    <w:right w:val="single" w:color="auto" w:sz="4" w:space="0"/>
                  </w:tcBorders>
                  <w:noWrap w:val="0"/>
                  <w:vAlign w:val="center"/>
                </w:tcPr>
                <w:p w14:paraId="57DC7FC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O</w:t>
                  </w:r>
                  <w:r>
                    <w:rPr>
                      <w:rFonts w:hint="default" w:ascii="Times New Roman" w:hAnsi="Times New Roman" w:cs="Times New Roman"/>
                      <w:color w:val="000000" w:themeColor="text1"/>
                      <w:szCs w:val="21"/>
                      <w:u w:val="none" w:color="auto"/>
                      <w:vertAlign w:val="subscript"/>
                      <w14:textFill>
                        <w14:solidFill>
                          <w14:schemeClr w14:val="tx1"/>
                        </w14:solidFill>
                      </w14:textFill>
                    </w:rPr>
                    <w:t>3</w:t>
                  </w:r>
                </w:p>
              </w:tc>
              <w:tc>
                <w:tcPr>
                  <w:tcW w:w="2374" w:type="dxa"/>
                  <w:tcBorders>
                    <w:top w:val="single" w:color="auto" w:sz="4" w:space="0"/>
                    <w:left w:val="nil"/>
                    <w:bottom w:val="single" w:color="auto" w:sz="4" w:space="0"/>
                    <w:right w:val="single" w:color="auto" w:sz="4" w:space="0"/>
                  </w:tcBorders>
                  <w:noWrap w:val="0"/>
                  <w:vAlign w:val="center"/>
                </w:tcPr>
                <w:p w14:paraId="24A0335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O3日最大8h平均值（第90百分位数）</w:t>
                  </w:r>
                </w:p>
              </w:tc>
              <w:tc>
                <w:tcPr>
                  <w:tcW w:w="1283" w:type="dxa"/>
                  <w:tcBorders>
                    <w:top w:val="single" w:color="auto" w:sz="4" w:space="0"/>
                    <w:left w:val="nil"/>
                    <w:bottom w:val="single" w:color="auto" w:sz="4" w:space="0"/>
                    <w:right w:val="single" w:color="auto" w:sz="4" w:space="0"/>
                  </w:tcBorders>
                  <w:noWrap w:val="0"/>
                  <w:vAlign w:val="center"/>
                </w:tcPr>
                <w:p w14:paraId="7B4867F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000000" w:themeColor="text1"/>
                      <w:szCs w:val="21"/>
                      <w:u w:val="none" w:color="auto"/>
                      <w:lang w:val="en-US" w:eastAsia="zh-CN"/>
                      <w14:textFill>
                        <w14:solidFill>
                          <w14:schemeClr w14:val="tx1"/>
                        </w14:solidFill>
                      </w14:textFill>
                    </w:rPr>
                    <w:t>14</w:t>
                  </w:r>
                  <w:r>
                    <w:rPr>
                      <w:rFonts w:hint="eastAsia" w:cs="Times New Roman"/>
                      <w:color w:val="000000" w:themeColor="text1"/>
                      <w:szCs w:val="21"/>
                      <w:u w:val="none" w:color="auto"/>
                      <w:lang w:val="en-US" w:eastAsia="zh-CN"/>
                      <w14:textFill>
                        <w14:solidFill>
                          <w14:schemeClr w14:val="tx1"/>
                        </w14:solidFill>
                      </w14:textFill>
                    </w:rPr>
                    <w:t>1</w:t>
                  </w:r>
                </w:p>
              </w:tc>
              <w:tc>
                <w:tcPr>
                  <w:tcW w:w="915" w:type="dxa"/>
                  <w:tcBorders>
                    <w:top w:val="single" w:color="auto" w:sz="4" w:space="0"/>
                    <w:left w:val="nil"/>
                    <w:bottom w:val="single" w:color="auto" w:sz="4" w:space="0"/>
                    <w:right w:val="single" w:color="auto" w:sz="4" w:space="0"/>
                  </w:tcBorders>
                  <w:noWrap w:val="0"/>
                  <w:vAlign w:val="center"/>
                </w:tcPr>
                <w:p w14:paraId="6C1A18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highlight w:val="none"/>
                      <w:u w:val="none" w:color="auto"/>
                      <w14:textFill>
                        <w14:solidFill>
                          <w14:schemeClr w14:val="tx1"/>
                        </w14:solidFill>
                      </w14:textFill>
                    </w:rPr>
                    <w:t>160</w:t>
                  </w:r>
                </w:p>
              </w:tc>
              <w:tc>
                <w:tcPr>
                  <w:tcW w:w="910" w:type="dxa"/>
                  <w:tcBorders>
                    <w:top w:val="single" w:color="auto" w:sz="4" w:space="0"/>
                    <w:left w:val="nil"/>
                    <w:bottom w:val="single" w:color="auto" w:sz="4" w:space="0"/>
                    <w:right w:val="single" w:color="auto" w:sz="4" w:space="0"/>
                  </w:tcBorders>
                  <w:noWrap w:val="0"/>
                  <w:vAlign w:val="center"/>
                </w:tcPr>
                <w:p w14:paraId="5CD56EC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000000" w:themeColor="text1"/>
                      <w:szCs w:val="21"/>
                      <w:highlight w:val="none"/>
                      <w:u w:val="none" w:color="auto"/>
                      <w:lang w:val="en-US" w:eastAsia="zh-CN"/>
                      <w14:textFill>
                        <w14:solidFill>
                          <w14:schemeClr w14:val="tx1"/>
                        </w14:solidFill>
                      </w14:textFill>
                    </w:rPr>
                    <w:t>88.1</w:t>
                  </w:r>
                </w:p>
              </w:tc>
              <w:tc>
                <w:tcPr>
                  <w:tcW w:w="956" w:type="dxa"/>
                  <w:tcBorders>
                    <w:top w:val="single" w:color="auto" w:sz="4" w:space="0"/>
                    <w:left w:val="nil"/>
                    <w:bottom w:val="single" w:color="auto" w:sz="4" w:space="0"/>
                    <w:right w:val="single" w:color="auto" w:sz="4" w:space="0"/>
                  </w:tcBorders>
                  <w:noWrap w:val="0"/>
                  <w:vAlign w:val="center"/>
                </w:tcPr>
                <w:p w14:paraId="1A1B4B2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000000" w:themeColor="text1"/>
                      <w:szCs w:val="21"/>
                      <w:u w:val="none" w:color="auto"/>
                      <w14:textFill>
                        <w14:solidFill>
                          <w14:schemeClr w14:val="tx1"/>
                        </w14:solidFill>
                      </w14:textFill>
                    </w:rPr>
                    <w:t>达标</w:t>
                  </w:r>
                </w:p>
              </w:tc>
            </w:tr>
          </w:tbl>
          <w:p w14:paraId="47A4B9D0">
            <w:pPr>
              <w:spacing w:line="360" w:lineRule="auto"/>
              <w:ind w:firstLine="480" w:firstLineChars="200"/>
              <w:rPr>
                <w:rFonts w:hint="eastAsia" w:cs="Times New Roman"/>
                <w:color w:val="auto"/>
                <w:sz w:val="24"/>
                <w:szCs w:val="32"/>
                <w:u w:val="none"/>
                <w:lang w:val="en-US" w:eastAsia="zh-CN"/>
              </w:rPr>
            </w:pPr>
            <w:r>
              <w:rPr>
                <w:rFonts w:hint="default" w:ascii="Times New Roman" w:hAnsi="Times New Roman" w:cs="Times New Roman"/>
                <w:color w:val="auto"/>
                <w:kern w:val="0"/>
                <w:sz w:val="24"/>
                <w:szCs w:val="21"/>
                <w:u w:val="single" w:color="auto"/>
                <w:lang w:bidi="ar"/>
              </w:rPr>
              <w:t>项目所在区域为二类空气功能区，执行《环境空气质量标准》（GB3095-20</w:t>
            </w:r>
            <w:r>
              <w:rPr>
                <w:rFonts w:hint="eastAsia" w:cs="Times New Roman"/>
                <w:color w:val="auto"/>
                <w:kern w:val="0"/>
                <w:sz w:val="24"/>
                <w:szCs w:val="21"/>
                <w:u w:val="single" w:color="auto"/>
                <w:lang w:val="en-US" w:eastAsia="zh-CN" w:bidi="ar"/>
              </w:rPr>
              <w:t>26</w:t>
            </w:r>
            <w:r>
              <w:rPr>
                <w:rFonts w:hint="default" w:ascii="Times New Roman" w:hAnsi="Times New Roman" w:cs="Times New Roman"/>
                <w:color w:val="auto"/>
                <w:kern w:val="0"/>
                <w:sz w:val="24"/>
                <w:szCs w:val="21"/>
                <w:u w:val="single" w:color="auto"/>
                <w:lang w:bidi="ar"/>
              </w:rPr>
              <w:t>）中</w:t>
            </w:r>
            <w:r>
              <w:rPr>
                <w:rFonts w:hint="default" w:ascii="Times New Roman" w:hAnsi="Times New Roman" w:cs="Times New Roman"/>
                <w:color w:val="auto"/>
                <w:sz w:val="24"/>
                <w:highlight w:val="none"/>
                <w:u w:val="single" w:color="auto"/>
                <w:lang w:val="en-US" w:eastAsia="zh-CN"/>
              </w:rPr>
              <w:t>表</w:t>
            </w:r>
            <w:r>
              <w:rPr>
                <w:rFonts w:hint="eastAsia" w:cs="Times New Roman"/>
                <w:color w:val="auto"/>
                <w:sz w:val="24"/>
                <w:highlight w:val="none"/>
                <w:u w:val="single" w:color="auto"/>
                <w:lang w:val="en-US" w:eastAsia="zh-CN"/>
              </w:rPr>
              <w:t>1</w:t>
            </w:r>
            <w:r>
              <w:rPr>
                <w:rFonts w:hint="default" w:ascii="Times New Roman" w:hAnsi="Times New Roman" w:cs="Times New Roman"/>
                <w:color w:val="auto"/>
                <w:sz w:val="24"/>
                <w:highlight w:val="none"/>
                <w:u w:val="single" w:color="auto"/>
              </w:rPr>
              <w:t>中</w:t>
            </w:r>
            <w:r>
              <w:rPr>
                <w:rFonts w:hint="eastAsia" w:cs="Times New Roman"/>
                <w:color w:val="auto"/>
                <w:sz w:val="24"/>
                <w:highlight w:val="none"/>
                <w:u w:val="single" w:color="auto"/>
                <w:lang w:val="en-US" w:eastAsia="zh-CN"/>
              </w:rPr>
              <w:t>过渡阶段浓度</w:t>
            </w:r>
            <w:r>
              <w:rPr>
                <w:rFonts w:hint="default" w:ascii="Times New Roman" w:hAnsi="Times New Roman" w:cs="Times New Roman"/>
                <w:color w:val="auto"/>
                <w:sz w:val="24"/>
                <w:highlight w:val="none"/>
                <w:u w:val="single" w:color="auto"/>
              </w:rPr>
              <w:t>限值</w:t>
            </w:r>
            <w:r>
              <w:rPr>
                <w:rFonts w:hint="eastAsia" w:cs="Times New Roman"/>
                <w:color w:val="auto"/>
                <w:sz w:val="24"/>
                <w:highlight w:val="none"/>
                <w:u w:val="single" w:color="auto"/>
                <w:lang w:val="en-US" w:eastAsia="zh-CN"/>
              </w:rPr>
              <w:t>的</w:t>
            </w:r>
            <w:r>
              <w:rPr>
                <w:rFonts w:hint="default" w:ascii="Times New Roman" w:hAnsi="Times New Roman" w:cs="Times New Roman"/>
                <w:color w:val="auto"/>
                <w:kern w:val="0"/>
                <w:sz w:val="24"/>
                <w:szCs w:val="21"/>
                <w:u w:val="single" w:color="auto"/>
                <w:lang w:bidi="ar"/>
              </w:rPr>
              <w:t>二级标准，</w:t>
            </w:r>
            <w:r>
              <w:rPr>
                <w:rFonts w:hint="default" w:ascii="Times New Roman" w:hAnsi="Times New Roman" w:cs="Times New Roman"/>
                <w:color w:val="auto"/>
                <w:sz w:val="24"/>
                <w:szCs w:val="22"/>
                <w:u w:val="single" w:color="auto"/>
              </w:rPr>
              <w:t>根据上表中对岳阳市城区空气质量统计结果分析可知，本项目所在区域为</w:t>
            </w:r>
            <w:r>
              <w:rPr>
                <w:rFonts w:hint="eastAsia" w:cs="Times New Roman"/>
                <w:color w:val="auto"/>
                <w:sz w:val="24"/>
                <w:szCs w:val="22"/>
                <w:u w:val="single" w:color="auto"/>
                <w:lang w:val="en-US" w:eastAsia="zh-CN"/>
              </w:rPr>
              <w:t>空气环境质量不</w:t>
            </w:r>
            <w:r>
              <w:rPr>
                <w:rFonts w:hint="default" w:ascii="Times New Roman" w:hAnsi="Times New Roman" w:cs="Times New Roman"/>
                <w:color w:val="auto"/>
                <w:sz w:val="24"/>
                <w:szCs w:val="21"/>
                <w:u w:val="single" w:color="auto"/>
              </w:rPr>
              <w:t>达标区</w:t>
            </w:r>
            <w:r>
              <w:rPr>
                <w:rFonts w:hint="eastAsia" w:ascii="Times New Roman" w:hAnsi="Times New Roman" w:cs="Times New Roman"/>
                <w:color w:val="auto"/>
                <w:sz w:val="24"/>
                <w:szCs w:val="21"/>
                <w:u w:val="single" w:color="auto"/>
                <w:lang w:eastAsia="zh-CN"/>
              </w:rPr>
              <w:t>。</w:t>
            </w:r>
          </w:p>
          <w:p w14:paraId="26526465">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二、地表水环境</w:t>
            </w:r>
          </w:p>
          <w:p w14:paraId="14E6C62F">
            <w:pPr>
              <w:pStyle w:val="20"/>
              <w:ind w:firstLine="482"/>
              <w:rPr>
                <w:rFonts w:hint="default" w:ascii="Times New Roman" w:hAnsi="Times New Roman" w:eastAsia="宋体" w:cs="Times New Roman"/>
                <w:b/>
                <w:bCs/>
                <w:color w:val="000000"/>
                <w:highlight w:val="none"/>
                <w:u w:val="none" w:color="auto"/>
                <w:lang w:val="en-US" w:eastAsia="zh-CN"/>
              </w:rPr>
            </w:pPr>
            <w:r>
              <w:rPr>
                <w:rFonts w:hint="default" w:ascii="Times New Roman" w:hAnsi="Times New Roman" w:cs="Times New Roman"/>
                <w:b/>
                <w:bCs/>
                <w:color w:val="000000"/>
                <w:highlight w:val="none"/>
                <w:u w:val="none" w:color="auto"/>
              </w:rPr>
              <w:t>1、</w:t>
            </w:r>
            <w:r>
              <w:rPr>
                <w:rFonts w:hint="default" w:ascii="Times New Roman" w:hAnsi="Times New Roman" w:cs="Times New Roman"/>
                <w:b/>
                <w:bCs/>
                <w:color w:val="000000"/>
                <w:highlight w:val="none"/>
                <w:u w:val="none" w:color="auto"/>
                <w:lang w:val="en-US" w:eastAsia="zh-CN"/>
              </w:rPr>
              <w:t>引用</w:t>
            </w:r>
            <w:r>
              <w:rPr>
                <w:rFonts w:hint="eastAsia" w:cs="Times New Roman"/>
                <w:b/>
                <w:bCs/>
                <w:color w:val="000000"/>
                <w:highlight w:val="none"/>
                <w:u w:val="none" w:color="auto"/>
                <w:lang w:val="en-US" w:eastAsia="zh-CN"/>
              </w:rPr>
              <w:t>生态环境主管</w:t>
            </w:r>
            <w:r>
              <w:rPr>
                <w:rFonts w:hint="default" w:ascii="Times New Roman" w:hAnsi="Times New Roman" w:cs="Times New Roman"/>
                <w:b/>
                <w:bCs/>
                <w:color w:val="000000"/>
                <w:highlight w:val="none"/>
                <w:u w:val="none" w:color="auto"/>
                <w:lang w:val="en-US" w:eastAsia="zh-CN"/>
              </w:rPr>
              <w:t>部门公布数据</w:t>
            </w:r>
          </w:p>
          <w:p w14:paraId="75652AD0">
            <w:pPr>
              <w:spacing w:line="360" w:lineRule="auto"/>
              <w:ind w:firstLineChars="200"/>
              <w:jc w:val="both"/>
              <w:rPr>
                <w:rFonts w:hint="default" w:ascii="Times New Roman" w:hAnsi="Times New Roman" w:eastAsia="宋体" w:cs="Times New Roman"/>
                <w:color w:val="auto"/>
                <w:sz w:val="24"/>
                <w:highlight w:val="none"/>
                <w:u w:val="none" w:color="auto"/>
                <w:lang w:val="en-US" w:eastAsia="zh-CN"/>
              </w:rPr>
            </w:pPr>
            <w:r>
              <w:rPr>
                <w:rFonts w:hint="default" w:ascii="Times New Roman" w:hAnsi="Times New Roman" w:cs="Times New Roman"/>
                <w:sz w:val="24"/>
                <w:szCs w:val="24"/>
                <w:u w:val="none" w:color="auto"/>
                <w:lang w:val="en-US" w:eastAsia="zh-CN"/>
              </w:rPr>
              <w:t>本项目</w:t>
            </w:r>
            <w:r>
              <w:rPr>
                <w:rFonts w:hint="default" w:ascii="Times New Roman" w:hAnsi="Times New Roman" w:eastAsia="宋体" w:cs="Times New Roman"/>
                <w:color w:val="auto"/>
                <w:kern w:val="2"/>
                <w:sz w:val="24"/>
                <w:szCs w:val="21"/>
                <w:highlight w:val="none"/>
                <w:u w:val="none" w:color="auto"/>
                <w:lang w:val="en-US" w:eastAsia="zh-CN" w:bidi="ar-SA"/>
              </w:rPr>
              <w:t>废水经</w:t>
            </w:r>
            <w:r>
              <w:rPr>
                <w:rFonts w:hint="eastAsia" w:cs="Times New Roman"/>
                <w:color w:val="auto"/>
                <w:kern w:val="2"/>
                <w:sz w:val="24"/>
                <w:szCs w:val="21"/>
                <w:highlight w:val="none"/>
                <w:u w:val="none" w:color="auto"/>
                <w:lang w:val="en-US" w:eastAsia="zh-CN" w:bidi="ar-SA"/>
              </w:rPr>
              <w:t>内部预处理</w:t>
            </w:r>
            <w:r>
              <w:rPr>
                <w:rFonts w:hint="default" w:ascii="Times New Roman" w:hAnsi="Times New Roman" w:eastAsia="宋体" w:cs="Times New Roman"/>
                <w:color w:val="auto"/>
                <w:sz w:val="24"/>
                <w:highlight w:val="none"/>
                <w:u w:val="none" w:color="auto"/>
                <w:lang w:val="en-US" w:eastAsia="zh-CN"/>
              </w:rPr>
              <w:t>经</w:t>
            </w:r>
            <w:r>
              <w:rPr>
                <w:rFonts w:hint="eastAsia" w:cs="Times New Roman"/>
                <w:color w:val="auto"/>
                <w:sz w:val="24"/>
                <w:highlight w:val="none"/>
                <w:u w:val="none" w:color="auto"/>
                <w:lang w:val="en-US" w:eastAsia="zh-CN"/>
              </w:rPr>
              <w:t>厂区废水排放</w:t>
            </w:r>
            <w:r>
              <w:rPr>
                <w:rFonts w:hint="default" w:ascii="Times New Roman" w:hAnsi="Times New Roman" w:eastAsia="宋体" w:cs="Times New Roman"/>
                <w:color w:val="auto"/>
                <w:sz w:val="24"/>
                <w:highlight w:val="none"/>
                <w:u w:val="none" w:color="auto"/>
                <w:lang w:val="en-US" w:eastAsia="zh-CN"/>
              </w:rPr>
              <w:t>口排入</w:t>
            </w:r>
            <w:r>
              <w:rPr>
                <w:rFonts w:hint="eastAsia" w:cs="Times New Roman"/>
                <w:color w:val="auto"/>
                <w:sz w:val="24"/>
                <w:highlight w:val="none"/>
                <w:u w:val="none" w:color="auto"/>
                <w:lang w:val="en-US" w:eastAsia="zh-CN"/>
              </w:rPr>
              <w:t>市政污水收集管网，最终汇入岳阳马壕水质净化中心进行深度处理，处理达标尾水排入东风湖</w:t>
            </w:r>
            <w:r>
              <w:rPr>
                <w:rFonts w:hint="default" w:ascii="Times New Roman" w:hAnsi="Times New Roman" w:eastAsia="宋体" w:cs="Times New Roman"/>
                <w:color w:val="auto"/>
                <w:sz w:val="24"/>
                <w:highlight w:val="none"/>
                <w:u w:val="none" w:color="auto"/>
                <w:lang w:val="en-US" w:eastAsia="zh-CN"/>
              </w:rPr>
              <w:t>。</w:t>
            </w:r>
          </w:p>
          <w:p w14:paraId="31945AFE">
            <w:pPr>
              <w:spacing w:line="360" w:lineRule="auto"/>
              <w:ind w:firstLineChars="200"/>
              <w:jc w:val="left"/>
              <w:rPr>
                <w:rFonts w:hint="default" w:ascii="Times New Roman" w:hAnsi="Times New Roman" w:cs="Times New Roman"/>
                <w:sz w:val="24"/>
                <w:szCs w:val="24"/>
                <w:u w:val="none" w:color="auto"/>
                <w:lang w:eastAsia="zh-CN"/>
              </w:rPr>
            </w:pPr>
            <w:r>
              <w:rPr>
                <w:rFonts w:hint="default" w:ascii="Times New Roman" w:hAnsi="Times New Roman" w:eastAsia="宋体" w:cs="Times New Roman"/>
                <w:color w:val="auto"/>
                <w:sz w:val="24"/>
                <w:highlight w:val="none"/>
                <w:u w:val="none" w:color="auto"/>
                <w:lang w:val="en-US" w:eastAsia="zh-CN"/>
              </w:rPr>
              <w:t>公司</w:t>
            </w:r>
            <w:r>
              <w:rPr>
                <w:rFonts w:hint="eastAsia" w:cs="Times New Roman"/>
                <w:color w:val="auto"/>
                <w:sz w:val="24"/>
                <w:highlight w:val="none"/>
                <w:u w:val="none" w:color="auto"/>
                <w:lang w:val="en-US" w:eastAsia="zh-CN"/>
              </w:rPr>
              <w:t>备用水源地取水口</w:t>
            </w:r>
            <w:r>
              <w:rPr>
                <w:rFonts w:hint="default" w:ascii="Times New Roman" w:hAnsi="Times New Roman" w:cs="Times New Roman"/>
                <w:color w:val="auto"/>
                <w:spacing w:val="4"/>
                <w:sz w:val="24"/>
                <w:szCs w:val="24"/>
                <w:u w:val="none" w:color="auto"/>
              </w:rPr>
              <w:t>设置在</w:t>
            </w:r>
            <w:r>
              <w:rPr>
                <w:rFonts w:hint="eastAsia" w:cs="Times New Roman"/>
                <w:color w:val="auto"/>
                <w:spacing w:val="4"/>
                <w:sz w:val="24"/>
                <w:szCs w:val="24"/>
                <w:u w:val="none" w:color="auto"/>
                <w:lang w:val="en-US" w:eastAsia="zh-CN"/>
              </w:rPr>
              <w:t>东洞庭湖岸边，取水口</w:t>
            </w:r>
            <w:r>
              <w:rPr>
                <w:rFonts w:hint="default" w:ascii="Times New Roman" w:hAnsi="Times New Roman" w:cs="Times New Roman"/>
                <w:color w:val="auto"/>
                <w:spacing w:val="4"/>
                <w:sz w:val="24"/>
                <w:szCs w:val="24"/>
                <w:u w:val="none" w:color="auto"/>
                <w:lang w:val="en-US" w:eastAsia="zh-CN"/>
              </w:rPr>
              <w:t>上游</w:t>
            </w:r>
            <w:r>
              <w:rPr>
                <w:rFonts w:hint="eastAsia" w:cs="Times New Roman"/>
                <w:color w:val="auto"/>
                <w:spacing w:val="4"/>
                <w:sz w:val="24"/>
                <w:szCs w:val="24"/>
                <w:u w:val="none" w:color="auto"/>
                <w:lang w:val="en-US" w:eastAsia="zh-CN"/>
              </w:rPr>
              <w:t>1100m</w:t>
            </w:r>
            <w:r>
              <w:rPr>
                <w:rFonts w:hint="default" w:ascii="Times New Roman" w:hAnsi="Times New Roman" w:cs="Times New Roman"/>
                <w:color w:val="auto"/>
                <w:spacing w:val="4"/>
                <w:sz w:val="24"/>
                <w:szCs w:val="24"/>
                <w:u w:val="none" w:color="auto"/>
                <w:lang w:val="en-US" w:eastAsia="zh-CN"/>
              </w:rPr>
              <w:t>为洞庭湖</w:t>
            </w:r>
            <w:r>
              <w:rPr>
                <w:rFonts w:hint="eastAsia" w:cs="Times New Roman"/>
                <w:color w:val="auto"/>
                <w:spacing w:val="4"/>
                <w:sz w:val="24"/>
                <w:szCs w:val="24"/>
                <w:u w:val="none" w:color="auto"/>
                <w:lang w:val="en-US" w:eastAsia="zh-CN"/>
              </w:rPr>
              <w:t>岳阳楼国控断面、下游4800m为洞庭湖</w:t>
            </w:r>
            <w:r>
              <w:rPr>
                <w:rFonts w:hint="default" w:ascii="Times New Roman" w:hAnsi="Times New Roman" w:cs="Times New Roman"/>
                <w:color w:val="auto"/>
                <w:spacing w:val="4"/>
                <w:sz w:val="24"/>
                <w:szCs w:val="24"/>
                <w:u w:val="none" w:color="auto"/>
                <w:lang w:val="en-US" w:eastAsia="zh-CN"/>
              </w:rPr>
              <w:t>出口</w:t>
            </w:r>
            <w:r>
              <w:rPr>
                <w:rFonts w:hint="eastAsia" w:cs="Times New Roman"/>
                <w:color w:val="auto"/>
                <w:spacing w:val="4"/>
                <w:sz w:val="24"/>
                <w:szCs w:val="24"/>
                <w:u w:val="none" w:color="auto"/>
                <w:lang w:val="en-US" w:eastAsia="zh-CN"/>
              </w:rPr>
              <w:t>国控</w:t>
            </w:r>
            <w:r>
              <w:rPr>
                <w:rFonts w:hint="default" w:ascii="Times New Roman" w:hAnsi="Times New Roman" w:cs="Times New Roman"/>
                <w:color w:val="auto"/>
                <w:spacing w:val="4"/>
                <w:sz w:val="24"/>
                <w:szCs w:val="24"/>
                <w:u w:val="none" w:color="auto"/>
                <w:lang w:val="en-US" w:eastAsia="zh-CN"/>
              </w:rPr>
              <w:t>断面，</w:t>
            </w:r>
            <w:r>
              <w:rPr>
                <w:rFonts w:hint="default" w:ascii="Times New Roman" w:hAnsi="Times New Roman" w:cs="Times New Roman"/>
                <w:sz w:val="24"/>
                <w:szCs w:val="24"/>
                <w:u w:val="none" w:color="auto"/>
                <w:lang w:val="en-US" w:eastAsia="zh-CN"/>
              </w:rPr>
              <w:t>根据</w:t>
            </w:r>
            <w:r>
              <w:rPr>
                <w:rFonts w:hint="default" w:ascii="Times New Roman" w:hAnsi="Times New Roman" w:cs="Times New Roman"/>
                <w:sz w:val="24"/>
                <w:szCs w:val="24"/>
                <w:u w:val="none" w:color="auto"/>
              </w:rPr>
              <w:t>湖南省生态环境厅公布的《</w:t>
            </w:r>
            <w:r>
              <w:rPr>
                <w:rFonts w:hint="default" w:ascii="Times New Roman" w:hAnsi="Times New Roman" w:cs="Times New Roman"/>
                <w:sz w:val="24"/>
                <w:szCs w:val="24"/>
                <w:u w:val="none" w:color="auto"/>
                <w:lang w:val="en-US" w:eastAsia="zh-CN"/>
              </w:rPr>
              <w:t>全省环境质量状况</w:t>
            </w:r>
            <w:r>
              <w:rPr>
                <w:rFonts w:hint="default" w:ascii="Times New Roman" w:hAnsi="Times New Roman" w:cs="Times New Roman"/>
                <w:sz w:val="24"/>
                <w:szCs w:val="24"/>
                <w:u w:val="none" w:color="auto"/>
              </w:rPr>
              <w:t>（</w:t>
            </w:r>
            <w:r>
              <w:rPr>
                <w:rFonts w:hint="default" w:ascii="Times New Roman" w:hAnsi="Times New Roman" w:cs="Times New Roman"/>
                <w:sz w:val="24"/>
                <w:szCs w:val="24"/>
                <w:u w:val="none" w:color="auto"/>
                <w:lang w:val="en-US" w:eastAsia="zh-CN"/>
              </w:rPr>
              <w:t>2025</w:t>
            </w:r>
            <w:r>
              <w:rPr>
                <w:rFonts w:hint="default" w:ascii="Times New Roman" w:hAnsi="Times New Roman" w:cs="Times New Roman"/>
                <w:sz w:val="24"/>
                <w:szCs w:val="24"/>
                <w:u w:val="none" w:color="auto"/>
              </w:rPr>
              <w:t>年1月~</w:t>
            </w:r>
            <w:r>
              <w:rPr>
                <w:rFonts w:hint="default" w:ascii="Times New Roman" w:hAnsi="Times New Roman" w:cs="Times New Roman"/>
                <w:sz w:val="24"/>
                <w:szCs w:val="24"/>
                <w:u w:val="none" w:color="auto"/>
                <w:lang w:val="en-US" w:eastAsia="zh-CN"/>
              </w:rPr>
              <w:t>2025</w:t>
            </w:r>
            <w:r>
              <w:rPr>
                <w:rFonts w:hint="default" w:ascii="Times New Roman" w:hAnsi="Times New Roman" w:cs="Times New Roman"/>
                <w:sz w:val="24"/>
                <w:szCs w:val="24"/>
                <w:u w:val="none" w:color="auto"/>
              </w:rPr>
              <w:t>年</w:t>
            </w:r>
            <w:r>
              <w:rPr>
                <w:rFonts w:hint="default" w:ascii="Times New Roman" w:hAnsi="Times New Roman" w:cs="Times New Roman"/>
                <w:sz w:val="24"/>
                <w:szCs w:val="24"/>
                <w:u w:val="none" w:color="auto"/>
                <w:lang w:val="en-US" w:eastAsia="zh-CN"/>
              </w:rPr>
              <w:t>12</w:t>
            </w:r>
            <w:r>
              <w:rPr>
                <w:rFonts w:hint="default" w:ascii="Times New Roman" w:hAnsi="Times New Roman" w:cs="Times New Roman"/>
                <w:sz w:val="24"/>
                <w:szCs w:val="24"/>
                <w:u w:val="none" w:color="auto"/>
              </w:rPr>
              <w:t>月）</w:t>
            </w:r>
            <w:r>
              <w:rPr>
                <w:rFonts w:hint="default" w:ascii="Times New Roman" w:hAnsi="Times New Roman" w:cs="Times New Roman"/>
                <w:sz w:val="24"/>
                <w:szCs w:val="24"/>
                <w:u w:val="none" w:color="auto"/>
                <w:lang w:eastAsia="zh-CN"/>
              </w:rPr>
              <w:t>》（</w:t>
            </w:r>
            <w:r>
              <w:rPr>
                <w:rFonts w:hint="default" w:ascii="Times New Roman" w:hAnsi="Times New Roman" w:cs="Times New Roman"/>
                <w:sz w:val="24"/>
                <w:szCs w:val="24"/>
                <w:u w:val="none" w:color="auto"/>
                <w:lang w:val="en-US" w:eastAsia="zh-CN"/>
              </w:rPr>
              <w:t>网址：http://sthjt.hunan.gov.cn/sthjt/xxgk/zdly/hjjc/hjzl/index.html</w:t>
            </w:r>
            <w:r>
              <w:rPr>
                <w:rFonts w:hint="default" w:ascii="Times New Roman" w:hAnsi="Times New Roman" w:cs="Times New Roman"/>
                <w:sz w:val="24"/>
                <w:szCs w:val="24"/>
                <w:u w:val="none" w:color="auto"/>
                <w:lang w:eastAsia="zh-CN"/>
              </w:rPr>
              <w:t>）：</w:t>
            </w:r>
          </w:p>
          <w:p w14:paraId="4DC621F8">
            <w:pPr>
              <w:spacing w:line="360" w:lineRule="auto"/>
              <w:jc w:val="left"/>
              <w:rPr>
                <w:rFonts w:hint="default" w:ascii="Times New Roman" w:hAnsi="Times New Roman" w:cs="Times New Roman"/>
                <w:sz w:val="24"/>
                <w:szCs w:val="24"/>
                <w:u w:val="single" w:color="auto"/>
                <w:lang w:eastAsia="zh-CN"/>
              </w:rPr>
            </w:pPr>
            <w:r>
              <w:rPr>
                <w:rFonts w:hint="default" w:ascii="Times New Roman" w:hAnsi="Times New Roman" w:cs="Times New Roman"/>
              </w:rPr>
              <w:drawing>
                <wp:inline distT="0" distB="0" distL="114300" distR="114300">
                  <wp:extent cx="5400675" cy="4469130"/>
                  <wp:effectExtent l="0" t="0" r="952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a:stretch>
                            <a:fillRect/>
                          </a:stretch>
                        </pic:blipFill>
                        <pic:spPr>
                          <a:xfrm>
                            <a:off x="0" y="0"/>
                            <a:ext cx="5400675" cy="4469130"/>
                          </a:xfrm>
                          <a:prstGeom prst="rect">
                            <a:avLst/>
                          </a:prstGeom>
                          <a:noFill/>
                          <a:ln>
                            <a:noFill/>
                          </a:ln>
                        </pic:spPr>
                      </pic:pic>
                    </a:graphicData>
                  </a:graphic>
                </wp:inline>
              </w:drawing>
            </w:r>
          </w:p>
          <w:p w14:paraId="73A5AD29">
            <w:pPr>
              <w:spacing w:line="360" w:lineRule="auto"/>
              <w:ind w:firstLineChars="200"/>
              <w:jc w:val="both"/>
              <w:rPr>
                <w:rFonts w:hint="default" w:ascii="Times New Roman" w:hAnsi="Times New Roman" w:cs="Times New Roman"/>
                <w:sz w:val="24"/>
                <w:szCs w:val="24"/>
                <w:u w:val="none" w:color="auto"/>
                <w:lang w:val="en-US" w:eastAsia="zh-CN"/>
              </w:rPr>
            </w:pPr>
            <w:r>
              <w:rPr>
                <w:rFonts w:hint="default" w:ascii="Times New Roman" w:hAnsi="Times New Roman" w:cs="Times New Roman"/>
                <w:sz w:val="24"/>
                <w:szCs w:val="24"/>
                <w:u w:val="none" w:color="auto"/>
                <w:lang w:val="en-US" w:eastAsia="zh-CN"/>
              </w:rPr>
              <w:t>2025年</w:t>
            </w:r>
            <w:r>
              <w:rPr>
                <w:rFonts w:hint="default" w:ascii="Times New Roman" w:hAnsi="Times New Roman" w:cs="Times New Roman"/>
                <w:color w:val="auto"/>
                <w:spacing w:val="4"/>
                <w:sz w:val="24"/>
                <w:szCs w:val="24"/>
                <w:lang w:val="en-US" w:eastAsia="zh-CN"/>
              </w:rPr>
              <w:t>洞庭湖出口</w:t>
            </w:r>
            <w:r>
              <w:rPr>
                <w:rFonts w:hint="default" w:ascii="Times New Roman" w:hAnsi="Times New Roman" w:cs="Times New Roman"/>
                <w:sz w:val="24"/>
                <w:szCs w:val="24"/>
                <w:u w:val="none" w:color="auto"/>
                <w:lang w:val="en-US" w:eastAsia="zh-CN"/>
              </w:rPr>
              <w:t>断面</w:t>
            </w:r>
            <w:r>
              <w:rPr>
                <w:rFonts w:hint="eastAsia" w:cs="Times New Roman"/>
                <w:sz w:val="24"/>
                <w:szCs w:val="24"/>
                <w:u w:val="none" w:color="auto"/>
                <w:lang w:val="en-US" w:eastAsia="zh-CN"/>
              </w:rPr>
              <w:t>2~4</w:t>
            </w:r>
            <w:r>
              <w:rPr>
                <w:rFonts w:hint="default" w:ascii="Times New Roman" w:hAnsi="Times New Roman" w:cs="Times New Roman"/>
                <w:sz w:val="24"/>
                <w:szCs w:val="24"/>
                <w:u w:val="none" w:color="auto"/>
                <w:lang w:val="en-US" w:eastAsia="zh-CN"/>
              </w:rPr>
              <w:t>月、</w:t>
            </w:r>
            <w:r>
              <w:rPr>
                <w:rFonts w:hint="eastAsia" w:cs="Times New Roman"/>
                <w:sz w:val="24"/>
                <w:szCs w:val="24"/>
                <w:u w:val="none" w:color="auto"/>
                <w:lang w:val="en-US" w:eastAsia="zh-CN"/>
              </w:rPr>
              <w:t>6~7</w:t>
            </w:r>
            <w:r>
              <w:rPr>
                <w:rFonts w:hint="default" w:ascii="Times New Roman" w:hAnsi="Times New Roman" w:cs="Times New Roman"/>
                <w:sz w:val="24"/>
                <w:szCs w:val="24"/>
                <w:u w:val="none" w:color="auto"/>
                <w:lang w:val="en-US" w:eastAsia="zh-CN"/>
              </w:rPr>
              <w:t>月</w:t>
            </w:r>
            <w:r>
              <w:rPr>
                <w:rFonts w:hint="eastAsia" w:cs="Times New Roman"/>
                <w:sz w:val="24"/>
                <w:szCs w:val="24"/>
                <w:u w:val="none" w:color="auto"/>
                <w:lang w:val="en-US" w:eastAsia="zh-CN"/>
              </w:rPr>
              <w:t>常规检测中</w:t>
            </w:r>
            <w:r>
              <w:rPr>
                <w:rFonts w:hint="default" w:ascii="Times New Roman" w:hAnsi="Times New Roman" w:cs="Times New Roman"/>
                <w:sz w:val="24"/>
                <w:szCs w:val="24"/>
                <w:u w:val="none" w:color="auto"/>
                <w:lang w:val="en-US" w:eastAsia="zh-CN"/>
              </w:rPr>
              <w:t>水质类别为</w:t>
            </w:r>
            <w:r>
              <w:rPr>
                <w:rFonts w:hint="default" w:ascii="Times New Roman" w:hAnsi="Times New Roman" w:cs="Times New Roman"/>
                <w:sz w:val="24"/>
                <w:szCs w:val="24"/>
                <w:u w:val="none" w:color="auto"/>
              </w:rPr>
              <w:t>《地表水环境质量标准》（GB3838-2002）</w:t>
            </w:r>
            <w:r>
              <w:rPr>
                <w:rFonts w:hint="default" w:ascii="Times New Roman" w:hAnsi="Times New Roman" w:cs="Times New Roman"/>
                <w:sz w:val="24"/>
                <w:szCs w:val="24"/>
                <w:u w:val="none" w:color="auto"/>
                <w:lang w:val="en-US" w:eastAsia="zh-CN"/>
              </w:rPr>
              <w:t>Ⅲ类标准，</w:t>
            </w:r>
            <w:r>
              <w:rPr>
                <w:rFonts w:hint="eastAsia" w:cs="Times New Roman"/>
                <w:sz w:val="24"/>
                <w:szCs w:val="24"/>
                <w:u w:val="none" w:color="auto"/>
                <w:lang w:val="en-US" w:eastAsia="zh-CN"/>
              </w:rPr>
              <w:t>其余</w:t>
            </w:r>
            <w:r>
              <w:rPr>
                <w:rFonts w:hint="default" w:ascii="Times New Roman" w:hAnsi="Times New Roman" w:cs="Times New Roman"/>
                <w:sz w:val="24"/>
                <w:szCs w:val="24"/>
                <w:u w:val="none" w:color="auto"/>
                <w:lang w:val="en-US" w:eastAsia="zh-CN"/>
              </w:rPr>
              <w:t>月</w:t>
            </w:r>
            <w:r>
              <w:rPr>
                <w:rFonts w:hint="eastAsia" w:cs="Times New Roman"/>
                <w:sz w:val="24"/>
                <w:szCs w:val="24"/>
                <w:u w:val="none" w:color="auto"/>
                <w:lang w:val="en-US" w:eastAsia="zh-CN"/>
              </w:rPr>
              <w:t>份</w:t>
            </w:r>
            <w:r>
              <w:rPr>
                <w:rFonts w:hint="default" w:ascii="Times New Roman" w:hAnsi="Times New Roman" w:cs="Times New Roman"/>
                <w:sz w:val="24"/>
                <w:szCs w:val="24"/>
                <w:u w:val="none" w:color="auto"/>
                <w:lang w:val="en-US" w:eastAsia="zh-CN"/>
              </w:rPr>
              <w:t>水质类别为</w:t>
            </w:r>
            <w:r>
              <w:rPr>
                <w:rFonts w:hint="default" w:ascii="Times New Roman" w:hAnsi="Times New Roman" w:cs="Times New Roman"/>
                <w:sz w:val="24"/>
                <w:szCs w:val="24"/>
                <w:u w:val="none" w:color="auto"/>
              </w:rPr>
              <w:t>《地表水环境质量标准》（GB3838-2002）Ⅳ</w:t>
            </w:r>
            <w:r>
              <w:rPr>
                <w:rFonts w:hint="eastAsia" w:cs="Times New Roman"/>
                <w:sz w:val="24"/>
                <w:szCs w:val="24"/>
                <w:u w:val="none" w:color="auto"/>
                <w:lang w:val="en-US" w:eastAsia="zh-CN"/>
              </w:rPr>
              <w:t>类标准，达不到</w:t>
            </w:r>
            <w:r>
              <w:rPr>
                <w:rFonts w:hint="default" w:ascii="Times New Roman" w:hAnsi="Times New Roman" w:cs="Times New Roman"/>
                <w:sz w:val="24"/>
                <w:szCs w:val="24"/>
                <w:u w:val="none" w:color="auto"/>
                <w:lang w:val="en-US" w:eastAsia="zh-CN"/>
              </w:rPr>
              <w:t>Ⅲ类标准</w:t>
            </w:r>
            <w:r>
              <w:rPr>
                <w:rFonts w:hint="eastAsia" w:cs="Times New Roman"/>
                <w:sz w:val="24"/>
                <w:szCs w:val="24"/>
                <w:u w:val="none" w:color="auto"/>
                <w:lang w:val="en-US" w:eastAsia="zh-CN"/>
              </w:rPr>
              <w:t>的超标因子为总磷，超标倍数在0.1~0.4之间</w:t>
            </w:r>
            <w:r>
              <w:rPr>
                <w:rFonts w:hint="default" w:ascii="Times New Roman" w:hAnsi="Times New Roman" w:cs="Times New Roman"/>
                <w:sz w:val="24"/>
                <w:szCs w:val="24"/>
                <w:u w:val="none" w:color="auto"/>
                <w:lang w:val="en-US" w:eastAsia="zh-CN"/>
              </w:rPr>
              <w:t>；</w:t>
            </w:r>
            <w:r>
              <w:rPr>
                <w:rFonts w:hint="eastAsia" w:cs="Times New Roman"/>
                <w:sz w:val="24"/>
                <w:szCs w:val="24"/>
                <w:u w:val="single" w:color="auto"/>
                <w:lang w:val="en-US" w:eastAsia="zh-CN"/>
              </w:rPr>
              <w:t>岳阳楼断面</w:t>
            </w:r>
            <w:r>
              <w:rPr>
                <w:rFonts w:hint="default" w:ascii="Times New Roman" w:hAnsi="Times New Roman" w:cs="Times New Roman"/>
                <w:sz w:val="24"/>
                <w:szCs w:val="24"/>
                <w:u w:val="single" w:color="auto"/>
                <w:lang w:val="en-US" w:eastAsia="zh-CN"/>
              </w:rPr>
              <w:t>水质类别为</w:t>
            </w:r>
            <w:r>
              <w:rPr>
                <w:rFonts w:hint="default" w:ascii="Times New Roman" w:hAnsi="Times New Roman" w:cs="Times New Roman"/>
                <w:sz w:val="24"/>
                <w:szCs w:val="24"/>
                <w:u w:val="single" w:color="auto"/>
              </w:rPr>
              <w:t>《地表水环境质量标准》（GB3838-2002）Ⅳ</w:t>
            </w:r>
            <w:r>
              <w:rPr>
                <w:rFonts w:hint="eastAsia" w:cs="Times New Roman"/>
                <w:sz w:val="24"/>
                <w:szCs w:val="24"/>
                <w:u w:val="single" w:color="auto"/>
                <w:lang w:val="en-US" w:eastAsia="zh-CN"/>
              </w:rPr>
              <w:t>类标准，达不到</w:t>
            </w:r>
            <w:r>
              <w:rPr>
                <w:rFonts w:hint="default" w:ascii="Times New Roman" w:hAnsi="Times New Roman" w:cs="Times New Roman"/>
                <w:sz w:val="24"/>
                <w:szCs w:val="24"/>
                <w:u w:val="single" w:color="auto"/>
                <w:lang w:val="en-US" w:eastAsia="zh-CN"/>
              </w:rPr>
              <w:t>Ⅲ类标准</w:t>
            </w:r>
            <w:r>
              <w:rPr>
                <w:rFonts w:hint="eastAsia" w:cs="Times New Roman"/>
                <w:sz w:val="24"/>
                <w:szCs w:val="24"/>
                <w:u w:val="single" w:color="auto"/>
                <w:lang w:val="en-US" w:eastAsia="zh-CN"/>
              </w:rPr>
              <w:t>的超标因子为总磷，超标倍数在0.1~0.7之间，超标原因主要为上游四水汇入总磷造成本底值较高。</w:t>
            </w:r>
          </w:p>
          <w:p w14:paraId="63F897AE">
            <w:pPr>
              <w:spacing w:line="360" w:lineRule="auto"/>
              <w:ind w:firstLineChars="200"/>
              <w:jc w:val="both"/>
              <w:rPr>
                <w:rFonts w:hint="default" w:ascii="Times New Roman" w:hAnsi="Times New Roman" w:cs="Times New Roman"/>
                <w:sz w:val="24"/>
                <w:szCs w:val="24"/>
                <w:u w:val="none" w:color="auto"/>
              </w:rPr>
            </w:pPr>
            <w:r>
              <w:rPr>
                <w:rFonts w:hint="default" w:ascii="Times New Roman" w:hAnsi="Times New Roman" w:cs="Times New Roman"/>
                <w:sz w:val="24"/>
                <w:szCs w:val="24"/>
                <w:u w:val="none" w:color="auto"/>
                <w:lang w:val="en-US" w:eastAsia="zh-CN"/>
              </w:rPr>
              <w:t>2025年</w:t>
            </w:r>
            <w:r>
              <w:rPr>
                <w:rFonts w:hint="default" w:ascii="Times New Roman" w:hAnsi="Times New Roman" w:cs="Times New Roman"/>
                <w:color w:val="auto"/>
                <w:spacing w:val="4"/>
                <w:sz w:val="24"/>
                <w:szCs w:val="24"/>
                <w:lang w:val="en-US" w:eastAsia="zh-CN"/>
              </w:rPr>
              <w:t>城陵矶断面1-</w:t>
            </w:r>
            <w:r>
              <w:rPr>
                <w:rFonts w:hint="default" w:ascii="Times New Roman" w:hAnsi="Times New Roman" w:cs="Times New Roman"/>
                <w:sz w:val="24"/>
                <w:szCs w:val="24"/>
                <w:u w:val="none" w:color="auto"/>
                <w:lang w:val="en-US" w:eastAsia="zh-CN"/>
              </w:rPr>
              <w:t>12月均</w:t>
            </w:r>
            <w:r>
              <w:rPr>
                <w:rFonts w:hint="default" w:ascii="Times New Roman" w:hAnsi="Times New Roman" w:cs="Times New Roman"/>
                <w:color w:val="auto"/>
                <w:spacing w:val="4"/>
                <w:sz w:val="24"/>
                <w:szCs w:val="24"/>
              </w:rPr>
              <w:t>能达到</w:t>
            </w:r>
            <w:r>
              <w:rPr>
                <w:rFonts w:hint="default" w:ascii="Times New Roman" w:hAnsi="Times New Roman" w:cs="Times New Roman"/>
                <w:color w:val="auto"/>
                <w:sz w:val="24"/>
                <w:szCs w:val="24"/>
              </w:rPr>
              <w:t>《地表水环境质量标准》（GB3838-2002）中Ⅲ类水质标准要求。</w:t>
            </w:r>
          </w:p>
          <w:p w14:paraId="7D6BB166">
            <w:pPr>
              <w:pStyle w:val="20"/>
              <w:ind w:firstLine="482"/>
              <w:rPr>
                <w:rFonts w:hint="default" w:ascii="Times New Roman" w:hAnsi="Times New Roman" w:cs="Times New Roman"/>
                <w:b/>
                <w:bCs/>
                <w:color w:val="000000"/>
                <w:highlight w:val="none"/>
                <w:u w:val="none" w:color="auto"/>
                <w:lang w:val="en-US" w:eastAsia="zh-CN"/>
              </w:rPr>
            </w:pPr>
            <w:r>
              <w:rPr>
                <w:rFonts w:hint="default" w:ascii="Times New Roman" w:hAnsi="Times New Roman" w:cs="Times New Roman"/>
                <w:b/>
                <w:bCs/>
                <w:color w:val="000000"/>
                <w:highlight w:val="none"/>
                <w:u w:val="none" w:color="auto"/>
                <w:lang w:val="en-US" w:eastAsia="zh-CN"/>
              </w:rPr>
              <w:t>2、引用的现状</w:t>
            </w:r>
            <w:r>
              <w:rPr>
                <w:rFonts w:hint="default" w:ascii="Times New Roman" w:hAnsi="Times New Roman" w:cs="Times New Roman"/>
                <w:b/>
                <w:bCs/>
                <w:color w:val="000000"/>
                <w:highlight w:val="none"/>
                <w:u w:val="none" w:color="auto"/>
              </w:rPr>
              <w:t>补充监测</w:t>
            </w:r>
            <w:r>
              <w:rPr>
                <w:rFonts w:hint="default" w:ascii="Times New Roman" w:hAnsi="Times New Roman" w:cs="Times New Roman"/>
                <w:b/>
                <w:bCs/>
                <w:color w:val="000000"/>
                <w:highlight w:val="none"/>
                <w:u w:val="none" w:color="auto"/>
                <w:lang w:val="en-US" w:eastAsia="zh-CN"/>
              </w:rPr>
              <w:t>数据</w:t>
            </w:r>
          </w:p>
          <w:p w14:paraId="63468581">
            <w:pPr>
              <w:pStyle w:val="20"/>
              <w:rPr>
                <w:rFonts w:hint="default" w:ascii="Times New Roman" w:hAnsi="Times New Roman" w:cs="Times New Roman"/>
                <w:color w:val="auto"/>
                <w:kern w:val="2"/>
                <w:sz w:val="24"/>
                <w:szCs w:val="21"/>
                <w:highlight w:val="none"/>
                <w:u w:val="none" w:color="auto"/>
                <w:lang w:val="en-US" w:eastAsia="zh-CN" w:bidi="ar-SA"/>
              </w:rPr>
            </w:pPr>
            <w:r>
              <w:rPr>
                <w:rFonts w:hint="default" w:ascii="Times New Roman" w:hAnsi="Times New Roman" w:cs="Times New Roman"/>
                <w:color w:val="auto"/>
                <w:kern w:val="2"/>
                <w:sz w:val="24"/>
                <w:szCs w:val="21"/>
                <w:highlight w:val="none"/>
                <w:u w:val="none" w:color="auto"/>
                <w:lang w:val="en-US" w:eastAsia="zh-CN" w:bidi="ar-SA"/>
              </w:rPr>
              <w:t>本次评价</w:t>
            </w:r>
            <w:r>
              <w:rPr>
                <w:rFonts w:hint="default" w:ascii="Times New Roman" w:hAnsi="Times New Roman" w:eastAsia="宋体" w:cs="Times New Roman"/>
                <w:color w:val="auto"/>
                <w:sz w:val="24"/>
                <w:szCs w:val="24"/>
                <w:u w:val="none" w:color="auto"/>
              </w:rPr>
              <w:t>引用</w:t>
            </w:r>
            <w:r>
              <w:rPr>
                <w:rFonts w:hint="eastAsia" w:cs="Times New Roman"/>
                <w:color w:val="auto"/>
                <w:sz w:val="24"/>
                <w:szCs w:val="24"/>
                <w:u w:val="none" w:color="auto"/>
                <w:lang w:val="en-US" w:eastAsia="zh-CN"/>
              </w:rPr>
              <w:t>公司2025年常规对备用水源地洞庭湖原水取水口进行的常规采样检测数据，</w:t>
            </w:r>
            <w:r>
              <w:rPr>
                <w:rFonts w:hint="eastAsia" w:cs="Times New Roman"/>
                <w:sz w:val="24"/>
                <w:szCs w:val="24"/>
                <w:highlight w:val="none"/>
                <w:u w:val="none" w:color="auto"/>
                <w:lang w:val="en-US" w:eastAsia="zh-CN"/>
              </w:rPr>
              <w:t>岳阳广源</w:t>
            </w:r>
            <w:r>
              <w:rPr>
                <w:rFonts w:hint="default" w:ascii="Times New Roman" w:hAnsi="Times New Roman" w:cs="Times New Roman"/>
                <w:sz w:val="24"/>
                <w:szCs w:val="24"/>
                <w:highlight w:val="none"/>
                <w:u w:val="none" w:color="auto"/>
              </w:rPr>
              <w:t>检测</w:t>
            </w:r>
            <w:r>
              <w:rPr>
                <w:rFonts w:hint="eastAsia" w:cs="Times New Roman"/>
                <w:sz w:val="24"/>
                <w:szCs w:val="24"/>
                <w:highlight w:val="none"/>
                <w:u w:val="none" w:color="auto"/>
                <w:lang w:val="en-US" w:eastAsia="zh-CN"/>
              </w:rPr>
              <w:t>技术</w:t>
            </w:r>
            <w:r>
              <w:rPr>
                <w:rFonts w:hint="default" w:ascii="Times New Roman" w:hAnsi="Times New Roman" w:cs="Times New Roman"/>
                <w:sz w:val="24"/>
                <w:szCs w:val="24"/>
                <w:highlight w:val="none"/>
                <w:u w:val="none" w:color="auto"/>
              </w:rPr>
              <w:t>有限公司</w:t>
            </w:r>
            <w:r>
              <w:rPr>
                <w:rFonts w:hint="default" w:ascii="Times New Roman" w:hAnsi="Times New Roman" w:eastAsia="宋体" w:cs="Times New Roman"/>
                <w:color w:val="auto"/>
                <w:sz w:val="24"/>
                <w:szCs w:val="24"/>
                <w:highlight w:val="none"/>
                <w:u w:val="none" w:color="auto"/>
              </w:rPr>
              <w:t>于20</w:t>
            </w:r>
            <w:r>
              <w:rPr>
                <w:rFonts w:hint="default" w:ascii="Times New Roman" w:hAnsi="Times New Roman" w:eastAsia="宋体" w:cs="Times New Roman"/>
                <w:color w:val="auto"/>
                <w:sz w:val="24"/>
                <w:szCs w:val="24"/>
                <w:highlight w:val="none"/>
                <w:u w:val="none" w:color="auto"/>
                <w:lang w:val="en-US" w:eastAsia="zh-CN"/>
              </w:rPr>
              <w:t>25</w:t>
            </w:r>
            <w:r>
              <w:rPr>
                <w:rFonts w:hint="default" w:ascii="Times New Roman" w:hAnsi="Times New Roman" w:eastAsia="宋体" w:cs="Times New Roman"/>
                <w:color w:val="auto"/>
                <w:sz w:val="24"/>
                <w:szCs w:val="24"/>
                <w:highlight w:val="none"/>
                <w:u w:val="none" w:color="auto"/>
              </w:rPr>
              <w:t>年</w:t>
            </w:r>
            <w:r>
              <w:rPr>
                <w:rFonts w:hint="eastAsia" w:cs="Times New Roman"/>
                <w:color w:val="auto"/>
                <w:sz w:val="24"/>
                <w:szCs w:val="24"/>
                <w:highlight w:val="none"/>
                <w:u w:val="none" w:color="auto"/>
                <w:lang w:val="en-US" w:eastAsia="zh-CN"/>
              </w:rPr>
              <w:t>7</w:t>
            </w:r>
            <w:r>
              <w:rPr>
                <w:rFonts w:hint="default" w:ascii="Times New Roman" w:hAnsi="Times New Roman" w:eastAsia="宋体" w:cs="Times New Roman"/>
                <w:color w:val="auto"/>
                <w:sz w:val="24"/>
                <w:szCs w:val="24"/>
                <w:highlight w:val="none"/>
                <w:u w:val="none" w:color="auto"/>
              </w:rPr>
              <w:t>月</w:t>
            </w:r>
            <w:r>
              <w:rPr>
                <w:rFonts w:hint="eastAsia" w:cs="Times New Roman"/>
                <w:color w:val="auto"/>
                <w:sz w:val="24"/>
                <w:szCs w:val="24"/>
                <w:highlight w:val="none"/>
                <w:u w:val="none" w:color="auto"/>
                <w:lang w:val="en-US" w:eastAsia="zh-CN"/>
              </w:rPr>
              <w:t>9</w:t>
            </w:r>
            <w:r>
              <w:rPr>
                <w:rFonts w:hint="default" w:ascii="Times New Roman" w:hAnsi="Times New Roman" w:eastAsia="宋体" w:cs="Times New Roman"/>
                <w:color w:val="auto"/>
                <w:sz w:val="24"/>
                <w:szCs w:val="24"/>
                <w:highlight w:val="none"/>
                <w:u w:val="none" w:color="auto"/>
              </w:rPr>
              <w:t>日</w:t>
            </w:r>
            <w:r>
              <w:rPr>
                <w:rFonts w:hint="eastAsia" w:cs="Times New Roman"/>
                <w:color w:val="auto"/>
                <w:sz w:val="24"/>
                <w:szCs w:val="24"/>
                <w:highlight w:val="none"/>
                <w:u w:val="none" w:color="auto"/>
                <w:lang w:val="en-US" w:eastAsia="zh-CN"/>
              </w:rPr>
              <w:t>和9月1</w:t>
            </w:r>
            <w:r>
              <w:rPr>
                <w:rFonts w:hint="default" w:ascii="Times New Roman" w:hAnsi="Times New Roman" w:eastAsia="宋体" w:cs="Times New Roman"/>
                <w:color w:val="auto"/>
                <w:sz w:val="24"/>
                <w:szCs w:val="24"/>
                <w:highlight w:val="none"/>
                <w:u w:val="none" w:color="auto"/>
              </w:rPr>
              <w:t>日对</w:t>
            </w:r>
            <w:r>
              <w:rPr>
                <w:rFonts w:hint="eastAsia" w:cs="Times New Roman"/>
                <w:color w:val="auto"/>
                <w:sz w:val="24"/>
                <w:szCs w:val="24"/>
                <w:u w:val="none" w:color="auto"/>
                <w:lang w:val="en-US" w:eastAsia="zh-CN"/>
              </w:rPr>
              <w:t>洞庭湖原水取水口进行检测，</w:t>
            </w:r>
            <w:r>
              <w:rPr>
                <w:rFonts w:hint="default" w:ascii="Times New Roman" w:hAnsi="Times New Roman" w:eastAsia="宋体" w:cs="Times New Roman"/>
                <w:color w:val="auto"/>
                <w:sz w:val="24"/>
                <w:szCs w:val="24"/>
                <w:u w:val="none" w:color="auto"/>
                <w:lang w:val="en-US" w:eastAsia="zh-CN"/>
              </w:rPr>
              <w:t>具体情况如下：</w:t>
            </w:r>
          </w:p>
          <w:p w14:paraId="03A0C74A">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default" w:ascii="Times New Roman" w:hAnsi="Times New Roman" w:cs="Times New Roman"/>
                <w:b/>
                <w:bCs w:val="0"/>
                <w:sz w:val="24"/>
                <w:szCs w:val="21"/>
                <w:lang w:val="en-US" w:eastAsia="zh-CN"/>
              </w:rPr>
              <w:t>表3-2 项目周边地表水环境质量历史监测结果</w:t>
            </w:r>
            <w:r>
              <w:rPr>
                <w:rFonts w:hint="eastAsia" w:ascii="Times New Roman" w:hAnsi="Times New Roman" w:cs="Times New Roman"/>
                <w:b/>
                <w:bCs w:val="0"/>
                <w:sz w:val="24"/>
                <w:szCs w:val="21"/>
                <w:lang w:val="en-US" w:eastAsia="zh-CN"/>
              </w:rPr>
              <w:t>表</w:t>
            </w:r>
          </w:p>
          <w:tbl>
            <w:tblPr>
              <w:tblStyle w:val="24"/>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8"/>
              <w:gridCol w:w="1726"/>
              <w:gridCol w:w="1040"/>
              <w:gridCol w:w="1682"/>
              <w:gridCol w:w="1566"/>
              <w:gridCol w:w="1300"/>
            </w:tblGrid>
            <w:tr w14:paraId="08C40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tcMar>
                    <w:top w:w="15" w:type="dxa"/>
                    <w:left w:w="15" w:type="dxa"/>
                    <w:bottom w:w="15" w:type="dxa"/>
                    <w:right w:w="15" w:type="dxa"/>
                  </w:tcMar>
                  <w:vAlign w:val="center"/>
                </w:tcPr>
                <w:p w14:paraId="063A57ED">
                  <w:pPr>
                    <w:widowControl/>
                    <w:jc w:val="center"/>
                    <w:textAlignment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lang w:val="en-US" w:eastAsia="zh-CN"/>
                    </w:rPr>
                    <w:t>序号</w:t>
                  </w:r>
                </w:p>
              </w:tc>
              <w:tc>
                <w:tcPr>
                  <w:tcW w:w="1099" w:type="pct"/>
                  <w:noWrap w:val="0"/>
                  <w:tcMar>
                    <w:top w:w="15" w:type="dxa"/>
                    <w:left w:w="15" w:type="dxa"/>
                    <w:bottom w:w="15" w:type="dxa"/>
                    <w:right w:w="15" w:type="dxa"/>
                  </w:tcMar>
                  <w:vAlign w:val="center"/>
                </w:tcPr>
                <w:p w14:paraId="3C5C60F0">
                  <w:pPr>
                    <w:widowControl/>
                    <w:jc w:val="center"/>
                    <w:textAlignment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kern w:val="0"/>
                      <w:sz w:val="21"/>
                      <w:szCs w:val="21"/>
                      <w:lang w:val="en-US" w:eastAsia="zh-CN" w:bidi="ar"/>
                    </w:rPr>
                    <w:t>监测指标</w:t>
                  </w:r>
                </w:p>
              </w:tc>
              <w:tc>
                <w:tcPr>
                  <w:tcW w:w="662" w:type="pct"/>
                  <w:tcBorders>
                    <w:right w:val="single" w:color="auto" w:sz="4" w:space="0"/>
                  </w:tcBorders>
                  <w:noWrap w:val="0"/>
                  <w:tcMar>
                    <w:top w:w="15" w:type="dxa"/>
                    <w:left w:w="15" w:type="dxa"/>
                    <w:bottom w:w="15" w:type="dxa"/>
                    <w:right w:w="15" w:type="dxa"/>
                  </w:tcMar>
                  <w:vAlign w:val="center"/>
                </w:tcPr>
                <w:p w14:paraId="0675393A">
                  <w:pPr>
                    <w:widowControl/>
                    <w:jc w:val="center"/>
                    <w:textAlignment w:val="center"/>
                    <w:rPr>
                      <w:rFonts w:hint="default" w:ascii="Times New Roman" w:hAnsi="Times New Roman" w:cs="Times New Roman"/>
                      <w:b/>
                      <w:bCs/>
                      <w:kern w:val="0"/>
                      <w:sz w:val="21"/>
                      <w:szCs w:val="21"/>
                      <w:lang w:val="en-US" w:eastAsia="zh-CN" w:bidi="ar"/>
                    </w:rPr>
                  </w:pPr>
                  <w:r>
                    <w:rPr>
                      <w:rFonts w:hint="eastAsia" w:ascii="Times New Roman" w:hAnsi="Times New Roman" w:cs="Times New Roman"/>
                      <w:b/>
                      <w:bCs/>
                      <w:kern w:val="0"/>
                      <w:sz w:val="21"/>
                      <w:szCs w:val="21"/>
                      <w:lang w:val="en-US" w:eastAsia="zh-CN" w:bidi="ar"/>
                    </w:rPr>
                    <w:t>单位</w:t>
                  </w:r>
                </w:p>
              </w:tc>
              <w:tc>
                <w:tcPr>
                  <w:tcW w:w="1071" w:type="pct"/>
                  <w:tcBorders>
                    <w:right w:val="single" w:color="auto" w:sz="4" w:space="0"/>
                  </w:tcBorders>
                  <w:noWrap w:val="0"/>
                  <w:tcMar>
                    <w:top w:w="15" w:type="dxa"/>
                    <w:left w:w="15" w:type="dxa"/>
                    <w:bottom w:w="15" w:type="dxa"/>
                    <w:right w:w="15" w:type="dxa"/>
                  </w:tcMar>
                  <w:vAlign w:val="center"/>
                </w:tcPr>
                <w:p w14:paraId="561700D0">
                  <w:pPr>
                    <w:widowControl/>
                    <w:jc w:val="center"/>
                    <w:textAlignment w:val="center"/>
                    <w:rPr>
                      <w:rFonts w:hint="default"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2025.7.9</w:t>
                  </w:r>
                </w:p>
              </w:tc>
              <w:tc>
                <w:tcPr>
                  <w:tcW w:w="997" w:type="pct"/>
                  <w:noWrap w:val="0"/>
                  <w:vAlign w:val="center"/>
                </w:tcPr>
                <w:p w14:paraId="425ADD8B">
                  <w:pPr>
                    <w:widowControl/>
                    <w:jc w:val="center"/>
                    <w:textAlignment w:val="center"/>
                    <w:rPr>
                      <w:rFonts w:hint="default"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2025.9.1</w:t>
                  </w:r>
                </w:p>
              </w:tc>
              <w:tc>
                <w:tcPr>
                  <w:tcW w:w="825" w:type="pct"/>
                  <w:noWrap w:val="0"/>
                  <w:tcMar>
                    <w:top w:w="15" w:type="dxa"/>
                    <w:left w:w="15" w:type="dxa"/>
                    <w:bottom w:w="15" w:type="dxa"/>
                    <w:right w:w="15" w:type="dxa"/>
                  </w:tcMar>
                  <w:vAlign w:val="center"/>
                </w:tcPr>
                <w:p w14:paraId="7814475E">
                  <w:pPr>
                    <w:widowControl/>
                    <w:jc w:val="center"/>
                    <w:textAlignment w:val="center"/>
                    <w:rPr>
                      <w:rFonts w:hint="default" w:ascii="Times New Roman" w:hAnsi="Times New Roman" w:eastAsia="宋体" w:cs="Times New Roman"/>
                      <w:b/>
                      <w:bCs/>
                      <w:sz w:val="21"/>
                      <w:szCs w:val="21"/>
                      <w:lang w:val="en-US" w:eastAsia="zh-CN"/>
                    </w:rPr>
                  </w:pPr>
                  <w:r>
                    <w:rPr>
                      <w:rFonts w:hint="eastAsia" w:ascii="Times New Roman" w:hAnsi="Times New Roman" w:cs="Times New Roman"/>
                      <w:b/>
                      <w:bCs/>
                      <w:sz w:val="21"/>
                      <w:szCs w:val="21"/>
                      <w:lang w:val="en-US" w:eastAsia="zh-CN"/>
                    </w:rPr>
                    <w:t>标准限值</w:t>
                  </w:r>
                </w:p>
              </w:tc>
            </w:tr>
            <w:tr w14:paraId="1B067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17CBB159">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w:t>
                  </w:r>
                </w:p>
              </w:tc>
              <w:tc>
                <w:tcPr>
                  <w:tcW w:w="1099" w:type="pct"/>
                  <w:shd w:val="clear" w:color="auto" w:fill="auto"/>
                  <w:noWrap w:val="0"/>
                  <w:tcMar>
                    <w:top w:w="15" w:type="dxa"/>
                    <w:left w:w="15" w:type="dxa"/>
                    <w:bottom w:w="15" w:type="dxa"/>
                    <w:right w:w="15" w:type="dxa"/>
                  </w:tcMar>
                  <w:vAlign w:val="center"/>
                </w:tcPr>
                <w:p w14:paraId="77D849F3">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水温</w:t>
                  </w:r>
                </w:p>
              </w:tc>
              <w:tc>
                <w:tcPr>
                  <w:tcW w:w="662" w:type="pct"/>
                  <w:tcBorders>
                    <w:right w:val="single" w:color="auto" w:sz="4" w:space="0"/>
                  </w:tcBorders>
                  <w:noWrap w:val="0"/>
                  <w:tcMar>
                    <w:top w:w="15" w:type="dxa"/>
                    <w:left w:w="15" w:type="dxa"/>
                    <w:bottom w:w="15" w:type="dxa"/>
                    <w:right w:w="15" w:type="dxa"/>
                  </w:tcMar>
                  <w:vAlign w:val="center"/>
                </w:tcPr>
                <w:p w14:paraId="4E4EB82D">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071" w:type="pct"/>
                  <w:tcBorders>
                    <w:right w:val="single" w:color="auto" w:sz="4" w:space="0"/>
                  </w:tcBorders>
                  <w:noWrap w:val="0"/>
                  <w:tcMar>
                    <w:top w:w="15" w:type="dxa"/>
                    <w:left w:w="15" w:type="dxa"/>
                    <w:bottom w:w="15" w:type="dxa"/>
                    <w:right w:w="15" w:type="dxa"/>
                  </w:tcMar>
                  <w:vAlign w:val="center"/>
                </w:tcPr>
                <w:p w14:paraId="37AE3264">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30.4</w:t>
                  </w:r>
                </w:p>
              </w:tc>
              <w:tc>
                <w:tcPr>
                  <w:tcW w:w="997" w:type="pct"/>
                  <w:noWrap w:val="0"/>
                  <w:vAlign w:val="center"/>
                </w:tcPr>
                <w:p w14:paraId="3CD266A0">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30.3</w:t>
                  </w:r>
                </w:p>
              </w:tc>
              <w:tc>
                <w:tcPr>
                  <w:tcW w:w="825" w:type="pct"/>
                  <w:noWrap w:val="0"/>
                  <w:tcMar>
                    <w:top w:w="15" w:type="dxa"/>
                    <w:left w:w="15" w:type="dxa"/>
                    <w:bottom w:w="15" w:type="dxa"/>
                    <w:right w:w="15" w:type="dxa"/>
                  </w:tcMar>
                  <w:vAlign w:val="center"/>
                </w:tcPr>
                <w:p w14:paraId="673EE3B7">
                  <w:pPr>
                    <w:widowControl/>
                    <w:jc w:val="center"/>
                    <w:textAlignment w:val="center"/>
                    <w:rPr>
                      <w:rFonts w:hint="default" w:ascii="Times New Roman" w:hAnsi="Times New Roman" w:cs="Times New Roman"/>
                      <w:kern w:val="0"/>
                      <w:sz w:val="21"/>
                      <w:szCs w:val="21"/>
                      <w:lang w:bidi="ar"/>
                    </w:rPr>
                  </w:pPr>
                  <w:r>
                    <w:rPr>
                      <w:rFonts w:hint="eastAsia" w:ascii="Times New Roman" w:hAnsi="Times New Roman" w:cs="Times New Roman"/>
                      <w:color w:val="auto"/>
                      <w:sz w:val="21"/>
                      <w:szCs w:val="21"/>
                      <w:lang w:val="en-US" w:eastAsia="zh-CN"/>
                    </w:rPr>
                    <w:t>/</w:t>
                  </w:r>
                </w:p>
              </w:tc>
            </w:tr>
            <w:tr w14:paraId="48F1D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2D40B007">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w:t>
                  </w:r>
                </w:p>
              </w:tc>
              <w:tc>
                <w:tcPr>
                  <w:tcW w:w="1099" w:type="pct"/>
                  <w:shd w:val="clear" w:color="auto" w:fill="auto"/>
                  <w:noWrap w:val="0"/>
                  <w:tcMar>
                    <w:top w:w="15" w:type="dxa"/>
                    <w:left w:w="15" w:type="dxa"/>
                    <w:bottom w:w="15" w:type="dxa"/>
                    <w:right w:w="15" w:type="dxa"/>
                  </w:tcMar>
                  <w:vAlign w:val="center"/>
                </w:tcPr>
                <w:p w14:paraId="1F23B9C6">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pH值</w:t>
                  </w:r>
                </w:p>
              </w:tc>
              <w:tc>
                <w:tcPr>
                  <w:tcW w:w="662" w:type="pct"/>
                  <w:tcBorders>
                    <w:right w:val="single" w:color="auto" w:sz="4" w:space="0"/>
                  </w:tcBorders>
                  <w:noWrap w:val="0"/>
                  <w:tcMar>
                    <w:top w:w="15" w:type="dxa"/>
                    <w:left w:w="15" w:type="dxa"/>
                    <w:bottom w:w="15" w:type="dxa"/>
                    <w:right w:w="15" w:type="dxa"/>
                  </w:tcMar>
                  <w:vAlign w:val="center"/>
                </w:tcPr>
                <w:p w14:paraId="0117E3CB">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071" w:type="pct"/>
                  <w:tcBorders>
                    <w:right w:val="single" w:color="auto" w:sz="4" w:space="0"/>
                  </w:tcBorders>
                  <w:noWrap w:val="0"/>
                  <w:tcMar>
                    <w:top w:w="15" w:type="dxa"/>
                    <w:left w:w="15" w:type="dxa"/>
                    <w:bottom w:w="15" w:type="dxa"/>
                    <w:right w:w="15" w:type="dxa"/>
                  </w:tcMar>
                  <w:vAlign w:val="center"/>
                </w:tcPr>
                <w:p w14:paraId="747B1291">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7.6</w:t>
                  </w:r>
                </w:p>
              </w:tc>
              <w:tc>
                <w:tcPr>
                  <w:tcW w:w="997" w:type="pct"/>
                  <w:noWrap w:val="0"/>
                  <w:vAlign w:val="center"/>
                </w:tcPr>
                <w:p w14:paraId="5B5A809A">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7.9</w:t>
                  </w:r>
                </w:p>
              </w:tc>
              <w:tc>
                <w:tcPr>
                  <w:tcW w:w="825" w:type="pct"/>
                  <w:noWrap w:val="0"/>
                  <w:tcMar>
                    <w:top w:w="15" w:type="dxa"/>
                    <w:left w:w="15" w:type="dxa"/>
                    <w:bottom w:w="15" w:type="dxa"/>
                    <w:right w:w="15" w:type="dxa"/>
                  </w:tcMar>
                  <w:vAlign w:val="center"/>
                </w:tcPr>
                <w:p w14:paraId="002E9882">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6~9</w:t>
                  </w:r>
                </w:p>
              </w:tc>
            </w:tr>
            <w:tr w14:paraId="6C49E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040C3B1B">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w:t>
                  </w:r>
                </w:p>
              </w:tc>
              <w:tc>
                <w:tcPr>
                  <w:tcW w:w="1099" w:type="pct"/>
                  <w:shd w:val="clear" w:color="auto" w:fill="auto"/>
                  <w:noWrap w:val="0"/>
                  <w:tcMar>
                    <w:top w:w="15" w:type="dxa"/>
                    <w:left w:w="15" w:type="dxa"/>
                    <w:bottom w:w="15" w:type="dxa"/>
                    <w:right w:w="15" w:type="dxa"/>
                  </w:tcMar>
                  <w:vAlign w:val="center"/>
                </w:tcPr>
                <w:p w14:paraId="73E678D4">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溶解氧</w:t>
                  </w:r>
                </w:p>
              </w:tc>
              <w:tc>
                <w:tcPr>
                  <w:tcW w:w="662" w:type="pct"/>
                  <w:tcBorders>
                    <w:right w:val="single" w:color="auto" w:sz="4" w:space="0"/>
                  </w:tcBorders>
                  <w:noWrap w:val="0"/>
                  <w:tcMar>
                    <w:top w:w="15" w:type="dxa"/>
                    <w:left w:w="15" w:type="dxa"/>
                    <w:bottom w:w="15" w:type="dxa"/>
                    <w:right w:w="15" w:type="dxa"/>
                  </w:tcMar>
                  <w:vAlign w:val="center"/>
                </w:tcPr>
                <w:p w14:paraId="1CCEE2F0">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212B41E9">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10.8</w:t>
                  </w:r>
                </w:p>
              </w:tc>
              <w:tc>
                <w:tcPr>
                  <w:tcW w:w="997" w:type="pct"/>
                  <w:noWrap w:val="0"/>
                  <w:vAlign w:val="center"/>
                </w:tcPr>
                <w:p w14:paraId="333C9F1F">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7.8</w:t>
                  </w:r>
                </w:p>
              </w:tc>
              <w:tc>
                <w:tcPr>
                  <w:tcW w:w="825" w:type="pct"/>
                  <w:noWrap w:val="0"/>
                  <w:tcMar>
                    <w:top w:w="15" w:type="dxa"/>
                    <w:left w:w="15" w:type="dxa"/>
                    <w:bottom w:w="15" w:type="dxa"/>
                    <w:right w:w="15" w:type="dxa"/>
                  </w:tcMar>
                  <w:vAlign w:val="center"/>
                </w:tcPr>
                <w:p w14:paraId="304975E0">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≥5</w:t>
                  </w:r>
                </w:p>
              </w:tc>
            </w:tr>
            <w:tr w14:paraId="764BC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509BB5F8">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w:t>
                  </w:r>
                </w:p>
              </w:tc>
              <w:tc>
                <w:tcPr>
                  <w:tcW w:w="1099" w:type="pct"/>
                  <w:shd w:val="clear" w:color="auto" w:fill="auto"/>
                  <w:noWrap w:val="0"/>
                  <w:tcMar>
                    <w:top w:w="15" w:type="dxa"/>
                    <w:left w:w="15" w:type="dxa"/>
                    <w:bottom w:w="15" w:type="dxa"/>
                    <w:right w:w="15" w:type="dxa"/>
                  </w:tcMar>
                  <w:vAlign w:val="center"/>
                </w:tcPr>
                <w:p w14:paraId="44E19C08">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高锰酸盐指数</w:t>
                  </w:r>
                </w:p>
              </w:tc>
              <w:tc>
                <w:tcPr>
                  <w:tcW w:w="662" w:type="pct"/>
                  <w:tcBorders>
                    <w:right w:val="single" w:color="auto" w:sz="4" w:space="0"/>
                  </w:tcBorders>
                  <w:noWrap w:val="0"/>
                  <w:tcMar>
                    <w:top w:w="15" w:type="dxa"/>
                    <w:left w:w="15" w:type="dxa"/>
                    <w:bottom w:w="15" w:type="dxa"/>
                    <w:right w:w="15" w:type="dxa"/>
                  </w:tcMar>
                  <w:vAlign w:val="center"/>
                </w:tcPr>
                <w:p w14:paraId="481529B6">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6A3019AE">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3.26</w:t>
                  </w:r>
                </w:p>
              </w:tc>
              <w:tc>
                <w:tcPr>
                  <w:tcW w:w="997" w:type="pct"/>
                  <w:noWrap w:val="0"/>
                  <w:vAlign w:val="center"/>
                </w:tcPr>
                <w:p w14:paraId="782DC07F">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2.77</w:t>
                  </w:r>
                </w:p>
              </w:tc>
              <w:tc>
                <w:tcPr>
                  <w:tcW w:w="825" w:type="pct"/>
                  <w:noWrap w:val="0"/>
                  <w:tcMar>
                    <w:top w:w="15" w:type="dxa"/>
                    <w:left w:w="15" w:type="dxa"/>
                    <w:bottom w:w="15" w:type="dxa"/>
                    <w:right w:w="15" w:type="dxa"/>
                  </w:tcMar>
                  <w:vAlign w:val="center"/>
                </w:tcPr>
                <w:p w14:paraId="526FB509">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≤6</w:t>
                  </w:r>
                </w:p>
              </w:tc>
            </w:tr>
            <w:tr w14:paraId="3DC32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772EFC2A">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w:t>
                  </w:r>
                </w:p>
              </w:tc>
              <w:tc>
                <w:tcPr>
                  <w:tcW w:w="1099" w:type="pct"/>
                  <w:shd w:val="clear" w:color="auto" w:fill="auto"/>
                  <w:noWrap w:val="0"/>
                  <w:tcMar>
                    <w:top w:w="15" w:type="dxa"/>
                    <w:left w:w="15" w:type="dxa"/>
                    <w:bottom w:w="15" w:type="dxa"/>
                    <w:right w:w="15" w:type="dxa"/>
                  </w:tcMar>
                  <w:vAlign w:val="center"/>
                </w:tcPr>
                <w:p w14:paraId="65448552">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化学需氧量</w:t>
                  </w:r>
                </w:p>
              </w:tc>
              <w:tc>
                <w:tcPr>
                  <w:tcW w:w="662" w:type="pct"/>
                  <w:tcBorders>
                    <w:right w:val="single" w:color="auto" w:sz="4" w:space="0"/>
                  </w:tcBorders>
                  <w:noWrap w:val="0"/>
                  <w:tcMar>
                    <w:top w:w="15" w:type="dxa"/>
                    <w:left w:w="15" w:type="dxa"/>
                    <w:bottom w:w="15" w:type="dxa"/>
                    <w:right w:w="15" w:type="dxa"/>
                  </w:tcMar>
                  <w:vAlign w:val="center"/>
                </w:tcPr>
                <w:p w14:paraId="385546F7">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301E7AA3">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18</w:t>
                  </w:r>
                </w:p>
              </w:tc>
              <w:tc>
                <w:tcPr>
                  <w:tcW w:w="997" w:type="pct"/>
                  <w:noWrap w:val="0"/>
                  <w:vAlign w:val="center"/>
                </w:tcPr>
                <w:p w14:paraId="12CAE90D">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15</w:t>
                  </w:r>
                </w:p>
              </w:tc>
              <w:tc>
                <w:tcPr>
                  <w:tcW w:w="825" w:type="pct"/>
                  <w:noWrap w:val="0"/>
                  <w:tcMar>
                    <w:top w:w="15" w:type="dxa"/>
                    <w:left w:w="15" w:type="dxa"/>
                    <w:bottom w:w="15" w:type="dxa"/>
                    <w:right w:w="15" w:type="dxa"/>
                  </w:tcMar>
                  <w:vAlign w:val="center"/>
                </w:tcPr>
                <w:p w14:paraId="0B0D470D">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≤20</w:t>
                  </w:r>
                </w:p>
              </w:tc>
            </w:tr>
            <w:tr w14:paraId="36293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156B555A">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w:t>
                  </w:r>
                </w:p>
              </w:tc>
              <w:tc>
                <w:tcPr>
                  <w:tcW w:w="1099" w:type="pct"/>
                  <w:shd w:val="clear" w:color="auto" w:fill="auto"/>
                  <w:noWrap w:val="0"/>
                  <w:tcMar>
                    <w:top w:w="15" w:type="dxa"/>
                    <w:left w:w="15" w:type="dxa"/>
                    <w:bottom w:w="15" w:type="dxa"/>
                    <w:right w:w="15" w:type="dxa"/>
                  </w:tcMar>
                  <w:vAlign w:val="center"/>
                </w:tcPr>
                <w:p w14:paraId="1A0B76F3">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五日生化需氧量</w:t>
                  </w:r>
                </w:p>
              </w:tc>
              <w:tc>
                <w:tcPr>
                  <w:tcW w:w="662" w:type="pct"/>
                  <w:tcBorders>
                    <w:right w:val="single" w:color="auto" w:sz="4" w:space="0"/>
                  </w:tcBorders>
                  <w:noWrap w:val="0"/>
                  <w:tcMar>
                    <w:top w:w="15" w:type="dxa"/>
                    <w:left w:w="15" w:type="dxa"/>
                    <w:bottom w:w="15" w:type="dxa"/>
                    <w:right w:w="15" w:type="dxa"/>
                  </w:tcMar>
                  <w:vAlign w:val="center"/>
                </w:tcPr>
                <w:p w14:paraId="5A11A880">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544BD53B">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4.07</w:t>
                  </w:r>
                </w:p>
              </w:tc>
              <w:tc>
                <w:tcPr>
                  <w:tcW w:w="997" w:type="pct"/>
                  <w:noWrap w:val="0"/>
                  <w:vAlign w:val="center"/>
                </w:tcPr>
                <w:p w14:paraId="3C613A97">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2.1</w:t>
                  </w:r>
                </w:p>
              </w:tc>
              <w:tc>
                <w:tcPr>
                  <w:tcW w:w="825" w:type="pct"/>
                  <w:noWrap w:val="0"/>
                  <w:tcMar>
                    <w:top w:w="15" w:type="dxa"/>
                    <w:left w:w="15" w:type="dxa"/>
                    <w:bottom w:w="15" w:type="dxa"/>
                    <w:right w:w="15" w:type="dxa"/>
                  </w:tcMar>
                  <w:vAlign w:val="center"/>
                </w:tcPr>
                <w:p w14:paraId="01889EDA">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w:t>
                  </w:r>
                </w:p>
              </w:tc>
            </w:tr>
            <w:tr w14:paraId="1D60D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4B2392B8">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7</w:t>
                  </w:r>
                </w:p>
              </w:tc>
              <w:tc>
                <w:tcPr>
                  <w:tcW w:w="1099" w:type="pct"/>
                  <w:noWrap w:val="0"/>
                  <w:tcMar>
                    <w:top w:w="15" w:type="dxa"/>
                    <w:left w:w="15" w:type="dxa"/>
                    <w:bottom w:w="15" w:type="dxa"/>
                    <w:right w:w="15" w:type="dxa"/>
                  </w:tcMar>
                  <w:vAlign w:val="center"/>
                </w:tcPr>
                <w:p w14:paraId="685A5F22">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氨氮（NH</w:t>
                  </w:r>
                  <w:r>
                    <w:rPr>
                      <w:rFonts w:hint="default" w:ascii="Times New Roman" w:hAnsi="Times New Roman" w:cs="Times New Roman"/>
                      <w:color w:val="auto"/>
                      <w:sz w:val="21"/>
                      <w:szCs w:val="21"/>
                      <w:vertAlign w:val="subscript"/>
                      <w:lang w:val="en-US" w:eastAsia="zh-CN"/>
                    </w:rPr>
                    <w:t>3</w:t>
                  </w:r>
                  <w:r>
                    <w:rPr>
                      <w:rFonts w:hint="default" w:ascii="Times New Roman" w:hAnsi="Times New Roman" w:cs="Times New Roman"/>
                      <w:color w:val="auto"/>
                      <w:sz w:val="21"/>
                      <w:szCs w:val="21"/>
                      <w:lang w:val="en-US" w:eastAsia="zh-CN"/>
                    </w:rPr>
                    <w:t>-N）</w:t>
                  </w:r>
                </w:p>
              </w:tc>
              <w:tc>
                <w:tcPr>
                  <w:tcW w:w="662" w:type="pct"/>
                  <w:tcBorders>
                    <w:right w:val="single" w:color="auto" w:sz="4" w:space="0"/>
                  </w:tcBorders>
                  <w:noWrap w:val="0"/>
                  <w:tcMar>
                    <w:top w:w="15" w:type="dxa"/>
                    <w:left w:w="15" w:type="dxa"/>
                    <w:bottom w:w="15" w:type="dxa"/>
                    <w:right w:w="15" w:type="dxa"/>
                  </w:tcMar>
                  <w:vAlign w:val="center"/>
                </w:tcPr>
                <w:p w14:paraId="3868CBC5">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5992B204">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0.16</w:t>
                  </w:r>
                </w:p>
              </w:tc>
              <w:tc>
                <w:tcPr>
                  <w:tcW w:w="997" w:type="pct"/>
                  <w:noWrap w:val="0"/>
                  <w:vAlign w:val="center"/>
                </w:tcPr>
                <w:p w14:paraId="46414B75">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w:t>
                  </w:r>
                </w:p>
              </w:tc>
              <w:tc>
                <w:tcPr>
                  <w:tcW w:w="825" w:type="pct"/>
                  <w:noWrap w:val="0"/>
                  <w:tcMar>
                    <w:top w:w="15" w:type="dxa"/>
                    <w:left w:w="15" w:type="dxa"/>
                    <w:bottom w:w="15" w:type="dxa"/>
                    <w:right w:w="15" w:type="dxa"/>
                  </w:tcMar>
                  <w:vAlign w:val="center"/>
                </w:tcPr>
                <w:p w14:paraId="57A15D63">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w:t>
                  </w:r>
                </w:p>
              </w:tc>
            </w:tr>
            <w:tr w14:paraId="285D7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540D2E46">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8</w:t>
                  </w:r>
                </w:p>
              </w:tc>
              <w:tc>
                <w:tcPr>
                  <w:tcW w:w="1099" w:type="pct"/>
                  <w:noWrap w:val="0"/>
                  <w:tcMar>
                    <w:top w:w="15" w:type="dxa"/>
                    <w:left w:w="15" w:type="dxa"/>
                    <w:bottom w:w="15" w:type="dxa"/>
                    <w:right w:w="15" w:type="dxa"/>
                  </w:tcMar>
                  <w:vAlign w:val="center"/>
                </w:tcPr>
                <w:p w14:paraId="3EE5A108">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u w:val="single"/>
                      <w:lang w:val="en-US" w:eastAsia="zh-CN"/>
                    </w:rPr>
                  </w:pPr>
                  <w:r>
                    <w:rPr>
                      <w:rFonts w:hint="default" w:ascii="Times New Roman" w:hAnsi="Times New Roman" w:cs="Times New Roman"/>
                      <w:color w:val="auto"/>
                      <w:sz w:val="21"/>
                      <w:szCs w:val="21"/>
                      <w:u w:val="single"/>
                      <w:lang w:val="en-US" w:eastAsia="zh-CN"/>
                    </w:rPr>
                    <w:t>总磷（以P计）</w:t>
                  </w:r>
                </w:p>
              </w:tc>
              <w:tc>
                <w:tcPr>
                  <w:tcW w:w="662" w:type="pct"/>
                  <w:tcBorders>
                    <w:right w:val="single" w:color="auto" w:sz="4" w:space="0"/>
                  </w:tcBorders>
                  <w:noWrap w:val="0"/>
                  <w:tcMar>
                    <w:top w:w="15" w:type="dxa"/>
                    <w:left w:w="15" w:type="dxa"/>
                    <w:bottom w:w="15" w:type="dxa"/>
                    <w:right w:w="15" w:type="dxa"/>
                  </w:tcMar>
                  <w:vAlign w:val="center"/>
                </w:tcPr>
                <w:p w14:paraId="2670164B">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u w:val="single"/>
                      <w:lang w:val="en-US" w:eastAsia="zh-CN"/>
                    </w:rPr>
                  </w:pPr>
                  <w:r>
                    <w:rPr>
                      <w:rFonts w:hint="eastAsia" w:ascii="Times New Roman" w:hAnsi="Times New Roman" w:cs="Times New Roman"/>
                      <w:color w:val="auto"/>
                      <w:sz w:val="21"/>
                      <w:szCs w:val="21"/>
                      <w:u w:val="single"/>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575BB6A7">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u w:val="single"/>
                      <w:lang w:val="en-US" w:eastAsia="zh-CN"/>
                    </w:rPr>
                  </w:pPr>
                  <w:r>
                    <w:rPr>
                      <w:rFonts w:hint="eastAsia" w:ascii="Times New Roman" w:hAnsi="Times New Roman" w:cs="Times New Roman"/>
                      <w:color w:val="auto"/>
                      <w:sz w:val="21"/>
                      <w:szCs w:val="21"/>
                      <w:u w:val="single"/>
                      <w:lang w:val="en-US" w:eastAsia="zh-CN"/>
                    </w:rPr>
                    <w:t>0.08</w:t>
                  </w:r>
                </w:p>
              </w:tc>
              <w:tc>
                <w:tcPr>
                  <w:tcW w:w="997" w:type="pct"/>
                  <w:noWrap w:val="0"/>
                  <w:vAlign w:val="center"/>
                </w:tcPr>
                <w:p w14:paraId="2C7CCEF1">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u w:val="single"/>
                      <w:lang w:val="en-US" w:eastAsia="zh-CN"/>
                    </w:rPr>
                  </w:pPr>
                  <w:r>
                    <w:rPr>
                      <w:rFonts w:hint="eastAsia" w:ascii="Times New Roman" w:hAnsi="Times New Roman" w:cs="Times New Roman"/>
                      <w:color w:val="auto"/>
                      <w:sz w:val="21"/>
                      <w:szCs w:val="21"/>
                      <w:u w:val="single"/>
                      <w:lang w:val="en-US" w:eastAsia="zh-CN"/>
                    </w:rPr>
                    <w:t>0.05</w:t>
                  </w:r>
                </w:p>
              </w:tc>
              <w:tc>
                <w:tcPr>
                  <w:tcW w:w="825" w:type="pct"/>
                  <w:noWrap w:val="0"/>
                  <w:tcMar>
                    <w:top w:w="15" w:type="dxa"/>
                    <w:left w:w="15" w:type="dxa"/>
                    <w:bottom w:w="15" w:type="dxa"/>
                    <w:right w:w="15" w:type="dxa"/>
                  </w:tcMar>
                  <w:vAlign w:val="center"/>
                </w:tcPr>
                <w:p w14:paraId="7B09C8CD">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u w:val="single"/>
                      <w:lang w:val="en-US" w:eastAsia="zh-CN"/>
                    </w:rPr>
                  </w:pPr>
                  <w:r>
                    <w:rPr>
                      <w:rFonts w:hint="eastAsia" w:ascii="Times New Roman" w:hAnsi="Times New Roman" w:cs="Times New Roman"/>
                      <w:color w:val="auto"/>
                      <w:sz w:val="21"/>
                      <w:szCs w:val="21"/>
                      <w:u w:val="single"/>
                      <w:lang w:val="en-US" w:eastAsia="zh-CN"/>
                    </w:rPr>
                    <w:t>≤0.05（湖/库）</w:t>
                  </w:r>
                </w:p>
              </w:tc>
            </w:tr>
            <w:tr w14:paraId="0335D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6C2C710B">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9</w:t>
                  </w:r>
                </w:p>
              </w:tc>
              <w:tc>
                <w:tcPr>
                  <w:tcW w:w="1099" w:type="pct"/>
                  <w:noWrap w:val="0"/>
                  <w:tcMar>
                    <w:top w:w="15" w:type="dxa"/>
                    <w:left w:w="15" w:type="dxa"/>
                    <w:bottom w:w="15" w:type="dxa"/>
                    <w:right w:w="15" w:type="dxa"/>
                  </w:tcMar>
                  <w:vAlign w:val="center"/>
                </w:tcPr>
                <w:p w14:paraId="613F5D2D">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总氮（以N计）</w:t>
                  </w:r>
                </w:p>
              </w:tc>
              <w:tc>
                <w:tcPr>
                  <w:tcW w:w="662" w:type="pct"/>
                  <w:tcBorders>
                    <w:right w:val="single" w:color="auto" w:sz="4" w:space="0"/>
                  </w:tcBorders>
                  <w:noWrap w:val="0"/>
                  <w:tcMar>
                    <w:top w:w="15" w:type="dxa"/>
                    <w:left w:w="15" w:type="dxa"/>
                    <w:bottom w:w="15" w:type="dxa"/>
                    <w:right w:w="15" w:type="dxa"/>
                  </w:tcMar>
                  <w:vAlign w:val="center"/>
                </w:tcPr>
                <w:p w14:paraId="1F698A2F">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04FA2CC6">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1.87</w:t>
                  </w:r>
                </w:p>
              </w:tc>
              <w:tc>
                <w:tcPr>
                  <w:tcW w:w="997" w:type="pct"/>
                  <w:noWrap w:val="0"/>
                  <w:vAlign w:val="center"/>
                </w:tcPr>
                <w:p w14:paraId="4D3C31FB">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2.11</w:t>
                  </w:r>
                </w:p>
              </w:tc>
              <w:tc>
                <w:tcPr>
                  <w:tcW w:w="825" w:type="pct"/>
                  <w:noWrap w:val="0"/>
                  <w:tcMar>
                    <w:top w:w="15" w:type="dxa"/>
                    <w:left w:w="15" w:type="dxa"/>
                    <w:bottom w:w="15" w:type="dxa"/>
                    <w:right w:w="15" w:type="dxa"/>
                  </w:tcMar>
                  <w:vAlign w:val="center"/>
                </w:tcPr>
                <w:p w14:paraId="5361C68D">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2E1C1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0206D73D">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10</w:t>
                  </w:r>
                </w:p>
              </w:tc>
              <w:tc>
                <w:tcPr>
                  <w:tcW w:w="1099" w:type="pct"/>
                  <w:noWrap w:val="0"/>
                  <w:tcMar>
                    <w:top w:w="15" w:type="dxa"/>
                    <w:left w:w="15" w:type="dxa"/>
                    <w:bottom w:w="15" w:type="dxa"/>
                    <w:right w:w="15" w:type="dxa"/>
                  </w:tcMar>
                  <w:vAlign w:val="center"/>
                </w:tcPr>
                <w:p w14:paraId="5E3C7AB2">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铜</w:t>
                  </w:r>
                </w:p>
              </w:tc>
              <w:tc>
                <w:tcPr>
                  <w:tcW w:w="662" w:type="pct"/>
                  <w:tcBorders>
                    <w:right w:val="single" w:color="auto" w:sz="4" w:space="0"/>
                  </w:tcBorders>
                  <w:noWrap w:val="0"/>
                  <w:tcMar>
                    <w:top w:w="15" w:type="dxa"/>
                    <w:left w:w="15" w:type="dxa"/>
                    <w:bottom w:w="15" w:type="dxa"/>
                    <w:right w:w="15" w:type="dxa"/>
                  </w:tcMar>
                  <w:vAlign w:val="center"/>
                </w:tcPr>
                <w:p w14:paraId="4039279C">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7EFAE1DF">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&lt;0.00001</w:t>
                  </w:r>
                </w:p>
              </w:tc>
              <w:tc>
                <w:tcPr>
                  <w:tcW w:w="997" w:type="pct"/>
                  <w:noWrap w:val="0"/>
                  <w:vAlign w:val="center"/>
                </w:tcPr>
                <w:p w14:paraId="0652CE84">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&lt;0.00001</w:t>
                  </w:r>
                </w:p>
              </w:tc>
              <w:tc>
                <w:tcPr>
                  <w:tcW w:w="825" w:type="pct"/>
                  <w:noWrap w:val="0"/>
                  <w:tcMar>
                    <w:top w:w="15" w:type="dxa"/>
                    <w:left w:w="15" w:type="dxa"/>
                    <w:bottom w:w="15" w:type="dxa"/>
                    <w:right w:w="15" w:type="dxa"/>
                  </w:tcMar>
                  <w:vAlign w:val="center"/>
                </w:tcPr>
                <w:p w14:paraId="29D59DEB">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w:t>
                  </w:r>
                </w:p>
              </w:tc>
            </w:tr>
            <w:tr w14:paraId="191F8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04707537">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11</w:t>
                  </w:r>
                </w:p>
              </w:tc>
              <w:tc>
                <w:tcPr>
                  <w:tcW w:w="1099" w:type="pct"/>
                  <w:noWrap w:val="0"/>
                  <w:tcMar>
                    <w:top w:w="15" w:type="dxa"/>
                    <w:left w:w="15" w:type="dxa"/>
                    <w:bottom w:w="15" w:type="dxa"/>
                    <w:right w:w="15" w:type="dxa"/>
                  </w:tcMar>
                  <w:vAlign w:val="center"/>
                </w:tcPr>
                <w:p w14:paraId="4DAEBFB3">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锌</w:t>
                  </w:r>
                </w:p>
              </w:tc>
              <w:tc>
                <w:tcPr>
                  <w:tcW w:w="662" w:type="pct"/>
                  <w:tcBorders>
                    <w:right w:val="single" w:color="auto" w:sz="4" w:space="0"/>
                  </w:tcBorders>
                  <w:noWrap w:val="0"/>
                  <w:tcMar>
                    <w:top w:w="15" w:type="dxa"/>
                    <w:left w:w="15" w:type="dxa"/>
                    <w:bottom w:w="15" w:type="dxa"/>
                    <w:right w:w="15" w:type="dxa"/>
                  </w:tcMar>
                  <w:vAlign w:val="center"/>
                </w:tcPr>
                <w:p w14:paraId="23C57FFF">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749560F9">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0.008</w:t>
                  </w:r>
                </w:p>
              </w:tc>
              <w:tc>
                <w:tcPr>
                  <w:tcW w:w="997" w:type="pct"/>
                  <w:noWrap w:val="0"/>
                  <w:vAlign w:val="center"/>
                </w:tcPr>
                <w:p w14:paraId="213CF417">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0.036</w:t>
                  </w:r>
                </w:p>
              </w:tc>
              <w:tc>
                <w:tcPr>
                  <w:tcW w:w="825" w:type="pct"/>
                  <w:noWrap w:val="0"/>
                  <w:tcMar>
                    <w:top w:w="15" w:type="dxa"/>
                    <w:left w:w="15" w:type="dxa"/>
                    <w:bottom w:w="15" w:type="dxa"/>
                    <w:right w:w="15" w:type="dxa"/>
                  </w:tcMar>
                  <w:vAlign w:val="center"/>
                </w:tcPr>
                <w:p w14:paraId="606F5141">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w:t>
                  </w:r>
                </w:p>
              </w:tc>
            </w:tr>
            <w:tr w14:paraId="05240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4518B5F1">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12</w:t>
                  </w:r>
                </w:p>
              </w:tc>
              <w:tc>
                <w:tcPr>
                  <w:tcW w:w="1099" w:type="pct"/>
                  <w:noWrap w:val="0"/>
                  <w:tcMar>
                    <w:top w:w="15" w:type="dxa"/>
                    <w:left w:w="15" w:type="dxa"/>
                    <w:bottom w:w="15" w:type="dxa"/>
                    <w:right w:w="15" w:type="dxa"/>
                  </w:tcMar>
                  <w:vAlign w:val="center"/>
                </w:tcPr>
                <w:p w14:paraId="7F4EC6DC">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氟化物(以F-计)</w:t>
                  </w:r>
                </w:p>
              </w:tc>
              <w:tc>
                <w:tcPr>
                  <w:tcW w:w="662" w:type="pct"/>
                  <w:tcBorders>
                    <w:right w:val="single" w:color="auto" w:sz="4" w:space="0"/>
                  </w:tcBorders>
                  <w:noWrap w:val="0"/>
                  <w:tcMar>
                    <w:top w:w="15" w:type="dxa"/>
                    <w:left w:w="15" w:type="dxa"/>
                    <w:bottom w:w="15" w:type="dxa"/>
                    <w:right w:w="15" w:type="dxa"/>
                  </w:tcMar>
                  <w:vAlign w:val="center"/>
                </w:tcPr>
                <w:p w14:paraId="2B035764">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061ADCC3">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0.168</w:t>
                  </w:r>
                </w:p>
              </w:tc>
              <w:tc>
                <w:tcPr>
                  <w:tcW w:w="997" w:type="pct"/>
                  <w:noWrap w:val="0"/>
                  <w:vAlign w:val="center"/>
                </w:tcPr>
                <w:p w14:paraId="075CA7B9">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0.161</w:t>
                  </w:r>
                </w:p>
              </w:tc>
              <w:tc>
                <w:tcPr>
                  <w:tcW w:w="825" w:type="pct"/>
                  <w:noWrap w:val="0"/>
                  <w:tcMar>
                    <w:top w:w="15" w:type="dxa"/>
                    <w:left w:w="15" w:type="dxa"/>
                    <w:bottom w:w="15" w:type="dxa"/>
                    <w:right w:w="15" w:type="dxa"/>
                  </w:tcMar>
                  <w:vAlign w:val="center"/>
                </w:tcPr>
                <w:p w14:paraId="676C6779">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w:t>
                  </w:r>
                </w:p>
              </w:tc>
            </w:tr>
            <w:tr w14:paraId="704D9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649B4A1E">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13</w:t>
                  </w:r>
                </w:p>
              </w:tc>
              <w:tc>
                <w:tcPr>
                  <w:tcW w:w="1099" w:type="pct"/>
                  <w:noWrap w:val="0"/>
                  <w:tcMar>
                    <w:top w:w="15" w:type="dxa"/>
                    <w:left w:w="15" w:type="dxa"/>
                    <w:bottom w:w="15" w:type="dxa"/>
                    <w:right w:w="15" w:type="dxa"/>
                  </w:tcMar>
                  <w:vAlign w:val="center"/>
                </w:tcPr>
                <w:p w14:paraId="25FBDC85">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硒</w:t>
                  </w:r>
                </w:p>
              </w:tc>
              <w:tc>
                <w:tcPr>
                  <w:tcW w:w="662" w:type="pct"/>
                  <w:tcBorders>
                    <w:right w:val="single" w:color="auto" w:sz="4" w:space="0"/>
                  </w:tcBorders>
                  <w:noWrap w:val="0"/>
                  <w:tcMar>
                    <w:top w:w="15" w:type="dxa"/>
                    <w:left w:w="15" w:type="dxa"/>
                    <w:bottom w:w="15" w:type="dxa"/>
                    <w:right w:w="15" w:type="dxa"/>
                  </w:tcMar>
                  <w:vAlign w:val="center"/>
                </w:tcPr>
                <w:p w14:paraId="67A794F8">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1292BCA4">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0.000379</w:t>
                  </w:r>
                </w:p>
              </w:tc>
              <w:tc>
                <w:tcPr>
                  <w:tcW w:w="997" w:type="pct"/>
                  <w:noWrap w:val="0"/>
                  <w:vAlign w:val="center"/>
                </w:tcPr>
                <w:p w14:paraId="7317479D">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0.00044</w:t>
                  </w:r>
                </w:p>
              </w:tc>
              <w:tc>
                <w:tcPr>
                  <w:tcW w:w="825" w:type="pct"/>
                  <w:noWrap w:val="0"/>
                  <w:tcMar>
                    <w:top w:w="15" w:type="dxa"/>
                    <w:left w:w="15" w:type="dxa"/>
                    <w:bottom w:w="15" w:type="dxa"/>
                    <w:right w:w="15" w:type="dxa"/>
                  </w:tcMar>
                  <w:vAlign w:val="center"/>
                </w:tcPr>
                <w:p w14:paraId="01373DF8">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≤0.01</w:t>
                  </w:r>
                </w:p>
              </w:tc>
            </w:tr>
            <w:tr w14:paraId="73129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424DDC91">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14</w:t>
                  </w:r>
                </w:p>
              </w:tc>
              <w:tc>
                <w:tcPr>
                  <w:tcW w:w="1099" w:type="pct"/>
                  <w:noWrap w:val="0"/>
                  <w:tcMar>
                    <w:top w:w="15" w:type="dxa"/>
                    <w:left w:w="15" w:type="dxa"/>
                    <w:bottom w:w="15" w:type="dxa"/>
                    <w:right w:w="15" w:type="dxa"/>
                  </w:tcMar>
                  <w:vAlign w:val="center"/>
                </w:tcPr>
                <w:p w14:paraId="103AD25B">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砷</w:t>
                  </w:r>
                </w:p>
              </w:tc>
              <w:tc>
                <w:tcPr>
                  <w:tcW w:w="662" w:type="pct"/>
                  <w:tcBorders>
                    <w:right w:val="single" w:color="auto" w:sz="4" w:space="0"/>
                  </w:tcBorders>
                  <w:noWrap w:val="0"/>
                  <w:tcMar>
                    <w:top w:w="15" w:type="dxa"/>
                    <w:left w:w="15" w:type="dxa"/>
                    <w:bottom w:w="15" w:type="dxa"/>
                    <w:right w:w="15" w:type="dxa"/>
                  </w:tcMar>
                  <w:vAlign w:val="center"/>
                </w:tcPr>
                <w:p w14:paraId="20FEA9CF">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1DC91909">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0.00191</w:t>
                  </w:r>
                </w:p>
              </w:tc>
              <w:tc>
                <w:tcPr>
                  <w:tcW w:w="997" w:type="pct"/>
                  <w:noWrap w:val="0"/>
                  <w:vAlign w:val="center"/>
                </w:tcPr>
                <w:p w14:paraId="0EC40E1F">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0.00258</w:t>
                  </w:r>
                </w:p>
              </w:tc>
              <w:tc>
                <w:tcPr>
                  <w:tcW w:w="825" w:type="pct"/>
                  <w:noWrap w:val="0"/>
                  <w:tcMar>
                    <w:top w:w="15" w:type="dxa"/>
                    <w:left w:w="15" w:type="dxa"/>
                    <w:bottom w:w="15" w:type="dxa"/>
                    <w:right w:w="15" w:type="dxa"/>
                  </w:tcMar>
                  <w:vAlign w:val="center"/>
                </w:tcPr>
                <w:p w14:paraId="1B8386CE">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≤0.05</w:t>
                  </w:r>
                </w:p>
              </w:tc>
            </w:tr>
            <w:tr w14:paraId="018EC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00B105A3">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15</w:t>
                  </w:r>
                </w:p>
              </w:tc>
              <w:tc>
                <w:tcPr>
                  <w:tcW w:w="1099" w:type="pct"/>
                  <w:noWrap w:val="0"/>
                  <w:tcMar>
                    <w:top w:w="15" w:type="dxa"/>
                    <w:left w:w="15" w:type="dxa"/>
                    <w:bottom w:w="15" w:type="dxa"/>
                    <w:right w:w="15" w:type="dxa"/>
                  </w:tcMar>
                  <w:vAlign w:val="center"/>
                </w:tcPr>
                <w:p w14:paraId="336DA078">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汞</w:t>
                  </w:r>
                </w:p>
              </w:tc>
              <w:tc>
                <w:tcPr>
                  <w:tcW w:w="662" w:type="pct"/>
                  <w:tcBorders>
                    <w:right w:val="single" w:color="auto" w:sz="4" w:space="0"/>
                  </w:tcBorders>
                  <w:noWrap w:val="0"/>
                  <w:tcMar>
                    <w:top w:w="15" w:type="dxa"/>
                    <w:left w:w="15" w:type="dxa"/>
                    <w:bottom w:w="15" w:type="dxa"/>
                    <w:right w:w="15" w:type="dxa"/>
                  </w:tcMar>
                  <w:vAlign w:val="center"/>
                </w:tcPr>
                <w:p w14:paraId="0D3D39FF">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42C80F52">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0.00005</w:t>
                  </w:r>
                </w:p>
              </w:tc>
              <w:tc>
                <w:tcPr>
                  <w:tcW w:w="997" w:type="pct"/>
                  <w:noWrap w:val="0"/>
                  <w:vAlign w:val="center"/>
                </w:tcPr>
                <w:p w14:paraId="4A391A40">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0.000036</w:t>
                  </w:r>
                </w:p>
              </w:tc>
              <w:tc>
                <w:tcPr>
                  <w:tcW w:w="825" w:type="pct"/>
                  <w:noWrap w:val="0"/>
                  <w:tcMar>
                    <w:top w:w="15" w:type="dxa"/>
                    <w:left w:w="15" w:type="dxa"/>
                    <w:bottom w:w="15" w:type="dxa"/>
                    <w:right w:w="15" w:type="dxa"/>
                  </w:tcMar>
                  <w:vAlign w:val="center"/>
                </w:tcPr>
                <w:p w14:paraId="640185A2">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≤0.0001</w:t>
                  </w:r>
                </w:p>
              </w:tc>
            </w:tr>
            <w:tr w14:paraId="638D0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754C7594">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16</w:t>
                  </w:r>
                </w:p>
              </w:tc>
              <w:tc>
                <w:tcPr>
                  <w:tcW w:w="1099" w:type="pct"/>
                  <w:noWrap w:val="0"/>
                  <w:tcMar>
                    <w:top w:w="15" w:type="dxa"/>
                    <w:left w:w="15" w:type="dxa"/>
                    <w:bottom w:w="15" w:type="dxa"/>
                    <w:right w:w="15" w:type="dxa"/>
                  </w:tcMar>
                  <w:vAlign w:val="center"/>
                </w:tcPr>
                <w:p w14:paraId="467D6C4B">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镉</w:t>
                  </w:r>
                </w:p>
              </w:tc>
              <w:tc>
                <w:tcPr>
                  <w:tcW w:w="662" w:type="pct"/>
                  <w:tcBorders>
                    <w:right w:val="single" w:color="auto" w:sz="4" w:space="0"/>
                  </w:tcBorders>
                  <w:noWrap w:val="0"/>
                  <w:tcMar>
                    <w:top w:w="15" w:type="dxa"/>
                    <w:left w:w="15" w:type="dxa"/>
                    <w:bottom w:w="15" w:type="dxa"/>
                    <w:right w:w="15" w:type="dxa"/>
                  </w:tcMar>
                  <w:vAlign w:val="center"/>
                </w:tcPr>
                <w:p w14:paraId="3DCC8E68">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43D280EC">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0.00002</w:t>
                  </w:r>
                </w:p>
              </w:tc>
              <w:tc>
                <w:tcPr>
                  <w:tcW w:w="997" w:type="pct"/>
                  <w:noWrap w:val="0"/>
                  <w:vAlign w:val="center"/>
                </w:tcPr>
                <w:p w14:paraId="1B2728F8">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0.000019</w:t>
                  </w:r>
                </w:p>
              </w:tc>
              <w:tc>
                <w:tcPr>
                  <w:tcW w:w="825" w:type="pct"/>
                  <w:noWrap w:val="0"/>
                  <w:tcMar>
                    <w:top w:w="15" w:type="dxa"/>
                    <w:left w:w="15" w:type="dxa"/>
                    <w:bottom w:w="15" w:type="dxa"/>
                    <w:right w:w="15" w:type="dxa"/>
                  </w:tcMar>
                  <w:vAlign w:val="center"/>
                </w:tcPr>
                <w:p w14:paraId="334C5CF1">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≤0.005</w:t>
                  </w:r>
                </w:p>
              </w:tc>
            </w:tr>
            <w:tr w14:paraId="44FFF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6333F1D3">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17</w:t>
                  </w:r>
                </w:p>
              </w:tc>
              <w:tc>
                <w:tcPr>
                  <w:tcW w:w="1099" w:type="pct"/>
                  <w:noWrap w:val="0"/>
                  <w:tcMar>
                    <w:top w:w="15" w:type="dxa"/>
                    <w:left w:w="15" w:type="dxa"/>
                    <w:bottom w:w="15" w:type="dxa"/>
                    <w:right w:w="15" w:type="dxa"/>
                  </w:tcMar>
                  <w:vAlign w:val="center"/>
                </w:tcPr>
                <w:p w14:paraId="0396CF34">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铬（六价）</w:t>
                  </w:r>
                </w:p>
              </w:tc>
              <w:tc>
                <w:tcPr>
                  <w:tcW w:w="662" w:type="pct"/>
                  <w:tcBorders>
                    <w:right w:val="single" w:color="auto" w:sz="4" w:space="0"/>
                  </w:tcBorders>
                  <w:noWrap w:val="0"/>
                  <w:tcMar>
                    <w:top w:w="15" w:type="dxa"/>
                    <w:left w:w="15" w:type="dxa"/>
                    <w:bottom w:w="15" w:type="dxa"/>
                    <w:right w:w="15" w:type="dxa"/>
                  </w:tcMar>
                  <w:vAlign w:val="center"/>
                </w:tcPr>
                <w:p w14:paraId="337F4404">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4CC4F1F8">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&lt;0.004</w:t>
                  </w:r>
                </w:p>
              </w:tc>
              <w:tc>
                <w:tcPr>
                  <w:tcW w:w="997" w:type="pct"/>
                  <w:noWrap w:val="0"/>
                  <w:vAlign w:val="center"/>
                </w:tcPr>
                <w:p w14:paraId="580B3A68">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&lt;0.004</w:t>
                  </w:r>
                </w:p>
              </w:tc>
              <w:tc>
                <w:tcPr>
                  <w:tcW w:w="825" w:type="pct"/>
                  <w:noWrap w:val="0"/>
                  <w:tcMar>
                    <w:top w:w="15" w:type="dxa"/>
                    <w:left w:w="15" w:type="dxa"/>
                    <w:bottom w:w="15" w:type="dxa"/>
                    <w:right w:w="15" w:type="dxa"/>
                  </w:tcMar>
                  <w:vAlign w:val="center"/>
                </w:tcPr>
                <w:p w14:paraId="5FB1388B">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≤0.05</w:t>
                  </w:r>
                </w:p>
              </w:tc>
            </w:tr>
            <w:tr w14:paraId="04DBA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0F836EF9">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18</w:t>
                  </w:r>
                </w:p>
              </w:tc>
              <w:tc>
                <w:tcPr>
                  <w:tcW w:w="1099" w:type="pct"/>
                  <w:noWrap w:val="0"/>
                  <w:tcMar>
                    <w:top w:w="15" w:type="dxa"/>
                    <w:left w:w="15" w:type="dxa"/>
                    <w:bottom w:w="15" w:type="dxa"/>
                    <w:right w:w="15" w:type="dxa"/>
                  </w:tcMar>
                  <w:vAlign w:val="center"/>
                </w:tcPr>
                <w:p w14:paraId="3D5F7F15">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铅</w:t>
                  </w:r>
                </w:p>
              </w:tc>
              <w:tc>
                <w:tcPr>
                  <w:tcW w:w="662" w:type="pct"/>
                  <w:tcBorders>
                    <w:right w:val="single" w:color="auto" w:sz="4" w:space="0"/>
                  </w:tcBorders>
                  <w:noWrap w:val="0"/>
                  <w:tcMar>
                    <w:top w:w="15" w:type="dxa"/>
                    <w:left w:w="15" w:type="dxa"/>
                    <w:bottom w:w="15" w:type="dxa"/>
                    <w:right w:w="15" w:type="dxa"/>
                  </w:tcMar>
                  <w:vAlign w:val="center"/>
                </w:tcPr>
                <w:p w14:paraId="7A1FB8F8">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4D0CC324">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&lt;0.000003</w:t>
                  </w:r>
                </w:p>
              </w:tc>
              <w:tc>
                <w:tcPr>
                  <w:tcW w:w="997" w:type="pct"/>
                  <w:noWrap w:val="0"/>
                  <w:vAlign w:val="center"/>
                </w:tcPr>
                <w:p w14:paraId="4F854DED">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0.000142</w:t>
                  </w:r>
                </w:p>
              </w:tc>
              <w:tc>
                <w:tcPr>
                  <w:tcW w:w="825" w:type="pct"/>
                  <w:noWrap w:val="0"/>
                  <w:tcMar>
                    <w:top w:w="15" w:type="dxa"/>
                    <w:left w:w="15" w:type="dxa"/>
                    <w:bottom w:w="15" w:type="dxa"/>
                    <w:right w:w="15" w:type="dxa"/>
                  </w:tcMar>
                  <w:vAlign w:val="center"/>
                </w:tcPr>
                <w:p w14:paraId="1735AE56">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≤0.05</w:t>
                  </w:r>
                </w:p>
              </w:tc>
            </w:tr>
            <w:tr w14:paraId="7C289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51A507F6">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19</w:t>
                  </w:r>
                </w:p>
              </w:tc>
              <w:tc>
                <w:tcPr>
                  <w:tcW w:w="1099" w:type="pct"/>
                  <w:noWrap w:val="0"/>
                  <w:tcMar>
                    <w:top w:w="15" w:type="dxa"/>
                    <w:left w:w="15" w:type="dxa"/>
                    <w:bottom w:w="15" w:type="dxa"/>
                    <w:right w:w="15" w:type="dxa"/>
                  </w:tcMar>
                  <w:vAlign w:val="center"/>
                </w:tcPr>
                <w:p w14:paraId="441842C3">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氰化物</w:t>
                  </w:r>
                </w:p>
              </w:tc>
              <w:tc>
                <w:tcPr>
                  <w:tcW w:w="662" w:type="pct"/>
                  <w:tcBorders>
                    <w:right w:val="single" w:color="auto" w:sz="4" w:space="0"/>
                  </w:tcBorders>
                  <w:noWrap w:val="0"/>
                  <w:tcMar>
                    <w:top w:w="15" w:type="dxa"/>
                    <w:left w:w="15" w:type="dxa"/>
                    <w:bottom w:w="15" w:type="dxa"/>
                    <w:right w:w="15" w:type="dxa"/>
                  </w:tcMar>
                  <w:vAlign w:val="center"/>
                </w:tcPr>
                <w:p w14:paraId="5B457247">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09812AA8">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&lt;0.0015</w:t>
                  </w:r>
                </w:p>
              </w:tc>
              <w:tc>
                <w:tcPr>
                  <w:tcW w:w="997" w:type="pct"/>
                  <w:noWrap w:val="0"/>
                  <w:vAlign w:val="center"/>
                </w:tcPr>
                <w:p w14:paraId="300A6C5E">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&lt;0.0015</w:t>
                  </w:r>
                </w:p>
              </w:tc>
              <w:tc>
                <w:tcPr>
                  <w:tcW w:w="825" w:type="pct"/>
                  <w:noWrap w:val="0"/>
                  <w:tcMar>
                    <w:top w:w="15" w:type="dxa"/>
                    <w:left w:w="15" w:type="dxa"/>
                    <w:bottom w:w="15" w:type="dxa"/>
                    <w:right w:w="15" w:type="dxa"/>
                  </w:tcMar>
                  <w:vAlign w:val="center"/>
                </w:tcPr>
                <w:p w14:paraId="08C73F70">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w:t>
                  </w:r>
                </w:p>
              </w:tc>
            </w:tr>
            <w:tr w14:paraId="4F9D9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69BEF16F">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20</w:t>
                  </w:r>
                </w:p>
              </w:tc>
              <w:tc>
                <w:tcPr>
                  <w:tcW w:w="1099" w:type="pct"/>
                  <w:noWrap w:val="0"/>
                  <w:tcMar>
                    <w:top w:w="15" w:type="dxa"/>
                    <w:left w:w="15" w:type="dxa"/>
                    <w:bottom w:w="15" w:type="dxa"/>
                    <w:right w:w="15" w:type="dxa"/>
                  </w:tcMar>
                  <w:vAlign w:val="center"/>
                </w:tcPr>
                <w:p w14:paraId="64097420">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挥发酚（以苯酚计）</w:t>
                  </w:r>
                </w:p>
              </w:tc>
              <w:tc>
                <w:tcPr>
                  <w:tcW w:w="662" w:type="pct"/>
                  <w:tcBorders>
                    <w:right w:val="single" w:color="auto" w:sz="4" w:space="0"/>
                  </w:tcBorders>
                  <w:noWrap w:val="0"/>
                  <w:tcMar>
                    <w:top w:w="15" w:type="dxa"/>
                    <w:left w:w="15" w:type="dxa"/>
                    <w:bottom w:w="15" w:type="dxa"/>
                    <w:right w:w="15" w:type="dxa"/>
                  </w:tcMar>
                  <w:vAlign w:val="center"/>
                </w:tcPr>
                <w:p w14:paraId="48CD778F">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049F2DF4">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&lt;0.0015</w:t>
                  </w:r>
                </w:p>
              </w:tc>
              <w:tc>
                <w:tcPr>
                  <w:tcW w:w="997" w:type="pct"/>
                  <w:noWrap w:val="0"/>
                  <w:vAlign w:val="center"/>
                </w:tcPr>
                <w:p w14:paraId="4854318D">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&lt;0.0015</w:t>
                  </w:r>
                </w:p>
              </w:tc>
              <w:tc>
                <w:tcPr>
                  <w:tcW w:w="825" w:type="pct"/>
                  <w:noWrap w:val="0"/>
                  <w:tcMar>
                    <w:top w:w="15" w:type="dxa"/>
                    <w:left w:w="15" w:type="dxa"/>
                    <w:bottom w:w="15" w:type="dxa"/>
                    <w:right w:w="15" w:type="dxa"/>
                  </w:tcMar>
                  <w:vAlign w:val="center"/>
                </w:tcPr>
                <w:p w14:paraId="68E56C80">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≤0.005</w:t>
                  </w:r>
                </w:p>
              </w:tc>
            </w:tr>
            <w:tr w14:paraId="32935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10CA06B7">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21</w:t>
                  </w:r>
                </w:p>
              </w:tc>
              <w:tc>
                <w:tcPr>
                  <w:tcW w:w="1099" w:type="pct"/>
                  <w:noWrap w:val="0"/>
                  <w:tcMar>
                    <w:top w:w="15" w:type="dxa"/>
                    <w:left w:w="15" w:type="dxa"/>
                    <w:bottom w:w="15" w:type="dxa"/>
                    <w:right w:w="15" w:type="dxa"/>
                  </w:tcMar>
                  <w:vAlign w:val="center"/>
                </w:tcPr>
                <w:p w14:paraId="3E197F4D">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石油类</w:t>
                  </w:r>
                </w:p>
              </w:tc>
              <w:tc>
                <w:tcPr>
                  <w:tcW w:w="662" w:type="pct"/>
                  <w:tcBorders>
                    <w:right w:val="single" w:color="auto" w:sz="4" w:space="0"/>
                  </w:tcBorders>
                  <w:noWrap w:val="0"/>
                  <w:tcMar>
                    <w:top w:w="15" w:type="dxa"/>
                    <w:left w:w="15" w:type="dxa"/>
                    <w:bottom w:w="15" w:type="dxa"/>
                    <w:right w:w="15" w:type="dxa"/>
                  </w:tcMar>
                  <w:vAlign w:val="center"/>
                </w:tcPr>
                <w:p w14:paraId="0D0B22F1">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5F5DD942">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0.049</w:t>
                  </w:r>
                </w:p>
              </w:tc>
              <w:tc>
                <w:tcPr>
                  <w:tcW w:w="997" w:type="pct"/>
                  <w:noWrap w:val="0"/>
                  <w:vAlign w:val="center"/>
                </w:tcPr>
                <w:p w14:paraId="0506DF6F">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0.07</w:t>
                  </w:r>
                </w:p>
              </w:tc>
              <w:tc>
                <w:tcPr>
                  <w:tcW w:w="825" w:type="pct"/>
                  <w:noWrap w:val="0"/>
                  <w:tcMar>
                    <w:top w:w="15" w:type="dxa"/>
                    <w:left w:w="15" w:type="dxa"/>
                    <w:bottom w:w="15" w:type="dxa"/>
                    <w:right w:w="15" w:type="dxa"/>
                  </w:tcMar>
                  <w:vAlign w:val="center"/>
                </w:tcPr>
                <w:p w14:paraId="02900D78">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≤0.05</w:t>
                  </w:r>
                </w:p>
              </w:tc>
            </w:tr>
            <w:tr w14:paraId="10B96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74DDC470">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22</w:t>
                  </w:r>
                </w:p>
              </w:tc>
              <w:tc>
                <w:tcPr>
                  <w:tcW w:w="1099" w:type="pct"/>
                  <w:noWrap w:val="0"/>
                  <w:tcMar>
                    <w:top w:w="15" w:type="dxa"/>
                    <w:left w:w="15" w:type="dxa"/>
                    <w:bottom w:w="15" w:type="dxa"/>
                    <w:right w:w="15" w:type="dxa"/>
                  </w:tcMar>
                  <w:vAlign w:val="center"/>
                </w:tcPr>
                <w:p w14:paraId="6DC32776">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阴离子表面活性剂</w:t>
                  </w:r>
                </w:p>
              </w:tc>
              <w:tc>
                <w:tcPr>
                  <w:tcW w:w="662" w:type="pct"/>
                  <w:tcBorders>
                    <w:right w:val="single" w:color="auto" w:sz="4" w:space="0"/>
                  </w:tcBorders>
                  <w:noWrap w:val="0"/>
                  <w:tcMar>
                    <w:top w:w="15" w:type="dxa"/>
                    <w:left w:w="15" w:type="dxa"/>
                    <w:bottom w:w="15" w:type="dxa"/>
                    <w:right w:w="15" w:type="dxa"/>
                  </w:tcMar>
                  <w:vAlign w:val="center"/>
                </w:tcPr>
                <w:p w14:paraId="2D8E9D38">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6F93A6DF">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0.022</w:t>
                  </w:r>
                </w:p>
              </w:tc>
              <w:tc>
                <w:tcPr>
                  <w:tcW w:w="997" w:type="pct"/>
                  <w:noWrap w:val="0"/>
                  <w:vAlign w:val="center"/>
                </w:tcPr>
                <w:p w14:paraId="0ADD4A77">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&lt;0.020</w:t>
                  </w:r>
                </w:p>
              </w:tc>
              <w:tc>
                <w:tcPr>
                  <w:tcW w:w="825" w:type="pct"/>
                  <w:noWrap w:val="0"/>
                  <w:tcMar>
                    <w:top w:w="15" w:type="dxa"/>
                    <w:left w:w="15" w:type="dxa"/>
                    <w:bottom w:w="15" w:type="dxa"/>
                    <w:right w:w="15" w:type="dxa"/>
                  </w:tcMar>
                  <w:vAlign w:val="center"/>
                </w:tcPr>
                <w:p w14:paraId="292CD7AB">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w:t>
                  </w:r>
                </w:p>
              </w:tc>
            </w:tr>
            <w:tr w14:paraId="07E65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5145DA07">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23</w:t>
                  </w:r>
                </w:p>
              </w:tc>
              <w:tc>
                <w:tcPr>
                  <w:tcW w:w="1099" w:type="pct"/>
                  <w:noWrap w:val="0"/>
                  <w:tcMar>
                    <w:top w:w="15" w:type="dxa"/>
                    <w:left w:w="15" w:type="dxa"/>
                    <w:bottom w:w="15" w:type="dxa"/>
                    <w:right w:w="15" w:type="dxa"/>
                  </w:tcMar>
                  <w:vAlign w:val="center"/>
                </w:tcPr>
                <w:p w14:paraId="6F01A6DC">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硫化物</w:t>
                  </w:r>
                </w:p>
              </w:tc>
              <w:tc>
                <w:tcPr>
                  <w:tcW w:w="662" w:type="pct"/>
                  <w:tcBorders>
                    <w:right w:val="single" w:color="auto" w:sz="4" w:space="0"/>
                  </w:tcBorders>
                  <w:noWrap w:val="0"/>
                  <w:tcMar>
                    <w:top w:w="15" w:type="dxa"/>
                    <w:left w:w="15" w:type="dxa"/>
                    <w:bottom w:w="15" w:type="dxa"/>
                    <w:right w:w="15" w:type="dxa"/>
                  </w:tcMar>
                  <w:vAlign w:val="center"/>
                </w:tcPr>
                <w:p w14:paraId="6EA486CE">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65A516EE">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0.01</w:t>
                  </w:r>
                </w:p>
              </w:tc>
              <w:tc>
                <w:tcPr>
                  <w:tcW w:w="997" w:type="pct"/>
                  <w:noWrap w:val="0"/>
                  <w:vAlign w:val="center"/>
                </w:tcPr>
                <w:p w14:paraId="0A1AF160">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&lt;0.002</w:t>
                  </w:r>
                </w:p>
              </w:tc>
              <w:tc>
                <w:tcPr>
                  <w:tcW w:w="825" w:type="pct"/>
                  <w:noWrap w:val="0"/>
                  <w:tcMar>
                    <w:top w:w="15" w:type="dxa"/>
                    <w:left w:w="15" w:type="dxa"/>
                    <w:bottom w:w="15" w:type="dxa"/>
                    <w:right w:w="15" w:type="dxa"/>
                  </w:tcMar>
                  <w:vAlign w:val="center"/>
                </w:tcPr>
                <w:p w14:paraId="4AEF9B99">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w:t>
                  </w:r>
                </w:p>
              </w:tc>
            </w:tr>
            <w:tr w14:paraId="4BFD6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0D107B1D">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24</w:t>
                  </w:r>
                </w:p>
              </w:tc>
              <w:tc>
                <w:tcPr>
                  <w:tcW w:w="1099" w:type="pct"/>
                  <w:noWrap w:val="0"/>
                  <w:tcMar>
                    <w:top w:w="15" w:type="dxa"/>
                    <w:left w:w="15" w:type="dxa"/>
                    <w:bottom w:w="15" w:type="dxa"/>
                    <w:right w:w="15" w:type="dxa"/>
                  </w:tcMar>
                  <w:vAlign w:val="center"/>
                </w:tcPr>
                <w:p w14:paraId="31BB18CB">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粪大肠菌群</w:t>
                  </w:r>
                </w:p>
              </w:tc>
              <w:tc>
                <w:tcPr>
                  <w:tcW w:w="662" w:type="pct"/>
                  <w:tcBorders>
                    <w:right w:val="single" w:color="auto" w:sz="4" w:space="0"/>
                  </w:tcBorders>
                  <w:noWrap w:val="0"/>
                  <w:tcMar>
                    <w:top w:w="15" w:type="dxa"/>
                    <w:left w:w="15" w:type="dxa"/>
                    <w:bottom w:w="15" w:type="dxa"/>
                    <w:right w:w="15" w:type="dxa"/>
                  </w:tcMar>
                  <w:vAlign w:val="center"/>
                </w:tcPr>
                <w:p w14:paraId="6232FDFB">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个/L</w:t>
                  </w:r>
                </w:p>
              </w:tc>
              <w:tc>
                <w:tcPr>
                  <w:tcW w:w="1071" w:type="pct"/>
                  <w:tcBorders>
                    <w:right w:val="single" w:color="auto" w:sz="4" w:space="0"/>
                  </w:tcBorders>
                  <w:noWrap w:val="0"/>
                  <w:tcMar>
                    <w:top w:w="15" w:type="dxa"/>
                    <w:left w:w="15" w:type="dxa"/>
                    <w:bottom w:w="15" w:type="dxa"/>
                    <w:right w:w="15" w:type="dxa"/>
                  </w:tcMar>
                  <w:vAlign w:val="center"/>
                </w:tcPr>
                <w:p w14:paraId="26EA86A4">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5.5×10</w:t>
                  </w:r>
                  <w:r>
                    <w:rPr>
                      <w:rFonts w:hint="eastAsia" w:ascii="Times New Roman" w:hAnsi="Times New Roman" w:cs="Times New Roman"/>
                      <w:color w:val="auto"/>
                      <w:sz w:val="21"/>
                      <w:szCs w:val="21"/>
                      <w:vertAlign w:val="superscript"/>
                      <w:lang w:val="en-US" w:eastAsia="zh-CN"/>
                    </w:rPr>
                    <w:t>4</w:t>
                  </w:r>
                </w:p>
              </w:tc>
              <w:tc>
                <w:tcPr>
                  <w:tcW w:w="997" w:type="pct"/>
                  <w:noWrap w:val="0"/>
                  <w:vAlign w:val="center"/>
                </w:tcPr>
                <w:p w14:paraId="7E0F7D56">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3.6×10</w:t>
                  </w:r>
                  <w:r>
                    <w:rPr>
                      <w:rFonts w:hint="eastAsia" w:ascii="Times New Roman" w:hAnsi="Times New Roman" w:cs="Times New Roman"/>
                      <w:color w:val="auto"/>
                      <w:sz w:val="21"/>
                      <w:szCs w:val="21"/>
                      <w:vertAlign w:val="superscript"/>
                      <w:lang w:val="en-US" w:eastAsia="zh-CN"/>
                    </w:rPr>
                    <w:t>4</w:t>
                  </w:r>
                </w:p>
              </w:tc>
              <w:tc>
                <w:tcPr>
                  <w:tcW w:w="825" w:type="pct"/>
                  <w:noWrap w:val="0"/>
                  <w:tcMar>
                    <w:top w:w="15" w:type="dxa"/>
                    <w:left w:w="15" w:type="dxa"/>
                    <w:bottom w:w="15" w:type="dxa"/>
                    <w:right w:w="15" w:type="dxa"/>
                  </w:tcMar>
                  <w:vAlign w:val="center"/>
                </w:tcPr>
                <w:p w14:paraId="09957BCB">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≤10000</w:t>
                  </w:r>
                </w:p>
              </w:tc>
            </w:tr>
            <w:tr w14:paraId="16582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4E39C374">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25</w:t>
                  </w:r>
                </w:p>
              </w:tc>
              <w:tc>
                <w:tcPr>
                  <w:tcW w:w="1099" w:type="pct"/>
                  <w:noWrap w:val="0"/>
                  <w:tcMar>
                    <w:top w:w="15" w:type="dxa"/>
                    <w:left w:w="15" w:type="dxa"/>
                    <w:bottom w:w="15" w:type="dxa"/>
                    <w:right w:w="15" w:type="dxa"/>
                  </w:tcMar>
                  <w:vAlign w:val="center"/>
                </w:tcPr>
                <w:p w14:paraId="59D6C0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硫酸盐(以SO</w:t>
                  </w:r>
                  <w:r>
                    <w:rPr>
                      <w:rFonts w:hint="default" w:ascii="Times New Roman" w:hAnsi="Times New Roman" w:eastAsia="宋体" w:cs="Times New Roman"/>
                      <w:i w:val="0"/>
                      <w:iCs w:val="0"/>
                      <w:color w:val="000000"/>
                      <w:kern w:val="0"/>
                      <w:sz w:val="21"/>
                      <w:szCs w:val="21"/>
                      <w:u w:val="none"/>
                      <w:vertAlign w:val="subscript"/>
                      <w:lang w:val="en-US" w:eastAsia="zh-CN" w:bidi="ar"/>
                    </w:rPr>
                    <w:t>4</w:t>
                  </w:r>
                  <w:r>
                    <w:rPr>
                      <w:rFonts w:hint="default" w:ascii="Times New Roman" w:hAnsi="Times New Roman" w:eastAsia="宋体" w:cs="Times New Roman"/>
                      <w:i w:val="0"/>
                      <w:iCs w:val="0"/>
                      <w:color w:val="000000"/>
                      <w:kern w:val="0"/>
                      <w:sz w:val="21"/>
                      <w:szCs w:val="21"/>
                      <w:u w:val="none"/>
                      <w:vertAlign w:val="superscript"/>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计)</w:t>
                  </w:r>
                </w:p>
              </w:tc>
              <w:tc>
                <w:tcPr>
                  <w:tcW w:w="662" w:type="pct"/>
                  <w:tcBorders>
                    <w:right w:val="single" w:color="auto" w:sz="4" w:space="0"/>
                  </w:tcBorders>
                  <w:noWrap w:val="0"/>
                  <w:tcMar>
                    <w:top w:w="15" w:type="dxa"/>
                    <w:left w:w="15" w:type="dxa"/>
                    <w:bottom w:w="15" w:type="dxa"/>
                    <w:right w:w="15" w:type="dxa"/>
                  </w:tcMar>
                  <w:vAlign w:val="center"/>
                </w:tcPr>
                <w:p w14:paraId="4DD2F9F1">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4FB4B24F">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25</w:t>
                  </w:r>
                </w:p>
              </w:tc>
              <w:tc>
                <w:tcPr>
                  <w:tcW w:w="997" w:type="pct"/>
                  <w:noWrap w:val="0"/>
                  <w:vAlign w:val="center"/>
                </w:tcPr>
                <w:p w14:paraId="0A967B0D">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22.7</w:t>
                  </w:r>
                </w:p>
              </w:tc>
              <w:tc>
                <w:tcPr>
                  <w:tcW w:w="825" w:type="pct"/>
                  <w:noWrap w:val="0"/>
                  <w:tcMar>
                    <w:top w:w="15" w:type="dxa"/>
                    <w:left w:w="15" w:type="dxa"/>
                    <w:bottom w:w="15" w:type="dxa"/>
                    <w:right w:w="15" w:type="dxa"/>
                  </w:tcMar>
                  <w:vAlign w:val="center"/>
                </w:tcPr>
                <w:p w14:paraId="27AD0528">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≤250</w:t>
                  </w:r>
                </w:p>
              </w:tc>
            </w:tr>
            <w:tr w14:paraId="26909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00D56F89">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26</w:t>
                  </w:r>
                </w:p>
              </w:tc>
              <w:tc>
                <w:tcPr>
                  <w:tcW w:w="1099" w:type="pct"/>
                  <w:noWrap w:val="0"/>
                  <w:tcMar>
                    <w:top w:w="15" w:type="dxa"/>
                    <w:left w:w="15" w:type="dxa"/>
                    <w:bottom w:w="15" w:type="dxa"/>
                    <w:right w:w="15" w:type="dxa"/>
                  </w:tcMar>
                  <w:vAlign w:val="center"/>
                </w:tcPr>
                <w:p w14:paraId="07BF0A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氯化物(以Cl</w:t>
                  </w:r>
                  <w:r>
                    <w:rPr>
                      <w:rFonts w:hint="default" w:ascii="Times New Roman" w:hAnsi="Times New Roman" w:eastAsia="宋体" w:cs="Times New Roman"/>
                      <w:i w:val="0"/>
                      <w:iCs w:val="0"/>
                      <w:color w:val="000000"/>
                      <w:kern w:val="0"/>
                      <w:sz w:val="21"/>
                      <w:szCs w:val="21"/>
                      <w:u w:val="none"/>
                      <w:vertAlign w:val="superscript"/>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计)</w:t>
                  </w:r>
                </w:p>
              </w:tc>
              <w:tc>
                <w:tcPr>
                  <w:tcW w:w="662" w:type="pct"/>
                  <w:tcBorders>
                    <w:right w:val="single" w:color="auto" w:sz="4" w:space="0"/>
                  </w:tcBorders>
                  <w:noWrap w:val="0"/>
                  <w:tcMar>
                    <w:top w:w="15" w:type="dxa"/>
                    <w:left w:w="15" w:type="dxa"/>
                    <w:bottom w:w="15" w:type="dxa"/>
                    <w:right w:w="15" w:type="dxa"/>
                  </w:tcMar>
                  <w:vAlign w:val="center"/>
                </w:tcPr>
                <w:p w14:paraId="43ADB319">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6E4B4E56">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13.8</w:t>
                  </w:r>
                </w:p>
              </w:tc>
              <w:tc>
                <w:tcPr>
                  <w:tcW w:w="997" w:type="pct"/>
                  <w:noWrap w:val="0"/>
                  <w:vAlign w:val="center"/>
                </w:tcPr>
                <w:p w14:paraId="6346ADBA">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11.2</w:t>
                  </w:r>
                </w:p>
              </w:tc>
              <w:tc>
                <w:tcPr>
                  <w:tcW w:w="825" w:type="pct"/>
                  <w:noWrap w:val="0"/>
                  <w:tcMar>
                    <w:top w:w="15" w:type="dxa"/>
                    <w:left w:w="15" w:type="dxa"/>
                    <w:bottom w:w="15" w:type="dxa"/>
                    <w:right w:w="15" w:type="dxa"/>
                  </w:tcMar>
                  <w:vAlign w:val="center"/>
                </w:tcPr>
                <w:p w14:paraId="16291D47">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≤250</w:t>
                  </w:r>
                </w:p>
              </w:tc>
            </w:tr>
            <w:tr w14:paraId="19960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4B532B02">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27</w:t>
                  </w:r>
                </w:p>
              </w:tc>
              <w:tc>
                <w:tcPr>
                  <w:tcW w:w="1099" w:type="pct"/>
                  <w:noWrap w:val="0"/>
                  <w:tcMar>
                    <w:top w:w="15" w:type="dxa"/>
                    <w:left w:w="15" w:type="dxa"/>
                    <w:bottom w:w="15" w:type="dxa"/>
                    <w:right w:w="15" w:type="dxa"/>
                  </w:tcMar>
                  <w:vAlign w:val="center"/>
                </w:tcPr>
                <w:p w14:paraId="47D094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硝酸盐(以N计)</w:t>
                  </w:r>
                </w:p>
              </w:tc>
              <w:tc>
                <w:tcPr>
                  <w:tcW w:w="662" w:type="pct"/>
                  <w:tcBorders>
                    <w:right w:val="single" w:color="auto" w:sz="4" w:space="0"/>
                  </w:tcBorders>
                  <w:noWrap w:val="0"/>
                  <w:tcMar>
                    <w:top w:w="15" w:type="dxa"/>
                    <w:left w:w="15" w:type="dxa"/>
                    <w:bottom w:w="15" w:type="dxa"/>
                    <w:right w:w="15" w:type="dxa"/>
                  </w:tcMar>
                  <w:vAlign w:val="center"/>
                </w:tcPr>
                <w:p w14:paraId="2BEA0E71">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2A5C83CC">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1.36</w:t>
                  </w:r>
                </w:p>
              </w:tc>
              <w:tc>
                <w:tcPr>
                  <w:tcW w:w="997" w:type="pct"/>
                  <w:noWrap w:val="0"/>
                  <w:vAlign w:val="center"/>
                </w:tcPr>
                <w:p w14:paraId="1342B59A">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1.25</w:t>
                  </w:r>
                </w:p>
              </w:tc>
              <w:tc>
                <w:tcPr>
                  <w:tcW w:w="825" w:type="pct"/>
                  <w:noWrap w:val="0"/>
                  <w:tcMar>
                    <w:top w:w="15" w:type="dxa"/>
                    <w:left w:w="15" w:type="dxa"/>
                    <w:bottom w:w="15" w:type="dxa"/>
                    <w:right w:w="15" w:type="dxa"/>
                  </w:tcMar>
                  <w:vAlign w:val="center"/>
                </w:tcPr>
                <w:p w14:paraId="1FA94BE6">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w:t>
                  </w:r>
                </w:p>
              </w:tc>
            </w:tr>
            <w:tr w14:paraId="0BE20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6C1C339E">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28</w:t>
                  </w:r>
                </w:p>
              </w:tc>
              <w:tc>
                <w:tcPr>
                  <w:tcW w:w="1099" w:type="pct"/>
                  <w:noWrap w:val="0"/>
                  <w:tcMar>
                    <w:top w:w="15" w:type="dxa"/>
                    <w:left w:w="15" w:type="dxa"/>
                    <w:bottom w:w="15" w:type="dxa"/>
                    <w:right w:w="15" w:type="dxa"/>
                  </w:tcMar>
                  <w:vAlign w:val="center"/>
                </w:tcPr>
                <w:p w14:paraId="2ED214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铁</w:t>
                  </w:r>
                </w:p>
              </w:tc>
              <w:tc>
                <w:tcPr>
                  <w:tcW w:w="662" w:type="pct"/>
                  <w:tcBorders>
                    <w:right w:val="single" w:color="auto" w:sz="4" w:space="0"/>
                  </w:tcBorders>
                  <w:noWrap w:val="0"/>
                  <w:tcMar>
                    <w:top w:w="15" w:type="dxa"/>
                    <w:left w:w="15" w:type="dxa"/>
                    <w:bottom w:w="15" w:type="dxa"/>
                    <w:right w:w="15" w:type="dxa"/>
                  </w:tcMar>
                  <w:vAlign w:val="center"/>
                </w:tcPr>
                <w:p w14:paraId="2C895493">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71AA69AF">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0.008</w:t>
                  </w:r>
                </w:p>
              </w:tc>
              <w:tc>
                <w:tcPr>
                  <w:tcW w:w="997" w:type="pct"/>
                  <w:noWrap w:val="0"/>
                  <w:vAlign w:val="center"/>
                </w:tcPr>
                <w:p w14:paraId="2A73CC54">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0.003</w:t>
                  </w:r>
                </w:p>
              </w:tc>
              <w:tc>
                <w:tcPr>
                  <w:tcW w:w="825" w:type="pct"/>
                  <w:noWrap w:val="0"/>
                  <w:tcMar>
                    <w:top w:w="15" w:type="dxa"/>
                    <w:left w:w="15" w:type="dxa"/>
                    <w:bottom w:w="15" w:type="dxa"/>
                    <w:right w:w="15" w:type="dxa"/>
                  </w:tcMar>
                  <w:vAlign w:val="center"/>
                </w:tcPr>
                <w:p w14:paraId="435B1146">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≤0.3</w:t>
                  </w:r>
                </w:p>
              </w:tc>
            </w:tr>
            <w:tr w14:paraId="5611A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343" w:type="pct"/>
                  <w:noWrap w:val="0"/>
                  <w:vAlign w:val="center"/>
                </w:tcPr>
                <w:p w14:paraId="55445DA4">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29</w:t>
                  </w:r>
                </w:p>
              </w:tc>
              <w:tc>
                <w:tcPr>
                  <w:tcW w:w="1099" w:type="pct"/>
                  <w:noWrap w:val="0"/>
                  <w:tcMar>
                    <w:top w:w="15" w:type="dxa"/>
                    <w:left w:w="15" w:type="dxa"/>
                    <w:bottom w:w="15" w:type="dxa"/>
                    <w:right w:w="15" w:type="dxa"/>
                  </w:tcMar>
                  <w:vAlign w:val="center"/>
                </w:tcPr>
                <w:p w14:paraId="67E66A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锰</w:t>
                  </w:r>
                </w:p>
              </w:tc>
              <w:tc>
                <w:tcPr>
                  <w:tcW w:w="662" w:type="pct"/>
                  <w:tcBorders>
                    <w:right w:val="single" w:color="auto" w:sz="4" w:space="0"/>
                  </w:tcBorders>
                  <w:noWrap w:val="0"/>
                  <w:tcMar>
                    <w:top w:w="15" w:type="dxa"/>
                    <w:left w:w="15" w:type="dxa"/>
                    <w:bottom w:w="15" w:type="dxa"/>
                    <w:right w:w="15" w:type="dxa"/>
                  </w:tcMar>
                  <w:vAlign w:val="center"/>
                </w:tcPr>
                <w:p w14:paraId="5733F959">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mg/L</w:t>
                  </w:r>
                </w:p>
              </w:tc>
              <w:tc>
                <w:tcPr>
                  <w:tcW w:w="1071" w:type="pct"/>
                  <w:tcBorders>
                    <w:right w:val="single" w:color="auto" w:sz="4" w:space="0"/>
                  </w:tcBorders>
                  <w:noWrap w:val="0"/>
                  <w:tcMar>
                    <w:top w:w="15" w:type="dxa"/>
                    <w:left w:w="15" w:type="dxa"/>
                    <w:bottom w:w="15" w:type="dxa"/>
                    <w:right w:w="15" w:type="dxa"/>
                  </w:tcMar>
                  <w:vAlign w:val="center"/>
                </w:tcPr>
                <w:p w14:paraId="7688E829">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0.002</w:t>
                  </w:r>
                </w:p>
              </w:tc>
              <w:tc>
                <w:tcPr>
                  <w:tcW w:w="997" w:type="pct"/>
                  <w:noWrap w:val="0"/>
                  <w:vAlign w:val="center"/>
                </w:tcPr>
                <w:p w14:paraId="0C40D0B0">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0.003</w:t>
                  </w:r>
                </w:p>
              </w:tc>
              <w:tc>
                <w:tcPr>
                  <w:tcW w:w="825" w:type="pct"/>
                  <w:noWrap w:val="0"/>
                  <w:tcMar>
                    <w:top w:w="15" w:type="dxa"/>
                    <w:left w:w="15" w:type="dxa"/>
                    <w:bottom w:w="15" w:type="dxa"/>
                    <w:right w:w="15" w:type="dxa"/>
                  </w:tcMar>
                  <w:vAlign w:val="center"/>
                </w:tcPr>
                <w:p w14:paraId="7AE5BE61">
                  <w:pPr>
                    <w:pStyle w:val="12"/>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w:t>
                  </w:r>
                </w:p>
              </w:tc>
            </w:tr>
            <w:tr w14:paraId="4E039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5000" w:type="pct"/>
                  <w:gridSpan w:val="6"/>
                  <w:noWrap w:val="0"/>
                  <w:vAlign w:val="center"/>
                </w:tcPr>
                <w:p w14:paraId="49B3F7D4">
                  <w:pPr>
                    <w:widowControl/>
                    <w:jc w:val="both"/>
                    <w:textAlignment w:val="center"/>
                    <w:rPr>
                      <w:rFonts w:hint="default" w:ascii="Times New Roman" w:hAnsi="Times New Roman" w:eastAsia="宋体" w:cs="Times New Roman"/>
                      <w:kern w:val="0"/>
                      <w:sz w:val="21"/>
                      <w:szCs w:val="21"/>
                      <w:lang w:val="en-US" w:eastAsia="zh-CN" w:bidi="ar"/>
                    </w:rPr>
                  </w:pPr>
                  <w:r>
                    <w:rPr>
                      <w:rFonts w:hint="eastAsia" w:ascii="Times New Roman" w:hAnsi="Times New Roman" w:cs="Times New Roman"/>
                      <w:kern w:val="0"/>
                      <w:sz w:val="21"/>
                      <w:szCs w:val="21"/>
                      <w:lang w:val="en-US" w:eastAsia="zh-CN" w:bidi="ar"/>
                    </w:rPr>
                    <w:t>注：</w:t>
                  </w:r>
                  <w:r>
                    <w:rPr>
                      <w:rFonts w:hint="default" w:ascii="Times New Roman" w:hAnsi="Times New Roman" w:cs="Times New Roman"/>
                      <w:kern w:val="0"/>
                      <w:sz w:val="21"/>
                      <w:szCs w:val="21"/>
                      <w:lang w:bidi="ar"/>
                    </w:rPr>
                    <w:t>备用水源地洞庭湖</w:t>
                  </w:r>
                  <w:r>
                    <w:rPr>
                      <w:rFonts w:hint="eastAsia" w:ascii="Times New Roman" w:hAnsi="Times New Roman" w:cs="Times New Roman"/>
                      <w:kern w:val="0"/>
                      <w:sz w:val="21"/>
                      <w:szCs w:val="21"/>
                      <w:lang w:val="en-US" w:eastAsia="zh-CN" w:bidi="ar"/>
                    </w:rPr>
                    <w:t>目前水质功能区划执行《地表水环境质量标准》（GB3838-2002）中Ⅲ类标准值</w:t>
                  </w:r>
                  <w:r>
                    <w:rPr>
                      <w:rFonts w:hint="eastAsia" w:cs="Times New Roman"/>
                      <w:kern w:val="0"/>
                      <w:sz w:val="21"/>
                      <w:szCs w:val="21"/>
                      <w:lang w:val="en-US" w:eastAsia="zh-CN" w:bidi="ar"/>
                    </w:rPr>
                    <w:t>（总磷≤0.05mg/L）</w:t>
                  </w:r>
                </w:p>
              </w:tc>
            </w:tr>
          </w:tbl>
          <w:p w14:paraId="48A49F3C">
            <w:pPr>
              <w:autoSpaceDE w:val="0"/>
              <w:autoSpaceDN w:val="0"/>
              <w:adjustRightInd w:val="0"/>
              <w:spacing w:line="360" w:lineRule="auto"/>
              <w:ind w:firstLine="480" w:firstLineChars="200"/>
              <w:jc w:val="left"/>
              <w:rPr>
                <w:rFonts w:hint="default" w:ascii="Times New Roman" w:hAnsi="Times New Roman" w:cs="Times New Roman"/>
                <w:sz w:val="24"/>
                <w:szCs w:val="24"/>
              </w:rPr>
            </w:pPr>
            <w:r>
              <w:rPr>
                <w:rFonts w:hint="default" w:ascii="Times New Roman" w:hAnsi="Times New Roman" w:cs="Times New Roman"/>
                <w:sz w:val="24"/>
                <w:szCs w:val="24"/>
              </w:rPr>
              <w:t>由上表可</w:t>
            </w:r>
            <w:r>
              <w:rPr>
                <w:rFonts w:hint="default" w:ascii="Times New Roman" w:hAnsi="Times New Roman" w:cs="Times New Roman"/>
                <w:color w:val="auto"/>
                <w:sz w:val="24"/>
                <w:szCs w:val="24"/>
              </w:rPr>
              <w:t>知，</w:t>
            </w:r>
            <w:r>
              <w:rPr>
                <w:rFonts w:hint="eastAsia" w:cs="Times New Roman"/>
                <w:color w:val="auto"/>
                <w:sz w:val="24"/>
                <w:szCs w:val="24"/>
                <w:lang w:val="en-US" w:eastAsia="zh-CN"/>
              </w:rPr>
              <w:t>洞庭湖原水取水口常规</w:t>
            </w:r>
            <w:r>
              <w:rPr>
                <w:rFonts w:hint="default" w:ascii="Times New Roman" w:hAnsi="Times New Roman" w:cs="Times New Roman"/>
                <w:sz w:val="24"/>
                <w:szCs w:val="24"/>
              </w:rPr>
              <w:t>指标</w:t>
            </w:r>
            <w:r>
              <w:rPr>
                <w:rFonts w:hint="eastAsia" w:cs="Times New Roman"/>
                <w:sz w:val="24"/>
                <w:szCs w:val="24"/>
                <w:lang w:val="en-US" w:eastAsia="zh-CN"/>
              </w:rPr>
              <w:t>中</w:t>
            </w:r>
            <w:r>
              <w:rPr>
                <w:rFonts w:hint="eastAsia" w:cs="Times New Roman"/>
                <w:sz w:val="24"/>
                <w:szCs w:val="24"/>
                <w:u w:val="single"/>
                <w:lang w:val="en-US" w:eastAsia="zh-CN"/>
              </w:rPr>
              <w:t>除粪大肠菌群、总磷因子外，</w:t>
            </w:r>
            <w:r>
              <w:rPr>
                <w:rFonts w:hint="eastAsia" w:cs="Times New Roman"/>
                <w:sz w:val="24"/>
                <w:szCs w:val="24"/>
                <w:lang w:val="en-US" w:eastAsia="zh-CN"/>
              </w:rPr>
              <w:t>其他因子</w:t>
            </w:r>
            <w:r>
              <w:rPr>
                <w:rFonts w:hint="default" w:ascii="Times New Roman" w:hAnsi="Times New Roman" w:cs="Times New Roman"/>
                <w:sz w:val="24"/>
                <w:szCs w:val="24"/>
              </w:rPr>
              <w:t>均达到《地表水环境质量标准》（GB3838-2002）中Ⅲ类标准。</w:t>
            </w:r>
          </w:p>
          <w:p w14:paraId="53C48E79">
            <w:pPr>
              <w:autoSpaceDE w:val="0"/>
              <w:autoSpaceDN w:val="0"/>
              <w:adjustRightInd w:val="0"/>
              <w:spacing w:line="360" w:lineRule="auto"/>
              <w:ind w:firstLine="480" w:firstLineChars="200"/>
              <w:jc w:val="left"/>
              <w:rPr>
                <w:rFonts w:hint="default" w:ascii="Times New Roman" w:hAnsi="Times New Roman" w:eastAsia="宋体" w:cs="Times New Roman"/>
                <w:sz w:val="24"/>
                <w:szCs w:val="24"/>
                <w:u w:val="single"/>
                <w:lang w:val="en-US" w:eastAsia="zh-CN"/>
              </w:rPr>
            </w:pPr>
            <w:r>
              <w:rPr>
                <w:rFonts w:hint="eastAsia" w:cs="Times New Roman"/>
                <w:sz w:val="24"/>
                <w:szCs w:val="24"/>
                <w:u w:val="single"/>
                <w:lang w:val="en-US" w:eastAsia="zh-CN"/>
              </w:rPr>
              <w:t>目前，</w:t>
            </w:r>
            <w:r>
              <w:rPr>
                <w:rFonts w:hint="default" w:ascii="Times New Roman" w:hAnsi="Times New Roman" w:cs="Times New Roman"/>
                <w:sz w:val="24"/>
                <w:szCs w:val="24"/>
                <w:u w:val="single"/>
              </w:rPr>
              <w:t>省政府</w:t>
            </w:r>
            <w:r>
              <w:rPr>
                <w:rFonts w:hint="eastAsia" w:cs="Times New Roman"/>
                <w:sz w:val="24"/>
                <w:szCs w:val="24"/>
                <w:u w:val="single"/>
                <w:lang w:val="en-US" w:eastAsia="zh-CN"/>
              </w:rPr>
              <w:t>已发布</w:t>
            </w:r>
            <w:r>
              <w:rPr>
                <w:rFonts w:hint="default" w:ascii="Times New Roman" w:hAnsi="Times New Roman" w:cs="Times New Roman"/>
                <w:sz w:val="24"/>
                <w:szCs w:val="24"/>
                <w:u w:val="single"/>
              </w:rPr>
              <w:t>《湖南省“一江一湖四水”总磷污染控制方案(2026</w:t>
            </w:r>
            <w:r>
              <w:rPr>
                <w:rFonts w:hint="eastAsia" w:cs="Times New Roman"/>
                <w:sz w:val="24"/>
                <w:szCs w:val="24"/>
                <w:u w:val="single"/>
                <w:lang w:val="en-US" w:eastAsia="zh-CN"/>
              </w:rPr>
              <w:t>-</w:t>
            </w:r>
            <w:r>
              <w:rPr>
                <w:rFonts w:hint="default" w:ascii="Times New Roman" w:hAnsi="Times New Roman" w:cs="Times New Roman"/>
                <w:sz w:val="24"/>
                <w:szCs w:val="24"/>
                <w:u w:val="single"/>
              </w:rPr>
              <w:t>2030年)》</w:t>
            </w:r>
            <w:r>
              <w:rPr>
                <w:rFonts w:hint="eastAsia" w:cs="Times New Roman"/>
                <w:sz w:val="24"/>
                <w:szCs w:val="24"/>
                <w:u w:val="single"/>
                <w:lang w:val="en-US" w:eastAsia="zh-CN"/>
              </w:rPr>
              <w:t>文件</w:t>
            </w:r>
            <w:r>
              <w:rPr>
                <w:rFonts w:hint="default" w:ascii="Times New Roman" w:hAnsi="Times New Roman" w:cs="Times New Roman"/>
                <w:sz w:val="24"/>
                <w:szCs w:val="24"/>
                <w:u w:val="single"/>
              </w:rPr>
              <w:t>，明确东洞庭湖总磷浓度不超过0.06毫克/升的硬指标，部署6大方面14项具体治磷任务</w:t>
            </w:r>
            <w:r>
              <w:rPr>
                <w:rFonts w:hint="eastAsia" w:cs="Times New Roman"/>
                <w:sz w:val="24"/>
                <w:szCs w:val="24"/>
                <w:u w:val="single"/>
                <w:lang w:eastAsia="zh-CN"/>
              </w:rPr>
              <w:t>，</w:t>
            </w:r>
            <w:r>
              <w:rPr>
                <w:rFonts w:hint="eastAsia" w:cs="Times New Roman"/>
                <w:sz w:val="24"/>
                <w:szCs w:val="24"/>
                <w:u w:val="single"/>
                <w:lang w:val="en-US" w:eastAsia="zh-CN"/>
              </w:rPr>
              <w:t>随着各类整治工程的实施，项目所在地东洞庭湖水域的水质有望达到功能区标准要求。</w:t>
            </w:r>
          </w:p>
          <w:p w14:paraId="633A7835">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三、声环境质量现状</w:t>
            </w:r>
          </w:p>
          <w:p w14:paraId="417E1D7F">
            <w:pPr>
              <w:spacing w:line="360" w:lineRule="auto"/>
              <w:ind w:firstLine="480" w:firstLineChars="200"/>
              <w:rPr>
                <w:rFonts w:hint="default" w:ascii="Times New Roman" w:hAnsi="Times New Roman" w:cs="Times New Roman"/>
                <w:color w:val="auto"/>
                <w:sz w:val="24"/>
                <w:szCs w:val="32"/>
                <w:u w:val="none"/>
                <w:lang w:val="en-US" w:eastAsia="zh-CN"/>
              </w:rPr>
            </w:pPr>
            <w:r>
              <w:rPr>
                <w:rFonts w:hint="default" w:ascii="Times New Roman" w:hAnsi="Times New Roman" w:cs="Times New Roman"/>
                <w:color w:val="auto"/>
                <w:sz w:val="24"/>
                <w:szCs w:val="32"/>
                <w:u w:val="none"/>
                <w:lang w:val="en-US" w:eastAsia="zh-CN"/>
              </w:rPr>
              <w:t>根据现场勘察可知，本项目厂界外50m存在声环境保护目标，本次环评委托湖南中瑶检测技术有限公司于</w:t>
            </w:r>
            <w:r>
              <w:rPr>
                <w:rFonts w:hint="default" w:ascii="Times New Roman" w:hAnsi="Times New Roman" w:cs="Times New Roman"/>
                <w:color w:val="auto"/>
                <w:sz w:val="24"/>
                <w:szCs w:val="32"/>
                <w:u w:val="none"/>
              </w:rPr>
              <w:t>202</w:t>
            </w:r>
            <w:r>
              <w:rPr>
                <w:rFonts w:hint="default" w:ascii="Times New Roman" w:hAnsi="Times New Roman" w:cs="Times New Roman"/>
                <w:color w:val="auto"/>
                <w:sz w:val="24"/>
                <w:szCs w:val="32"/>
                <w:u w:val="none"/>
                <w:lang w:val="en-US" w:eastAsia="zh-CN"/>
              </w:rPr>
              <w:t>6</w:t>
            </w:r>
            <w:r>
              <w:rPr>
                <w:rFonts w:hint="default" w:ascii="Times New Roman" w:hAnsi="Times New Roman" w:cs="Times New Roman"/>
                <w:color w:val="auto"/>
                <w:sz w:val="24"/>
                <w:szCs w:val="32"/>
                <w:u w:val="none"/>
              </w:rPr>
              <w:t>年</w:t>
            </w:r>
            <w:r>
              <w:rPr>
                <w:rFonts w:hint="eastAsia" w:cs="Times New Roman"/>
                <w:color w:val="auto"/>
                <w:sz w:val="24"/>
                <w:szCs w:val="32"/>
                <w:u w:val="none"/>
                <w:lang w:val="en-US" w:eastAsia="zh-CN"/>
              </w:rPr>
              <w:t>5</w:t>
            </w:r>
            <w:r>
              <w:rPr>
                <w:rFonts w:hint="default" w:ascii="Times New Roman" w:hAnsi="Times New Roman" w:cs="Times New Roman"/>
                <w:color w:val="auto"/>
                <w:sz w:val="24"/>
                <w:szCs w:val="32"/>
                <w:u w:val="none"/>
              </w:rPr>
              <w:t>月</w:t>
            </w:r>
            <w:r>
              <w:rPr>
                <w:rFonts w:hint="eastAsia" w:cs="Times New Roman"/>
                <w:color w:val="auto"/>
                <w:sz w:val="24"/>
                <w:szCs w:val="32"/>
                <w:u w:val="none"/>
                <w:lang w:val="en-US" w:eastAsia="zh-CN"/>
              </w:rPr>
              <w:t>27</w:t>
            </w:r>
            <w:r>
              <w:rPr>
                <w:rFonts w:hint="default" w:ascii="Times New Roman" w:hAnsi="Times New Roman" w:cs="Times New Roman"/>
                <w:color w:val="auto"/>
                <w:sz w:val="24"/>
                <w:szCs w:val="32"/>
                <w:u w:val="none"/>
              </w:rPr>
              <w:t>日</w:t>
            </w:r>
            <w:r>
              <w:rPr>
                <w:rFonts w:hint="default" w:ascii="Times New Roman" w:hAnsi="Times New Roman" w:cs="Times New Roman"/>
                <w:color w:val="auto"/>
                <w:sz w:val="24"/>
                <w:szCs w:val="32"/>
                <w:u w:val="none"/>
                <w:lang w:val="en-US" w:eastAsia="zh-CN"/>
              </w:rPr>
              <w:t>对</w:t>
            </w:r>
            <w:r>
              <w:rPr>
                <w:rFonts w:hint="eastAsia" w:cs="Times New Roman"/>
                <w:color w:val="auto"/>
                <w:sz w:val="24"/>
                <w:szCs w:val="32"/>
                <w:u w:val="none"/>
                <w:lang w:val="en-US" w:eastAsia="zh-CN"/>
              </w:rPr>
              <w:t>项目周边</w:t>
            </w:r>
            <w:r>
              <w:rPr>
                <w:rFonts w:hint="default" w:ascii="Times New Roman" w:hAnsi="Times New Roman" w:cs="Times New Roman"/>
                <w:color w:val="auto"/>
                <w:sz w:val="24"/>
                <w:szCs w:val="32"/>
                <w:u w:val="none"/>
                <w:lang w:val="en-US" w:eastAsia="zh-CN"/>
              </w:rPr>
              <w:t>声环境保护目标处</w:t>
            </w:r>
            <w:r>
              <w:rPr>
                <w:rFonts w:hint="default" w:ascii="Times New Roman" w:hAnsi="Times New Roman" w:cs="Times New Roman"/>
                <w:color w:val="auto"/>
                <w:sz w:val="24"/>
                <w:szCs w:val="32"/>
                <w:u w:val="none"/>
              </w:rPr>
              <w:t>环境</w:t>
            </w:r>
            <w:r>
              <w:rPr>
                <w:rFonts w:hint="default" w:ascii="Times New Roman" w:hAnsi="Times New Roman" w:cs="Times New Roman"/>
                <w:color w:val="auto"/>
                <w:sz w:val="24"/>
                <w:szCs w:val="32"/>
                <w:u w:val="none"/>
                <w:lang w:val="en-US" w:eastAsia="zh-CN"/>
              </w:rPr>
              <w:t>质量进行</w:t>
            </w:r>
            <w:r>
              <w:rPr>
                <w:rFonts w:hint="default" w:ascii="Times New Roman" w:hAnsi="Times New Roman" w:cs="Times New Roman"/>
                <w:color w:val="auto"/>
                <w:sz w:val="24"/>
                <w:szCs w:val="32"/>
                <w:u w:val="none"/>
              </w:rPr>
              <w:t>现状监测。具体噪声监测结果见下表。</w:t>
            </w:r>
          </w:p>
          <w:p w14:paraId="60B47694">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color w:val="auto"/>
                <w:sz w:val="24"/>
                <w:szCs w:val="21"/>
                <w:lang w:val="en-US" w:eastAsia="zh-CN"/>
              </w:rPr>
            </w:pPr>
            <w:r>
              <w:rPr>
                <w:rFonts w:hint="default" w:ascii="Times New Roman" w:hAnsi="Times New Roman" w:cs="Times New Roman"/>
                <w:b/>
                <w:bCs w:val="0"/>
                <w:color w:val="auto"/>
                <w:sz w:val="24"/>
                <w:szCs w:val="21"/>
                <w:lang w:val="en-US" w:eastAsia="zh-CN"/>
              </w:rPr>
              <w:t xml:space="preserve">表3-3  声环境现状监测统计结果  </w:t>
            </w:r>
            <w:r>
              <w:rPr>
                <w:rFonts w:hint="default" w:ascii="Times New Roman" w:hAnsi="Times New Roman" w:cs="Times New Roman"/>
                <w:b/>
                <w:bCs w:val="0"/>
                <w:color w:val="auto"/>
                <w:sz w:val="21"/>
                <w:szCs w:val="18"/>
                <w:lang w:val="en-US" w:eastAsia="zh-CN"/>
              </w:rPr>
              <w:t xml:space="preserve"> 单位：dB(A)</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1056"/>
              <w:gridCol w:w="778"/>
              <w:gridCol w:w="781"/>
              <w:gridCol w:w="778"/>
              <w:gridCol w:w="781"/>
              <w:gridCol w:w="780"/>
              <w:gridCol w:w="781"/>
            </w:tblGrid>
            <w:tr w14:paraId="36B9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vMerge w:val="restart"/>
                  <w:tcBorders>
                    <w:tl2br w:val="nil"/>
                    <w:tr2bl w:val="nil"/>
                  </w:tcBorders>
                  <w:noWrap w:val="0"/>
                  <w:vAlign w:val="center"/>
                </w:tcPr>
                <w:p w14:paraId="4057E73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监测点位</w:t>
                  </w:r>
                </w:p>
              </w:tc>
              <w:tc>
                <w:tcPr>
                  <w:tcW w:w="672" w:type="pct"/>
                  <w:vMerge w:val="restart"/>
                  <w:tcBorders>
                    <w:tl2br w:val="nil"/>
                    <w:tr2bl w:val="nil"/>
                  </w:tcBorders>
                  <w:noWrap w:val="0"/>
                  <w:vAlign w:val="center"/>
                </w:tcPr>
                <w:p w14:paraId="0756A8B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监测日期</w:t>
                  </w:r>
                </w:p>
              </w:tc>
              <w:tc>
                <w:tcPr>
                  <w:tcW w:w="992" w:type="pct"/>
                  <w:gridSpan w:val="2"/>
                  <w:tcBorders>
                    <w:tl2br w:val="nil"/>
                    <w:tr2bl w:val="nil"/>
                  </w:tcBorders>
                  <w:noWrap w:val="0"/>
                  <w:vAlign w:val="center"/>
                </w:tcPr>
                <w:p w14:paraId="4A81276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监测结果</w:t>
                  </w:r>
                </w:p>
              </w:tc>
              <w:tc>
                <w:tcPr>
                  <w:tcW w:w="992" w:type="pct"/>
                  <w:gridSpan w:val="2"/>
                  <w:tcBorders>
                    <w:tl2br w:val="nil"/>
                    <w:tr2bl w:val="nil"/>
                  </w:tcBorders>
                  <w:noWrap w:val="0"/>
                  <w:vAlign w:val="center"/>
                </w:tcPr>
                <w:p w14:paraId="4FE26CE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标准限值</w:t>
                  </w:r>
                </w:p>
              </w:tc>
              <w:tc>
                <w:tcPr>
                  <w:tcW w:w="993" w:type="pct"/>
                  <w:gridSpan w:val="2"/>
                  <w:tcBorders>
                    <w:tl2br w:val="nil"/>
                    <w:tr2bl w:val="nil"/>
                  </w:tcBorders>
                  <w:noWrap w:val="0"/>
                  <w:vAlign w:val="center"/>
                </w:tcPr>
                <w:p w14:paraId="788A2C4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达标情况</w:t>
                  </w:r>
                </w:p>
              </w:tc>
            </w:tr>
            <w:tr w14:paraId="564A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vMerge w:val="continue"/>
                  <w:tcBorders>
                    <w:tl2br w:val="nil"/>
                    <w:tr2bl w:val="nil"/>
                  </w:tcBorders>
                  <w:noWrap w:val="0"/>
                  <w:vAlign w:val="center"/>
                </w:tcPr>
                <w:p w14:paraId="24D6D9D1">
                  <w:pPr>
                    <w:rPr>
                      <w:rFonts w:hint="default" w:ascii="Times New Roman" w:hAnsi="Times New Roman" w:cs="Times New Roman"/>
                      <w:b/>
                      <w:sz w:val="20"/>
                      <w:szCs w:val="20"/>
                    </w:rPr>
                  </w:pPr>
                </w:p>
              </w:tc>
              <w:tc>
                <w:tcPr>
                  <w:tcW w:w="672" w:type="pct"/>
                  <w:vMerge w:val="continue"/>
                  <w:tcBorders>
                    <w:tl2br w:val="nil"/>
                    <w:tr2bl w:val="nil"/>
                  </w:tcBorders>
                  <w:noWrap w:val="0"/>
                  <w:vAlign w:val="center"/>
                </w:tcPr>
                <w:p w14:paraId="0B8A482E">
                  <w:pPr>
                    <w:rPr>
                      <w:rFonts w:hint="default" w:ascii="Times New Roman" w:hAnsi="Times New Roman" w:cs="Times New Roman"/>
                      <w:b/>
                      <w:sz w:val="20"/>
                      <w:szCs w:val="20"/>
                    </w:rPr>
                  </w:pPr>
                </w:p>
              </w:tc>
              <w:tc>
                <w:tcPr>
                  <w:tcW w:w="495" w:type="pct"/>
                  <w:tcBorders>
                    <w:tl2br w:val="nil"/>
                    <w:tr2bl w:val="nil"/>
                  </w:tcBorders>
                  <w:noWrap w:val="0"/>
                  <w:vAlign w:val="center"/>
                </w:tcPr>
                <w:p w14:paraId="0B44EA7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昼间</w:t>
                  </w:r>
                </w:p>
              </w:tc>
              <w:tc>
                <w:tcPr>
                  <w:tcW w:w="497" w:type="pct"/>
                  <w:tcBorders>
                    <w:tl2br w:val="nil"/>
                    <w:tr2bl w:val="nil"/>
                  </w:tcBorders>
                  <w:noWrap w:val="0"/>
                  <w:vAlign w:val="center"/>
                </w:tcPr>
                <w:p w14:paraId="4201FD9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夜间</w:t>
                  </w:r>
                </w:p>
              </w:tc>
              <w:tc>
                <w:tcPr>
                  <w:tcW w:w="495" w:type="pct"/>
                  <w:tcBorders>
                    <w:tl2br w:val="nil"/>
                    <w:tr2bl w:val="nil"/>
                  </w:tcBorders>
                  <w:noWrap w:val="0"/>
                  <w:vAlign w:val="center"/>
                </w:tcPr>
                <w:p w14:paraId="1FE26D4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昼间</w:t>
                  </w:r>
                </w:p>
              </w:tc>
              <w:tc>
                <w:tcPr>
                  <w:tcW w:w="497" w:type="pct"/>
                  <w:tcBorders>
                    <w:tl2br w:val="nil"/>
                    <w:tr2bl w:val="nil"/>
                  </w:tcBorders>
                  <w:noWrap w:val="0"/>
                  <w:vAlign w:val="center"/>
                </w:tcPr>
                <w:p w14:paraId="4E892BF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夜间</w:t>
                  </w:r>
                </w:p>
              </w:tc>
              <w:tc>
                <w:tcPr>
                  <w:tcW w:w="496" w:type="pct"/>
                  <w:tcBorders>
                    <w:tl2br w:val="nil"/>
                    <w:tr2bl w:val="nil"/>
                  </w:tcBorders>
                  <w:noWrap w:val="0"/>
                  <w:vAlign w:val="center"/>
                </w:tcPr>
                <w:p w14:paraId="36A864D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昼间</w:t>
                  </w:r>
                </w:p>
              </w:tc>
              <w:tc>
                <w:tcPr>
                  <w:tcW w:w="497" w:type="pct"/>
                  <w:tcBorders>
                    <w:tl2br w:val="nil"/>
                    <w:tr2bl w:val="nil"/>
                  </w:tcBorders>
                  <w:noWrap w:val="0"/>
                  <w:vAlign w:val="center"/>
                </w:tcPr>
                <w:p w14:paraId="1EDBA80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val="0"/>
                      <w:kern w:val="2"/>
                      <w:sz w:val="21"/>
                      <w:szCs w:val="21"/>
                    </w:rPr>
                  </w:pPr>
                  <w:r>
                    <w:rPr>
                      <w:rFonts w:hint="default" w:ascii="Times New Roman" w:hAnsi="Times New Roman" w:eastAsia="宋体" w:cs="Times New Roman"/>
                      <w:b/>
                      <w:bCs w:val="0"/>
                      <w:kern w:val="2"/>
                      <w:sz w:val="21"/>
                      <w:szCs w:val="21"/>
                      <w:lang w:val="en-US" w:eastAsia="zh-CN" w:bidi="ar"/>
                    </w:rPr>
                    <w:t>夜间</w:t>
                  </w:r>
                </w:p>
              </w:tc>
            </w:tr>
            <w:tr w14:paraId="10B5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tcBorders>
                    <w:tl2br w:val="nil"/>
                    <w:tr2bl w:val="nil"/>
                  </w:tcBorders>
                  <w:noWrap w:val="0"/>
                  <w:vAlign w:val="center"/>
                </w:tcPr>
                <w:p w14:paraId="7822C09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Cs/>
                      <w:kern w:val="2"/>
                      <w:sz w:val="21"/>
                      <w:szCs w:val="21"/>
                    </w:rPr>
                  </w:pPr>
                  <w:r>
                    <w:rPr>
                      <w:rFonts w:hint="default" w:ascii="Times New Roman" w:hAnsi="Times New Roman" w:eastAsia="宋体" w:cs="Times New Roman"/>
                      <w:bCs/>
                      <w:kern w:val="2"/>
                      <w:sz w:val="21"/>
                      <w:szCs w:val="21"/>
                      <w:lang w:val="en-US" w:eastAsia="zh-CN" w:bidi="ar"/>
                    </w:rPr>
                    <w:t>N1（项目东侧原3517家属区</w:t>
                  </w:r>
                  <w:r>
                    <w:rPr>
                      <w:rFonts w:hint="default" w:ascii="Times New Roman" w:hAnsi="Times New Roman" w:cs="Times New Roman"/>
                      <w:kern w:val="2"/>
                      <w:sz w:val="21"/>
                      <w:szCs w:val="21"/>
                      <w:lang w:val="en-US" w:eastAsia="zh-CN" w:bidi="ar"/>
                    </w:rPr>
                    <w:t>）</w:t>
                  </w:r>
                </w:p>
              </w:tc>
              <w:tc>
                <w:tcPr>
                  <w:tcW w:w="672" w:type="pct"/>
                  <w:tcBorders>
                    <w:tl2br w:val="nil"/>
                    <w:tr2bl w:val="nil"/>
                  </w:tcBorders>
                  <w:noWrap w:val="0"/>
                  <w:vAlign w:val="center"/>
                </w:tcPr>
                <w:p w14:paraId="7370249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lang w:val="en-US"/>
                    </w:rPr>
                  </w:pPr>
                  <w:r>
                    <w:rPr>
                      <w:rFonts w:hint="default" w:ascii="Times New Roman" w:hAnsi="Times New Roman" w:cs="Times New Roman"/>
                      <w:kern w:val="2"/>
                      <w:sz w:val="21"/>
                      <w:szCs w:val="21"/>
                      <w:lang w:val="en-US" w:eastAsia="zh-CN" w:bidi="ar"/>
                    </w:rPr>
                    <w:t>2026.</w:t>
                  </w:r>
                  <w:r>
                    <w:rPr>
                      <w:rFonts w:hint="eastAsia" w:cs="Times New Roman"/>
                      <w:kern w:val="2"/>
                      <w:sz w:val="21"/>
                      <w:szCs w:val="21"/>
                      <w:lang w:val="en-US" w:eastAsia="zh-CN" w:bidi="ar"/>
                    </w:rPr>
                    <w:t>5.27</w:t>
                  </w:r>
                </w:p>
              </w:tc>
              <w:tc>
                <w:tcPr>
                  <w:tcW w:w="495" w:type="pct"/>
                  <w:tcBorders>
                    <w:tl2br w:val="nil"/>
                    <w:tr2bl w:val="nil"/>
                  </w:tcBorders>
                  <w:noWrap w:val="0"/>
                  <w:vAlign w:val="center"/>
                </w:tcPr>
                <w:p w14:paraId="43D4E81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55</w:t>
                  </w:r>
                </w:p>
              </w:tc>
              <w:tc>
                <w:tcPr>
                  <w:tcW w:w="497" w:type="pct"/>
                  <w:tcBorders>
                    <w:tl2br w:val="nil"/>
                    <w:tr2bl w:val="nil"/>
                  </w:tcBorders>
                  <w:noWrap w:val="0"/>
                  <w:vAlign w:val="center"/>
                </w:tcPr>
                <w:p w14:paraId="6F111EF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2"/>
                      <w:sz w:val="21"/>
                      <w:szCs w:val="21"/>
                      <w:lang w:val="en-US" w:eastAsia="zh-CN"/>
                    </w:rPr>
                    <w:t>45</w:t>
                  </w:r>
                </w:p>
              </w:tc>
              <w:tc>
                <w:tcPr>
                  <w:tcW w:w="495" w:type="pct"/>
                  <w:tcBorders>
                    <w:tl2br w:val="nil"/>
                    <w:tr2bl w:val="nil"/>
                  </w:tcBorders>
                  <w:noWrap w:val="0"/>
                  <w:vAlign w:val="center"/>
                </w:tcPr>
                <w:p w14:paraId="4109E62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60</w:t>
                  </w:r>
                </w:p>
              </w:tc>
              <w:tc>
                <w:tcPr>
                  <w:tcW w:w="497" w:type="pct"/>
                  <w:tcBorders>
                    <w:tl2br w:val="nil"/>
                    <w:tr2bl w:val="nil"/>
                  </w:tcBorders>
                  <w:noWrap w:val="0"/>
                  <w:vAlign w:val="center"/>
                </w:tcPr>
                <w:p w14:paraId="6C11CC8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50</w:t>
                  </w:r>
                </w:p>
              </w:tc>
              <w:tc>
                <w:tcPr>
                  <w:tcW w:w="496" w:type="pct"/>
                  <w:tcBorders>
                    <w:tl2br w:val="nil"/>
                    <w:tr2bl w:val="nil"/>
                  </w:tcBorders>
                  <w:noWrap w:val="0"/>
                  <w:vAlign w:val="center"/>
                </w:tcPr>
                <w:p w14:paraId="6954788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达标</w:t>
                  </w:r>
                </w:p>
              </w:tc>
              <w:tc>
                <w:tcPr>
                  <w:tcW w:w="497" w:type="pct"/>
                  <w:tcBorders>
                    <w:tl2br w:val="nil"/>
                    <w:tr2bl w:val="nil"/>
                  </w:tcBorders>
                  <w:noWrap w:val="0"/>
                  <w:vAlign w:val="center"/>
                </w:tcPr>
                <w:p w14:paraId="0EF2A55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达标</w:t>
                  </w:r>
                </w:p>
              </w:tc>
            </w:tr>
            <w:tr w14:paraId="2FD5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tcBorders>
                    <w:tl2br w:val="nil"/>
                    <w:tr2bl w:val="nil"/>
                  </w:tcBorders>
                  <w:noWrap w:val="0"/>
                  <w:vAlign w:val="center"/>
                </w:tcPr>
                <w:p w14:paraId="102D820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Cs/>
                      <w:kern w:val="2"/>
                      <w:sz w:val="21"/>
                      <w:szCs w:val="21"/>
                      <w:lang w:val="en-US"/>
                    </w:rPr>
                  </w:pPr>
                  <w:r>
                    <w:rPr>
                      <w:rFonts w:hint="default" w:ascii="Times New Roman" w:hAnsi="Times New Roman" w:eastAsia="宋体" w:cs="Times New Roman"/>
                      <w:bCs/>
                      <w:kern w:val="2"/>
                      <w:sz w:val="21"/>
                      <w:szCs w:val="21"/>
                      <w:lang w:val="en-US" w:eastAsia="zh-CN" w:bidi="ar"/>
                    </w:rPr>
                    <w:t>N2（项目南侧岳阳市第一中学</w:t>
                  </w:r>
                  <w:r>
                    <w:rPr>
                      <w:rFonts w:hint="default" w:ascii="Times New Roman" w:hAnsi="Times New Roman" w:cs="Times New Roman"/>
                      <w:kern w:val="2"/>
                      <w:sz w:val="21"/>
                      <w:szCs w:val="21"/>
                      <w:lang w:val="en-US" w:eastAsia="zh-CN" w:bidi="ar"/>
                    </w:rPr>
                    <w:t>）</w:t>
                  </w:r>
                </w:p>
              </w:tc>
              <w:tc>
                <w:tcPr>
                  <w:tcW w:w="672" w:type="pct"/>
                  <w:tcBorders>
                    <w:tl2br w:val="nil"/>
                    <w:tr2bl w:val="nil"/>
                  </w:tcBorders>
                  <w:noWrap w:val="0"/>
                  <w:vAlign w:val="center"/>
                </w:tcPr>
                <w:p w14:paraId="30DC3E9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lang w:val="en-US"/>
                    </w:rPr>
                  </w:pPr>
                  <w:r>
                    <w:rPr>
                      <w:rFonts w:hint="default" w:ascii="Times New Roman" w:hAnsi="Times New Roman" w:cs="Times New Roman"/>
                      <w:kern w:val="2"/>
                      <w:sz w:val="21"/>
                      <w:szCs w:val="21"/>
                      <w:lang w:val="en-US" w:eastAsia="zh-CN" w:bidi="ar"/>
                    </w:rPr>
                    <w:t>2026.</w:t>
                  </w:r>
                  <w:r>
                    <w:rPr>
                      <w:rFonts w:hint="eastAsia" w:cs="Times New Roman"/>
                      <w:kern w:val="2"/>
                      <w:sz w:val="21"/>
                      <w:szCs w:val="21"/>
                      <w:lang w:val="en-US" w:eastAsia="zh-CN" w:bidi="ar"/>
                    </w:rPr>
                    <w:t>5.27</w:t>
                  </w:r>
                </w:p>
              </w:tc>
              <w:tc>
                <w:tcPr>
                  <w:tcW w:w="495" w:type="pct"/>
                  <w:tcBorders>
                    <w:tl2br w:val="nil"/>
                    <w:tr2bl w:val="nil"/>
                  </w:tcBorders>
                  <w:noWrap w:val="0"/>
                  <w:vAlign w:val="center"/>
                </w:tcPr>
                <w:p w14:paraId="52E99CA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58</w:t>
                  </w:r>
                </w:p>
              </w:tc>
              <w:tc>
                <w:tcPr>
                  <w:tcW w:w="497" w:type="pct"/>
                  <w:tcBorders>
                    <w:tl2br w:val="nil"/>
                    <w:tr2bl w:val="nil"/>
                  </w:tcBorders>
                  <w:noWrap w:val="0"/>
                  <w:vAlign w:val="center"/>
                </w:tcPr>
                <w:p w14:paraId="2EE3285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kern w:val="2"/>
                      <w:sz w:val="21"/>
                      <w:szCs w:val="21"/>
                      <w:lang w:val="en-US" w:eastAsia="zh-CN"/>
                    </w:rPr>
                    <w:t>47</w:t>
                  </w:r>
                </w:p>
              </w:tc>
              <w:tc>
                <w:tcPr>
                  <w:tcW w:w="495" w:type="pct"/>
                  <w:tcBorders>
                    <w:tl2br w:val="nil"/>
                    <w:tr2bl w:val="nil"/>
                  </w:tcBorders>
                  <w:shd w:val="clear" w:color="auto" w:fill="auto"/>
                  <w:noWrap w:val="0"/>
                  <w:vAlign w:val="center"/>
                </w:tcPr>
                <w:p w14:paraId="29A4266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60</w:t>
                  </w:r>
                </w:p>
              </w:tc>
              <w:tc>
                <w:tcPr>
                  <w:tcW w:w="497" w:type="pct"/>
                  <w:tcBorders>
                    <w:tl2br w:val="nil"/>
                    <w:tr2bl w:val="nil"/>
                  </w:tcBorders>
                  <w:shd w:val="clear" w:color="auto" w:fill="auto"/>
                  <w:noWrap w:val="0"/>
                  <w:vAlign w:val="center"/>
                </w:tcPr>
                <w:p w14:paraId="3A2EDA04">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50</w:t>
                  </w:r>
                </w:p>
              </w:tc>
              <w:tc>
                <w:tcPr>
                  <w:tcW w:w="496" w:type="pct"/>
                  <w:tcBorders>
                    <w:tl2br w:val="nil"/>
                    <w:tr2bl w:val="nil"/>
                  </w:tcBorders>
                  <w:shd w:val="clear" w:color="auto" w:fill="auto"/>
                  <w:noWrap w:val="0"/>
                  <w:vAlign w:val="center"/>
                </w:tcPr>
                <w:p w14:paraId="1AEDA60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达标</w:t>
                  </w:r>
                </w:p>
              </w:tc>
              <w:tc>
                <w:tcPr>
                  <w:tcW w:w="497" w:type="pct"/>
                  <w:tcBorders>
                    <w:tl2br w:val="nil"/>
                    <w:tr2bl w:val="nil"/>
                  </w:tcBorders>
                  <w:shd w:val="clear" w:color="auto" w:fill="auto"/>
                  <w:noWrap w:val="0"/>
                  <w:vAlign w:val="center"/>
                </w:tcPr>
                <w:p w14:paraId="2F928266">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达标</w:t>
                  </w:r>
                </w:p>
              </w:tc>
            </w:tr>
            <w:tr w14:paraId="21E5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tcBorders>
                    <w:tl2br w:val="nil"/>
                    <w:tr2bl w:val="nil"/>
                  </w:tcBorders>
                  <w:shd w:val="clear" w:color="auto" w:fill="auto"/>
                  <w:noWrap w:val="0"/>
                  <w:vAlign w:val="center"/>
                </w:tcPr>
                <w:p w14:paraId="4306665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
                    </w:rPr>
                    <w:t>N1（项目西侧东洞庭湖管理局</w:t>
                  </w:r>
                  <w:r>
                    <w:rPr>
                      <w:rFonts w:hint="default" w:ascii="Times New Roman" w:hAnsi="Times New Roman" w:cs="Times New Roman"/>
                      <w:kern w:val="2"/>
                      <w:sz w:val="21"/>
                      <w:szCs w:val="21"/>
                      <w:lang w:val="en-US" w:eastAsia="zh-CN" w:bidi="ar"/>
                    </w:rPr>
                    <w:t>）</w:t>
                  </w:r>
                </w:p>
              </w:tc>
              <w:tc>
                <w:tcPr>
                  <w:tcW w:w="672" w:type="pct"/>
                  <w:tcBorders>
                    <w:tl2br w:val="nil"/>
                    <w:tr2bl w:val="nil"/>
                  </w:tcBorders>
                  <w:noWrap w:val="0"/>
                  <w:vAlign w:val="center"/>
                </w:tcPr>
                <w:p w14:paraId="08BB6E04">
                  <w:pPr>
                    <w:keepNext w:val="0"/>
                    <w:keepLines w:val="0"/>
                    <w:widowControl w:val="0"/>
                    <w:suppressLineNumbers w:val="0"/>
                    <w:spacing w:before="0" w:beforeAutospacing="0" w:after="0" w:afterAutospacing="0"/>
                    <w:ind w:left="0" w:right="0"/>
                    <w:jc w:val="center"/>
                    <w:rPr>
                      <w:rFonts w:hint="default" w:ascii="Times New Roman" w:hAnsi="Times New Roman" w:cs="Times New Roman"/>
                      <w:kern w:val="2"/>
                      <w:sz w:val="21"/>
                      <w:szCs w:val="21"/>
                      <w:lang w:val="en-US" w:eastAsia="zh-CN" w:bidi="ar"/>
                    </w:rPr>
                  </w:pPr>
                  <w:r>
                    <w:rPr>
                      <w:rFonts w:hint="default" w:ascii="Times New Roman" w:hAnsi="Times New Roman" w:cs="Times New Roman"/>
                      <w:kern w:val="2"/>
                      <w:sz w:val="21"/>
                      <w:szCs w:val="21"/>
                      <w:lang w:val="en-US" w:eastAsia="zh-CN" w:bidi="ar"/>
                    </w:rPr>
                    <w:t>2026.</w:t>
                  </w:r>
                  <w:r>
                    <w:rPr>
                      <w:rFonts w:hint="eastAsia" w:cs="Times New Roman"/>
                      <w:kern w:val="2"/>
                      <w:sz w:val="21"/>
                      <w:szCs w:val="21"/>
                      <w:lang w:val="en-US" w:eastAsia="zh-CN" w:bidi="ar"/>
                    </w:rPr>
                    <w:t>5.27</w:t>
                  </w:r>
                </w:p>
              </w:tc>
              <w:tc>
                <w:tcPr>
                  <w:tcW w:w="495" w:type="pct"/>
                  <w:tcBorders>
                    <w:tl2br w:val="nil"/>
                    <w:tr2bl w:val="nil"/>
                  </w:tcBorders>
                  <w:noWrap w:val="0"/>
                  <w:vAlign w:val="center"/>
                </w:tcPr>
                <w:p w14:paraId="280573ED">
                  <w:pPr>
                    <w:keepNext w:val="0"/>
                    <w:keepLines w:val="0"/>
                    <w:widowControl w:val="0"/>
                    <w:suppressLineNumbers w:val="0"/>
                    <w:spacing w:before="0" w:beforeAutospacing="0" w:after="0" w:afterAutospacing="0"/>
                    <w:ind w:left="0" w:right="0"/>
                    <w:jc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58</w:t>
                  </w:r>
                </w:p>
              </w:tc>
              <w:tc>
                <w:tcPr>
                  <w:tcW w:w="497" w:type="pct"/>
                  <w:tcBorders>
                    <w:tl2br w:val="nil"/>
                    <w:tr2bl w:val="nil"/>
                  </w:tcBorders>
                  <w:noWrap w:val="0"/>
                  <w:vAlign w:val="center"/>
                </w:tcPr>
                <w:p w14:paraId="264543BF">
                  <w:pPr>
                    <w:keepNext w:val="0"/>
                    <w:keepLines w:val="0"/>
                    <w:widowControl w:val="0"/>
                    <w:suppressLineNumbers w:val="0"/>
                    <w:spacing w:before="0" w:beforeAutospacing="0" w:after="0" w:afterAutospacing="0"/>
                    <w:ind w:left="0" w:right="0"/>
                    <w:jc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48</w:t>
                  </w:r>
                </w:p>
              </w:tc>
              <w:tc>
                <w:tcPr>
                  <w:tcW w:w="495" w:type="pct"/>
                  <w:tcBorders>
                    <w:tl2br w:val="nil"/>
                    <w:tr2bl w:val="nil"/>
                  </w:tcBorders>
                  <w:shd w:val="clear" w:color="auto" w:fill="auto"/>
                  <w:noWrap w:val="0"/>
                  <w:vAlign w:val="center"/>
                </w:tcPr>
                <w:p w14:paraId="1D8AB7A8">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60</w:t>
                  </w:r>
                </w:p>
              </w:tc>
              <w:tc>
                <w:tcPr>
                  <w:tcW w:w="497" w:type="pct"/>
                  <w:tcBorders>
                    <w:tl2br w:val="nil"/>
                    <w:tr2bl w:val="nil"/>
                  </w:tcBorders>
                  <w:shd w:val="clear" w:color="auto" w:fill="auto"/>
                  <w:noWrap w:val="0"/>
                  <w:vAlign w:val="center"/>
                </w:tcPr>
                <w:p w14:paraId="791ACA0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50</w:t>
                  </w:r>
                </w:p>
              </w:tc>
              <w:tc>
                <w:tcPr>
                  <w:tcW w:w="496" w:type="pct"/>
                  <w:tcBorders>
                    <w:tl2br w:val="nil"/>
                    <w:tr2bl w:val="nil"/>
                  </w:tcBorders>
                  <w:shd w:val="clear" w:color="auto" w:fill="auto"/>
                  <w:noWrap w:val="0"/>
                  <w:vAlign w:val="center"/>
                </w:tcPr>
                <w:p w14:paraId="6549DD7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达标</w:t>
                  </w:r>
                </w:p>
              </w:tc>
              <w:tc>
                <w:tcPr>
                  <w:tcW w:w="497" w:type="pct"/>
                  <w:tcBorders>
                    <w:tl2br w:val="nil"/>
                    <w:tr2bl w:val="nil"/>
                  </w:tcBorders>
                  <w:shd w:val="clear" w:color="auto" w:fill="auto"/>
                  <w:noWrap w:val="0"/>
                  <w:vAlign w:val="center"/>
                </w:tcPr>
                <w:p w14:paraId="0F666BA2">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达标</w:t>
                  </w:r>
                </w:p>
              </w:tc>
            </w:tr>
            <w:tr w14:paraId="0DBD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pct"/>
                  <w:tcBorders>
                    <w:tl2br w:val="nil"/>
                    <w:tr2bl w:val="nil"/>
                  </w:tcBorders>
                  <w:shd w:val="clear" w:color="auto" w:fill="auto"/>
                  <w:noWrap w:val="0"/>
                  <w:vAlign w:val="center"/>
                </w:tcPr>
                <w:p w14:paraId="13B3484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
                    </w:rPr>
                    <w:t>N2（厂界北侧洞庭书香苑</w:t>
                  </w:r>
                  <w:r>
                    <w:rPr>
                      <w:rFonts w:hint="default" w:ascii="Times New Roman" w:hAnsi="Times New Roman" w:cs="Times New Roman"/>
                      <w:kern w:val="2"/>
                      <w:sz w:val="21"/>
                      <w:szCs w:val="21"/>
                      <w:lang w:val="en-US" w:eastAsia="zh-CN" w:bidi="ar"/>
                    </w:rPr>
                    <w:t>）</w:t>
                  </w:r>
                </w:p>
              </w:tc>
              <w:tc>
                <w:tcPr>
                  <w:tcW w:w="672" w:type="pct"/>
                  <w:tcBorders>
                    <w:tl2br w:val="nil"/>
                    <w:tr2bl w:val="nil"/>
                  </w:tcBorders>
                  <w:noWrap w:val="0"/>
                  <w:vAlign w:val="center"/>
                </w:tcPr>
                <w:p w14:paraId="1C006037">
                  <w:pPr>
                    <w:keepNext w:val="0"/>
                    <w:keepLines w:val="0"/>
                    <w:widowControl w:val="0"/>
                    <w:suppressLineNumbers w:val="0"/>
                    <w:spacing w:before="0" w:beforeAutospacing="0" w:after="0" w:afterAutospacing="0"/>
                    <w:ind w:left="0" w:right="0"/>
                    <w:jc w:val="center"/>
                    <w:rPr>
                      <w:rFonts w:hint="default" w:ascii="Times New Roman" w:hAnsi="Times New Roman" w:cs="Times New Roman"/>
                      <w:kern w:val="2"/>
                      <w:sz w:val="21"/>
                      <w:szCs w:val="21"/>
                      <w:lang w:val="en-US" w:eastAsia="zh-CN" w:bidi="ar"/>
                    </w:rPr>
                  </w:pPr>
                  <w:r>
                    <w:rPr>
                      <w:rFonts w:hint="default" w:ascii="Times New Roman" w:hAnsi="Times New Roman" w:cs="Times New Roman"/>
                      <w:kern w:val="2"/>
                      <w:sz w:val="21"/>
                      <w:szCs w:val="21"/>
                      <w:lang w:val="en-US" w:eastAsia="zh-CN" w:bidi="ar"/>
                    </w:rPr>
                    <w:t>2026.</w:t>
                  </w:r>
                  <w:r>
                    <w:rPr>
                      <w:rFonts w:hint="eastAsia" w:cs="Times New Roman"/>
                      <w:kern w:val="2"/>
                      <w:sz w:val="21"/>
                      <w:szCs w:val="21"/>
                      <w:lang w:val="en-US" w:eastAsia="zh-CN" w:bidi="ar"/>
                    </w:rPr>
                    <w:t>5.27</w:t>
                  </w:r>
                </w:p>
              </w:tc>
              <w:tc>
                <w:tcPr>
                  <w:tcW w:w="495" w:type="pct"/>
                  <w:tcBorders>
                    <w:tl2br w:val="nil"/>
                    <w:tr2bl w:val="nil"/>
                  </w:tcBorders>
                  <w:noWrap w:val="0"/>
                  <w:vAlign w:val="center"/>
                </w:tcPr>
                <w:p w14:paraId="19B7F1B5">
                  <w:pPr>
                    <w:keepNext w:val="0"/>
                    <w:keepLines w:val="0"/>
                    <w:widowControl w:val="0"/>
                    <w:suppressLineNumbers w:val="0"/>
                    <w:spacing w:before="0" w:beforeAutospacing="0" w:after="0" w:afterAutospacing="0"/>
                    <w:ind w:left="0" w:right="0"/>
                    <w:jc w:val="center"/>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53</w:t>
                  </w:r>
                </w:p>
              </w:tc>
              <w:tc>
                <w:tcPr>
                  <w:tcW w:w="497" w:type="pct"/>
                  <w:tcBorders>
                    <w:tl2br w:val="nil"/>
                    <w:tr2bl w:val="nil"/>
                  </w:tcBorders>
                  <w:noWrap w:val="0"/>
                  <w:vAlign w:val="center"/>
                </w:tcPr>
                <w:p w14:paraId="3315481F">
                  <w:pPr>
                    <w:pStyle w:val="49"/>
                    <w:widowControl/>
                    <w:autoSpaceDE/>
                    <w:autoSpaceDN w:val="0"/>
                    <w:rPr>
                      <w:rFonts w:hint="default" w:ascii="Times New Roman" w:hAnsi="Times New Roman" w:cs="Times New Roman"/>
                      <w:kern w:val="2"/>
                      <w:sz w:val="21"/>
                      <w:szCs w:val="21"/>
                      <w:lang w:val="en-US" w:eastAsia="zh-CN"/>
                    </w:rPr>
                  </w:pPr>
                  <w:r>
                    <w:rPr>
                      <w:rFonts w:hint="default" w:ascii="Times New Roman" w:hAnsi="Times New Roman" w:cs="Times New Roman"/>
                      <w:kern w:val="2"/>
                      <w:sz w:val="21"/>
                      <w:szCs w:val="21"/>
                      <w:lang w:val="en-US" w:eastAsia="zh-CN"/>
                    </w:rPr>
                    <w:t>44</w:t>
                  </w:r>
                </w:p>
              </w:tc>
              <w:tc>
                <w:tcPr>
                  <w:tcW w:w="495" w:type="pct"/>
                  <w:tcBorders>
                    <w:tl2br w:val="nil"/>
                    <w:tr2bl w:val="nil"/>
                  </w:tcBorders>
                  <w:shd w:val="clear" w:color="auto" w:fill="auto"/>
                  <w:noWrap w:val="0"/>
                  <w:vAlign w:val="center"/>
                </w:tcPr>
                <w:p w14:paraId="6F1FDAC4">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60</w:t>
                  </w:r>
                </w:p>
              </w:tc>
              <w:tc>
                <w:tcPr>
                  <w:tcW w:w="497" w:type="pct"/>
                  <w:tcBorders>
                    <w:tl2br w:val="nil"/>
                    <w:tr2bl w:val="nil"/>
                  </w:tcBorders>
                  <w:shd w:val="clear" w:color="auto" w:fill="auto"/>
                  <w:noWrap w:val="0"/>
                  <w:vAlign w:val="center"/>
                </w:tcPr>
                <w:p w14:paraId="3A818EB9">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50</w:t>
                  </w:r>
                </w:p>
              </w:tc>
              <w:tc>
                <w:tcPr>
                  <w:tcW w:w="496" w:type="pct"/>
                  <w:tcBorders>
                    <w:tl2br w:val="nil"/>
                    <w:tr2bl w:val="nil"/>
                  </w:tcBorders>
                  <w:shd w:val="clear" w:color="auto" w:fill="auto"/>
                  <w:noWrap w:val="0"/>
                  <w:vAlign w:val="center"/>
                </w:tcPr>
                <w:p w14:paraId="0C70521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达标</w:t>
                  </w:r>
                </w:p>
              </w:tc>
              <w:tc>
                <w:tcPr>
                  <w:tcW w:w="497" w:type="pct"/>
                  <w:tcBorders>
                    <w:tl2br w:val="nil"/>
                    <w:tr2bl w:val="nil"/>
                  </w:tcBorders>
                  <w:shd w:val="clear" w:color="auto" w:fill="auto"/>
                  <w:noWrap w:val="0"/>
                  <w:vAlign w:val="center"/>
                </w:tcPr>
                <w:p w14:paraId="57C5FD68">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
                    </w:rPr>
                    <w:t>达标</w:t>
                  </w:r>
                </w:p>
              </w:tc>
            </w:tr>
          </w:tbl>
          <w:p w14:paraId="58D88302">
            <w:pPr>
              <w:spacing w:line="360" w:lineRule="auto"/>
              <w:ind w:firstLine="480" w:firstLineChars="200"/>
              <w:rPr>
                <w:rFonts w:hint="default" w:ascii="Times New Roman" w:hAnsi="Times New Roman" w:cs="Times New Roman"/>
                <w:color w:val="auto"/>
                <w:sz w:val="24"/>
                <w:szCs w:val="32"/>
                <w:u w:val="none"/>
              </w:rPr>
            </w:pPr>
            <w:r>
              <w:rPr>
                <w:rFonts w:hint="default" w:ascii="Times New Roman" w:hAnsi="Times New Roman" w:cs="Times New Roman"/>
                <w:color w:val="auto"/>
                <w:sz w:val="24"/>
                <w:szCs w:val="32"/>
                <w:u w:val="none"/>
              </w:rPr>
              <w:t>通过以上现状声环境保护目标处监测结果可知，项目所在地周边现状声环境保护目标处现状声环境监测结果达到《声环境质量标准》（GB3096-2008）中</w:t>
            </w:r>
            <w:r>
              <w:rPr>
                <w:rFonts w:hint="default" w:ascii="Times New Roman" w:hAnsi="Times New Roman" w:cs="Times New Roman"/>
                <w:color w:val="auto"/>
                <w:sz w:val="24"/>
                <w:szCs w:val="32"/>
                <w:u w:val="none"/>
                <w:lang w:val="en-US" w:eastAsia="zh-CN"/>
              </w:rPr>
              <w:t>相关</w:t>
            </w:r>
            <w:r>
              <w:rPr>
                <w:rFonts w:hint="default" w:ascii="Times New Roman" w:hAnsi="Times New Roman" w:cs="Times New Roman"/>
                <w:color w:val="auto"/>
                <w:sz w:val="24"/>
                <w:szCs w:val="32"/>
                <w:u w:val="none"/>
              </w:rPr>
              <w:t>标准要求。</w:t>
            </w:r>
          </w:p>
          <w:p w14:paraId="4FA3C9B6">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四、地下水、土壤环境质量现状</w:t>
            </w:r>
          </w:p>
          <w:p w14:paraId="1F0753EB">
            <w:pPr>
              <w:spacing w:line="360" w:lineRule="auto"/>
              <w:ind w:firstLine="480" w:firstLineChars="200"/>
              <w:rPr>
                <w:rFonts w:hint="default" w:ascii="Times New Roman" w:hAnsi="Times New Roman" w:cs="Times New Roman"/>
                <w:color w:val="auto"/>
                <w:sz w:val="24"/>
                <w:szCs w:val="32"/>
                <w:u w:val="none"/>
              </w:rPr>
            </w:pPr>
            <w:r>
              <w:rPr>
                <w:rFonts w:hint="default" w:ascii="Times New Roman" w:hAnsi="Times New Roman" w:cs="Times New Roman"/>
                <w:color w:val="auto"/>
                <w:sz w:val="24"/>
                <w:szCs w:val="32"/>
                <w:u w:val="none"/>
              </w:rPr>
              <w:t>本项目</w:t>
            </w:r>
            <w:r>
              <w:rPr>
                <w:rFonts w:hint="eastAsia" w:cs="Times New Roman"/>
                <w:color w:val="auto"/>
                <w:sz w:val="24"/>
                <w:szCs w:val="32"/>
                <w:u w:val="none"/>
                <w:lang w:val="en-US" w:eastAsia="zh-CN"/>
              </w:rPr>
              <w:t>行业类别</w:t>
            </w:r>
            <w:r>
              <w:rPr>
                <w:rFonts w:hint="default" w:ascii="Times New Roman" w:hAnsi="Times New Roman" w:cs="Times New Roman"/>
                <w:color w:val="auto"/>
                <w:sz w:val="24"/>
                <w:szCs w:val="32"/>
                <w:u w:val="none"/>
              </w:rPr>
              <w:t>为</w:t>
            </w:r>
            <w:r>
              <w:rPr>
                <w:rFonts w:hint="eastAsia" w:cs="Times New Roman"/>
                <w:color w:val="auto"/>
                <w:sz w:val="24"/>
                <w:szCs w:val="32"/>
                <w:u w:val="none"/>
                <w:lang w:val="en-US" w:eastAsia="zh-CN"/>
              </w:rPr>
              <w:t>自来水生产和供应工程</w:t>
            </w:r>
            <w:r>
              <w:rPr>
                <w:rFonts w:hint="default" w:ascii="Times New Roman" w:hAnsi="Times New Roman" w:cs="Times New Roman"/>
                <w:color w:val="auto"/>
                <w:sz w:val="24"/>
                <w:szCs w:val="32"/>
                <w:u w:val="none"/>
              </w:rPr>
              <w:t>，</w:t>
            </w:r>
            <w:r>
              <w:rPr>
                <w:rFonts w:hint="default" w:ascii="Times New Roman" w:hAnsi="Times New Roman" w:cs="Times New Roman"/>
                <w:color w:val="auto"/>
                <w:sz w:val="24"/>
                <w:szCs w:val="32"/>
                <w:u w:val="none"/>
                <w:lang w:val="en-US" w:eastAsia="zh-CN"/>
              </w:rPr>
              <w:t>环评类别为报告表，参照</w:t>
            </w:r>
            <w:r>
              <w:rPr>
                <w:rFonts w:hint="default" w:ascii="Times New Roman" w:hAnsi="Times New Roman" w:cs="Times New Roman"/>
                <w:color w:val="auto"/>
                <w:sz w:val="24"/>
                <w:szCs w:val="32"/>
                <w:u w:val="none"/>
              </w:rPr>
              <w:t>《环境影响评价技术导则 地下水环境》（HJ610-2016）附录A</w:t>
            </w:r>
            <w:r>
              <w:rPr>
                <w:rFonts w:hint="eastAsia" w:cs="Times New Roman"/>
                <w:color w:val="auto"/>
                <w:sz w:val="24"/>
                <w:szCs w:val="32"/>
                <w:u w:val="none"/>
                <w:lang w:val="en-US" w:eastAsia="zh-CN"/>
              </w:rPr>
              <w:t>有关规定要求</w:t>
            </w:r>
            <w:r>
              <w:rPr>
                <w:rFonts w:hint="default" w:ascii="Times New Roman" w:hAnsi="Times New Roman" w:cs="Times New Roman"/>
                <w:color w:val="auto"/>
                <w:sz w:val="24"/>
                <w:szCs w:val="32"/>
                <w:u w:val="none"/>
              </w:rPr>
              <w:t>，</w:t>
            </w:r>
            <w:r>
              <w:rPr>
                <w:rFonts w:hint="default" w:ascii="Times New Roman" w:hAnsi="Times New Roman" w:cs="Times New Roman"/>
                <w:color w:val="auto"/>
                <w:sz w:val="24"/>
                <w:szCs w:val="32"/>
                <w:u w:val="none"/>
                <w:lang w:val="en-US" w:eastAsia="zh-CN"/>
              </w:rPr>
              <w:t>本项目</w:t>
            </w:r>
            <w:r>
              <w:rPr>
                <w:rFonts w:hint="default" w:ascii="Times New Roman" w:hAnsi="Times New Roman" w:cs="Times New Roman"/>
                <w:color w:val="auto"/>
                <w:sz w:val="24"/>
                <w:szCs w:val="32"/>
                <w:u w:val="none"/>
              </w:rPr>
              <w:t>可不开展地下水环境影响评价工作。</w:t>
            </w:r>
          </w:p>
          <w:p w14:paraId="11CAE936">
            <w:pPr>
              <w:spacing w:line="360" w:lineRule="auto"/>
              <w:ind w:firstLine="480" w:firstLineChars="200"/>
              <w:rPr>
                <w:rFonts w:hint="default" w:ascii="Times New Roman" w:hAnsi="Times New Roman" w:cs="Times New Roman"/>
                <w:color w:val="auto"/>
                <w:sz w:val="24"/>
                <w:szCs w:val="32"/>
                <w:u w:val="none"/>
              </w:rPr>
            </w:pPr>
            <w:r>
              <w:rPr>
                <w:rFonts w:hint="default" w:ascii="Times New Roman" w:hAnsi="Times New Roman" w:cs="Times New Roman"/>
                <w:color w:val="auto"/>
                <w:sz w:val="24"/>
                <w:szCs w:val="32"/>
                <w:u w:val="none"/>
              </w:rPr>
              <w:t>根据《环境影响评价技术导则 土壤环境（试行）》(HJ964-2018）附录A</w:t>
            </w:r>
            <w:r>
              <w:rPr>
                <w:rFonts w:hint="eastAsia" w:cs="Times New Roman"/>
                <w:color w:val="auto"/>
                <w:sz w:val="24"/>
                <w:szCs w:val="32"/>
                <w:u w:val="none"/>
                <w:lang w:val="en-US" w:eastAsia="zh-CN"/>
              </w:rPr>
              <w:t>.1</w:t>
            </w:r>
            <w:r>
              <w:rPr>
                <w:rFonts w:hint="default" w:ascii="Times New Roman" w:hAnsi="Times New Roman" w:cs="Times New Roman"/>
                <w:color w:val="auto"/>
                <w:sz w:val="24"/>
                <w:szCs w:val="32"/>
                <w:u w:val="none"/>
              </w:rPr>
              <w:t>，本项目为Ⅳ类项目，</w:t>
            </w:r>
            <w:r>
              <w:rPr>
                <w:rFonts w:hint="default" w:ascii="Times New Roman" w:hAnsi="Times New Roman" w:cs="Times New Roman"/>
                <w:color w:val="auto"/>
                <w:sz w:val="24"/>
                <w:szCs w:val="32"/>
                <w:u w:val="none"/>
                <w:lang w:val="en-US" w:eastAsia="zh-CN"/>
              </w:rPr>
              <w:t>因此本项目</w:t>
            </w:r>
            <w:r>
              <w:rPr>
                <w:rFonts w:hint="default" w:ascii="Times New Roman" w:hAnsi="Times New Roman" w:cs="Times New Roman"/>
                <w:color w:val="auto"/>
                <w:sz w:val="24"/>
                <w:szCs w:val="32"/>
                <w:u w:val="none"/>
              </w:rPr>
              <w:t>可不开展土壤环境影响评价工作。</w:t>
            </w:r>
          </w:p>
          <w:p w14:paraId="51A1DC5F">
            <w:pPr>
              <w:spacing w:line="360" w:lineRule="auto"/>
              <w:ind w:firstLine="480" w:firstLineChars="200"/>
              <w:rPr>
                <w:rFonts w:hint="eastAsia" w:ascii="Times New Roman" w:hAnsi="Times New Roman" w:cs="Times New Roman"/>
                <w:color w:val="auto"/>
                <w:sz w:val="24"/>
                <w:szCs w:val="32"/>
                <w:u w:val="none"/>
              </w:rPr>
            </w:pPr>
            <w:r>
              <w:rPr>
                <w:rFonts w:hint="eastAsia" w:ascii="Times New Roman" w:hAnsi="Times New Roman" w:cs="Times New Roman"/>
                <w:color w:val="auto"/>
                <w:sz w:val="24"/>
                <w:szCs w:val="32"/>
                <w:u w:val="none"/>
                <w:lang w:val="en-US" w:eastAsia="zh-CN"/>
              </w:rPr>
              <w:t>建设单位落实好本次评价提出的各项措施，且项目运营期间</w:t>
            </w:r>
            <w:r>
              <w:rPr>
                <w:rFonts w:hint="eastAsia" w:ascii="Times New Roman" w:hAnsi="Times New Roman" w:cs="Times New Roman"/>
                <w:color w:val="auto"/>
                <w:sz w:val="24"/>
                <w:szCs w:val="32"/>
                <w:u w:val="none"/>
              </w:rPr>
              <w:t>车间地面</w:t>
            </w:r>
            <w:r>
              <w:rPr>
                <w:rFonts w:hint="eastAsia" w:ascii="Times New Roman" w:hAnsi="Times New Roman" w:cs="Times New Roman"/>
                <w:color w:val="auto"/>
                <w:sz w:val="24"/>
                <w:szCs w:val="32"/>
                <w:u w:val="none"/>
                <w:lang w:val="en-US" w:eastAsia="zh-CN"/>
              </w:rPr>
              <w:t>进行</w:t>
            </w:r>
            <w:r>
              <w:rPr>
                <w:rFonts w:hint="eastAsia" w:ascii="Times New Roman" w:hAnsi="Times New Roman" w:cs="Times New Roman"/>
                <w:color w:val="auto"/>
                <w:sz w:val="24"/>
                <w:szCs w:val="32"/>
                <w:u w:val="none"/>
              </w:rPr>
              <w:t>硬化</w:t>
            </w:r>
            <w:r>
              <w:rPr>
                <w:rFonts w:hint="eastAsia" w:ascii="Times New Roman" w:hAnsi="Times New Roman" w:cs="Times New Roman"/>
                <w:color w:val="auto"/>
                <w:sz w:val="24"/>
                <w:szCs w:val="32"/>
                <w:u w:val="none"/>
                <w:lang w:eastAsia="zh-CN"/>
              </w:rPr>
              <w:t>、</w:t>
            </w:r>
            <w:r>
              <w:rPr>
                <w:rFonts w:hint="eastAsia" w:ascii="Times New Roman" w:hAnsi="Times New Roman" w:cs="Times New Roman"/>
                <w:color w:val="auto"/>
                <w:sz w:val="24"/>
                <w:szCs w:val="32"/>
                <w:u w:val="none"/>
                <w:lang w:val="en-US" w:eastAsia="zh-CN"/>
              </w:rPr>
              <w:t>每个储罐区域设置围堰和防渗</w:t>
            </w:r>
            <w:r>
              <w:rPr>
                <w:rFonts w:hint="eastAsia" w:ascii="Times New Roman" w:hAnsi="Times New Roman" w:cs="Times New Roman"/>
                <w:color w:val="auto"/>
                <w:sz w:val="24"/>
                <w:szCs w:val="32"/>
                <w:u w:val="none"/>
              </w:rPr>
              <w:t>，</w:t>
            </w:r>
            <w:r>
              <w:rPr>
                <w:rFonts w:hint="eastAsia" w:ascii="Times New Roman" w:hAnsi="Times New Roman" w:cs="Times New Roman"/>
                <w:color w:val="auto"/>
                <w:sz w:val="24"/>
                <w:szCs w:val="32"/>
                <w:u w:val="none"/>
                <w:lang w:val="en-US" w:eastAsia="zh-CN"/>
              </w:rPr>
              <w:t>因此</w:t>
            </w:r>
            <w:r>
              <w:rPr>
                <w:rFonts w:hint="eastAsia" w:ascii="Times New Roman" w:hAnsi="Times New Roman" w:cs="Times New Roman"/>
                <w:color w:val="auto"/>
                <w:sz w:val="24"/>
                <w:szCs w:val="32"/>
                <w:u w:val="none"/>
              </w:rPr>
              <w:t>不存在土壤、地下水环境污染途径。</w:t>
            </w:r>
          </w:p>
          <w:p w14:paraId="14AF3AD2">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五、生态环境</w:t>
            </w:r>
          </w:p>
          <w:p w14:paraId="3ADE6072">
            <w:pPr>
              <w:spacing w:line="360" w:lineRule="auto"/>
              <w:ind w:firstLine="480" w:firstLineChars="200"/>
              <w:rPr>
                <w:rFonts w:hint="default" w:ascii="Times New Roman" w:hAnsi="Times New Roman" w:cs="Times New Roman"/>
              </w:rPr>
            </w:pPr>
            <w:r>
              <w:rPr>
                <w:rFonts w:hint="default" w:ascii="Times New Roman" w:hAnsi="Times New Roman" w:cs="Times New Roman"/>
                <w:color w:val="auto"/>
                <w:sz w:val="24"/>
                <w:szCs w:val="32"/>
                <w:u w:val="none"/>
              </w:rPr>
              <w:t>项目所在用地区域属于片区历史形成</w:t>
            </w:r>
            <w:r>
              <w:rPr>
                <w:rFonts w:hint="eastAsia" w:cs="Times New Roman"/>
                <w:color w:val="auto"/>
                <w:sz w:val="24"/>
                <w:szCs w:val="32"/>
                <w:u w:val="none"/>
                <w:lang w:val="en-US" w:eastAsia="zh-CN"/>
              </w:rPr>
              <w:t>岳阳市老城区</w:t>
            </w:r>
            <w:r>
              <w:rPr>
                <w:rFonts w:hint="default" w:ascii="Times New Roman" w:hAnsi="Times New Roman" w:cs="Times New Roman"/>
                <w:color w:val="auto"/>
                <w:sz w:val="24"/>
                <w:szCs w:val="32"/>
                <w:u w:val="none"/>
              </w:rPr>
              <w:t>，本项目</w:t>
            </w:r>
            <w:r>
              <w:rPr>
                <w:rFonts w:hint="eastAsia" w:cs="Times New Roman"/>
                <w:color w:val="auto"/>
                <w:sz w:val="24"/>
                <w:szCs w:val="32"/>
                <w:u w:val="none"/>
                <w:lang w:val="en-US" w:eastAsia="zh-CN"/>
              </w:rPr>
              <w:t>属于补办环评</w:t>
            </w:r>
            <w:r>
              <w:rPr>
                <w:rFonts w:hint="default" w:ascii="Times New Roman" w:hAnsi="Times New Roman" w:cs="Times New Roman"/>
                <w:color w:val="auto"/>
                <w:sz w:val="24"/>
                <w:szCs w:val="32"/>
                <w:u w:val="none"/>
              </w:rPr>
              <w:t>，</w:t>
            </w:r>
            <w:r>
              <w:rPr>
                <w:rFonts w:hint="eastAsia" w:cs="Times New Roman"/>
                <w:color w:val="auto"/>
                <w:sz w:val="24"/>
                <w:szCs w:val="32"/>
                <w:u w:val="none"/>
                <w:lang w:val="en-US" w:eastAsia="zh-CN"/>
              </w:rPr>
              <w:t>现有厂区建成年份较早，本次项目</w:t>
            </w:r>
            <w:r>
              <w:rPr>
                <w:rFonts w:hint="default" w:ascii="Times New Roman" w:hAnsi="Times New Roman" w:cs="Times New Roman"/>
                <w:color w:val="auto"/>
                <w:sz w:val="24"/>
                <w:szCs w:val="32"/>
                <w:u w:val="none"/>
              </w:rPr>
              <w:t>无新增用地区域。项目周边由于受人为活动的开发和破坏，地表植被已无原生植被，主要为人工植被。项目所在片区周边植物种类单一，主要有灌木林、草坪等人工种植植被；生态环境一般。</w:t>
            </w:r>
            <w:r>
              <w:rPr>
                <w:rFonts w:hint="eastAsia" w:cs="Times New Roman"/>
                <w:color w:val="auto"/>
                <w:sz w:val="24"/>
                <w:szCs w:val="32"/>
                <w:u w:val="none"/>
                <w:lang w:val="en-US" w:eastAsia="zh-CN"/>
              </w:rPr>
              <w:t>项目所在</w:t>
            </w:r>
            <w:r>
              <w:rPr>
                <w:rFonts w:hint="default" w:ascii="Times New Roman" w:hAnsi="Times New Roman" w:cs="Times New Roman"/>
                <w:color w:val="auto"/>
                <w:sz w:val="24"/>
                <w:szCs w:val="32"/>
                <w:u w:val="none"/>
              </w:rPr>
              <w:t>区域及其周边为典型的城市人工生态环境，目前植被主要为人工草皮及灌木，物种较为单一，生态稳定性较差。根据现场踏勘，本项目区域内未发现野生珍稀动植物物种。</w:t>
            </w:r>
          </w:p>
        </w:tc>
      </w:tr>
      <w:tr w14:paraId="0D1732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noWrap w:val="0"/>
            <w:vAlign w:val="center"/>
          </w:tcPr>
          <w:p w14:paraId="14BEA0FD">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环境</w:t>
            </w:r>
          </w:p>
          <w:p w14:paraId="00399A7F">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保护</w:t>
            </w:r>
          </w:p>
          <w:p w14:paraId="61C317F5">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目标</w:t>
            </w:r>
          </w:p>
        </w:tc>
        <w:tc>
          <w:tcPr>
            <w:tcW w:w="8190" w:type="dxa"/>
            <w:noWrap w:val="0"/>
            <w:vAlign w:val="center"/>
          </w:tcPr>
          <w:p w14:paraId="3DCEBC03">
            <w:pPr>
              <w:spacing w:line="360" w:lineRule="auto"/>
              <w:ind w:firstLine="480" w:firstLineChars="200"/>
              <w:rPr>
                <w:rFonts w:hint="default" w:ascii="Times New Roman" w:hAnsi="Times New Roman" w:cs="Times New Roman"/>
                <w:color w:val="auto"/>
                <w:sz w:val="24"/>
                <w:szCs w:val="32"/>
                <w:u w:val="none"/>
              </w:rPr>
            </w:pPr>
            <w:r>
              <w:rPr>
                <w:rFonts w:hint="default" w:ascii="Times New Roman" w:hAnsi="Times New Roman" w:cs="Times New Roman"/>
                <w:color w:val="auto"/>
                <w:sz w:val="24"/>
                <w:szCs w:val="32"/>
                <w:u w:val="none"/>
              </w:rPr>
              <w:t>通过对项目周边环境的勘查，评价范围内无自然保护区、</w:t>
            </w:r>
            <w:r>
              <w:rPr>
                <w:rFonts w:hint="eastAsia" w:ascii="Times New Roman" w:hAnsi="Times New Roman" w:cs="Times New Roman"/>
                <w:color w:val="auto"/>
                <w:sz w:val="24"/>
                <w:szCs w:val="32"/>
                <w:u w:val="none"/>
                <w:lang w:val="en-US" w:eastAsia="zh-CN"/>
              </w:rPr>
              <w:t>森林公园</w:t>
            </w:r>
            <w:r>
              <w:rPr>
                <w:rFonts w:hint="default" w:ascii="Times New Roman" w:hAnsi="Times New Roman" w:cs="Times New Roman"/>
                <w:color w:val="auto"/>
                <w:sz w:val="24"/>
                <w:szCs w:val="32"/>
                <w:u w:val="none"/>
              </w:rPr>
              <w:t>等需要特殊保护的环境敏感对象</w:t>
            </w:r>
            <w:r>
              <w:rPr>
                <w:rFonts w:hint="eastAsia" w:cs="Times New Roman"/>
                <w:color w:val="auto"/>
                <w:sz w:val="24"/>
                <w:szCs w:val="32"/>
                <w:u w:val="none"/>
                <w:lang w:eastAsia="zh-CN"/>
              </w:rPr>
              <w:t>，</w:t>
            </w:r>
            <w:r>
              <w:rPr>
                <w:rFonts w:hint="eastAsia" w:cs="Times New Roman"/>
                <w:color w:val="auto"/>
                <w:sz w:val="24"/>
                <w:szCs w:val="32"/>
                <w:u w:val="none"/>
                <w:lang w:val="en-US" w:eastAsia="zh-CN"/>
              </w:rPr>
              <w:t>距离较近的生态环境敏感区主要为洞庭湖-岳阳楼国家级风景名胜区-岳阳楼景区，处于本项目厂界南侧370~920米处</w:t>
            </w:r>
            <w:r>
              <w:rPr>
                <w:rFonts w:hint="default" w:ascii="Times New Roman" w:hAnsi="Times New Roman" w:cs="Times New Roman"/>
                <w:color w:val="auto"/>
                <w:sz w:val="24"/>
                <w:szCs w:val="32"/>
                <w:u w:val="none"/>
              </w:rPr>
              <w:t>。根据现场调查情况并结合卫星地图等资料分析，本项目</w:t>
            </w:r>
            <w:r>
              <w:rPr>
                <w:rFonts w:hint="eastAsia" w:ascii="Times New Roman" w:hAnsi="Times New Roman" w:cs="Times New Roman"/>
                <w:color w:val="auto"/>
                <w:sz w:val="24"/>
                <w:szCs w:val="32"/>
                <w:u w:val="none"/>
                <w:lang w:val="en-US" w:eastAsia="zh-CN"/>
              </w:rPr>
              <w:t>周边</w:t>
            </w:r>
            <w:r>
              <w:rPr>
                <w:rFonts w:hint="default" w:ascii="Times New Roman" w:hAnsi="Times New Roman" w:cs="Times New Roman"/>
                <w:color w:val="auto"/>
                <w:sz w:val="24"/>
                <w:szCs w:val="32"/>
                <w:u w:val="none"/>
              </w:rPr>
              <w:t>环境保护目标情况如下：</w:t>
            </w:r>
          </w:p>
          <w:p w14:paraId="3EAB4402">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default" w:ascii="Times New Roman" w:hAnsi="Times New Roman" w:cs="Times New Roman"/>
                <w:b/>
                <w:bCs w:val="0"/>
                <w:sz w:val="24"/>
                <w:szCs w:val="21"/>
                <w:lang w:val="en-US" w:eastAsia="zh-CN"/>
              </w:rPr>
              <w:t>表3-</w:t>
            </w:r>
            <w:r>
              <w:rPr>
                <w:rFonts w:hint="eastAsia" w:ascii="Times New Roman" w:hAnsi="Times New Roman" w:cs="Times New Roman"/>
                <w:b/>
                <w:bCs w:val="0"/>
                <w:sz w:val="24"/>
                <w:szCs w:val="21"/>
                <w:lang w:val="en-US" w:eastAsia="zh-CN"/>
              </w:rPr>
              <w:t>4</w:t>
            </w:r>
            <w:r>
              <w:rPr>
                <w:rFonts w:hint="default" w:ascii="Times New Roman" w:hAnsi="Times New Roman" w:cs="Times New Roman"/>
                <w:b/>
                <w:bCs w:val="0"/>
                <w:sz w:val="24"/>
                <w:szCs w:val="21"/>
                <w:lang w:val="en-US" w:eastAsia="zh-CN"/>
              </w:rPr>
              <w:t xml:space="preserve">  </w:t>
            </w:r>
            <w:r>
              <w:rPr>
                <w:rFonts w:hint="eastAsia" w:ascii="Times New Roman" w:hAnsi="Times New Roman" w:cs="Times New Roman"/>
                <w:b/>
                <w:bCs w:val="0"/>
                <w:sz w:val="24"/>
                <w:szCs w:val="21"/>
                <w:lang w:val="en-US" w:eastAsia="zh-CN"/>
              </w:rPr>
              <w:t>项目周边</w:t>
            </w:r>
            <w:r>
              <w:rPr>
                <w:rFonts w:hint="default" w:ascii="Times New Roman" w:hAnsi="Times New Roman" w:cs="Times New Roman"/>
                <w:b/>
                <w:bCs w:val="0"/>
                <w:sz w:val="24"/>
                <w:szCs w:val="21"/>
                <w:lang w:val="en-US" w:eastAsia="zh-CN"/>
              </w:rPr>
              <w:t>环境保护目标一览表</w:t>
            </w:r>
          </w:p>
          <w:tbl>
            <w:tblPr>
              <w:tblStyle w:val="24"/>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6"/>
              <w:gridCol w:w="846"/>
              <w:gridCol w:w="1214"/>
              <w:gridCol w:w="1109"/>
              <w:gridCol w:w="747"/>
              <w:gridCol w:w="747"/>
              <w:gridCol w:w="747"/>
              <w:gridCol w:w="749"/>
              <w:gridCol w:w="967"/>
            </w:tblGrid>
            <w:tr w14:paraId="37312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restart"/>
                  <w:tcBorders>
                    <w:top w:val="single" w:color="000000" w:sz="4" w:space="0"/>
                    <w:left w:val="single" w:color="000000" w:sz="4" w:space="0"/>
                    <w:bottom w:val="single" w:color="000000" w:sz="4" w:space="0"/>
                    <w:right w:val="single" w:color="000000" w:sz="4" w:space="0"/>
                  </w:tcBorders>
                  <w:noWrap w:val="0"/>
                  <w:vAlign w:val="center"/>
                </w:tcPr>
                <w:p w14:paraId="1E434E6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环境要素</w:t>
                  </w:r>
                </w:p>
              </w:tc>
              <w:tc>
                <w:tcPr>
                  <w:tcW w:w="538" w:type="pct"/>
                  <w:vMerge w:val="restart"/>
                  <w:tcBorders>
                    <w:top w:val="single" w:color="000000" w:sz="4" w:space="0"/>
                    <w:left w:val="single" w:color="000000" w:sz="4" w:space="0"/>
                    <w:bottom w:val="single" w:color="000000" w:sz="4" w:space="0"/>
                    <w:right w:val="single" w:color="000000" w:sz="4" w:space="0"/>
                  </w:tcBorders>
                  <w:noWrap w:val="0"/>
                  <w:vAlign w:val="center"/>
                </w:tcPr>
                <w:p w14:paraId="065ACDE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名称</w:t>
                  </w:r>
                </w:p>
              </w:tc>
              <w:tc>
                <w:tcPr>
                  <w:tcW w:w="1477" w:type="pct"/>
                  <w:gridSpan w:val="2"/>
                  <w:tcBorders>
                    <w:top w:val="single" w:color="000000" w:sz="4" w:space="0"/>
                    <w:left w:val="single" w:color="000000" w:sz="4" w:space="0"/>
                    <w:bottom w:val="single" w:color="000000" w:sz="4" w:space="0"/>
                    <w:right w:val="single" w:color="000000" w:sz="4" w:space="0"/>
                  </w:tcBorders>
                  <w:noWrap w:val="0"/>
                  <w:vAlign w:val="center"/>
                </w:tcPr>
                <w:p w14:paraId="5DAB7A3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坐标</w:t>
                  </w:r>
                </w:p>
              </w:tc>
              <w:tc>
                <w:tcPr>
                  <w:tcW w:w="475" w:type="pct"/>
                  <w:vMerge w:val="restart"/>
                  <w:tcBorders>
                    <w:top w:val="single" w:color="000000" w:sz="4" w:space="0"/>
                    <w:left w:val="single" w:color="000000" w:sz="4" w:space="0"/>
                    <w:bottom w:val="single" w:color="000000" w:sz="4" w:space="0"/>
                    <w:right w:val="single" w:color="000000" w:sz="4" w:space="0"/>
                  </w:tcBorders>
                  <w:noWrap w:val="0"/>
                  <w:vAlign w:val="center"/>
                </w:tcPr>
                <w:p w14:paraId="40BEB67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保护对象</w:t>
                  </w:r>
                </w:p>
              </w:tc>
              <w:tc>
                <w:tcPr>
                  <w:tcW w:w="475" w:type="pct"/>
                  <w:vMerge w:val="restart"/>
                  <w:tcBorders>
                    <w:top w:val="single" w:color="000000" w:sz="4" w:space="0"/>
                    <w:left w:val="single" w:color="000000" w:sz="4" w:space="0"/>
                    <w:bottom w:val="single" w:color="000000" w:sz="4" w:space="0"/>
                    <w:right w:val="single" w:color="000000" w:sz="4" w:space="0"/>
                  </w:tcBorders>
                  <w:noWrap w:val="0"/>
                  <w:vAlign w:val="center"/>
                </w:tcPr>
                <w:p w14:paraId="6BCC066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保护内容</w:t>
                  </w:r>
                </w:p>
              </w:tc>
              <w:tc>
                <w:tcPr>
                  <w:tcW w:w="475" w:type="pct"/>
                  <w:vMerge w:val="restart"/>
                  <w:tcBorders>
                    <w:top w:val="single" w:color="000000" w:sz="4" w:space="0"/>
                    <w:left w:val="single" w:color="000000" w:sz="4" w:space="0"/>
                    <w:bottom w:val="single" w:color="000000" w:sz="4" w:space="0"/>
                    <w:right w:val="single" w:color="000000" w:sz="4" w:space="0"/>
                  </w:tcBorders>
                  <w:noWrap w:val="0"/>
                  <w:vAlign w:val="center"/>
                </w:tcPr>
                <w:p w14:paraId="350DF66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环境功能区</w:t>
                  </w:r>
                </w:p>
              </w:tc>
              <w:tc>
                <w:tcPr>
                  <w:tcW w:w="476" w:type="pct"/>
                  <w:vMerge w:val="restart"/>
                  <w:tcBorders>
                    <w:top w:val="single" w:color="000000" w:sz="4" w:space="0"/>
                    <w:left w:val="single" w:color="000000" w:sz="4" w:space="0"/>
                    <w:bottom w:val="single" w:color="000000" w:sz="4" w:space="0"/>
                    <w:right w:val="single" w:color="000000" w:sz="4" w:space="0"/>
                  </w:tcBorders>
                  <w:noWrap w:val="0"/>
                  <w:vAlign w:val="center"/>
                </w:tcPr>
                <w:p w14:paraId="1E88EE9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方位</w:t>
                  </w:r>
                </w:p>
              </w:tc>
              <w:tc>
                <w:tcPr>
                  <w:tcW w:w="614" w:type="pct"/>
                  <w:vMerge w:val="restart"/>
                  <w:tcBorders>
                    <w:top w:val="single" w:color="000000" w:sz="4" w:space="0"/>
                    <w:left w:val="single" w:color="000000" w:sz="4" w:space="0"/>
                    <w:bottom w:val="single" w:color="000000" w:sz="4" w:space="0"/>
                    <w:right w:val="single" w:color="000000" w:sz="4" w:space="0"/>
                  </w:tcBorders>
                  <w:noWrap w:val="0"/>
                  <w:vAlign w:val="center"/>
                </w:tcPr>
                <w:p w14:paraId="584DF87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距离厂界</w:t>
                  </w:r>
                </w:p>
              </w:tc>
            </w:tr>
            <w:tr w14:paraId="7D27D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B3305F9">
                  <w:pPr>
                    <w:jc w:val="center"/>
                    <w:rPr>
                      <w:rFonts w:hint="default" w:ascii="Times New Roman" w:hAnsi="Times New Roman" w:eastAsia="宋体" w:cs="Times New Roman"/>
                      <w:b/>
                      <w:bCs/>
                      <w:i w:val="0"/>
                      <w:iCs w:val="0"/>
                      <w:color w:val="000000"/>
                      <w:sz w:val="21"/>
                      <w:szCs w:val="21"/>
                      <w:u w:val="none"/>
                    </w:rPr>
                  </w:pPr>
                </w:p>
              </w:tc>
              <w:tc>
                <w:tcPr>
                  <w:tcW w:w="5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1FCC464">
                  <w:pPr>
                    <w:jc w:val="center"/>
                    <w:rPr>
                      <w:rFonts w:hint="default" w:ascii="Times New Roman" w:hAnsi="Times New Roman" w:eastAsia="宋体" w:cs="Times New Roman"/>
                      <w:b/>
                      <w:bCs/>
                      <w:i w:val="0"/>
                      <w:iCs w:val="0"/>
                      <w:color w:val="000000"/>
                      <w:sz w:val="21"/>
                      <w:szCs w:val="21"/>
                      <w:u w:val="none"/>
                    </w:rPr>
                  </w:pP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1EA8C09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经度</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13A4867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纬度</w:t>
                  </w:r>
                </w:p>
              </w:tc>
              <w:tc>
                <w:tcPr>
                  <w:tcW w:w="475" w:type="pct"/>
                  <w:vMerge w:val="continue"/>
                  <w:tcBorders>
                    <w:top w:val="single" w:color="000000" w:sz="4" w:space="0"/>
                    <w:left w:val="single" w:color="000000" w:sz="4" w:space="0"/>
                    <w:bottom w:val="single" w:color="000000" w:sz="4" w:space="0"/>
                    <w:right w:val="single" w:color="000000" w:sz="4" w:space="0"/>
                  </w:tcBorders>
                  <w:noWrap w:val="0"/>
                  <w:vAlign w:val="center"/>
                </w:tcPr>
                <w:p w14:paraId="5B2FC0C1">
                  <w:pPr>
                    <w:jc w:val="center"/>
                    <w:rPr>
                      <w:rFonts w:hint="default" w:ascii="Times New Roman" w:hAnsi="Times New Roman" w:eastAsia="宋体" w:cs="Times New Roman"/>
                      <w:b/>
                      <w:bCs/>
                      <w:i w:val="0"/>
                      <w:iCs w:val="0"/>
                      <w:color w:val="000000"/>
                      <w:sz w:val="21"/>
                      <w:szCs w:val="21"/>
                      <w:u w:val="none"/>
                    </w:rPr>
                  </w:pPr>
                </w:p>
              </w:tc>
              <w:tc>
                <w:tcPr>
                  <w:tcW w:w="475"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9251D2">
                  <w:pPr>
                    <w:jc w:val="center"/>
                    <w:rPr>
                      <w:rFonts w:hint="default" w:ascii="Times New Roman" w:hAnsi="Times New Roman" w:eastAsia="宋体" w:cs="Times New Roman"/>
                      <w:b/>
                      <w:bCs/>
                      <w:i w:val="0"/>
                      <w:iCs w:val="0"/>
                      <w:color w:val="000000"/>
                      <w:sz w:val="21"/>
                      <w:szCs w:val="21"/>
                      <w:u w:val="none"/>
                    </w:rPr>
                  </w:pPr>
                </w:p>
              </w:tc>
              <w:tc>
                <w:tcPr>
                  <w:tcW w:w="475" w:type="pct"/>
                  <w:vMerge w:val="continue"/>
                  <w:tcBorders>
                    <w:top w:val="single" w:color="000000" w:sz="4" w:space="0"/>
                    <w:left w:val="single" w:color="000000" w:sz="4" w:space="0"/>
                    <w:bottom w:val="single" w:color="000000" w:sz="4" w:space="0"/>
                    <w:right w:val="single" w:color="000000" w:sz="4" w:space="0"/>
                  </w:tcBorders>
                  <w:noWrap w:val="0"/>
                  <w:vAlign w:val="center"/>
                </w:tcPr>
                <w:p w14:paraId="085810B1">
                  <w:pPr>
                    <w:jc w:val="center"/>
                    <w:rPr>
                      <w:rFonts w:hint="default" w:ascii="Times New Roman" w:hAnsi="Times New Roman" w:eastAsia="宋体" w:cs="Times New Roman"/>
                      <w:b/>
                      <w:bCs/>
                      <w:i w:val="0"/>
                      <w:iCs w:val="0"/>
                      <w:color w:val="000000"/>
                      <w:sz w:val="21"/>
                      <w:szCs w:val="21"/>
                      <w:u w:val="none"/>
                    </w:rPr>
                  </w:pPr>
                </w:p>
              </w:tc>
              <w:tc>
                <w:tcPr>
                  <w:tcW w:w="476" w:type="pct"/>
                  <w:vMerge w:val="continue"/>
                  <w:tcBorders>
                    <w:top w:val="single" w:color="000000" w:sz="4" w:space="0"/>
                    <w:left w:val="single" w:color="000000" w:sz="4" w:space="0"/>
                    <w:bottom w:val="single" w:color="000000" w:sz="4" w:space="0"/>
                    <w:right w:val="single" w:color="000000" w:sz="4" w:space="0"/>
                  </w:tcBorders>
                  <w:noWrap w:val="0"/>
                  <w:vAlign w:val="center"/>
                </w:tcPr>
                <w:p w14:paraId="0F44F92F">
                  <w:pPr>
                    <w:jc w:val="center"/>
                    <w:rPr>
                      <w:rFonts w:hint="default" w:ascii="Times New Roman" w:hAnsi="Times New Roman" w:eastAsia="宋体" w:cs="Times New Roman"/>
                      <w:b/>
                      <w:bCs/>
                      <w:i w:val="0"/>
                      <w:iCs w:val="0"/>
                      <w:color w:val="000000"/>
                      <w:sz w:val="21"/>
                      <w:szCs w:val="21"/>
                      <w:u w:val="none"/>
                    </w:rPr>
                  </w:pPr>
                </w:p>
              </w:tc>
              <w:tc>
                <w:tcPr>
                  <w:tcW w:w="6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5D38FE72">
                  <w:pPr>
                    <w:jc w:val="center"/>
                    <w:rPr>
                      <w:rFonts w:hint="default" w:ascii="Times New Roman" w:hAnsi="Times New Roman" w:eastAsia="宋体" w:cs="Times New Roman"/>
                      <w:b/>
                      <w:bCs/>
                      <w:i w:val="0"/>
                      <w:iCs w:val="0"/>
                      <w:color w:val="000000"/>
                      <w:sz w:val="21"/>
                      <w:szCs w:val="21"/>
                      <w:u w:val="none"/>
                    </w:rPr>
                  </w:pPr>
                </w:p>
              </w:tc>
            </w:tr>
            <w:tr w14:paraId="3347A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restart"/>
                  <w:tcBorders>
                    <w:top w:val="single" w:color="000000" w:sz="4" w:space="0"/>
                    <w:left w:val="single" w:color="000000" w:sz="4" w:space="0"/>
                    <w:bottom w:val="single" w:color="000000" w:sz="4" w:space="0"/>
                    <w:right w:val="single" w:color="000000" w:sz="4" w:space="0"/>
                  </w:tcBorders>
                  <w:noWrap w:val="0"/>
                  <w:vAlign w:val="center"/>
                </w:tcPr>
                <w:p w14:paraId="5F37395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大气环境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3E757E9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岳阳市第一中学</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2DFAA19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113.089788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467DB3A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29.387671</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6940C20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学校</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43AFEAF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35</w:t>
                  </w:r>
                  <w:r>
                    <w:rPr>
                      <w:rFonts w:hint="default" w:ascii="Times New Roman" w:hAnsi="Times New Roman" w:eastAsia="宋体" w:cs="Times New Roman"/>
                      <w:i w:val="0"/>
                      <w:iCs w:val="0"/>
                      <w:color w:val="000000"/>
                      <w:kern w:val="0"/>
                      <w:sz w:val="21"/>
                      <w:szCs w:val="21"/>
                      <w:u w:val="none"/>
                      <w:lang w:val="en-US" w:eastAsia="zh-CN" w:bidi="ar"/>
                    </w:rPr>
                    <w:t>00</w:t>
                  </w:r>
                  <w:r>
                    <w:rPr>
                      <w:rStyle w:val="55"/>
                      <w:rFonts w:hint="default" w:ascii="Times New Roman" w:hAnsi="Times New Roman" w:cs="Times New Roman"/>
                      <w:sz w:val="21"/>
                      <w:szCs w:val="21"/>
                      <w:lang w:val="en-US" w:eastAsia="zh-CN" w:bidi="ar"/>
                    </w:rPr>
                    <w:t>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280EBCD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1AAF14A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南/</w:t>
                  </w:r>
                  <w:r>
                    <w:rPr>
                      <w:rFonts w:hint="default" w:ascii="Times New Roman" w:hAnsi="Times New Roman" w:eastAsia="宋体" w:cs="Times New Roman"/>
                      <w:i w:val="0"/>
                      <w:iCs w:val="0"/>
                      <w:color w:val="000000"/>
                      <w:kern w:val="0"/>
                      <w:sz w:val="21"/>
                      <w:szCs w:val="21"/>
                      <w:u w:val="none"/>
                      <w:lang w:val="en-US" w:eastAsia="zh-CN" w:bidi="ar"/>
                    </w:rPr>
                    <w:t>东南</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6E5F9E0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cs="Times New Roman"/>
                      <w:sz w:val="21"/>
                      <w:szCs w:val="21"/>
                      <w:lang w:val="en-US" w:eastAsia="zh-CN" w:bidi="ar"/>
                    </w:rPr>
                    <w:t>10~28</w:t>
                  </w:r>
                  <w:r>
                    <w:rPr>
                      <w:rFonts w:hint="default" w:ascii="Times New Roman" w:hAnsi="Times New Roman" w:cs="Times New Roman"/>
                      <w:sz w:val="21"/>
                      <w:szCs w:val="21"/>
                      <w:lang w:val="en-US" w:eastAsia="zh-CN" w:bidi="ar"/>
                    </w:rPr>
                    <w:t>0</w:t>
                  </w:r>
                </w:p>
              </w:tc>
            </w:tr>
            <w:tr w14:paraId="11A9B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AC47F3">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39C14D0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原3517职工家属区</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17A1D71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113.091950</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10C5C5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29.387966</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7971871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居住区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6ECB4FD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lang w:val="en-US"/>
                    </w:rPr>
                  </w:pPr>
                  <w:r>
                    <w:rPr>
                      <w:rFonts w:hint="eastAsia" w:cs="Times New Roman"/>
                      <w:i w:val="0"/>
                      <w:iCs w:val="0"/>
                      <w:color w:val="000000"/>
                      <w:kern w:val="0"/>
                      <w:sz w:val="21"/>
                      <w:szCs w:val="21"/>
                      <w:u w:val="none"/>
                      <w:lang w:val="en-US" w:eastAsia="zh-CN" w:bidi="ar"/>
                    </w:rPr>
                    <w:t>8000人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9FED0A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61042E7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cs="Times New Roman"/>
                      <w:sz w:val="21"/>
                      <w:szCs w:val="21"/>
                      <w:lang w:val="en-US" w:eastAsia="zh-CN" w:bidi="ar"/>
                    </w:rPr>
                    <w:t>东/东</w:t>
                  </w:r>
                  <w:r>
                    <w:rPr>
                      <w:rFonts w:hint="default" w:ascii="Times New Roman" w:hAnsi="Times New Roman" w:cs="Times New Roman"/>
                      <w:sz w:val="21"/>
                      <w:szCs w:val="21"/>
                      <w:lang w:val="en-US" w:eastAsia="zh-CN" w:bidi="ar"/>
                    </w:rPr>
                    <w:t>南</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5C118DC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cs="Times New Roman"/>
                      <w:kern w:val="2"/>
                      <w:sz w:val="21"/>
                      <w:szCs w:val="21"/>
                      <w:lang w:val="en-US" w:eastAsia="zh-CN" w:bidi="ar"/>
                    </w:rPr>
                    <w:t>3</w:t>
                  </w:r>
                  <w:r>
                    <w:rPr>
                      <w:rFonts w:hint="default" w:ascii="Times New Roman" w:hAnsi="Times New Roman" w:eastAsia="宋体" w:cs="Times New Roman"/>
                      <w:kern w:val="2"/>
                      <w:sz w:val="21"/>
                      <w:szCs w:val="21"/>
                      <w:lang w:val="en-US" w:eastAsia="zh-CN" w:bidi="ar"/>
                    </w:rPr>
                    <w:t>0</w:t>
                  </w:r>
                  <w:r>
                    <w:rPr>
                      <w:rFonts w:hint="eastAsia" w:ascii="Times New Roman" w:hAnsi="Times New Roman" w:eastAsia="宋体" w:cs="Times New Roman"/>
                      <w:kern w:val="2"/>
                      <w:sz w:val="21"/>
                      <w:szCs w:val="21"/>
                      <w:lang w:val="en-US" w:eastAsia="zh-CN" w:bidi="ar"/>
                    </w:rPr>
                    <w:t>~500</w:t>
                  </w:r>
                </w:p>
              </w:tc>
            </w:tr>
            <w:tr w14:paraId="2A7AA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3F7D477">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7503597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东洞庭湖管理局家属区</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5E2A2D2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113.087825</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4FDF94F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29.389398</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7135D56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居住区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4777690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15</w:t>
                  </w:r>
                  <w:r>
                    <w:rPr>
                      <w:rFonts w:hint="default" w:ascii="Times New Roman" w:hAnsi="Times New Roman" w:eastAsia="宋体" w:cs="Times New Roman"/>
                      <w:i w:val="0"/>
                      <w:iCs w:val="0"/>
                      <w:color w:val="000000"/>
                      <w:kern w:val="0"/>
                      <w:sz w:val="21"/>
                      <w:szCs w:val="21"/>
                      <w:u w:val="none"/>
                      <w:lang w:val="en-US" w:eastAsia="zh-CN" w:bidi="ar"/>
                    </w:rPr>
                    <w:t>0人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0C9B144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6AF1C0C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西</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40A8C1B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cs="Times New Roman"/>
                      <w:sz w:val="21"/>
                      <w:szCs w:val="21"/>
                      <w:lang w:val="en-US" w:eastAsia="zh-CN" w:bidi="ar"/>
                    </w:rPr>
                    <w:t>30~</w:t>
                  </w:r>
                  <w:r>
                    <w:rPr>
                      <w:rFonts w:hint="default" w:ascii="Times New Roman" w:hAnsi="Times New Roman" w:cs="Times New Roman"/>
                      <w:sz w:val="21"/>
                      <w:szCs w:val="21"/>
                      <w:lang w:val="en-US" w:eastAsia="zh-CN" w:bidi="ar"/>
                    </w:rPr>
                    <w:t>80</w:t>
                  </w:r>
                </w:p>
              </w:tc>
            </w:tr>
            <w:tr w14:paraId="75E42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1162D321">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253BDDE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kern w:val="2"/>
                      <w:sz w:val="21"/>
                      <w:szCs w:val="21"/>
                      <w:lang w:val="en-US" w:eastAsia="zh-CN" w:bidi="ar"/>
                    </w:rPr>
                    <w:t>青年堤幼儿园</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7253D02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113.092760</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6AF2A475">
                  <w:pPr>
                    <w:keepNext w:val="0"/>
                    <w:keepLines w:val="0"/>
                    <w:widowControl/>
                    <w:suppressLineNumbers w:val="0"/>
                    <w:jc w:val="center"/>
                    <w:textAlignment w:val="center"/>
                    <w:rPr>
                      <w:rFonts w:hint="eastAsia"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rPr>
                    <w:t>29.38540</w:t>
                  </w:r>
                  <w:r>
                    <w:rPr>
                      <w:rFonts w:hint="eastAsia" w:cs="Times New Roman"/>
                      <w:i w:val="0"/>
                      <w:iCs w:val="0"/>
                      <w:color w:val="000000"/>
                      <w:sz w:val="21"/>
                      <w:szCs w:val="21"/>
                      <w:u w:val="none"/>
                      <w:lang w:val="en-US" w:eastAsia="zh-CN"/>
                    </w:rPr>
                    <w:t>7</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DF31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幼儿园</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F3EB8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cs="Times New Roman"/>
                      <w:i w:val="0"/>
                      <w:iCs w:val="0"/>
                      <w:color w:val="000000"/>
                      <w:kern w:val="0"/>
                      <w:sz w:val="21"/>
                      <w:szCs w:val="21"/>
                      <w:u w:val="none"/>
                      <w:lang w:val="en-US" w:eastAsia="zh-CN" w:bidi="ar"/>
                    </w:rPr>
                    <w:t>35</w:t>
                  </w:r>
                  <w:r>
                    <w:rPr>
                      <w:rFonts w:hint="default" w:ascii="Times New Roman" w:hAnsi="Times New Roman" w:eastAsia="宋体" w:cs="Times New Roman"/>
                      <w:i w:val="0"/>
                      <w:iCs w:val="0"/>
                      <w:color w:val="000000"/>
                      <w:kern w:val="0"/>
                      <w:sz w:val="21"/>
                      <w:szCs w:val="21"/>
                      <w:u w:val="none"/>
                      <w:lang w:val="en-US" w:eastAsia="zh-CN" w:bidi="ar"/>
                    </w:rPr>
                    <w:t>0</w:t>
                  </w:r>
                  <w:r>
                    <w:rPr>
                      <w:rStyle w:val="55"/>
                      <w:rFonts w:hint="default" w:ascii="Times New Roman" w:hAnsi="Times New Roman" w:cs="Times New Roman"/>
                      <w:sz w:val="21"/>
                      <w:szCs w:val="21"/>
                      <w:lang w:val="en-US" w:eastAsia="zh-CN" w:bidi="ar"/>
                    </w:rPr>
                    <w:t>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19C8FF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56F477F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东南</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4F161A5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lang w:val="en-US" w:eastAsia="zh-CN" w:bidi="ar"/>
                    </w:rPr>
                    <w:t>460</w:t>
                  </w:r>
                </w:p>
              </w:tc>
            </w:tr>
            <w:tr w14:paraId="198EA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52ECCDD">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35717CB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际华·蓓蕾幼儿园</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5C1673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113.097089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3C58E33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29.382838</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4CB657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幼儿园</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78E812D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35</w:t>
                  </w:r>
                  <w:r>
                    <w:rPr>
                      <w:rFonts w:hint="default" w:ascii="Times New Roman" w:hAnsi="Times New Roman" w:eastAsia="宋体" w:cs="Times New Roman"/>
                      <w:i w:val="0"/>
                      <w:iCs w:val="0"/>
                      <w:color w:val="000000"/>
                      <w:kern w:val="0"/>
                      <w:sz w:val="21"/>
                      <w:szCs w:val="21"/>
                      <w:u w:val="none"/>
                      <w:lang w:val="en-US" w:eastAsia="zh-CN" w:bidi="ar"/>
                    </w:rPr>
                    <w:t>0</w:t>
                  </w:r>
                  <w:r>
                    <w:rPr>
                      <w:rStyle w:val="55"/>
                      <w:rFonts w:hint="default" w:ascii="Times New Roman" w:hAnsi="Times New Roman" w:cs="Times New Roman"/>
                      <w:sz w:val="21"/>
                      <w:szCs w:val="21"/>
                      <w:lang w:val="en-US" w:eastAsia="zh-CN" w:bidi="ar"/>
                    </w:rPr>
                    <w:t>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3BA8DDB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63984C2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东南</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1E54EE3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kern w:val="2"/>
                      <w:sz w:val="21"/>
                      <w:szCs w:val="21"/>
                      <w:lang w:val="en-US" w:eastAsia="zh-CN" w:bidi="ar"/>
                    </w:rPr>
                    <w:t>4</w:t>
                  </w:r>
                  <w:r>
                    <w:rPr>
                      <w:rFonts w:hint="eastAsia" w:ascii="Times New Roman" w:hAnsi="Times New Roman" w:cs="Times New Roman"/>
                      <w:kern w:val="2"/>
                      <w:sz w:val="21"/>
                      <w:szCs w:val="21"/>
                      <w:lang w:val="en-US" w:eastAsia="zh-CN" w:bidi="ar"/>
                    </w:rPr>
                    <w:t>5</w:t>
                  </w:r>
                  <w:r>
                    <w:rPr>
                      <w:rFonts w:hint="default" w:ascii="Times New Roman" w:hAnsi="Times New Roman" w:cs="Times New Roman"/>
                      <w:kern w:val="2"/>
                      <w:sz w:val="21"/>
                      <w:szCs w:val="21"/>
                      <w:lang w:val="en-US" w:eastAsia="zh-CN" w:bidi="ar"/>
                    </w:rPr>
                    <w:t>0</w:t>
                  </w:r>
                </w:p>
              </w:tc>
            </w:tr>
            <w:tr w14:paraId="0B879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AD11A6">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186F87B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洞庭书香苑小区</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765AE6E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113.089139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08FFD25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29.390273</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41AA9EB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居民区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5CFD720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500</w:t>
                  </w:r>
                  <w:r>
                    <w:rPr>
                      <w:rStyle w:val="55"/>
                      <w:rFonts w:hint="eastAsia" w:cs="Times New Roman"/>
                      <w:sz w:val="21"/>
                      <w:szCs w:val="21"/>
                      <w:lang w:val="en-US" w:eastAsia="zh-CN" w:bidi="ar"/>
                    </w:rPr>
                    <w:t>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FE5E71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73282C4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北</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5994718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10~130</w:t>
                  </w:r>
                </w:p>
              </w:tc>
            </w:tr>
            <w:tr w14:paraId="12A24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8C0F07">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2E2EF9E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九华北门新区</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353D7D4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113.091886</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620B466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29.393019</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6A783B3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居民区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7BF053B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35</w:t>
                  </w:r>
                  <w:r>
                    <w:rPr>
                      <w:rFonts w:hint="default" w:ascii="Times New Roman" w:hAnsi="Times New Roman" w:eastAsia="宋体" w:cs="Times New Roman"/>
                      <w:i w:val="0"/>
                      <w:iCs w:val="0"/>
                      <w:color w:val="000000"/>
                      <w:kern w:val="0"/>
                      <w:sz w:val="21"/>
                      <w:szCs w:val="21"/>
                      <w:u w:val="none"/>
                      <w:lang w:val="en-US" w:eastAsia="zh-CN" w:bidi="ar"/>
                    </w:rPr>
                    <w:t>0</w:t>
                  </w:r>
                  <w:r>
                    <w:rPr>
                      <w:rStyle w:val="55"/>
                      <w:rFonts w:hint="default" w:ascii="Times New Roman" w:hAnsi="Times New Roman" w:cs="Times New Roman"/>
                      <w:sz w:val="21"/>
                      <w:szCs w:val="21"/>
                      <w:lang w:val="en-US" w:eastAsia="zh-CN" w:bidi="ar"/>
                    </w:rPr>
                    <w:t>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219833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36159A0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东北北</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2E93E06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280~</w:t>
                  </w:r>
                  <w:r>
                    <w:rPr>
                      <w:rFonts w:hint="eastAsia" w:cs="Times New Roman"/>
                      <w:kern w:val="2"/>
                      <w:sz w:val="21"/>
                      <w:szCs w:val="21"/>
                      <w:lang w:val="en-US" w:eastAsia="zh-CN" w:bidi="ar"/>
                    </w:rPr>
                    <w:t>50</w:t>
                  </w:r>
                  <w:r>
                    <w:rPr>
                      <w:rFonts w:hint="eastAsia" w:ascii="Times New Roman" w:hAnsi="Times New Roman" w:eastAsia="宋体" w:cs="Times New Roman"/>
                      <w:kern w:val="2"/>
                      <w:sz w:val="21"/>
                      <w:szCs w:val="21"/>
                      <w:lang w:val="en-US" w:eastAsia="zh-CN" w:bidi="ar"/>
                    </w:rPr>
                    <w:t>0</w:t>
                  </w:r>
                </w:p>
              </w:tc>
            </w:tr>
            <w:tr w14:paraId="11818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E2B773">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2BED70B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highlight w:val="none"/>
                      <w:u w:val="none"/>
                    </w:rPr>
                  </w:pPr>
                  <w:r>
                    <w:rPr>
                      <w:rFonts w:hint="eastAsia" w:ascii="Times New Roman" w:hAnsi="Times New Roman" w:eastAsia="宋体" w:cs="Times New Roman"/>
                      <w:kern w:val="2"/>
                      <w:sz w:val="21"/>
                      <w:szCs w:val="21"/>
                      <w:highlight w:val="none"/>
                      <w:lang w:val="en-US" w:eastAsia="zh-CN" w:bidi="ar"/>
                    </w:rPr>
                    <w:t>金茂洞庭生态新城‌</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2AB9DAC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sz w:val="21"/>
                      <w:szCs w:val="21"/>
                      <w:highlight w:val="none"/>
                      <w:u w:val="none"/>
                    </w:rPr>
                    <w:t>113.093238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6C54734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sz w:val="21"/>
                      <w:szCs w:val="21"/>
                      <w:highlight w:val="none"/>
                      <w:u w:val="none"/>
                    </w:rPr>
                    <w:t>29.392204</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34A81AB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居住区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596365E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eastAsia" w:cs="Times New Roman"/>
                      <w:i w:val="0"/>
                      <w:iCs w:val="0"/>
                      <w:color w:val="000000"/>
                      <w:kern w:val="0"/>
                      <w:sz w:val="21"/>
                      <w:szCs w:val="21"/>
                      <w:highlight w:val="none"/>
                      <w:u w:val="none"/>
                      <w:lang w:val="en-US" w:eastAsia="zh-CN" w:bidi="ar"/>
                    </w:rPr>
                    <w:t>3000</w:t>
                  </w:r>
                  <w:r>
                    <w:rPr>
                      <w:rFonts w:hint="default" w:ascii="Times New Roman" w:hAnsi="Times New Roman" w:eastAsia="宋体" w:cs="Times New Roman"/>
                      <w:i w:val="0"/>
                      <w:iCs w:val="0"/>
                      <w:color w:val="000000"/>
                      <w:kern w:val="0"/>
                      <w:sz w:val="21"/>
                      <w:szCs w:val="21"/>
                      <w:highlight w:val="none"/>
                      <w:u w:val="none"/>
                      <w:lang w:val="en-US" w:eastAsia="zh-CN" w:bidi="ar"/>
                    </w:rPr>
                    <w:t>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4607AA3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二类区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55FA228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highlight w:val="none"/>
                      <w:u w:val="none"/>
                    </w:rPr>
                  </w:pPr>
                  <w:r>
                    <w:rPr>
                      <w:rFonts w:hint="eastAsia" w:ascii="Times New Roman" w:hAnsi="Times New Roman" w:eastAsia="宋体" w:cs="Times New Roman"/>
                      <w:kern w:val="2"/>
                      <w:sz w:val="21"/>
                      <w:szCs w:val="21"/>
                      <w:highlight w:val="none"/>
                      <w:lang w:val="en-US" w:eastAsia="zh-CN" w:bidi="ar"/>
                    </w:rPr>
                    <w:t>东北</w:t>
                  </w:r>
                </w:p>
              </w:tc>
              <w:tc>
                <w:tcPr>
                  <w:tcW w:w="614" w:type="pct"/>
                  <w:tcBorders>
                    <w:top w:val="single" w:color="000000" w:sz="4" w:space="0"/>
                    <w:left w:val="single" w:color="000000" w:sz="4" w:space="0"/>
                    <w:bottom w:val="single" w:color="000000" w:sz="4" w:space="0"/>
                    <w:right w:val="single" w:color="000000" w:sz="4" w:space="0"/>
                  </w:tcBorders>
                  <w:noWrap w:val="0"/>
                  <w:vAlign w:val="center"/>
                </w:tcPr>
                <w:p w14:paraId="2218846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330~</w:t>
                  </w:r>
                  <w:r>
                    <w:rPr>
                      <w:rFonts w:hint="eastAsia" w:cs="Times New Roman"/>
                      <w:kern w:val="2"/>
                      <w:sz w:val="21"/>
                      <w:szCs w:val="21"/>
                      <w:lang w:val="en-US" w:eastAsia="zh-CN" w:bidi="ar"/>
                    </w:rPr>
                    <w:t>50</w:t>
                  </w:r>
                  <w:r>
                    <w:rPr>
                      <w:rFonts w:hint="eastAsia" w:ascii="Times New Roman" w:hAnsi="Times New Roman" w:eastAsia="宋体" w:cs="Times New Roman"/>
                      <w:kern w:val="2"/>
                      <w:sz w:val="21"/>
                      <w:szCs w:val="21"/>
                      <w:lang w:val="en-US" w:eastAsia="zh-CN" w:bidi="ar"/>
                    </w:rPr>
                    <w:t>0</w:t>
                  </w:r>
                </w:p>
              </w:tc>
            </w:tr>
            <w:tr w14:paraId="019EA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restart"/>
                  <w:tcBorders>
                    <w:top w:val="single" w:color="000000" w:sz="4" w:space="0"/>
                    <w:left w:val="single" w:color="000000" w:sz="4" w:space="0"/>
                    <w:bottom w:val="single" w:color="000000" w:sz="4" w:space="0"/>
                    <w:right w:val="single" w:color="000000" w:sz="4" w:space="0"/>
                  </w:tcBorders>
                  <w:noWrap w:val="0"/>
                  <w:vAlign w:val="center"/>
                </w:tcPr>
                <w:p w14:paraId="64C5527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声环境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5A61519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岳阳市第一中学</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6497609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113.089788</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1526F46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29.387671</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EE1794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学校</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0ECFF7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35</w:t>
                  </w:r>
                  <w:r>
                    <w:rPr>
                      <w:rFonts w:hint="default" w:ascii="Times New Roman" w:hAnsi="Times New Roman" w:eastAsia="宋体" w:cs="Times New Roman"/>
                      <w:i w:val="0"/>
                      <w:iCs w:val="0"/>
                      <w:color w:val="000000"/>
                      <w:kern w:val="0"/>
                      <w:sz w:val="21"/>
                      <w:szCs w:val="21"/>
                      <w:u w:val="none"/>
                      <w:lang w:val="en-US" w:eastAsia="zh-CN" w:bidi="ar"/>
                    </w:rPr>
                    <w:t>00</w:t>
                  </w:r>
                  <w:r>
                    <w:rPr>
                      <w:rStyle w:val="55"/>
                      <w:rFonts w:hint="default" w:ascii="Times New Roman" w:hAnsi="Times New Roman" w:cs="Times New Roman"/>
                      <w:sz w:val="21"/>
                      <w:szCs w:val="21"/>
                      <w:lang w:val="en-US" w:eastAsia="zh-CN" w:bidi="ar"/>
                    </w:rPr>
                    <w:t>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5101689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03FA982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东</w:t>
                  </w:r>
                  <w:r>
                    <w:rPr>
                      <w:rFonts w:hint="default" w:ascii="Times New Roman" w:hAnsi="Times New Roman" w:eastAsia="宋体" w:cs="Times New Roman"/>
                      <w:i w:val="0"/>
                      <w:iCs w:val="0"/>
                      <w:color w:val="000000"/>
                      <w:kern w:val="0"/>
                      <w:sz w:val="21"/>
                      <w:szCs w:val="21"/>
                      <w:u w:val="none"/>
                      <w:lang w:val="en-US" w:eastAsia="zh-CN" w:bidi="ar"/>
                    </w:rPr>
                    <w:t>南</w:t>
                  </w:r>
                </w:p>
              </w:tc>
              <w:tc>
                <w:tcPr>
                  <w:tcW w:w="614" w:type="pct"/>
                  <w:vMerge w:val="restart"/>
                  <w:tcBorders>
                    <w:top w:val="single" w:color="000000" w:sz="4" w:space="0"/>
                    <w:left w:val="single" w:color="000000" w:sz="4" w:space="0"/>
                    <w:right w:val="single" w:color="000000" w:sz="4" w:space="0"/>
                  </w:tcBorders>
                  <w:noWrap w:val="0"/>
                  <w:vAlign w:val="center"/>
                </w:tcPr>
                <w:p w14:paraId="6CA63B2C">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1"/>
                      <w:szCs w:val="21"/>
                      <w:u w:val="none"/>
                      <w:lang w:val="en-US" w:eastAsia="zh-CN" w:bidi="ar-SA"/>
                    </w:rPr>
                  </w:pPr>
                  <w:r>
                    <w:rPr>
                      <w:rFonts w:hint="eastAsia" w:cs="Times New Roman"/>
                      <w:i w:val="0"/>
                      <w:iCs w:val="0"/>
                      <w:color w:val="000000"/>
                      <w:sz w:val="21"/>
                      <w:szCs w:val="21"/>
                      <w:u w:val="none"/>
                      <w:lang w:val="en-US" w:eastAsia="zh-CN"/>
                    </w:rPr>
                    <w:t>50m以内</w:t>
                  </w:r>
                </w:p>
              </w:tc>
            </w:tr>
            <w:tr w14:paraId="1C63E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left w:val="single" w:color="000000" w:sz="4" w:space="0"/>
                    <w:right w:val="single" w:color="000000" w:sz="4" w:space="0"/>
                  </w:tcBorders>
                  <w:noWrap w:val="0"/>
                  <w:vAlign w:val="center"/>
                </w:tcPr>
                <w:p w14:paraId="419054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52FFD119">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原3517职工家属区</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228FA84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113.091950</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31BF3F9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29.387966</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E138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居民</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F1930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100人</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19AF9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2类区</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E1E14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cs="Times New Roman"/>
                      <w:i w:val="0"/>
                      <w:iCs w:val="0"/>
                      <w:color w:val="000000"/>
                      <w:kern w:val="0"/>
                      <w:sz w:val="21"/>
                      <w:szCs w:val="21"/>
                      <w:u w:val="none"/>
                      <w:lang w:val="en-US" w:eastAsia="zh-CN" w:bidi="ar"/>
                    </w:rPr>
                    <w:t>东</w:t>
                  </w:r>
                </w:p>
              </w:tc>
              <w:tc>
                <w:tcPr>
                  <w:tcW w:w="614" w:type="pct"/>
                  <w:vMerge w:val="continue"/>
                  <w:tcBorders>
                    <w:left w:val="single" w:color="000000" w:sz="4" w:space="0"/>
                    <w:right w:val="single" w:color="000000" w:sz="4" w:space="0"/>
                  </w:tcBorders>
                  <w:noWrap w:val="0"/>
                  <w:vAlign w:val="center"/>
                </w:tcPr>
                <w:p w14:paraId="26EBCFEE">
                  <w:pPr>
                    <w:keepNext w:val="0"/>
                    <w:keepLines w:val="0"/>
                    <w:widowControl/>
                    <w:suppressLineNumbers w:val="0"/>
                    <w:jc w:val="center"/>
                    <w:textAlignment w:val="center"/>
                    <w:rPr>
                      <w:rFonts w:hint="eastAsia" w:cs="Times New Roman"/>
                      <w:i w:val="0"/>
                      <w:iCs w:val="0"/>
                      <w:color w:val="000000"/>
                      <w:sz w:val="21"/>
                      <w:szCs w:val="21"/>
                      <w:u w:val="none"/>
                      <w:lang w:val="en-US" w:eastAsia="zh-CN"/>
                    </w:rPr>
                  </w:pPr>
                </w:p>
              </w:tc>
            </w:tr>
            <w:tr w14:paraId="0F862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left w:val="single" w:color="000000" w:sz="4" w:space="0"/>
                    <w:right w:val="single" w:color="000000" w:sz="4" w:space="0"/>
                  </w:tcBorders>
                  <w:noWrap w:val="0"/>
                  <w:vAlign w:val="center"/>
                </w:tcPr>
                <w:p w14:paraId="7A62AE2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5498A7A2">
                  <w:pPr>
                    <w:keepNext w:val="0"/>
                    <w:keepLines w:val="0"/>
                    <w:widowControl/>
                    <w:suppressLineNumbers w:val="0"/>
                    <w:jc w:val="center"/>
                    <w:textAlignment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东洞庭湖管理局家属区</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5916385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113.087825</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3947245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29.389398</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050830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居民</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3CBE25DE">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100人</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1290B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2类区</w:t>
                  </w:r>
                </w:p>
              </w:tc>
              <w:tc>
                <w:tcPr>
                  <w:tcW w:w="47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9E8E5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西</w:t>
                  </w:r>
                </w:p>
              </w:tc>
              <w:tc>
                <w:tcPr>
                  <w:tcW w:w="614" w:type="pct"/>
                  <w:vMerge w:val="continue"/>
                  <w:tcBorders>
                    <w:left w:val="single" w:color="000000" w:sz="4" w:space="0"/>
                    <w:right w:val="single" w:color="000000" w:sz="4" w:space="0"/>
                  </w:tcBorders>
                  <w:shd w:val="clear" w:color="auto" w:fill="auto"/>
                  <w:noWrap w:val="0"/>
                  <w:vAlign w:val="center"/>
                </w:tcPr>
                <w:p w14:paraId="0A2143C7">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1"/>
                      <w:szCs w:val="21"/>
                      <w:u w:val="none"/>
                      <w:lang w:val="en-US" w:eastAsia="zh-CN" w:bidi="ar-SA"/>
                    </w:rPr>
                  </w:pPr>
                </w:p>
              </w:tc>
            </w:tr>
            <w:tr w14:paraId="23760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top w:val="single" w:color="000000" w:sz="4" w:space="0"/>
                    <w:left w:val="single" w:color="000000" w:sz="4" w:space="0"/>
                    <w:bottom w:val="single" w:color="000000" w:sz="4" w:space="0"/>
                    <w:right w:val="single" w:color="000000" w:sz="4" w:space="0"/>
                  </w:tcBorders>
                  <w:noWrap w:val="0"/>
                  <w:vAlign w:val="center"/>
                </w:tcPr>
                <w:p w14:paraId="18983E4C">
                  <w:pPr>
                    <w:jc w:val="center"/>
                    <w:rPr>
                      <w:rFonts w:hint="default" w:ascii="Times New Roman" w:hAnsi="Times New Roman" w:eastAsia="宋体" w:cs="Times New Roman"/>
                      <w:i w:val="0"/>
                      <w:iCs w:val="0"/>
                      <w:color w:val="000000"/>
                      <w:sz w:val="21"/>
                      <w:szCs w:val="21"/>
                      <w:u w:val="none"/>
                    </w:rPr>
                  </w:pP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18B9DD3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洞庭书香苑小区</w:t>
                  </w:r>
                </w:p>
              </w:tc>
              <w:tc>
                <w:tcPr>
                  <w:tcW w:w="772" w:type="pct"/>
                  <w:tcBorders>
                    <w:top w:val="single" w:color="000000" w:sz="4" w:space="0"/>
                    <w:left w:val="single" w:color="000000" w:sz="4" w:space="0"/>
                    <w:bottom w:val="single" w:color="000000" w:sz="4" w:space="0"/>
                    <w:right w:val="single" w:color="000000" w:sz="4" w:space="0"/>
                  </w:tcBorders>
                  <w:noWrap w:val="0"/>
                  <w:vAlign w:val="center"/>
                </w:tcPr>
                <w:p w14:paraId="3390992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113.089139</w:t>
                  </w:r>
                </w:p>
              </w:tc>
              <w:tc>
                <w:tcPr>
                  <w:tcW w:w="705" w:type="pct"/>
                  <w:tcBorders>
                    <w:top w:val="single" w:color="000000" w:sz="4" w:space="0"/>
                    <w:left w:val="single" w:color="000000" w:sz="4" w:space="0"/>
                    <w:bottom w:val="single" w:color="000000" w:sz="4" w:space="0"/>
                    <w:right w:val="single" w:color="000000" w:sz="4" w:space="0"/>
                  </w:tcBorders>
                  <w:noWrap w:val="0"/>
                  <w:vAlign w:val="center"/>
                </w:tcPr>
                <w:p w14:paraId="3C64288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29.390273</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7CD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居民</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166C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200人</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9EC0F9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2类区</w:t>
                  </w:r>
                </w:p>
              </w:tc>
              <w:tc>
                <w:tcPr>
                  <w:tcW w:w="476" w:type="pct"/>
                  <w:tcBorders>
                    <w:top w:val="single" w:color="000000" w:sz="4" w:space="0"/>
                    <w:left w:val="single" w:color="000000" w:sz="4" w:space="0"/>
                    <w:bottom w:val="single" w:color="000000" w:sz="4" w:space="0"/>
                    <w:right w:val="single" w:color="000000" w:sz="4" w:space="0"/>
                  </w:tcBorders>
                  <w:noWrap w:val="0"/>
                  <w:vAlign w:val="center"/>
                </w:tcPr>
                <w:p w14:paraId="61B3BF1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kern w:val="2"/>
                      <w:sz w:val="21"/>
                      <w:szCs w:val="21"/>
                      <w:lang w:val="en-US" w:eastAsia="zh-CN" w:bidi="ar"/>
                    </w:rPr>
                    <w:t>北</w:t>
                  </w:r>
                </w:p>
              </w:tc>
              <w:tc>
                <w:tcPr>
                  <w:tcW w:w="614" w:type="pct"/>
                  <w:vMerge w:val="continue"/>
                  <w:tcBorders>
                    <w:left w:val="single" w:color="000000" w:sz="4" w:space="0"/>
                    <w:bottom w:val="single" w:color="000000" w:sz="4" w:space="0"/>
                    <w:right w:val="single" w:color="000000" w:sz="4" w:space="0"/>
                  </w:tcBorders>
                  <w:noWrap w:val="0"/>
                  <w:vAlign w:val="center"/>
                </w:tcPr>
                <w:p w14:paraId="2BFA379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p>
              </w:tc>
            </w:tr>
            <w:tr w14:paraId="36905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tcBorders>
                    <w:top w:val="single" w:color="000000" w:sz="4" w:space="0"/>
                    <w:left w:val="single" w:color="000000" w:sz="4" w:space="0"/>
                    <w:bottom w:val="single" w:color="000000" w:sz="4" w:space="0"/>
                    <w:right w:val="single" w:color="000000" w:sz="4" w:space="0"/>
                  </w:tcBorders>
                  <w:noWrap w:val="0"/>
                  <w:vAlign w:val="center"/>
                </w:tcPr>
                <w:p w14:paraId="6F013B9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single"/>
                    </w:rPr>
                  </w:pPr>
                  <w:r>
                    <w:rPr>
                      <w:rFonts w:hint="default" w:ascii="Times New Roman" w:hAnsi="Times New Roman" w:eastAsia="宋体" w:cs="Times New Roman"/>
                      <w:i w:val="0"/>
                      <w:iCs w:val="0"/>
                      <w:color w:val="000000"/>
                      <w:kern w:val="0"/>
                      <w:sz w:val="21"/>
                      <w:szCs w:val="21"/>
                      <w:u w:val="single"/>
                      <w:lang w:val="en-US" w:eastAsia="zh-CN" w:bidi="ar"/>
                    </w:rPr>
                    <w:t>地表水</w:t>
                  </w:r>
                </w:p>
              </w:tc>
              <w:tc>
                <w:tcPr>
                  <w:tcW w:w="4531" w:type="pct"/>
                  <w:gridSpan w:val="8"/>
                  <w:tcBorders>
                    <w:top w:val="single" w:color="000000" w:sz="4" w:space="0"/>
                    <w:left w:val="single" w:color="000000" w:sz="4" w:space="0"/>
                    <w:bottom w:val="single" w:color="000000" w:sz="4" w:space="0"/>
                    <w:right w:val="single" w:color="000000" w:sz="4" w:space="0"/>
                  </w:tcBorders>
                  <w:noWrap w:val="0"/>
                  <w:vAlign w:val="center"/>
                </w:tcPr>
                <w:p w14:paraId="2BEA63B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single"/>
                    </w:rPr>
                  </w:pPr>
                  <w:r>
                    <w:rPr>
                      <w:rFonts w:hint="eastAsia" w:cs="Times New Roman"/>
                      <w:i w:val="0"/>
                      <w:iCs w:val="0"/>
                      <w:color w:val="000000"/>
                      <w:kern w:val="0"/>
                      <w:sz w:val="21"/>
                      <w:szCs w:val="21"/>
                      <w:u w:val="single"/>
                      <w:lang w:val="en-US" w:eastAsia="zh-CN" w:bidi="ar"/>
                    </w:rPr>
                    <w:t>东洞庭湖</w:t>
                  </w:r>
                  <w:r>
                    <w:rPr>
                      <w:rFonts w:hint="default" w:ascii="Times New Roman" w:hAnsi="Times New Roman" w:eastAsia="宋体" w:cs="Times New Roman"/>
                      <w:i w:val="0"/>
                      <w:iCs w:val="0"/>
                      <w:color w:val="000000"/>
                      <w:kern w:val="0"/>
                      <w:sz w:val="21"/>
                      <w:szCs w:val="21"/>
                      <w:u w:val="single"/>
                      <w:lang w:val="en-US" w:eastAsia="zh-CN" w:bidi="ar"/>
                    </w:rPr>
                    <w:t>，西侧</w:t>
                  </w:r>
                  <w:r>
                    <w:rPr>
                      <w:rFonts w:hint="eastAsia" w:cs="Times New Roman"/>
                      <w:i w:val="0"/>
                      <w:iCs w:val="0"/>
                      <w:color w:val="000000"/>
                      <w:kern w:val="0"/>
                      <w:sz w:val="21"/>
                      <w:szCs w:val="21"/>
                      <w:u w:val="single"/>
                      <w:lang w:val="en-US" w:eastAsia="zh-CN" w:bidi="ar"/>
                    </w:rPr>
                    <w:t>200</w:t>
                  </w:r>
                  <w:r>
                    <w:rPr>
                      <w:rFonts w:hint="default" w:ascii="Times New Roman" w:hAnsi="Times New Roman" w:eastAsia="宋体" w:cs="Times New Roman"/>
                      <w:i w:val="0"/>
                      <w:iCs w:val="0"/>
                      <w:color w:val="000000"/>
                      <w:kern w:val="0"/>
                      <w:sz w:val="21"/>
                      <w:szCs w:val="21"/>
                      <w:u w:val="single"/>
                      <w:lang w:val="en-US" w:eastAsia="zh-CN" w:bidi="ar"/>
                    </w:rPr>
                    <w:t>m，</w:t>
                  </w:r>
                  <w:r>
                    <w:rPr>
                      <w:rFonts w:hint="eastAsia" w:cs="Times New Roman"/>
                      <w:i w:val="0"/>
                      <w:iCs w:val="0"/>
                      <w:color w:val="000000"/>
                      <w:kern w:val="0"/>
                      <w:sz w:val="21"/>
                      <w:szCs w:val="21"/>
                      <w:u w:val="single"/>
                      <w:lang w:val="en-US" w:eastAsia="zh-CN" w:bidi="ar"/>
                    </w:rPr>
                    <w:t>项目在湖岸设置取水设施（备用水源地）取水口处饮用水源保护区，</w:t>
                  </w:r>
                  <w:r>
                    <w:rPr>
                      <w:rFonts w:hint="default" w:ascii="Times New Roman" w:hAnsi="Times New Roman" w:eastAsia="宋体" w:cs="Times New Roman"/>
                      <w:i w:val="0"/>
                      <w:iCs w:val="0"/>
                      <w:color w:val="000000"/>
                      <w:kern w:val="0"/>
                      <w:sz w:val="21"/>
                      <w:szCs w:val="21"/>
                      <w:u w:val="single"/>
                      <w:lang w:val="en-US" w:eastAsia="zh-CN" w:bidi="ar"/>
                    </w:rPr>
                    <w:t>《地表水环境质量标准》（GB3838-2002）Ⅲ类</w:t>
                  </w:r>
                </w:p>
              </w:tc>
            </w:tr>
            <w:tr w14:paraId="564A0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tcBorders>
                    <w:top w:val="single" w:color="000000" w:sz="4" w:space="0"/>
                    <w:left w:val="single" w:color="000000" w:sz="4" w:space="0"/>
                    <w:bottom w:val="single" w:color="000000" w:sz="4" w:space="0"/>
                    <w:right w:val="single" w:color="000000" w:sz="4" w:space="0"/>
                  </w:tcBorders>
                  <w:noWrap w:val="0"/>
                  <w:vAlign w:val="center"/>
                </w:tcPr>
                <w:p w14:paraId="02BA6A7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地下水</w:t>
                  </w:r>
                </w:p>
              </w:tc>
              <w:tc>
                <w:tcPr>
                  <w:tcW w:w="4531" w:type="pct"/>
                  <w:gridSpan w:val="8"/>
                  <w:tcBorders>
                    <w:top w:val="single" w:color="000000" w:sz="4" w:space="0"/>
                    <w:left w:val="single" w:color="000000" w:sz="4" w:space="0"/>
                    <w:bottom w:val="single" w:color="000000" w:sz="4" w:space="0"/>
                    <w:right w:val="single" w:color="000000" w:sz="4" w:space="0"/>
                  </w:tcBorders>
                  <w:noWrap w:val="0"/>
                  <w:vAlign w:val="center"/>
                </w:tcPr>
                <w:p w14:paraId="582C0A4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项目占地范围及厂界外500米范围内的不存在地下水集中式饮用水水源和热水、矿泉水、温泉等特殊地下水资源。</w:t>
                  </w:r>
                </w:p>
              </w:tc>
            </w:tr>
            <w:tr w14:paraId="68E2E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468" w:type="pct"/>
                  <w:vMerge w:val="restart"/>
                  <w:tcBorders>
                    <w:top w:val="single" w:color="000000" w:sz="4" w:space="0"/>
                    <w:left w:val="single" w:color="000000" w:sz="4" w:space="0"/>
                    <w:right w:val="single" w:color="000000" w:sz="4" w:space="0"/>
                  </w:tcBorders>
                  <w:noWrap w:val="0"/>
                  <w:vAlign w:val="center"/>
                </w:tcPr>
                <w:p w14:paraId="1EFDFEA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生态环境</w:t>
                  </w:r>
                </w:p>
              </w:tc>
              <w:tc>
                <w:tcPr>
                  <w:tcW w:w="4531" w:type="pct"/>
                  <w:gridSpan w:val="8"/>
                  <w:tcBorders>
                    <w:top w:val="single" w:color="000000" w:sz="4" w:space="0"/>
                    <w:left w:val="single" w:color="000000" w:sz="4" w:space="0"/>
                    <w:bottom w:val="single" w:color="auto" w:sz="4" w:space="0"/>
                    <w:right w:val="single" w:color="000000" w:sz="4" w:space="0"/>
                  </w:tcBorders>
                  <w:noWrap w:val="0"/>
                  <w:vAlign w:val="center"/>
                </w:tcPr>
                <w:p w14:paraId="7A2F6E24">
                  <w:pPr>
                    <w:keepNext w:val="0"/>
                    <w:keepLines w:val="0"/>
                    <w:widowControl/>
                    <w:suppressLineNumbers w:val="0"/>
                    <w:jc w:val="center"/>
                    <w:textAlignment w:val="center"/>
                    <w:rPr>
                      <w:rFonts w:hint="eastAsia" w:ascii="Times New Roman" w:hAnsi="Times New Roman" w:cs="Times New Roman"/>
                      <w:color w:val="auto"/>
                      <w:sz w:val="21"/>
                      <w:szCs w:val="21"/>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岳阳楼洞庭湖</w:t>
                  </w:r>
                  <w:r>
                    <w:rPr>
                      <w:rFonts w:hint="eastAsia" w:cs="Times New Roman"/>
                      <w:i w:val="0"/>
                      <w:iCs w:val="0"/>
                      <w:color w:val="auto"/>
                      <w:kern w:val="0"/>
                      <w:sz w:val="21"/>
                      <w:szCs w:val="21"/>
                      <w:u w:val="none"/>
                      <w:lang w:val="en-US" w:eastAsia="zh-CN" w:bidi="ar"/>
                    </w:rPr>
                    <w:t>国家级</w:t>
                  </w:r>
                  <w:r>
                    <w:rPr>
                      <w:rFonts w:hint="default" w:ascii="Times New Roman" w:hAnsi="Times New Roman" w:eastAsia="宋体" w:cs="Times New Roman"/>
                      <w:i w:val="0"/>
                      <w:iCs w:val="0"/>
                      <w:color w:val="auto"/>
                      <w:kern w:val="0"/>
                      <w:sz w:val="21"/>
                      <w:szCs w:val="21"/>
                      <w:u w:val="none"/>
                      <w:lang w:val="en-US" w:eastAsia="zh-CN" w:bidi="ar"/>
                    </w:rPr>
                    <w:t>风景名胜区-</w:t>
                  </w:r>
                  <w:r>
                    <w:rPr>
                      <w:rFonts w:hint="eastAsia" w:cs="Times New Roman"/>
                      <w:i w:val="0"/>
                      <w:iCs w:val="0"/>
                      <w:color w:val="auto"/>
                      <w:kern w:val="0"/>
                      <w:sz w:val="21"/>
                      <w:szCs w:val="21"/>
                      <w:u w:val="none"/>
                      <w:lang w:val="en-US" w:eastAsia="zh-CN" w:bidi="ar"/>
                    </w:rPr>
                    <w:t>岳阳楼景区</w:t>
                  </w:r>
                  <w:r>
                    <w:rPr>
                      <w:rFonts w:hint="default" w:ascii="Times New Roman" w:hAnsi="Times New Roman" w:eastAsia="宋体" w:cs="Times New Roman"/>
                      <w:i w:val="0"/>
                      <w:iCs w:val="0"/>
                      <w:color w:val="auto"/>
                      <w:kern w:val="0"/>
                      <w:sz w:val="21"/>
                      <w:szCs w:val="21"/>
                      <w:u w:val="none"/>
                      <w:lang w:val="en-US" w:eastAsia="zh-CN" w:bidi="ar"/>
                    </w:rPr>
                    <w:t>，</w:t>
                  </w:r>
                  <w:r>
                    <w:rPr>
                      <w:rFonts w:hint="eastAsia" w:cs="Times New Roman"/>
                      <w:i w:val="0"/>
                      <w:iCs w:val="0"/>
                      <w:color w:val="auto"/>
                      <w:kern w:val="0"/>
                      <w:sz w:val="21"/>
                      <w:szCs w:val="21"/>
                      <w:u w:val="none"/>
                      <w:lang w:val="en-US" w:eastAsia="zh-CN" w:bidi="ar"/>
                    </w:rPr>
                    <w:t>核心景区位于南侧</w:t>
                  </w:r>
                  <w:r>
                    <w:rPr>
                      <w:rFonts w:hint="eastAsia" w:ascii="Times New Roman" w:hAnsi="Times New Roman" w:cs="Times New Roman"/>
                      <w:color w:val="auto"/>
                      <w:sz w:val="21"/>
                      <w:szCs w:val="21"/>
                      <w:lang w:val="en-US" w:eastAsia="zh-CN" w:bidi="ar"/>
                    </w:rPr>
                    <w:t>370~920</w:t>
                  </w:r>
                </w:p>
                <w:p w14:paraId="3E88D1A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工程所在地距离景区</w:t>
                  </w:r>
                  <w:r>
                    <w:rPr>
                      <w:rFonts w:hint="eastAsia" w:cs="Times New Roman"/>
                      <w:i w:val="0"/>
                      <w:iCs w:val="0"/>
                      <w:color w:val="auto"/>
                      <w:kern w:val="0"/>
                      <w:sz w:val="21"/>
                      <w:szCs w:val="21"/>
                      <w:u w:val="none"/>
                      <w:lang w:val="en-US" w:eastAsia="zh-CN" w:bidi="ar"/>
                    </w:rPr>
                    <w:t>边界</w:t>
                  </w:r>
                  <w:r>
                    <w:rPr>
                      <w:rFonts w:hint="default" w:ascii="Times New Roman" w:hAnsi="Times New Roman" w:eastAsia="宋体" w:cs="Times New Roman"/>
                      <w:i w:val="0"/>
                      <w:iCs w:val="0"/>
                      <w:color w:val="auto"/>
                      <w:kern w:val="0"/>
                      <w:sz w:val="21"/>
                      <w:szCs w:val="21"/>
                      <w:u w:val="none"/>
                      <w:lang w:val="en-US" w:eastAsia="zh-CN" w:bidi="ar"/>
                    </w:rPr>
                    <w:t>线</w:t>
                  </w:r>
                  <w:r>
                    <w:rPr>
                      <w:rFonts w:hint="eastAsia" w:cs="Times New Roman"/>
                      <w:i w:val="0"/>
                      <w:iCs w:val="0"/>
                      <w:color w:val="auto"/>
                      <w:kern w:val="0"/>
                      <w:sz w:val="21"/>
                      <w:szCs w:val="21"/>
                      <w:u w:val="none"/>
                      <w:lang w:val="en-US" w:eastAsia="zh-CN" w:bidi="ar"/>
                    </w:rPr>
                    <w:t>西侧3</w:t>
                  </w:r>
                  <w:r>
                    <w:rPr>
                      <w:rFonts w:hint="default" w:ascii="Times New Roman" w:hAnsi="Times New Roman" w:eastAsia="宋体" w:cs="Times New Roman"/>
                      <w:i w:val="0"/>
                      <w:iCs w:val="0"/>
                      <w:color w:val="auto"/>
                      <w:kern w:val="0"/>
                      <w:sz w:val="21"/>
                      <w:szCs w:val="21"/>
                      <w:u w:val="none"/>
                      <w:lang w:val="en-US" w:eastAsia="zh-CN" w:bidi="ar"/>
                    </w:rPr>
                    <w:t>0m</w:t>
                  </w:r>
                </w:p>
              </w:tc>
            </w:tr>
            <w:tr w14:paraId="34CC1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 w:hRule="atLeast"/>
                <w:jc w:val="center"/>
              </w:trPr>
              <w:tc>
                <w:tcPr>
                  <w:tcW w:w="468" w:type="pct"/>
                  <w:vMerge w:val="continue"/>
                  <w:tcBorders>
                    <w:left w:val="single" w:color="000000" w:sz="4" w:space="0"/>
                    <w:right w:val="single" w:color="auto" w:sz="4" w:space="0"/>
                  </w:tcBorders>
                  <w:noWrap w:val="0"/>
                  <w:vAlign w:val="center"/>
                </w:tcPr>
                <w:p w14:paraId="44C940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4531" w:type="pct"/>
                  <w:gridSpan w:val="8"/>
                  <w:tcBorders>
                    <w:top w:val="single" w:color="auto" w:sz="4" w:space="0"/>
                    <w:left w:val="single" w:color="auto" w:sz="4" w:space="0"/>
                    <w:bottom w:val="single" w:color="auto" w:sz="4" w:space="0"/>
                    <w:right w:val="single" w:color="auto" w:sz="4" w:space="0"/>
                  </w:tcBorders>
                  <w:noWrap w:val="0"/>
                  <w:vAlign w:val="center"/>
                </w:tcPr>
                <w:p w14:paraId="6EB92E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zh-CN" w:eastAsia="zh-CN" w:bidi="ar"/>
                    </w:rPr>
                    <w:t>湖南东洞庭湖</w:t>
                  </w:r>
                  <w:r>
                    <w:rPr>
                      <w:rFonts w:hint="eastAsia" w:cs="Times New Roman"/>
                      <w:i w:val="0"/>
                      <w:iCs w:val="0"/>
                      <w:color w:val="auto"/>
                      <w:kern w:val="0"/>
                      <w:sz w:val="21"/>
                      <w:szCs w:val="21"/>
                      <w:u w:val="none"/>
                      <w:lang w:val="en-US" w:eastAsia="zh-CN" w:bidi="ar"/>
                    </w:rPr>
                    <w:t>国家级</w:t>
                  </w:r>
                  <w:r>
                    <w:rPr>
                      <w:rFonts w:hint="default" w:ascii="Times New Roman" w:hAnsi="Times New Roman" w:eastAsia="宋体" w:cs="Times New Roman"/>
                      <w:i w:val="0"/>
                      <w:iCs w:val="0"/>
                      <w:color w:val="auto"/>
                      <w:kern w:val="0"/>
                      <w:sz w:val="21"/>
                      <w:szCs w:val="21"/>
                      <w:u w:val="none"/>
                      <w:lang w:val="zh-CN" w:eastAsia="zh-CN" w:bidi="ar"/>
                    </w:rPr>
                    <w:t>自然保护区</w:t>
                  </w:r>
                  <w:r>
                    <w:rPr>
                      <w:rFonts w:hint="default" w:ascii="Times New Roman" w:hAnsi="Times New Roman" w:eastAsia="宋体" w:cs="Times New Roman"/>
                      <w:i w:val="0"/>
                      <w:iCs w:val="0"/>
                      <w:color w:val="auto"/>
                      <w:kern w:val="0"/>
                      <w:sz w:val="21"/>
                      <w:szCs w:val="21"/>
                      <w:u w:val="none"/>
                      <w:lang w:val="en-US" w:eastAsia="zh-CN" w:bidi="ar"/>
                    </w:rPr>
                    <w:t>实验区，西侧</w:t>
                  </w:r>
                  <w:r>
                    <w:rPr>
                      <w:rFonts w:hint="default" w:ascii="Times New Roman" w:hAnsi="Times New Roman" w:eastAsia="宋体" w:cs="Times New Roman"/>
                      <w:i w:val="0"/>
                      <w:iCs w:val="0"/>
                      <w:color w:val="auto"/>
                      <w:kern w:val="0"/>
                      <w:sz w:val="21"/>
                      <w:szCs w:val="21"/>
                      <w:u w:val="none"/>
                      <w:lang w:val="zh-CN" w:eastAsia="zh-CN" w:bidi="ar"/>
                    </w:rPr>
                    <w:t>，</w:t>
                  </w:r>
                  <w:r>
                    <w:rPr>
                      <w:rFonts w:hint="default" w:ascii="Times New Roman" w:hAnsi="Times New Roman" w:eastAsia="宋体" w:cs="Times New Roman"/>
                      <w:color w:val="auto"/>
                      <w:kern w:val="0"/>
                      <w:sz w:val="21"/>
                      <w:szCs w:val="21"/>
                      <w:lang w:val="zh-CN" w:bidi="ar"/>
                    </w:rPr>
                    <w:t>工程所在地西距保护区实验区边界线</w:t>
                  </w:r>
                  <w:r>
                    <w:rPr>
                      <w:rFonts w:hint="eastAsia" w:cs="Times New Roman"/>
                      <w:color w:val="auto"/>
                      <w:kern w:val="0"/>
                      <w:sz w:val="21"/>
                      <w:szCs w:val="21"/>
                      <w:lang w:val="en-US" w:eastAsia="zh-CN" w:bidi="ar"/>
                    </w:rPr>
                    <w:t>50</w:t>
                  </w:r>
                  <w:r>
                    <w:rPr>
                      <w:rFonts w:hint="default" w:ascii="Times New Roman" w:hAnsi="Times New Roman" w:eastAsia="宋体" w:cs="Times New Roman"/>
                      <w:color w:val="auto"/>
                      <w:kern w:val="0"/>
                      <w:sz w:val="21"/>
                      <w:szCs w:val="21"/>
                      <w:lang w:val="en-US" w:eastAsia="zh-CN" w:bidi="ar"/>
                    </w:rPr>
                    <w:t>0</w:t>
                  </w:r>
                  <w:r>
                    <w:rPr>
                      <w:rFonts w:hint="default" w:ascii="Times New Roman" w:hAnsi="Times New Roman" w:eastAsia="宋体" w:cs="Times New Roman"/>
                      <w:color w:val="auto"/>
                      <w:kern w:val="0"/>
                      <w:sz w:val="21"/>
                      <w:szCs w:val="21"/>
                      <w:lang w:val="zh-CN" w:bidi="ar"/>
                    </w:rPr>
                    <w:t>m</w:t>
                  </w:r>
                </w:p>
              </w:tc>
            </w:tr>
            <w:tr w14:paraId="680D6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8" w:type="pct"/>
                  <w:vMerge w:val="continue"/>
                  <w:tcBorders>
                    <w:left w:val="single" w:color="000000" w:sz="4" w:space="0"/>
                    <w:right w:val="single" w:color="auto" w:sz="4" w:space="0"/>
                  </w:tcBorders>
                  <w:noWrap w:val="0"/>
                  <w:vAlign w:val="top"/>
                </w:tcPr>
                <w:p w14:paraId="2DEF27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0" w:type="auto"/>
                  <w:gridSpan w:val="8"/>
                  <w:tcBorders>
                    <w:top w:val="single" w:color="auto" w:sz="4" w:space="0"/>
                    <w:left w:val="single" w:color="auto" w:sz="4" w:space="0"/>
                    <w:bottom w:val="single" w:color="auto" w:sz="4" w:space="0"/>
                    <w:right w:val="single" w:color="auto" w:sz="4" w:space="0"/>
                  </w:tcBorders>
                  <w:noWrap w:val="0"/>
                  <w:vAlign w:val="center"/>
                </w:tcPr>
                <w:p w14:paraId="5B4FE1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color w:val="auto"/>
                      <w:sz w:val="21"/>
                      <w:szCs w:val="21"/>
                      <w:u w:val="none"/>
                      <w:lang w:val="en-US" w:eastAsia="zh-CN"/>
                    </w:rPr>
                    <w:t>湖南</w:t>
                  </w:r>
                  <w:r>
                    <w:rPr>
                      <w:rFonts w:hint="eastAsia" w:ascii="Times New Roman" w:hAnsi="Times New Roman" w:cs="Times New Roman"/>
                      <w:color w:val="auto"/>
                      <w:sz w:val="21"/>
                      <w:szCs w:val="21"/>
                      <w:u w:val="none"/>
                      <w:lang w:val="en-US" w:eastAsia="zh-CN"/>
                    </w:rPr>
                    <w:t>东洞庭湖鲤鲫黄颡鱼</w:t>
                  </w:r>
                  <w:r>
                    <w:rPr>
                      <w:rFonts w:hint="eastAsia" w:cs="Times New Roman"/>
                      <w:color w:val="auto"/>
                      <w:sz w:val="21"/>
                      <w:szCs w:val="21"/>
                      <w:u w:val="none"/>
                      <w:lang w:val="en-US" w:eastAsia="zh-CN"/>
                    </w:rPr>
                    <w:t>种质资源保护区核心区</w:t>
                  </w:r>
                </w:p>
                <w:p w14:paraId="7E0C24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0"/>
                      <w:sz w:val="21"/>
                      <w:szCs w:val="21"/>
                      <w:lang w:bidi="ar"/>
                    </w:rPr>
                    <w:t>工程所在地西距保护区边界线</w:t>
                  </w:r>
                  <w:r>
                    <w:rPr>
                      <w:rFonts w:hint="eastAsia" w:cs="Times New Roman"/>
                      <w:color w:val="auto"/>
                      <w:kern w:val="0"/>
                      <w:sz w:val="21"/>
                      <w:szCs w:val="21"/>
                      <w:lang w:val="en-US" w:eastAsia="zh-CN" w:bidi="ar"/>
                    </w:rPr>
                    <w:t>2</w:t>
                  </w:r>
                  <w:r>
                    <w:rPr>
                      <w:rFonts w:hint="default" w:ascii="Times New Roman" w:hAnsi="Times New Roman" w:eastAsia="宋体" w:cs="Times New Roman"/>
                      <w:color w:val="auto"/>
                      <w:kern w:val="0"/>
                      <w:sz w:val="21"/>
                      <w:szCs w:val="21"/>
                      <w:lang w:bidi="ar"/>
                    </w:rPr>
                    <w:t>00m，</w:t>
                  </w:r>
                  <w:r>
                    <w:rPr>
                      <w:rFonts w:hint="eastAsia" w:cs="Times New Roman"/>
                      <w:color w:val="auto"/>
                      <w:kern w:val="0"/>
                      <w:sz w:val="21"/>
                      <w:szCs w:val="21"/>
                      <w:lang w:val="en-US" w:eastAsia="zh-CN" w:bidi="ar"/>
                    </w:rPr>
                    <w:t>现状备用水源地取水口</w:t>
                  </w:r>
                  <w:r>
                    <w:rPr>
                      <w:rFonts w:hint="default" w:ascii="Times New Roman" w:hAnsi="Times New Roman" w:eastAsia="宋体" w:cs="Times New Roman"/>
                      <w:color w:val="auto"/>
                      <w:kern w:val="0"/>
                      <w:sz w:val="21"/>
                      <w:szCs w:val="21"/>
                      <w:lang w:bidi="ar"/>
                    </w:rPr>
                    <w:t>位于</w:t>
                  </w:r>
                  <w:r>
                    <w:rPr>
                      <w:rFonts w:hint="eastAsia" w:cs="Times New Roman"/>
                      <w:color w:val="auto"/>
                      <w:kern w:val="0"/>
                      <w:sz w:val="21"/>
                      <w:szCs w:val="21"/>
                      <w:lang w:val="en-US" w:eastAsia="zh-CN" w:bidi="ar"/>
                    </w:rPr>
                    <w:t>保护区范围内</w:t>
                  </w:r>
                </w:p>
              </w:tc>
            </w:tr>
          </w:tbl>
          <w:p w14:paraId="5432225A">
            <w:pPr>
              <w:pStyle w:val="40"/>
              <w:bidi w:val="0"/>
              <w:rPr>
                <w:rFonts w:hint="default" w:ascii="Times New Roman" w:hAnsi="Times New Roman" w:cs="Times New Roman"/>
              </w:rPr>
            </w:pPr>
          </w:p>
        </w:tc>
      </w:tr>
      <w:tr w14:paraId="554532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noWrap w:val="0"/>
            <w:tcMar>
              <w:left w:w="28" w:type="dxa"/>
              <w:right w:w="28" w:type="dxa"/>
            </w:tcMar>
            <w:vAlign w:val="center"/>
          </w:tcPr>
          <w:p w14:paraId="538DD70E">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污染</w:t>
            </w:r>
          </w:p>
          <w:p w14:paraId="3627909E">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物排</w:t>
            </w:r>
          </w:p>
          <w:p w14:paraId="09FC3A45">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放控</w:t>
            </w:r>
          </w:p>
          <w:p w14:paraId="2871E056">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制标</w:t>
            </w:r>
          </w:p>
          <w:p w14:paraId="6C049B89">
            <w:pPr>
              <w:adjustRightInd w:val="0"/>
              <w:snapToGrid w:val="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准</w:t>
            </w:r>
          </w:p>
        </w:tc>
        <w:tc>
          <w:tcPr>
            <w:tcW w:w="8190" w:type="dxa"/>
            <w:noWrap w:val="0"/>
            <w:vAlign w:val="center"/>
          </w:tcPr>
          <w:p w14:paraId="0F711583">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一、废气</w:t>
            </w:r>
          </w:p>
          <w:p w14:paraId="7A53F82E">
            <w:pPr>
              <w:spacing w:line="360" w:lineRule="auto"/>
              <w:ind w:firstLine="480" w:firstLineChars="200"/>
              <w:rPr>
                <w:rFonts w:hint="default" w:ascii="Times New Roman" w:hAnsi="Times New Roman" w:cs="Times New Roman"/>
                <w:color w:val="auto"/>
                <w:sz w:val="24"/>
                <w:szCs w:val="32"/>
                <w:u w:val="none"/>
                <w:lang w:eastAsia="zh-CN"/>
              </w:rPr>
            </w:pPr>
            <w:r>
              <w:rPr>
                <w:rFonts w:hint="default" w:ascii="Times New Roman" w:hAnsi="Times New Roman" w:cs="Times New Roman"/>
                <w:color w:val="auto"/>
                <w:sz w:val="24"/>
                <w:szCs w:val="32"/>
                <w:u w:val="none"/>
                <w:lang w:val="en-US" w:eastAsia="zh-CN"/>
              </w:rPr>
              <w:t>根据</w:t>
            </w:r>
            <w:r>
              <w:rPr>
                <w:rFonts w:hint="eastAsia" w:ascii="Times New Roman" w:hAnsi="Times New Roman" w:cs="Times New Roman"/>
                <w:color w:val="auto"/>
                <w:sz w:val="24"/>
                <w:szCs w:val="32"/>
                <w:u w:val="none"/>
                <w:lang w:val="en-US" w:eastAsia="zh-CN"/>
              </w:rPr>
              <w:t>项目实际运行情况调查</w:t>
            </w:r>
            <w:r>
              <w:rPr>
                <w:rFonts w:hint="default" w:ascii="Times New Roman" w:hAnsi="Times New Roman" w:cs="Times New Roman"/>
                <w:color w:val="auto"/>
                <w:sz w:val="24"/>
                <w:szCs w:val="32"/>
                <w:u w:val="none"/>
                <w:lang w:val="en-US" w:eastAsia="zh-CN"/>
              </w:rPr>
              <w:t>，</w:t>
            </w:r>
            <w:r>
              <w:rPr>
                <w:rFonts w:hint="eastAsia" w:ascii="Times New Roman" w:hAnsi="Times New Roman" w:cs="Times New Roman"/>
                <w:color w:val="auto"/>
                <w:sz w:val="24"/>
                <w:szCs w:val="32"/>
                <w:u w:val="none"/>
                <w:lang w:val="en-US" w:eastAsia="zh-CN"/>
              </w:rPr>
              <w:t>厂区运行期过程中无有组织废气污染源</w:t>
            </w:r>
            <w:r>
              <w:rPr>
                <w:rFonts w:hint="eastAsia" w:cs="Times New Roman"/>
                <w:color w:val="auto"/>
                <w:sz w:val="24"/>
                <w:szCs w:val="32"/>
                <w:u w:val="none"/>
                <w:lang w:val="en-US" w:eastAsia="zh-CN"/>
              </w:rPr>
              <w:t>，使用的相关原辅料在存放区内一般状态下不会产生挥发性气体</w:t>
            </w:r>
            <w:r>
              <w:rPr>
                <w:rFonts w:hint="default" w:ascii="Times New Roman" w:hAnsi="Times New Roman" w:cs="Times New Roman"/>
                <w:color w:val="auto"/>
                <w:sz w:val="24"/>
                <w:szCs w:val="32"/>
                <w:u w:val="none"/>
                <w:lang w:val="en-US" w:eastAsia="zh-CN"/>
              </w:rPr>
              <w:t>；运营期主要大气污染物为污泥</w:t>
            </w:r>
            <w:r>
              <w:rPr>
                <w:rFonts w:hint="eastAsia" w:cs="Times New Roman"/>
                <w:color w:val="auto"/>
                <w:sz w:val="24"/>
                <w:szCs w:val="32"/>
                <w:u w:val="none"/>
                <w:lang w:val="en-US" w:eastAsia="zh-CN"/>
              </w:rPr>
              <w:t>处理车间内</w:t>
            </w:r>
            <w:r>
              <w:rPr>
                <w:rFonts w:hint="default" w:ascii="Times New Roman" w:hAnsi="Times New Roman" w:cs="Times New Roman"/>
                <w:color w:val="auto"/>
                <w:sz w:val="24"/>
                <w:szCs w:val="32"/>
                <w:u w:val="none"/>
                <w:lang w:val="en-US" w:eastAsia="zh-CN"/>
              </w:rPr>
              <w:t>污泥</w:t>
            </w:r>
            <w:r>
              <w:rPr>
                <w:rFonts w:hint="eastAsia" w:cs="Times New Roman"/>
                <w:color w:val="auto"/>
                <w:sz w:val="24"/>
                <w:szCs w:val="32"/>
                <w:u w:val="none"/>
                <w:lang w:val="en-US" w:eastAsia="zh-CN"/>
              </w:rPr>
              <w:t>浓缩、脱水和自然晾干</w:t>
            </w:r>
            <w:r>
              <w:rPr>
                <w:rFonts w:hint="default" w:ascii="Times New Roman" w:hAnsi="Times New Roman" w:cs="Times New Roman"/>
                <w:color w:val="auto"/>
                <w:sz w:val="24"/>
                <w:szCs w:val="32"/>
                <w:u w:val="none"/>
                <w:lang w:val="en-US" w:eastAsia="zh-CN"/>
              </w:rPr>
              <w:t>堆场产生的无组织恶臭气体。</w:t>
            </w:r>
            <w:r>
              <w:rPr>
                <w:rFonts w:hint="eastAsia" w:cs="Times New Roman"/>
                <w:color w:val="auto"/>
                <w:sz w:val="24"/>
                <w:szCs w:val="32"/>
                <w:u w:val="none"/>
                <w:lang w:val="en-US" w:eastAsia="zh-CN"/>
              </w:rPr>
              <w:t>恶臭污染物</w:t>
            </w:r>
            <w:r>
              <w:rPr>
                <w:rFonts w:hint="default" w:ascii="Times New Roman" w:hAnsi="Times New Roman" w:cs="Times New Roman"/>
                <w:color w:val="auto"/>
                <w:sz w:val="24"/>
                <w:szCs w:val="32"/>
                <w:u w:val="none"/>
                <w:lang w:val="en-US" w:eastAsia="zh-CN"/>
              </w:rPr>
              <w:t>以氨、硫化氢、臭气浓度表征，执行《恶臭污染物排放标准》（GB14554-93）表1恶臭污染物厂界标准值二级标准，</w:t>
            </w:r>
            <w:r>
              <w:rPr>
                <w:rFonts w:hint="eastAsia" w:cs="Times New Roman"/>
                <w:color w:val="auto"/>
                <w:sz w:val="24"/>
                <w:szCs w:val="32"/>
                <w:u w:val="none"/>
                <w:lang w:val="en-US" w:eastAsia="zh-CN"/>
              </w:rPr>
              <w:t>具体见下表</w:t>
            </w:r>
            <w:r>
              <w:rPr>
                <w:rFonts w:hint="default" w:ascii="Times New Roman" w:hAnsi="Times New Roman" w:cs="Times New Roman"/>
                <w:color w:val="auto"/>
                <w:sz w:val="24"/>
                <w:szCs w:val="32"/>
                <w:u w:val="none"/>
                <w:lang w:eastAsia="zh-CN"/>
              </w:rPr>
              <w:t>。</w:t>
            </w:r>
          </w:p>
          <w:p w14:paraId="036F8437">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default" w:ascii="Times New Roman" w:hAnsi="Times New Roman" w:cs="Times New Roman"/>
                <w:b/>
                <w:bCs w:val="0"/>
                <w:sz w:val="24"/>
                <w:szCs w:val="21"/>
                <w:lang w:val="en-US" w:eastAsia="zh-CN"/>
              </w:rPr>
              <w:t>表3-</w:t>
            </w:r>
            <w:r>
              <w:rPr>
                <w:rFonts w:hint="eastAsia" w:ascii="Times New Roman" w:hAnsi="Times New Roman" w:cs="Times New Roman"/>
                <w:b/>
                <w:bCs w:val="0"/>
                <w:sz w:val="24"/>
                <w:szCs w:val="21"/>
                <w:lang w:val="en-US" w:eastAsia="zh-CN"/>
              </w:rPr>
              <w:t>5</w:t>
            </w:r>
            <w:r>
              <w:rPr>
                <w:rFonts w:hint="default" w:ascii="Times New Roman" w:hAnsi="Times New Roman" w:cs="Times New Roman"/>
                <w:b/>
                <w:bCs w:val="0"/>
                <w:sz w:val="24"/>
                <w:szCs w:val="21"/>
                <w:lang w:val="en-US" w:eastAsia="zh-CN"/>
              </w:rPr>
              <w:t xml:space="preserve"> </w:t>
            </w:r>
            <w:r>
              <w:rPr>
                <w:rFonts w:hint="eastAsia" w:ascii="Times New Roman" w:hAnsi="Times New Roman" w:cs="Times New Roman"/>
                <w:b/>
                <w:bCs w:val="0"/>
                <w:sz w:val="24"/>
                <w:szCs w:val="21"/>
                <w:lang w:val="en-US" w:eastAsia="zh-CN"/>
              </w:rPr>
              <w:t>项目</w:t>
            </w:r>
            <w:r>
              <w:rPr>
                <w:rFonts w:hint="default" w:ascii="Times New Roman" w:hAnsi="Times New Roman" w:cs="Times New Roman"/>
                <w:b/>
                <w:bCs w:val="0"/>
                <w:sz w:val="24"/>
                <w:szCs w:val="21"/>
                <w:lang w:val="en-US" w:eastAsia="zh-CN"/>
              </w:rPr>
              <w:t>废气污染物排放标准限值</w:t>
            </w:r>
          </w:p>
          <w:tbl>
            <w:tblPr>
              <w:tblStyle w:val="45"/>
              <w:tblW w:w="40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50"/>
              <w:gridCol w:w="2055"/>
              <w:gridCol w:w="2838"/>
            </w:tblGrid>
            <w:tr w14:paraId="11A0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1143" w:type="pct"/>
                  <w:vMerge w:val="restart"/>
                  <w:tcBorders>
                    <w:tl2br w:val="nil"/>
                    <w:tr2bl w:val="nil"/>
                  </w:tcBorders>
                  <w:noWrap w:val="0"/>
                  <w:vAlign w:val="center"/>
                </w:tcPr>
                <w:p w14:paraId="22B0E13D">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center"/>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pacing w:val="-2"/>
                      <w:sz w:val="21"/>
                      <w:szCs w:val="21"/>
                      <w:highlight w:val="none"/>
                      <w:u w:val="none"/>
                    </w:rPr>
                    <w:t>污染</w:t>
                  </w:r>
                  <w:r>
                    <w:rPr>
                      <w:rFonts w:hint="default" w:ascii="Times New Roman" w:hAnsi="Times New Roman" w:eastAsia="宋体" w:cs="Times New Roman"/>
                      <w:b/>
                      <w:bCs/>
                      <w:color w:val="auto"/>
                      <w:spacing w:val="-1"/>
                      <w:sz w:val="21"/>
                      <w:szCs w:val="21"/>
                      <w:highlight w:val="none"/>
                      <w:u w:val="none"/>
                    </w:rPr>
                    <w:t>物</w:t>
                  </w:r>
                </w:p>
              </w:tc>
              <w:tc>
                <w:tcPr>
                  <w:tcW w:w="1619" w:type="pct"/>
                  <w:vMerge w:val="restart"/>
                  <w:tcBorders>
                    <w:tl2br w:val="nil"/>
                    <w:tr2bl w:val="nil"/>
                  </w:tcBorders>
                  <w:noWrap w:val="0"/>
                  <w:vAlign w:val="center"/>
                </w:tcPr>
                <w:p w14:paraId="5F7AFB11">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bCs/>
                      <w:color w:val="auto"/>
                      <w:kern w:val="2"/>
                      <w:sz w:val="21"/>
                      <w:szCs w:val="21"/>
                      <w:highlight w:val="none"/>
                      <w:u w:val="none"/>
                      <w:lang w:val="en-US" w:eastAsia="zh-CN" w:bidi="ar-SA"/>
                    </w:rPr>
                  </w:pPr>
                  <w:r>
                    <w:rPr>
                      <w:rFonts w:hint="default" w:ascii="Times New Roman" w:hAnsi="Times New Roman" w:eastAsia="宋体" w:cs="Times New Roman"/>
                      <w:b/>
                      <w:bCs/>
                      <w:color w:val="auto"/>
                      <w:spacing w:val="-1"/>
                      <w:position w:val="2"/>
                      <w:sz w:val="21"/>
                      <w:szCs w:val="21"/>
                      <w:highlight w:val="none"/>
                      <w:u w:val="none"/>
                      <w:lang w:val="en-US" w:eastAsia="zh-CN"/>
                    </w:rPr>
                    <w:t>厂界无组织</w:t>
                  </w:r>
                  <w:r>
                    <w:rPr>
                      <w:rFonts w:hint="default" w:ascii="Times New Roman" w:hAnsi="Times New Roman" w:eastAsia="宋体" w:cs="Times New Roman"/>
                      <w:b/>
                      <w:bCs/>
                      <w:color w:val="auto"/>
                      <w:spacing w:val="-1"/>
                      <w:position w:val="2"/>
                      <w:sz w:val="21"/>
                      <w:szCs w:val="21"/>
                      <w:highlight w:val="none"/>
                      <w:u w:val="none"/>
                    </w:rPr>
                    <w:t>排放限值</w:t>
                  </w:r>
                  <w:r>
                    <w:rPr>
                      <w:rFonts w:hint="default" w:ascii="Times New Roman" w:hAnsi="Times New Roman" w:eastAsia="Times New Roman" w:cs="Times New Roman"/>
                      <w:b/>
                      <w:bCs/>
                      <w:color w:val="auto"/>
                      <w:spacing w:val="-1"/>
                      <w:position w:val="2"/>
                      <w:sz w:val="21"/>
                      <w:szCs w:val="21"/>
                      <w:highlight w:val="none"/>
                      <w:u w:val="none"/>
                    </w:rPr>
                    <w:t>mg/</w:t>
                  </w:r>
                  <w:r>
                    <w:rPr>
                      <w:rFonts w:hint="default" w:ascii="Times New Roman" w:hAnsi="Times New Roman" w:cs="Times New Roman"/>
                      <w:b/>
                      <w:bCs/>
                      <w:color w:val="auto"/>
                      <w:spacing w:val="-1"/>
                      <w:position w:val="2"/>
                      <w:sz w:val="21"/>
                      <w:szCs w:val="21"/>
                      <w:highlight w:val="none"/>
                      <w:u w:val="none"/>
                      <w:lang w:val="en-US" w:eastAsia="zh-CN"/>
                    </w:rPr>
                    <w:t>m³</w:t>
                  </w:r>
                </w:p>
              </w:tc>
              <w:tc>
                <w:tcPr>
                  <w:tcW w:w="2236" w:type="pct"/>
                  <w:vMerge w:val="restart"/>
                  <w:tcBorders>
                    <w:tl2br w:val="nil"/>
                    <w:tr2bl w:val="nil"/>
                  </w:tcBorders>
                  <w:noWrap w:val="0"/>
                  <w:vAlign w:val="center"/>
                </w:tcPr>
                <w:p w14:paraId="0E189350">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Times New Roman" w:hAnsi="Times New Roman" w:eastAsia="宋体" w:cs="Times New Roman"/>
                      <w:b/>
                      <w:bCs/>
                      <w:color w:val="auto"/>
                      <w:spacing w:val="-3"/>
                      <w:sz w:val="21"/>
                      <w:szCs w:val="21"/>
                      <w:highlight w:val="none"/>
                      <w:u w:val="none"/>
                    </w:rPr>
                  </w:pPr>
                  <w:r>
                    <w:rPr>
                      <w:rFonts w:hint="default" w:ascii="Times New Roman" w:hAnsi="Times New Roman" w:cs="Times New Roman"/>
                      <w:b/>
                      <w:color w:val="auto"/>
                      <w:sz w:val="21"/>
                      <w:szCs w:val="21"/>
                      <w:highlight w:val="none"/>
                      <w:u w:val="none"/>
                    </w:rPr>
                    <w:t>标准来源</w:t>
                  </w:r>
                </w:p>
              </w:tc>
            </w:tr>
            <w:tr w14:paraId="00E9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1143" w:type="pct"/>
                  <w:vMerge w:val="continue"/>
                  <w:tcBorders>
                    <w:tl2br w:val="nil"/>
                    <w:tr2bl w:val="nil"/>
                  </w:tcBorders>
                  <w:noWrap w:val="0"/>
                  <w:vAlign w:val="center"/>
                </w:tcPr>
                <w:p w14:paraId="2DA0EAD5">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Times New Roman" w:hAnsi="Times New Roman" w:cs="Times New Roman"/>
                      <w:sz w:val="21"/>
                      <w:szCs w:val="21"/>
                      <w:highlight w:val="none"/>
                      <w:u w:val="none"/>
                    </w:rPr>
                  </w:pPr>
                </w:p>
              </w:tc>
              <w:tc>
                <w:tcPr>
                  <w:tcW w:w="1619" w:type="pct"/>
                  <w:vMerge w:val="continue"/>
                  <w:tcBorders>
                    <w:tl2br w:val="nil"/>
                    <w:tr2bl w:val="nil"/>
                  </w:tcBorders>
                  <w:noWrap w:val="0"/>
                  <w:vAlign w:val="center"/>
                </w:tcPr>
                <w:p w14:paraId="766AD224">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Times New Roman" w:hAnsi="Times New Roman" w:eastAsia="宋体" w:cs="Times New Roman"/>
                      <w:b/>
                      <w:bCs/>
                      <w:color w:val="auto"/>
                      <w:spacing w:val="-1"/>
                      <w:sz w:val="21"/>
                      <w:szCs w:val="21"/>
                      <w:highlight w:val="none"/>
                      <w:u w:val="none"/>
                      <w:lang w:val="en-US" w:eastAsia="zh-CN"/>
                    </w:rPr>
                  </w:pPr>
                </w:p>
              </w:tc>
              <w:tc>
                <w:tcPr>
                  <w:tcW w:w="2236" w:type="pct"/>
                  <w:vMerge w:val="continue"/>
                  <w:tcBorders>
                    <w:tl2br w:val="nil"/>
                    <w:tr2bl w:val="nil"/>
                  </w:tcBorders>
                  <w:noWrap w:val="0"/>
                  <w:vAlign w:val="center"/>
                </w:tcPr>
                <w:p w14:paraId="530EA68C">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Times New Roman" w:hAnsi="Times New Roman" w:eastAsia="宋体" w:cs="Times New Roman"/>
                      <w:b/>
                      <w:bCs/>
                      <w:color w:val="auto"/>
                      <w:spacing w:val="-1"/>
                      <w:sz w:val="21"/>
                      <w:szCs w:val="21"/>
                      <w:highlight w:val="none"/>
                      <w:u w:val="none"/>
                      <w:lang w:val="en-US" w:eastAsia="zh-CN"/>
                    </w:rPr>
                  </w:pPr>
                </w:p>
              </w:tc>
            </w:tr>
            <w:tr w14:paraId="0261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143" w:type="pct"/>
                  <w:tcBorders>
                    <w:tl2br w:val="nil"/>
                    <w:tr2bl w:val="nil"/>
                  </w:tcBorders>
                  <w:noWrap w:val="0"/>
                  <w:vAlign w:val="center"/>
                </w:tcPr>
                <w:p w14:paraId="5B17FB20">
                  <w:pPr>
                    <w:pStyle w:val="57"/>
                    <w:autoSpaceDE w:val="0"/>
                    <w:autoSpaceDN w:val="0"/>
                    <w:spacing w:line="240" w:lineRule="auto"/>
                    <w:ind w:firstLine="0" w:firstLineChars="0"/>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rPr>
                    <w:t>臭气浓度</w:t>
                  </w:r>
                </w:p>
              </w:tc>
              <w:tc>
                <w:tcPr>
                  <w:tcW w:w="1619" w:type="pct"/>
                  <w:tcBorders>
                    <w:tl2br w:val="nil"/>
                    <w:tr2bl w:val="nil"/>
                  </w:tcBorders>
                  <w:noWrap w:val="0"/>
                  <w:vAlign w:val="center"/>
                </w:tcPr>
                <w:p w14:paraId="79A69577">
                  <w:pPr>
                    <w:pStyle w:val="57"/>
                    <w:autoSpaceDE w:val="0"/>
                    <w:autoSpaceDN w:val="0"/>
                    <w:spacing w:line="240" w:lineRule="auto"/>
                    <w:ind w:firstLine="0" w:firstLineChars="0"/>
                    <w:rPr>
                      <w:rFonts w:hint="default" w:ascii="Times New Roman" w:hAnsi="Times New Roman" w:eastAsia="宋体" w:cs="Times New Roman"/>
                      <w:color w:val="auto"/>
                      <w:spacing w:val="-1"/>
                      <w:kern w:val="2"/>
                      <w:sz w:val="21"/>
                      <w:szCs w:val="21"/>
                      <w:highlight w:val="none"/>
                      <w:u w:val="none"/>
                      <w:lang w:val="en-US" w:eastAsia="zh-CN" w:bidi="ar-SA"/>
                    </w:rPr>
                  </w:pPr>
                  <w:r>
                    <w:rPr>
                      <w:rFonts w:hint="default" w:ascii="Times New Roman" w:hAnsi="Times New Roman" w:cs="Times New Roman"/>
                      <w:color w:val="auto"/>
                      <w:sz w:val="21"/>
                      <w:szCs w:val="21"/>
                      <w:highlight w:val="none"/>
                      <w:u w:val="none"/>
                      <w:lang w:eastAsia="zh-CN"/>
                    </w:rPr>
                    <w:t>2</w:t>
                  </w:r>
                  <w:r>
                    <w:rPr>
                      <w:rFonts w:hint="default" w:ascii="Times New Roman" w:hAnsi="Times New Roman" w:cs="Times New Roman"/>
                      <w:color w:val="auto"/>
                      <w:sz w:val="21"/>
                      <w:szCs w:val="21"/>
                      <w:highlight w:val="none"/>
                      <w:u w:val="none"/>
                      <w:lang w:val="en-US" w:eastAsia="zh-CN"/>
                    </w:rPr>
                    <w:t>0</w:t>
                  </w:r>
                  <w:r>
                    <w:rPr>
                      <w:rFonts w:hint="default" w:ascii="Times New Roman" w:hAnsi="Times New Roman" w:cs="Times New Roman"/>
                      <w:color w:val="auto"/>
                      <w:kern w:val="0"/>
                      <w:sz w:val="21"/>
                      <w:szCs w:val="21"/>
                      <w:highlight w:val="none"/>
                      <w:u w:val="none"/>
                    </w:rPr>
                    <w:t>（无量纲）</w:t>
                  </w:r>
                </w:p>
              </w:tc>
              <w:tc>
                <w:tcPr>
                  <w:tcW w:w="2236" w:type="pct"/>
                  <w:vMerge w:val="restart"/>
                  <w:tcBorders>
                    <w:tl2br w:val="nil"/>
                    <w:tr2bl w:val="nil"/>
                  </w:tcBorders>
                  <w:noWrap w:val="0"/>
                  <w:vAlign w:val="center"/>
                </w:tcPr>
                <w:p w14:paraId="7EDEA4CE">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rPr>
                    <w:t>《恶臭污染物排放标准》（GB14554-93）</w:t>
                  </w:r>
                  <w:r>
                    <w:rPr>
                      <w:rFonts w:hint="default" w:ascii="Times New Roman" w:hAnsi="Times New Roman" w:eastAsia="宋体" w:cs="Times New Roman"/>
                      <w:color w:val="auto"/>
                      <w:sz w:val="21"/>
                      <w:szCs w:val="21"/>
                      <w:highlight w:val="none"/>
                      <w:u w:val="none"/>
                      <w:lang w:val="en-US" w:eastAsia="zh-CN"/>
                    </w:rPr>
                    <w:t>中</w:t>
                  </w:r>
                  <w:r>
                    <w:rPr>
                      <w:rFonts w:hint="default" w:ascii="Times New Roman" w:hAnsi="Times New Roman" w:eastAsia="宋体" w:cs="Times New Roman"/>
                      <w:color w:val="auto"/>
                      <w:sz w:val="21"/>
                      <w:szCs w:val="21"/>
                      <w:highlight w:val="none"/>
                      <w:u w:val="none"/>
                    </w:rPr>
                    <w:t>表1标准值</w:t>
                  </w:r>
                </w:p>
              </w:tc>
            </w:tr>
            <w:tr w14:paraId="6350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143" w:type="pct"/>
                  <w:tcBorders>
                    <w:tl2br w:val="nil"/>
                    <w:tr2bl w:val="nil"/>
                  </w:tcBorders>
                  <w:noWrap w:val="0"/>
                  <w:vAlign w:val="center"/>
                </w:tcPr>
                <w:p w14:paraId="66E3A26A">
                  <w:pPr>
                    <w:pStyle w:val="57"/>
                    <w:autoSpaceDE w:val="0"/>
                    <w:autoSpaceDN w:val="0"/>
                    <w:spacing w:line="240" w:lineRule="auto"/>
                    <w:ind w:firstLine="0" w:firstLineChars="0"/>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硫化氢</w:t>
                  </w:r>
                </w:p>
              </w:tc>
              <w:tc>
                <w:tcPr>
                  <w:tcW w:w="1619" w:type="pct"/>
                  <w:tcBorders>
                    <w:tl2br w:val="nil"/>
                    <w:tr2bl w:val="nil"/>
                  </w:tcBorders>
                  <w:noWrap w:val="0"/>
                  <w:vAlign w:val="center"/>
                </w:tcPr>
                <w:p w14:paraId="24F250C5">
                  <w:pPr>
                    <w:pStyle w:val="57"/>
                    <w:autoSpaceDE w:val="0"/>
                    <w:autoSpaceDN w:val="0"/>
                    <w:spacing w:line="240" w:lineRule="auto"/>
                    <w:ind w:firstLine="0" w:firstLineChars="0"/>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0.06</w:t>
                  </w:r>
                </w:p>
              </w:tc>
              <w:tc>
                <w:tcPr>
                  <w:tcW w:w="2236" w:type="pct"/>
                  <w:vMerge w:val="continue"/>
                  <w:tcBorders>
                    <w:tl2br w:val="nil"/>
                    <w:tr2bl w:val="nil"/>
                  </w:tcBorders>
                  <w:noWrap w:val="0"/>
                  <w:vAlign w:val="center"/>
                </w:tcPr>
                <w:p w14:paraId="4962F41A">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Times New Roman" w:hAnsi="Times New Roman" w:eastAsia="宋体" w:cs="Times New Roman"/>
                      <w:color w:val="auto"/>
                      <w:sz w:val="21"/>
                      <w:szCs w:val="21"/>
                      <w:highlight w:val="none"/>
                      <w:u w:val="none"/>
                    </w:rPr>
                  </w:pPr>
                </w:p>
              </w:tc>
            </w:tr>
            <w:tr w14:paraId="6E48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143" w:type="pct"/>
                  <w:tcBorders>
                    <w:tl2br w:val="nil"/>
                    <w:tr2bl w:val="nil"/>
                  </w:tcBorders>
                  <w:noWrap w:val="0"/>
                  <w:vAlign w:val="center"/>
                </w:tcPr>
                <w:p w14:paraId="5912F763">
                  <w:pPr>
                    <w:pStyle w:val="57"/>
                    <w:autoSpaceDE w:val="0"/>
                    <w:autoSpaceDN w:val="0"/>
                    <w:spacing w:line="240" w:lineRule="auto"/>
                    <w:ind w:firstLine="0" w:firstLineChars="0"/>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氨</w:t>
                  </w:r>
                </w:p>
              </w:tc>
              <w:tc>
                <w:tcPr>
                  <w:tcW w:w="1619" w:type="pct"/>
                  <w:tcBorders>
                    <w:tl2br w:val="nil"/>
                    <w:tr2bl w:val="nil"/>
                  </w:tcBorders>
                  <w:noWrap w:val="0"/>
                  <w:vAlign w:val="center"/>
                </w:tcPr>
                <w:p w14:paraId="44CBE8E4">
                  <w:pPr>
                    <w:pStyle w:val="57"/>
                    <w:autoSpaceDE w:val="0"/>
                    <w:autoSpaceDN w:val="0"/>
                    <w:spacing w:line="240" w:lineRule="auto"/>
                    <w:ind w:firstLine="0" w:firstLineChars="0"/>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1.5</w:t>
                  </w:r>
                </w:p>
              </w:tc>
              <w:tc>
                <w:tcPr>
                  <w:tcW w:w="2236" w:type="pct"/>
                  <w:vMerge w:val="continue"/>
                  <w:tcBorders>
                    <w:tl2br w:val="nil"/>
                    <w:tr2bl w:val="nil"/>
                  </w:tcBorders>
                  <w:noWrap w:val="0"/>
                  <w:vAlign w:val="center"/>
                </w:tcPr>
                <w:p w14:paraId="30AFF5D7">
                  <w:pPr>
                    <w:keepNext w:val="0"/>
                    <w:keepLines w:val="0"/>
                    <w:pageBreakBefore w:val="0"/>
                    <w:widowControl w:val="0"/>
                    <w:kinsoku/>
                    <w:wordWrap/>
                    <w:overflowPunct/>
                    <w:topLinePunct w:val="0"/>
                    <w:autoSpaceDE/>
                    <w:autoSpaceDN/>
                    <w:bidi w:val="0"/>
                    <w:adjustRightInd/>
                    <w:snapToGrid/>
                    <w:spacing w:line="0" w:lineRule="atLeast"/>
                    <w:ind w:firstLine="0"/>
                    <w:jc w:val="center"/>
                    <w:textAlignment w:val="auto"/>
                    <w:rPr>
                      <w:rFonts w:hint="default" w:ascii="Times New Roman" w:hAnsi="Times New Roman" w:eastAsia="宋体" w:cs="Times New Roman"/>
                      <w:color w:val="auto"/>
                      <w:sz w:val="21"/>
                      <w:szCs w:val="21"/>
                      <w:highlight w:val="none"/>
                      <w:u w:val="none"/>
                    </w:rPr>
                  </w:pPr>
                </w:p>
              </w:tc>
            </w:tr>
          </w:tbl>
          <w:p w14:paraId="650D9A78">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二、废水</w:t>
            </w:r>
          </w:p>
          <w:p w14:paraId="073D44F2">
            <w:pPr>
              <w:spacing w:line="360" w:lineRule="auto"/>
              <w:ind w:firstLine="480" w:firstLineChars="200"/>
              <w:rPr>
                <w:rFonts w:hint="default" w:ascii="Times New Roman" w:hAnsi="Times New Roman" w:cs="Times New Roman"/>
                <w:color w:val="auto"/>
                <w:sz w:val="24"/>
                <w:szCs w:val="32"/>
                <w:u w:val="none"/>
                <w:lang w:val="en-US" w:eastAsia="zh-CN"/>
              </w:rPr>
            </w:pPr>
            <w:r>
              <w:rPr>
                <w:rFonts w:hint="eastAsia" w:cs="Times New Roman"/>
                <w:color w:val="auto"/>
                <w:sz w:val="24"/>
                <w:szCs w:val="32"/>
                <w:u w:val="none"/>
                <w:lang w:val="en-US" w:eastAsia="zh-CN"/>
              </w:rPr>
              <w:t>项目运营期</w:t>
            </w:r>
            <w:r>
              <w:rPr>
                <w:rFonts w:hint="eastAsia" w:ascii="Times New Roman" w:hAnsi="Times New Roman" w:cs="Times New Roman"/>
                <w:color w:val="auto"/>
                <w:sz w:val="24"/>
                <w:szCs w:val="32"/>
                <w:u w:val="none"/>
                <w:lang w:val="en-US" w:eastAsia="zh-CN"/>
              </w:rPr>
              <w:t>废水包含生产废水</w:t>
            </w:r>
            <w:r>
              <w:rPr>
                <w:rFonts w:hint="eastAsia" w:cs="Times New Roman"/>
                <w:color w:val="auto"/>
                <w:sz w:val="24"/>
                <w:szCs w:val="32"/>
                <w:u w:val="none"/>
                <w:lang w:val="en-US" w:eastAsia="zh-CN"/>
              </w:rPr>
              <w:t>（排泥水）</w:t>
            </w:r>
            <w:r>
              <w:rPr>
                <w:rFonts w:hint="eastAsia" w:ascii="Times New Roman" w:hAnsi="Times New Roman" w:cs="Times New Roman"/>
                <w:color w:val="auto"/>
                <w:sz w:val="24"/>
                <w:szCs w:val="32"/>
                <w:u w:val="none"/>
                <w:lang w:val="en-US" w:eastAsia="zh-CN"/>
              </w:rPr>
              <w:t>、生活污水。经过化粪池预处理后的生活污水、污泥</w:t>
            </w:r>
            <w:r>
              <w:rPr>
                <w:rFonts w:hint="eastAsia" w:cs="Times New Roman"/>
                <w:color w:val="auto"/>
                <w:sz w:val="24"/>
                <w:szCs w:val="32"/>
                <w:u w:val="none"/>
                <w:lang w:val="en-US" w:eastAsia="zh-CN"/>
              </w:rPr>
              <w:t>离心</w:t>
            </w:r>
            <w:r>
              <w:rPr>
                <w:rFonts w:hint="eastAsia" w:ascii="Times New Roman" w:hAnsi="Times New Roman" w:cs="Times New Roman"/>
                <w:color w:val="auto"/>
                <w:sz w:val="24"/>
                <w:szCs w:val="32"/>
                <w:u w:val="none"/>
                <w:lang w:val="en-US" w:eastAsia="zh-CN"/>
              </w:rPr>
              <w:t>脱水系统产生的脱泥废水达到《污水综合排放标准》（</w:t>
            </w:r>
            <w:r>
              <w:rPr>
                <w:rFonts w:hint="default" w:ascii="Times New Roman" w:hAnsi="Times New Roman" w:cs="Times New Roman"/>
                <w:color w:val="auto"/>
                <w:sz w:val="24"/>
                <w:szCs w:val="32"/>
                <w:u w:val="none"/>
                <w:lang w:val="en-US" w:eastAsia="zh-CN"/>
              </w:rPr>
              <w:t>GB 8978-1996</w:t>
            </w:r>
            <w:r>
              <w:rPr>
                <w:rFonts w:hint="eastAsia" w:ascii="Times New Roman" w:hAnsi="Times New Roman" w:cs="Times New Roman"/>
                <w:color w:val="auto"/>
                <w:sz w:val="24"/>
                <w:szCs w:val="32"/>
                <w:u w:val="none"/>
                <w:lang w:val="en-US" w:eastAsia="zh-CN"/>
              </w:rPr>
              <w:t>）</w:t>
            </w:r>
            <w:r>
              <w:rPr>
                <w:rFonts w:hint="eastAsia" w:cs="Times New Roman"/>
                <w:color w:val="auto"/>
                <w:sz w:val="24"/>
                <w:szCs w:val="32"/>
                <w:u w:val="none"/>
                <w:lang w:val="en-US" w:eastAsia="zh-CN"/>
              </w:rPr>
              <w:t>中表4</w:t>
            </w:r>
            <w:r>
              <w:rPr>
                <w:rFonts w:hint="eastAsia" w:ascii="Times New Roman" w:hAnsi="Times New Roman" w:cs="Times New Roman"/>
                <w:color w:val="auto"/>
                <w:sz w:val="24"/>
                <w:szCs w:val="32"/>
                <w:u w:val="none"/>
                <w:lang w:val="en-US" w:eastAsia="zh-CN"/>
              </w:rPr>
              <w:t>三级标准</w:t>
            </w:r>
            <w:r>
              <w:rPr>
                <w:rFonts w:hint="eastAsia" w:cs="Times New Roman"/>
                <w:color w:val="auto"/>
                <w:sz w:val="24"/>
                <w:szCs w:val="32"/>
                <w:highlight w:val="none"/>
                <w:u w:val="none"/>
                <w:lang w:val="en-US" w:eastAsia="zh-CN"/>
              </w:rPr>
              <w:t>和岳阳马壕水质净化中心进水水质标准（主要污染物pH6～9、COD</w:t>
            </w:r>
            <w:r>
              <w:rPr>
                <w:rFonts w:hint="eastAsia" w:cs="Times New Roman"/>
                <w:color w:val="auto"/>
                <w:sz w:val="24"/>
                <w:szCs w:val="32"/>
                <w:highlight w:val="none"/>
                <w:u w:val="none"/>
                <w:vertAlign w:val="subscript"/>
                <w:lang w:val="en-US" w:eastAsia="zh-CN"/>
              </w:rPr>
              <w:t>Cr</w:t>
            </w:r>
            <w:r>
              <w:rPr>
                <w:rFonts w:hint="eastAsia" w:cs="Times New Roman"/>
                <w:color w:val="auto"/>
                <w:sz w:val="24"/>
                <w:szCs w:val="32"/>
                <w:highlight w:val="none"/>
                <w:u w:val="none"/>
                <w:lang w:val="en-US" w:eastAsia="zh-CN"/>
              </w:rPr>
              <w:t>≤500mg/L、BOD</w:t>
            </w:r>
            <w:r>
              <w:rPr>
                <w:rFonts w:hint="eastAsia" w:cs="Times New Roman"/>
                <w:color w:val="auto"/>
                <w:sz w:val="24"/>
                <w:szCs w:val="32"/>
                <w:highlight w:val="none"/>
                <w:u w:val="none"/>
                <w:vertAlign w:val="subscript"/>
                <w:lang w:val="en-US" w:eastAsia="zh-CN"/>
              </w:rPr>
              <w:t>5</w:t>
            </w:r>
            <w:r>
              <w:rPr>
                <w:rFonts w:hint="eastAsia" w:cs="Times New Roman"/>
                <w:color w:val="auto"/>
                <w:sz w:val="24"/>
                <w:szCs w:val="32"/>
                <w:highlight w:val="none"/>
                <w:u w:val="none"/>
                <w:lang w:val="en-US" w:eastAsia="zh-CN"/>
              </w:rPr>
              <w:t>≤130mg/L、SS≤200mg/L、NH</w:t>
            </w:r>
            <w:r>
              <w:rPr>
                <w:rFonts w:hint="eastAsia" w:cs="Times New Roman"/>
                <w:color w:val="auto"/>
                <w:sz w:val="24"/>
                <w:szCs w:val="32"/>
                <w:highlight w:val="none"/>
                <w:u w:val="none"/>
                <w:vertAlign w:val="subscript"/>
                <w:lang w:val="en-US" w:eastAsia="zh-CN"/>
              </w:rPr>
              <w:t>3</w:t>
            </w:r>
            <w:r>
              <w:rPr>
                <w:rFonts w:hint="eastAsia" w:cs="Times New Roman"/>
                <w:color w:val="auto"/>
                <w:sz w:val="24"/>
                <w:szCs w:val="32"/>
                <w:highlight w:val="none"/>
                <w:u w:val="none"/>
                <w:lang w:val="en-US" w:eastAsia="zh-CN"/>
              </w:rPr>
              <w:t>-N≤25mg/L、TN≤65mg/L、TP≤3mg/L）</w:t>
            </w:r>
            <w:r>
              <w:rPr>
                <w:rFonts w:hint="eastAsia" w:ascii="Times New Roman" w:hAnsi="Times New Roman" w:cs="Times New Roman"/>
                <w:color w:val="auto"/>
                <w:sz w:val="24"/>
                <w:szCs w:val="32"/>
                <w:highlight w:val="none"/>
                <w:u w:val="none"/>
                <w:lang w:val="en-US" w:eastAsia="zh-CN"/>
              </w:rPr>
              <w:t>后，</w:t>
            </w:r>
            <w:r>
              <w:rPr>
                <w:rFonts w:hint="eastAsia" w:ascii="Times New Roman" w:hAnsi="Times New Roman" w:cs="Times New Roman"/>
                <w:color w:val="auto"/>
                <w:sz w:val="24"/>
                <w:szCs w:val="32"/>
                <w:u w:val="none"/>
                <w:lang w:val="en-US" w:eastAsia="zh-CN"/>
              </w:rPr>
              <w:t>经厂区</w:t>
            </w:r>
            <w:r>
              <w:rPr>
                <w:rFonts w:hint="eastAsia" w:cs="Times New Roman"/>
                <w:color w:val="auto"/>
                <w:sz w:val="24"/>
                <w:szCs w:val="32"/>
                <w:u w:val="none"/>
                <w:lang w:val="en-US" w:eastAsia="zh-CN"/>
              </w:rPr>
              <w:t>废水总排口排入市政</w:t>
            </w:r>
            <w:r>
              <w:rPr>
                <w:rFonts w:hint="eastAsia" w:ascii="Times New Roman" w:hAnsi="Times New Roman" w:cs="Times New Roman"/>
                <w:color w:val="auto"/>
                <w:sz w:val="24"/>
                <w:szCs w:val="32"/>
                <w:u w:val="none"/>
                <w:lang w:val="en-US" w:eastAsia="zh-CN"/>
              </w:rPr>
              <w:t>污水管网</w:t>
            </w:r>
            <w:r>
              <w:rPr>
                <w:rFonts w:hint="eastAsia" w:cs="Times New Roman"/>
                <w:color w:val="auto"/>
                <w:sz w:val="24"/>
                <w:szCs w:val="32"/>
                <w:u w:val="none"/>
                <w:lang w:val="en-US" w:eastAsia="zh-CN"/>
              </w:rPr>
              <w:t>，最终进</w:t>
            </w:r>
            <w:r>
              <w:rPr>
                <w:rFonts w:hint="eastAsia" w:ascii="Times New Roman" w:hAnsi="Times New Roman" w:cs="Times New Roman"/>
                <w:color w:val="auto"/>
                <w:sz w:val="24"/>
                <w:szCs w:val="32"/>
                <w:u w:val="none"/>
                <w:lang w:val="en-US" w:eastAsia="zh-CN"/>
              </w:rPr>
              <w:t>入</w:t>
            </w:r>
            <w:r>
              <w:rPr>
                <w:rFonts w:hint="eastAsia" w:cs="Times New Roman"/>
                <w:color w:val="auto"/>
                <w:sz w:val="24"/>
                <w:szCs w:val="32"/>
                <w:u w:val="none"/>
                <w:lang w:val="en-US" w:eastAsia="zh-CN"/>
              </w:rPr>
              <w:t>岳阳马壕水质净化中心深度处理</w:t>
            </w:r>
            <w:r>
              <w:rPr>
                <w:rFonts w:hint="eastAsia" w:ascii="Times New Roman" w:hAnsi="Times New Roman" w:cs="Times New Roman"/>
                <w:color w:val="auto"/>
                <w:sz w:val="24"/>
                <w:szCs w:val="32"/>
                <w:u w:val="none"/>
                <w:lang w:val="en-US" w:eastAsia="zh-CN"/>
              </w:rPr>
              <w:t>。项目外排废水污染物浓度限值见下表。</w:t>
            </w:r>
          </w:p>
          <w:p w14:paraId="2DB4FAF2">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default" w:ascii="Times New Roman" w:hAnsi="Times New Roman" w:cs="Times New Roman"/>
                <w:b/>
                <w:bCs w:val="0"/>
                <w:sz w:val="24"/>
                <w:szCs w:val="21"/>
                <w:lang w:val="en-US" w:eastAsia="zh-CN"/>
              </w:rPr>
              <w:t>表3-</w:t>
            </w:r>
            <w:r>
              <w:rPr>
                <w:rFonts w:hint="eastAsia" w:ascii="Times New Roman" w:hAnsi="Times New Roman" w:cs="Times New Roman"/>
                <w:b/>
                <w:bCs w:val="0"/>
                <w:sz w:val="24"/>
                <w:szCs w:val="21"/>
                <w:lang w:val="en-US" w:eastAsia="zh-CN"/>
              </w:rPr>
              <w:t>6</w:t>
            </w:r>
            <w:r>
              <w:rPr>
                <w:rFonts w:hint="default" w:ascii="Times New Roman" w:hAnsi="Times New Roman" w:cs="Times New Roman"/>
                <w:b/>
                <w:bCs w:val="0"/>
                <w:sz w:val="24"/>
                <w:szCs w:val="21"/>
                <w:lang w:val="en-US" w:eastAsia="zh-CN"/>
              </w:rPr>
              <w:t xml:space="preserve">  </w:t>
            </w:r>
            <w:r>
              <w:rPr>
                <w:rFonts w:hint="eastAsia" w:ascii="Times New Roman" w:hAnsi="Times New Roman" w:cs="Times New Roman"/>
                <w:b/>
                <w:bCs w:val="0"/>
                <w:sz w:val="24"/>
                <w:szCs w:val="21"/>
                <w:lang w:val="en-US" w:eastAsia="zh-CN"/>
              </w:rPr>
              <w:t>项目外排</w:t>
            </w:r>
            <w:r>
              <w:rPr>
                <w:rFonts w:hint="default" w:ascii="Times New Roman" w:hAnsi="Times New Roman" w:cs="Times New Roman"/>
                <w:b/>
                <w:bCs w:val="0"/>
                <w:sz w:val="24"/>
                <w:szCs w:val="21"/>
                <w:lang w:val="en-US" w:eastAsia="zh-CN"/>
              </w:rPr>
              <w:t>水污染物排放标准</w:t>
            </w:r>
            <w:r>
              <w:rPr>
                <w:rFonts w:hint="eastAsia" w:ascii="Times New Roman" w:hAnsi="Times New Roman" w:cs="Times New Roman"/>
                <w:b/>
                <w:bCs w:val="0"/>
                <w:sz w:val="24"/>
                <w:szCs w:val="21"/>
                <w:lang w:val="en-US" w:eastAsia="zh-CN"/>
              </w:rPr>
              <w:t>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0" w:type="dxa"/>
                <w:left w:w="30" w:type="dxa"/>
                <w:bottom w:w="30" w:type="dxa"/>
                <w:right w:w="30" w:type="dxa"/>
              </w:tblCellMar>
            </w:tblPr>
            <w:tblGrid>
              <w:gridCol w:w="556"/>
              <w:gridCol w:w="398"/>
              <w:gridCol w:w="4043"/>
              <w:gridCol w:w="2861"/>
            </w:tblGrid>
            <w:tr w14:paraId="5375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3179" w:type="pct"/>
                  <w:gridSpan w:val="3"/>
                  <w:noWrap w:val="0"/>
                  <w:vAlign w:val="center"/>
                </w:tcPr>
                <w:p w14:paraId="2F96F178">
                  <w:pPr>
                    <w:spacing w:line="240" w:lineRule="auto"/>
                    <w:jc w:val="center"/>
                    <w:rPr>
                      <w:rFonts w:hint="eastAsia" w:ascii="Times New Roman" w:hAnsi="Times New Roman" w:eastAsia="宋体" w:cs="Times New Roman"/>
                      <w:b/>
                      <w:bCs w:val="0"/>
                      <w:sz w:val="21"/>
                      <w:szCs w:val="21"/>
                      <w:lang w:eastAsia="zh-CN"/>
                    </w:rPr>
                  </w:pPr>
                  <w:r>
                    <w:rPr>
                      <w:rFonts w:hint="eastAsia" w:cs="Times New Roman"/>
                      <w:b/>
                      <w:bCs w:val="0"/>
                      <w:sz w:val="21"/>
                      <w:szCs w:val="21"/>
                      <w:lang w:val="en-US" w:eastAsia="zh-CN"/>
                    </w:rPr>
                    <w:t>指标</w:t>
                  </w:r>
                </w:p>
              </w:tc>
              <w:tc>
                <w:tcPr>
                  <w:tcW w:w="1820" w:type="pct"/>
                  <w:noWrap w:val="0"/>
                  <w:vAlign w:val="center"/>
                </w:tcPr>
                <w:p w14:paraId="0163C86F">
                  <w:pPr>
                    <w:spacing w:line="240" w:lineRule="auto"/>
                    <w:jc w:val="center"/>
                    <w:rPr>
                      <w:rFonts w:hint="default" w:ascii="Times New Roman" w:hAnsi="Times New Roman" w:cs="Times New Roman"/>
                      <w:b/>
                      <w:bCs w:val="0"/>
                      <w:sz w:val="21"/>
                      <w:szCs w:val="21"/>
                    </w:rPr>
                  </w:pPr>
                  <w:r>
                    <w:rPr>
                      <w:rFonts w:hint="default" w:ascii="Times New Roman" w:hAnsi="Times New Roman" w:cs="Times New Roman"/>
                      <w:b/>
                      <w:bCs w:val="0"/>
                      <w:sz w:val="21"/>
                      <w:szCs w:val="21"/>
                    </w:rPr>
                    <w:t>排放限值</w:t>
                  </w:r>
                </w:p>
              </w:tc>
            </w:tr>
            <w:tr w14:paraId="510B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354" w:type="pct"/>
                  <w:vMerge w:val="restart"/>
                  <w:noWrap w:val="0"/>
                  <w:vAlign w:val="center"/>
                </w:tcPr>
                <w:p w14:paraId="48410736">
                  <w:pPr>
                    <w:spacing w:line="240" w:lineRule="auto"/>
                    <w:jc w:val="center"/>
                    <w:rPr>
                      <w:rFonts w:hint="default" w:ascii="Times New Roman" w:hAnsi="Times New Roman" w:cs="Times New Roman"/>
                      <w:bCs/>
                      <w:sz w:val="21"/>
                      <w:szCs w:val="21"/>
                    </w:rPr>
                  </w:pPr>
                  <w:r>
                    <w:rPr>
                      <w:rFonts w:hint="default" w:ascii="Times New Roman" w:hAnsi="Times New Roman" w:cs="Times New Roman"/>
                      <w:bCs/>
                      <w:sz w:val="21"/>
                      <w:szCs w:val="21"/>
                    </w:rPr>
                    <w:t>排放限值</w:t>
                  </w:r>
                </w:p>
              </w:tc>
              <w:tc>
                <w:tcPr>
                  <w:tcW w:w="253" w:type="pct"/>
                  <w:noWrap w:val="0"/>
                  <w:vAlign w:val="center"/>
                </w:tcPr>
                <w:p w14:paraId="3B9A0C93">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2571" w:type="pct"/>
                  <w:noWrap w:val="0"/>
                  <w:vAlign w:val="center"/>
                </w:tcPr>
                <w:p w14:paraId="158213A2">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pH值</w:t>
                  </w:r>
                </w:p>
              </w:tc>
              <w:tc>
                <w:tcPr>
                  <w:tcW w:w="1820" w:type="pct"/>
                  <w:noWrap w:val="0"/>
                  <w:vAlign w:val="center"/>
                </w:tcPr>
                <w:p w14:paraId="6DA8AF04">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6～9</w:t>
                  </w:r>
                </w:p>
              </w:tc>
            </w:tr>
            <w:tr w14:paraId="42CA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0" w:type="auto"/>
                  <w:vMerge w:val="continue"/>
                  <w:noWrap w:val="0"/>
                  <w:vAlign w:val="center"/>
                </w:tcPr>
                <w:p w14:paraId="214AB00D">
                  <w:pPr>
                    <w:widowControl/>
                    <w:spacing w:line="240" w:lineRule="auto"/>
                    <w:jc w:val="left"/>
                    <w:rPr>
                      <w:rFonts w:hint="default" w:ascii="Times New Roman" w:hAnsi="Times New Roman" w:cs="Times New Roman"/>
                      <w:bCs/>
                      <w:sz w:val="21"/>
                      <w:szCs w:val="21"/>
                    </w:rPr>
                  </w:pPr>
                </w:p>
              </w:tc>
              <w:tc>
                <w:tcPr>
                  <w:tcW w:w="253" w:type="pct"/>
                  <w:noWrap w:val="0"/>
                  <w:vAlign w:val="center"/>
                </w:tcPr>
                <w:p w14:paraId="788E8E13">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2571" w:type="pct"/>
                  <w:shd w:val="clear" w:color="auto" w:fill="auto"/>
                  <w:noWrap w:val="0"/>
                  <w:vAlign w:val="center"/>
                </w:tcPr>
                <w:p w14:paraId="29CA55D1">
                  <w:pPr>
                    <w:spacing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化学需氧量（COD</w:t>
                  </w:r>
                  <w:r>
                    <w:rPr>
                      <w:rFonts w:hint="default" w:ascii="Times New Roman" w:hAnsi="Times New Roman" w:cs="Times New Roman"/>
                      <w:sz w:val="21"/>
                      <w:szCs w:val="21"/>
                      <w:vertAlign w:val="subscript"/>
                    </w:rPr>
                    <w:t>Cr</w:t>
                  </w:r>
                  <w:r>
                    <w:rPr>
                      <w:rFonts w:hint="default" w:ascii="Times New Roman" w:hAnsi="Times New Roman" w:cs="Times New Roman"/>
                      <w:sz w:val="21"/>
                      <w:szCs w:val="21"/>
                    </w:rPr>
                    <w:t>, mg/L）</w:t>
                  </w:r>
                </w:p>
              </w:tc>
              <w:tc>
                <w:tcPr>
                  <w:tcW w:w="1820" w:type="pct"/>
                  <w:shd w:val="clear" w:color="auto" w:fill="auto"/>
                  <w:noWrap w:val="0"/>
                  <w:vAlign w:val="center"/>
                </w:tcPr>
                <w:p w14:paraId="6E40A9F5">
                  <w:pPr>
                    <w:spacing w:line="240" w:lineRule="auto"/>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500</w:t>
                  </w:r>
                </w:p>
              </w:tc>
            </w:tr>
            <w:tr w14:paraId="302F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0" w:type="auto"/>
                  <w:vMerge w:val="continue"/>
                  <w:noWrap w:val="0"/>
                  <w:vAlign w:val="center"/>
                </w:tcPr>
                <w:p w14:paraId="1ED060E4">
                  <w:pPr>
                    <w:widowControl/>
                    <w:spacing w:line="240" w:lineRule="auto"/>
                    <w:jc w:val="left"/>
                    <w:rPr>
                      <w:rFonts w:hint="default" w:ascii="Times New Roman" w:hAnsi="Times New Roman" w:cs="Times New Roman"/>
                      <w:bCs/>
                      <w:sz w:val="21"/>
                      <w:szCs w:val="21"/>
                    </w:rPr>
                  </w:pPr>
                </w:p>
              </w:tc>
              <w:tc>
                <w:tcPr>
                  <w:tcW w:w="253" w:type="pct"/>
                  <w:noWrap w:val="0"/>
                  <w:vAlign w:val="center"/>
                </w:tcPr>
                <w:p w14:paraId="6B882A29">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2571" w:type="pct"/>
                  <w:noWrap w:val="0"/>
                  <w:vAlign w:val="center"/>
                </w:tcPr>
                <w:p w14:paraId="2D079BBA">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悬浮物（mg/L）</w:t>
                  </w:r>
                </w:p>
              </w:tc>
              <w:tc>
                <w:tcPr>
                  <w:tcW w:w="1820" w:type="pct"/>
                  <w:noWrap w:val="0"/>
                  <w:vAlign w:val="center"/>
                </w:tcPr>
                <w:p w14:paraId="1E1807FD">
                  <w:pPr>
                    <w:spacing w:line="240" w:lineRule="auto"/>
                    <w:jc w:val="center"/>
                    <w:rPr>
                      <w:rFonts w:hint="default" w:ascii="Times New Roman" w:hAnsi="Times New Roman" w:cs="Times New Roman"/>
                      <w:sz w:val="21"/>
                      <w:szCs w:val="21"/>
                    </w:rPr>
                  </w:pPr>
                  <w:r>
                    <w:rPr>
                      <w:rFonts w:hint="eastAsia" w:cs="Times New Roman"/>
                      <w:sz w:val="21"/>
                      <w:szCs w:val="21"/>
                      <w:lang w:val="en-US" w:eastAsia="zh-CN"/>
                    </w:rPr>
                    <w:t>20</w:t>
                  </w:r>
                  <w:r>
                    <w:rPr>
                      <w:rFonts w:hint="default" w:ascii="Times New Roman" w:hAnsi="Times New Roman" w:cs="Times New Roman"/>
                      <w:sz w:val="21"/>
                      <w:szCs w:val="21"/>
                    </w:rPr>
                    <w:t>0</w:t>
                  </w:r>
                </w:p>
              </w:tc>
            </w:tr>
            <w:tr w14:paraId="7AA6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0" w:type="auto"/>
                  <w:vMerge w:val="continue"/>
                  <w:noWrap w:val="0"/>
                  <w:vAlign w:val="center"/>
                </w:tcPr>
                <w:p w14:paraId="24F028A4">
                  <w:pPr>
                    <w:widowControl/>
                    <w:spacing w:line="240" w:lineRule="auto"/>
                    <w:jc w:val="left"/>
                    <w:rPr>
                      <w:rFonts w:hint="default" w:ascii="Times New Roman" w:hAnsi="Times New Roman" w:cs="Times New Roman"/>
                      <w:bCs/>
                      <w:sz w:val="21"/>
                      <w:szCs w:val="21"/>
                    </w:rPr>
                  </w:pPr>
                </w:p>
              </w:tc>
              <w:tc>
                <w:tcPr>
                  <w:tcW w:w="253" w:type="pct"/>
                  <w:noWrap w:val="0"/>
                  <w:vAlign w:val="center"/>
                </w:tcPr>
                <w:p w14:paraId="4EFAD6EF">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2571" w:type="pct"/>
                  <w:noWrap w:val="0"/>
                  <w:vAlign w:val="center"/>
                </w:tcPr>
                <w:p w14:paraId="07B7C160">
                  <w:pPr>
                    <w:spacing w:line="240" w:lineRule="auto"/>
                    <w:jc w:val="center"/>
                    <w:rPr>
                      <w:rFonts w:hint="default" w:ascii="Times New Roman" w:hAnsi="Times New Roman" w:cs="Times New Roman"/>
                      <w:sz w:val="21"/>
                      <w:szCs w:val="21"/>
                    </w:rPr>
                  </w:pPr>
                  <w:bookmarkStart w:id="15" w:name="_Hlk190502011"/>
                  <w:r>
                    <w:rPr>
                      <w:rFonts w:hint="default" w:ascii="Times New Roman" w:hAnsi="Times New Roman" w:cs="Times New Roman"/>
                      <w:sz w:val="21"/>
                      <w:szCs w:val="21"/>
                    </w:rPr>
                    <w:t>五日生化需氧量</w:t>
                  </w:r>
                  <w:bookmarkEnd w:id="15"/>
                  <w:r>
                    <w:rPr>
                      <w:rFonts w:hint="default" w:ascii="Times New Roman" w:hAnsi="Times New Roman" w:cs="Times New Roman"/>
                      <w:sz w:val="21"/>
                      <w:szCs w:val="21"/>
                    </w:rPr>
                    <w:t>（BOD</w:t>
                  </w:r>
                  <w:r>
                    <w:rPr>
                      <w:rFonts w:hint="default" w:ascii="Times New Roman" w:hAnsi="Times New Roman" w:cs="Times New Roman"/>
                      <w:sz w:val="21"/>
                      <w:szCs w:val="21"/>
                      <w:vertAlign w:val="subscript"/>
                    </w:rPr>
                    <w:t>5</w:t>
                  </w:r>
                  <w:r>
                    <w:rPr>
                      <w:rFonts w:hint="default" w:ascii="Times New Roman" w:hAnsi="Times New Roman" w:cs="Times New Roman"/>
                      <w:sz w:val="21"/>
                      <w:szCs w:val="21"/>
                    </w:rPr>
                    <w:t>, mg/L）</w:t>
                  </w:r>
                </w:p>
              </w:tc>
              <w:tc>
                <w:tcPr>
                  <w:tcW w:w="1820" w:type="pct"/>
                  <w:noWrap w:val="0"/>
                  <w:vAlign w:val="center"/>
                </w:tcPr>
                <w:p w14:paraId="0FACA808">
                  <w:pPr>
                    <w:spacing w:line="240" w:lineRule="auto"/>
                    <w:jc w:val="center"/>
                    <w:rPr>
                      <w:rFonts w:hint="default" w:ascii="Times New Roman" w:hAnsi="Times New Roman" w:cs="Times New Roman"/>
                      <w:sz w:val="21"/>
                      <w:szCs w:val="21"/>
                    </w:rPr>
                  </w:pPr>
                  <w:r>
                    <w:rPr>
                      <w:rFonts w:hint="eastAsia" w:cs="Times New Roman"/>
                      <w:sz w:val="21"/>
                      <w:szCs w:val="21"/>
                      <w:lang w:val="en-US" w:eastAsia="zh-CN"/>
                    </w:rPr>
                    <w:t>13</w:t>
                  </w:r>
                  <w:r>
                    <w:rPr>
                      <w:rFonts w:hint="default" w:ascii="Times New Roman" w:hAnsi="Times New Roman" w:cs="Times New Roman"/>
                      <w:sz w:val="21"/>
                      <w:szCs w:val="21"/>
                    </w:rPr>
                    <w:t>0</w:t>
                  </w:r>
                </w:p>
              </w:tc>
            </w:tr>
            <w:tr w14:paraId="3D88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0" w:type="auto"/>
                  <w:vMerge w:val="continue"/>
                  <w:noWrap w:val="0"/>
                  <w:vAlign w:val="center"/>
                </w:tcPr>
                <w:p w14:paraId="413A21B9">
                  <w:pPr>
                    <w:widowControl/>
                    <w:spacing w:line="240" w:lineRule="auto"/>
                    <w:jc w:val="left"/>
                    <w:rPr>
                      <w:rFonts w:hint="default" w:ascii="Times New Roman" w:hAnsi="Times New Roman" w:cs="Times New Roman"/>
                      <w:bCs/>
                      <w:sz w:val="21"/>
                      <w:szCs w:val="21"/>
                    </w:rPr>
                  </w:pPr>
                </w:p>
              </w:tc>
              <w:tc>
                <w:tcPr>
                  <w:tcW w:w="253" w:type="pct"/>
                  <w:noWrap w:val="0"/>
                  <w:vAlign w:val="center"/>
                </w:tcPr>
                <w:p w14:paraId="70E9ABB7">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2571" w:type="pct"/>
                  <w:shd w:val="clear" w:color="auto" w:fill="auto"/>
                  <w:noWrap w:val="0"/>
                  <w:vAlign w:val="center"/>
                </w:tcPr>
                <w:p w14:paraId="0AF58FED">
                  <w:pPr>
                    <w:spacing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氨氮(mg/L)</w:t>
                  </w:r>
                </w:p>
              </w:tc>
              <w:tc>
                <w:tcPr>
                  <w:tcW w:w="1820" w:type="pct"/>
                  <w:shd w:val="clear" w:color="auto" w:fill="auto"/>
                  <w:noWrap w:val="0"/>
                  <w:vAlign w:val="center"/>
                </w:tcPr>
                <w:p w14:paraId="65EF5C37">
                  <w:pPr>
                    <w:spacing w:line="240" w:lineRule="auto"/>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25</w:t>
                  </w:r>
                </w:p>
              </w:tc>
            </w:tr>
            <w:tr w14:paraId="485E3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0" w:type="auto"/>
                  <w:vMerge w:val="continue"/>
                  <w:noWrap w:val="0"/>
                  <w:vAlign w:val="center"/>
                </w:tcPr>
                <w:p w14:paraId="5224BAAF">
                  <w:pPr>
                    <w:widowControl/>
                    <w:spacing w:line="240" w:lineRule="auto"/>
                    <w:jc w:val="left"/>
                    <w:rPr>
                      <w:rFonts w:hint="default" w:ascii="Times New Roman" w:hAnsi="Times New Roman" w:cs="Times New Roman"/>
                      <w:bCs/>
                      <w:sz w:val="21"/>
                      <w:szCs w:val="21"/>
                    </w:rPr>
                  </w:pPr>
                </w:p>
              </w:tc>
              <w:tc>
                <w:tcPr>
                  <w:tcW w:w="253" w:type="pct"/>
                  <w:noWrap w:val="0"/>
                  <w:vAlign w:val="center"/>
                </w:tcPr>
                <w:p w14:paraId="1AC1034B">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6</w:t>
                  </w:r>
                </w:p>
              </w:tc>
              <w:tc>
                <w:tcPr>
                  <w:tcW w:w="2571" w:type="pct"/>
                  <w:shd w:val="clear" w:color="auto" w:fill="auto"/>
                  <w:noWrap w:val="0"/>
                  <w:vAlign w:val="center"/>
                </w:tcPr>
                <w:p w14:paraId="4983FED8">
                  <w:pPr>
                    <w:spacing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总氮(mg/L)</w:t>
                  </w:r>
                </w:p>
              </w:tc>
              <w:tc>
                <w:tcPr>
                  <w:tcW w:w="1820" w:type="pct"/>
                  <w:shd w:val="clear" w:color="auto" w:fill="auto"/>
                  <w:noWrap w:val="0"/>
                  <w:vAlign w:val="center"/>
                </w:tcPr>
                <w:p w14:paraId="20AC1FF1">
                  <w:pPr>
                    <w:spacing w:line="240" w:lineRule="auto"/>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65</w:t>
                  </w:r>
                </w:p>
              </w:tc>
            </w:tr>
            <w:tr w14:paraId="3486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3" w:hRule="atLeast"/>
                <w:jc w:val="center"/>
              </w:trPr>
              <w:tc>
                <w:tcPr>
                  <w:tcW w:w="0" w:type="auto"/>
                  <w:vMerge w:val="continue"/>
                  <w:noWrap w:val="0"/>
                  <w:vAlign w:val="center"/>
                </w:tcPr>
                <w:p w14:paraId="21AC68C3">
                  <w:pPr>
                    <w:widowControl/>
                    <w:spacing w:line="240" w:lineRule="auto"/>
                    <w:jc w:val="left"/>
                    <w:rPr>
                      <w:rFonts w:hint="default" w:ascii="Times New Roman" w:hAnsi="Times New Roman" w:cs="Times New Roman"/>
                      <w:bCs/>
                      <w:sz w:val="21"/>
                      <w:szCs w:val="21"/>
                    </w:rPr>
                  </w:pPr>
                </w:p>
              </w:tc>
              <w:tc>
                <w:tcPr>
                  <w:tcW w:w="253" w:type="pct"/>
                  <w:noWrap w:val="0"/>
                  <w:vAlign w:val="center"/>
                </w:tcPr>
                <w:p w14:paraId="23FAE9E5">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7</w:t>
                  </w:r>
                </w:p>
              </w:tc>
              <w:tc>
                <w:tcPr>
                  <w:tcW w:w="2571" w:type="pct"/>
                  <w:shd w:val="clear" w:color="auto" w:fill="auto"/>
                  <w:noWrap w:val="0"/>
                  <w:vAlign w:val="center"/>
                </w:tcPr>
                <w:p w14:paraId="1D8A486D">
                  <w:pPr>
                    <w:spacing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总磷(mg/L)</w:t>
                  </w:r>
                </w:p>
              </w:tc>
              <w:tc>
                <w:tcPr>
                  <w:tcW w:w="1820" w:type="pct"/>
                  <w:shd w:val="clear" w:color="auto" w:fill="auto"/>
                  <w:noWrap w:val="0"/>
                  <w:vAlign w:val="center"/>
                </w:tcPr>
                <w:p w14:paraId="1E5790C3">
                  <w:pPr>
                    <w:spacing w:line="240" w:lineRule="auto"/>
                    <w:jc w:val="center"/>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3</w:t>
                  </w:r>
                </w:p>
              </w:tc>
            </w:tr>
          </w:tbl>
          <w:p w14:paraId="17CB8E2D">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三、噪声排放标准</w:t>
            </w:r>
          </w:p>
          <w:p w14:paraId="0C65D5AE">
            <w:pPr>
              <w:pStyle w:val="40"/>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val="0"/>
                <w:color w:val="auto"/>
                <w:kern w:val="0"/>
                <w:sz w:val="24"/>
                <w:szCs w:val="24"/>
                <w:highlight w:val="none"/>
                <w:u w:val="none" w:color="auto"/>
                <w:lang w:val="en-US" w:eastAsia="zh-CN" w:bidi="ar-SA"/>
              </w:rPr>
            </w:pPr>
            <w:r>
              <w:rPr>
                <w:rFonts w:hint="default" w:ascii="Times New Roman" w:hAnsi="Times New Roman" w:eastAsia="宋体" w:cs="Times New Roman"/>
                <w:b w:val="0"/>
                <w:bCs w:val="0"/>
                <w:color w:val="auto"/>
                <w:kern w:val="0"/>
                <w:sz w:val="24"/>
                <w:szCs w:val="24"/>
                <w:highlight w:val="none"/>
                <w:u w:val="none" w:color="auto"/>
                <w:lang w:val="en-US" w:eastAsia="zh-CN" w:bidi="ar-SA"/>
              </w:rPr>
              <w:t>营运期噪声执行《工业企业厂界环境噪声排放标准》（GB12348-2008）中的</w:t>
            </w:r>
            <w:r>
              <w:rPr>
                <w:rFonts w:hint="eastAsia" w:ascii="Times New Roman" w:hAnsi="Times New Roman" w:eastAsia="宋体" w:cs="Times New Roman"/>
                <w:b w:val="0"/>
                <w:bCs w:val="0"/>
                <w:color w:val="auto"/>
                <w:kern w:val="0"/>
                <w:sz w:val="24"/>
                <w:szCs w:val="24"/>
                <w:highlight w:val="none"/>
                <w:u w:val="none" w:color="auto"/>
                <w:lang w:val="en-US" w:eastAsia="zh-CN" w:bidi="ar-SA"/>
              </w:rPr>
              <w:t>2</w:t>
            </w:r>
            <w:r>
              <w:rPr>
                <w:rFonts w:hint="default" w:ascii="Times New Roman" w:hAnsi="Times New Roman" w:eastAsia="宋体" w:cs="Times New Roman"/>
                <w:b w:val="0"/>
                <w:bCs w:val="0"/>
                <w:color w:val="auto"/>
                <w:kern w:val="0"/>
                <w:sz w:val="24"/>
                <w:szCs w:val="24"/>
                <w:highlight w:val="none"/>
                <w:u w:val="none" w:color="auto"/>
                <w:lang w:val="en-US" w:eastAsia="zh-CN" w:bidi="ar-SA"/>
              </w:rPr>
              <w:t>类标准，具体标准限值见下表。</w:t>
            </w:r>
          </w:p>
          <w:p w14:paraId="1D84DA71">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default" w:ascii="Times New Roman" w:hAnsi="Times New Roman" w:cs="Times New Roman"/>
                <w:b/>
                <w:bCs w:val="0"/>
                <w:sz w:val="24"/>
                <w:szCs w:val="21"/>
                <w:lang w:val="en-US" w:eastAsia="zh-CN"/>
              </w:rPr>
              <w:t>表3-</w:t>
            </w:r>
            <w:r>
              <w:rPr>
                <w:rFonts w:hint="eastAsia" w:ascii="Times New Roman" w:hAnsi="Times New Roman" w:cs="Times New Roman"/>
                <w:b/>
                <w:bCs w:val="0"/>
                <w:sz w:val="24"/>
                <w:szCs w:val="21"/>
                <w:lang w:val="en-US" w:eastAsia="zh-CN"/>
              </w:rPr>
              <w:t>7</w:t>
            </w:r>
            <w:r>
              <w:rPr>
                <w:rFonts w:hint="default" w:ascii="Times New Roman" w:hAnsi="Times New Roman" w:cs="Times New Roman"/>
                <w:b/>
                <w:bCs w:val="0"/>
                <w:sz w:val="24"/>
                <w:szCs w:val="21"/>
                <w:lang w:val="en-US" w:eastAsia="zh-CN"/>
              </w:rPr>
              <w:t xml:space="preserve"> </w:t>
            </w:r>
            <w:r>
              <w:rPr>
                <w:rFonts w:hint="eastAsia" w:ascii="Times New Roman" w:hAnsi="Times New Roman" w:cs="Times New Roman"/>
                <w:b/>
                <w:bCs w:val="0"/>
                <w:sz w:val="24"/>
                <w:szCs w:val="21"/>
                <w:lang w:val="en-US" w:eastAsia="zh-CN"/>
              </w:rPr>
              <w:t>项目</w:t>
            </w:r>
            <w:r>
              <w:rPr>
                <w:rFonts w:hint="default" w:ascii="Times New Roman" w:hAnsi="Times New Roman" w:cs="Times New Roman"/>
                <w:b/>
                <w:bCs w:val="0"/>
                <w:sz w:val="24"/>
                <w:szCs w:val="21"/>
                <w:lang w:val="en-US" w:eastAsia="zh-CN"/>
              </w:rPr>
              <w:t>噪声排放标准限值表</w:t>
            </w:r>
          </w:p>
          <w:tbl>
            <w:tblPr>
              <w:tblStyle w:val="24"/>
              <w:tblW w:w="50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1607"/>
              <w:gridCol w:w="967"/>
              <w:gridCol w:w="4238"/>
            </w:tblGrid>
            <w:tr w14:paraId="531D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pct"/>
                  <w:gridSpan w:val="2"/>
                  <w:noWrap w:val="0"/>
                  <w:vAlign w:val="center"/>
                </w:tcPr>
                <w:p w14:paraId="4122405A">
                  <w:pPr>
                    <w:adjustRightInd w:val="0"/>
                    <w:snapToGrid w:val="0"/>
                    <w:jc w:val="center"/>
                    <w:rPr>
                      <w:rFonts w:hint="default" w:ascii="Times New Roman" w:hAnsi="Times New Roman" w:cs="Times New Roman"/>
                      <w:b/>
                      <w:sz w:val="21"/>
                      <w:szCs w:val="21"/>
                    </w:rPr>
                  </w:pPr>
                  <w:r>
                    <w:rPr>
                      <w:rFonts w:hint="default" w:ascii="Times New Roman" w:hAnsi="Times New Roman" w:cs="Times New Roman"/>
                      <w:b/>
                      <w:sz w:val="21"/>
                      <w:szCs w:val="21"/>
                    </w:rPr>
                    <w:t>限值</w:t>
                  </w:r>
                </w:p>
              </w:tc>
              <w:tc>
                <w:tcPr>
                  <w:tcW w:w="606" w:type="pct"/>
                  <w:vMerge w:val="restart"/>
                  <w:noWrap w:val="0"/>
                  <w:vAlign w:val="center"/>
                </w:tcPr>
                <w:p w14:paraId="29867F1A">
                  <w:pPr>
                    <w:adjustRightInd w:val="0"/>
                    <w:snapToGrid w:val="0"/>
                    <w:jc w:val="center"/>
                    <w:rPr>
                      <w:rFonts w:hint="default" w:ascii="Times New Roman" w:hAnsi="Times New Roman" w:cs="Times New Roman"/>
                      <w:b/>
                      <w:sz w:val="21"/>
                      <w:szCs w:val="21"/>
                    </w:rPr>
                  </w:pPr>
                  <w:r>
                    <w:rPr>
                      <w:rFonts w:hint="default" w:ascii="Times New Roman" w:hAnsi="Times New Roman" w:cs="Times New Roman"/>
                      <w:b/>
                      <w:sz w:val="21"/>
                      <w:szCs w:val="21"/>
                    </w:rPr>
                    <w:t>单位</w:t>
                  </w:r>
                </w:p>
              </w:tc>
              <w:tc>
                <w:tcPr>
                  <w:tcW w:w="2656" w:type="pct"/>
                  <w:vMerge w:val="restart"/>
                  <w:noWrap w:val="0"/>
                  <w:vAlign w:val="center"/>
                </w:tcPr>
                <w:p w14:paraId="390D8E18">
                  <w:pPr>
                    <w:adjustRightInd w:val="0"/>
                    <w:snapToGrid w:val="0"/>
                    <w:jc w:val="center"/>
                    <w:rPr>
                      <w:rFonts w:hint="default" w:ascii="Times New Roman" w:hAnsi="Times New Roman" w:cs="Times New Roman"/>
                      <w:b/>
                      <w:sz w:val="21"/>
                      <w:szCs w:val="21"/>
                    </w:rPr>
                  </w:pPr>
                  <w:r>
                    <w:rPr>
                      <w:rFonts w:hint="default" w:ascii="Times New Roman" w:hAnsi="Times New Roman" w:cs="Times New Roman"/>
                      <w:b/>
                      <w:sz w:val="21"/>
                      <w:szCs w:val="21"/>
                    </w:rPr>
                    <w:t>标准</w:t>
                  </w:r>
                </w:p>
              </w:tc>
            </w:tr>
            <w:tr w14:paraId="7BCB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noWrap w:val="0"/>
                  <w:vAlign w:val="center"/>
                </w:tcPr>
                <w:p w14:paraId="0CF6E599">
                  <w:pPr>
                    <w:adjustRightInd w:val="0"/>
                    <w:snapToGrid w:val="0"/>
                    <w:jc w:val="center"/>
                    <w:rPr>
                      <w:rFonts w:hint="default" w:ascii="Times New Roman" w:hAnsi="Times New Roman" w:cs="Times New Roman"/>
                      <w:b/>
                      <w:sz w:val="21"/>
                      <w:szCs w:val="21"/>
                    </w:rPr>
                  </w:pPr>
                  <w:r>
                    <w:rPr>
                      <w:rFonts w:hint="default" w:ascii="Times New Roman" w:hAnsi="Times New Roman" w:cs="Times New Roman"/>
                      <w:b/>
                      <w:sz w:val="21"/>
                      <w:szCs w:val="21"/>
                    </w:rPr>
                    <w:t>昼间</w:t>
                  </w:r>
                </w:p>
              </w:tc>
              <w:tc>
                <w:tcPr>
                  <w:tcW w:w="1006" w:type="pct"/>
                  <w:noWrap w:val="0"/>
                  <w:vAlign w:val="center"/>
                </w:tcPr>
                <w:p w14:paraId="7A76F63B">
                  <w:pPr>
                    <w:adjustRightInd w:val="0"/>
                    <w:snapToGrid w:val="0"/>
                    <w:jc w:val="center"/>
                    <w:rPr>
                      <w:rFonts w:hint="default" w:ascii="Times New Roman" w:hAnsi="Times New Roman" w:cs="Times New Roman"/>
                      <w:b/>
                      <w:sz w:val="21"/>
                      <w:szCs w:val="21"/>
                    </w:rPr>
                  </w:pPr>
                  <w:r>
                    <w:rPr>
                      <w:rFonts w:hint="default" w:ascii="Times New Roman" w:hAnsi="Times New Roman" w:cs="Times New Roman"/>
                      <w:b/>
                      <w:sz w:val="21"/>
                      <w:szCs w:val="21"/>
                    </w:rPr>
                    <w:t>夜间</w:t>
                  </w:r>
                </w:p>
              </w:tc>
              <w:tc>
                <w:tcPr>
                  <w:tcW w:w="606" w:type="pct"/>
                  <w:vMerge w:val="continue"/>
                  <w:noWrap w:val="0"/>
                  <w:vAlign w:val="center"/>
                </w:tcPr>
                <w:p w14:paraId="1CE550B1">
                  <w:pPr>
                    <w:adjustRightInd w:val="0"/>
                    <w:snapToGrid w:val="0"/>
                    <w:jc w:val="center"/>
                    <w:rPr>
                      <w:rFonts w:hint="default" w:ascii="Times New Roman" w:hAnsi="Times New Roman" w:cs="Times New Roman"/>
                      <w:bCs/>
                      <w:sz w:val="21"/>
                      <w:szCs w:val="21"/>
                    </w:rPr>
                  </w:pPr>
                </w:p>
              </w:tc>
              <w:tc>
                <w:tcPr>
                  <w:tcW w:w="2656" w:type="pct"/>
                  <w:vMerge w:val="continue"/>
                  <w:noWrap w:val="0"/>
                  <w:vAlign w:val="center"/>
                </w:tcPr>
                <w:p w14:paraId="6F59B4A1">
                  <w:pPr>
                    <w:adjustRightInd w:val="0"/>
                    <w:snapToGrid w:val="0"/>
                    <w:jc w:val="center"/>
                    <w:rPr>
                      <w:rFonts w:hint="default" w:ascii="Times New Roman" w:hAnsi="Times New Roman" w:cs="Times New Roman"/>
                      <w:bCs/>
                      <w:sz w:val="21"/>
                      <w:szCs w:val="21"/>
                    </w:rPr>
                  </w:pPr>
                </w:p>
              </w:tc>
            </w:tr>
            <w:tr w14:paraId="7C23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shd w:val="clear" w:color="auto" w:fill="auto"/>
                  <w:noWrap w:val="0"/>
                  <w:vAlign w:val="center"/>
                </w:tcPr>
                <w:p w14:paraId="37BCE7D4">
                  <w:pPr>
                    <w:keepNext w:val="0"/>
                    <w:keepLines w:val="0"/>
                    <w:pageBreakBefore w:val="0"/>
                    <w:widowControl w:val="0"/>
                    <w:kinsoku/>
                    <w:wordWrap/>
                    <w:overflowPunct/>
                    <w:topLinePunct w:val="0"/>
                    <w:autoSpaceDE/>
                    <w:autoSpaceDN/>
                    <w:adjustRightInd w:val="0"/>
                    <w:snapToGrid w:val="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lang w:val="en-US" w:eastAsia="zh-CN"/>
                    </w:rPr>
                    <w:t>60</w:t>
                  </w:r>
                </w:p>
              </w:tc>
              <w:tc>
                <w:tcPr>
                  <w:tcW w:w="1006" w:type="pct"/>
                  <w:shd w:val="clear" w:color="auto" w:fill="auto"/>
                  <w:noWrap w:val="0"/>
                  <w:vAlign w:val="center"/>
                </w:tcPr>
                <w:p w14:paraId="7BB18647">
                  <w:pPr>
                    <w:keepNext w:val="0"/>
                    <w:keepLines w:val="0"/>
                    <w:pageBreakBefore w:val="0"/>
                    <w:widowControl w:val="0"/>
                    <w:kinsoku/>
                    <w:wordWrap/>
                    <w:overflowPunct/>
                    <w:topLinePunct w:val="0"/>
                    <w:autoSpaceDE/>
                    <w:autoSpaceDN/>
                    <w:adjustRightInd w:val="0"/>
                    <w:snapToGrid w:val="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lang w:val="en-US" w:eastAsia="zh-CN"/>
                    </w:rPr>
                    <w:t>50</w:t>
                  </w:r>
                </w:p>
              </w:tc>
              <w:tc>
                <w:tcPr>
                  <w:tcW w:w="606" w:type="pct"/>
                  <w:noWrap w:val="0"/>
                  <w:vAlign w:val="center"/>
                </w:tcPr>
                <w:p w14:paraId="4D336B78">
                  <w:pPr>
                    <w:adjustRightInd w:val="0"/>
                    <w:snapToGrid w:val="0"/>
                    <w:jc w:val="center"/>
                    <w:rPr>
                      <w:rFonts w:hint="default" w:ascii="Times New Roman" w:hAnsi="Times New Roman" w:cs="Times New Roman"/>
                      <w:bCs/>
                      <w:sz w:val="21"/>
                      <w:szCs w:val="21"/>
                    </w:rPr>
                  </w:pPr>
                  <w:r>
                    <w:rPr>
                      <w:rFonts w:hint="default" w:ascii="Times New Roman" w:hAnsi="Times New Roman" w:cs="Times New Roman"/>
                      <w:bCs/>
                      <w:sz w:val="21"/>
                      <w:szCs w:val="21"/>
                    </w:rPr>
                    <w:t>dB（A）</w:t>
                  </w:r>
                </w:p>
              </w:tc>
              <w:tc>
                <w:tcPr>
                  <w:tcW w:w="2656" w:type="pct"/>
                  <w:noWrap w:val="0"/>
                  <w:vAlign w:val="center"/>
                </w:tcPr>
                <w:p w14:paraId="61E19292">
                  <w:pPr>
                    <w:adjustRightInd w:val="0"/>
                    <w:snapToGrid w:val="0"/>
                    <w:jc w:val="center"/>
                    <w:rPr>
                      <w:rFonts w:hint="default" w:ascii="Times New Roman" w:hAnsi="Times New Roman" w:cs="Times New Roman"/>
                      <w:bCs/>
                      <w:sz w:val="21"/>
                      <w:szCs w:val="21"/>
                    </w:rPr>
                  </w:pPr>
                  <w:r>
                    <w:rPr>
                      <w:rFonts w:hint="default" w:ascii="Times New Roman" w:hAnsi="Times New Roman" w:cs="Times New Roman"/>
                      <w:bCs/>
                      <w:sz w:val="21"/>
                      <w:szCs w:val="21"/>
                    </w:rPr>
                    <w:t>《工业企业厂界环境噪声排放标准》（GB12348-2008）</w:t>
                  </w:r>
                  <w:r>
                    <w:rPr>
                      <w:rFonts w:hint="eastAsia" w:cs="Times New Roman"/>
                      <w:bCs/>
                      <w:sz w:val="21"/>
                      <w:szCs w:val="21"/>
                      <w:lang w:val="en-US" w:eastAsia="zh-CN"/>
                    </w:rPr>
                    <w:t>中2</w:t>
                  </w:r>
                  <w:r>
                    <w:rPr>
                      <w:rFonts w:hint="default" w:ascii="Times New Roman" w:hAnsi="Times New Roman" w:cs="Times New Roman"/>
                      <w:bCs/>
                      <w:sz w:val="21"/>
                      <w:szCs w:val="21"/>
                    </w:rPr>
                    <w:t>类标准</w:t>
                  </w:r>
                </w:p>
              </w:tc>
            </w:tr>
          </w:tbl>
          <w:p w14:paraId="661E0E83">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default"/>
                <w:b/>
                <w:bCs w:val="0"/>
                <w:sz w:val="24"/>
                <w:szCs w:val="24"/>
                <w:lang w:val="en-US" w:eastAsia="zh-CN"/>
              </w:rPr>
              <w:t>四、固体废物标准</w:t>
            </w:r>
          </w:p>
          <w:p w14:paraId="006CEF40">
            <w:pPr>
              <w:pStyle w:val="40"/>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rPr>
            </w:pPr>
            <w:r>
              <w:rPr>
                <w:rFonts w:hint="default" w:ascii="Times New Roman" w:hAnsi="Times New Roman" w:eastAsia="宋体" w:cs="Times New Roman"/>
                <w:b w:val="0"/>
                <w:bCs w:val="0"/>
                <w:color w:val="auto"/>
                <w:kern w:val="0"/>
                <w:sz w:val="24"/>
                <w:szCs w:val="24"/>
                <w:highlight w:val="none"/>
                <w:u w:val="none" w:color="auto"/>
                <w:lang w:val="en-US" w:eastAsia="zh-CN" w:bidi="ar-SA"/>
              </w:rPr>
              <w:t>一般固体废物贮存执行《一般工业固体废物贮存和填埋污染控制标准》（GB18599-2020）中有关要求；危险废物贮存执行《危险废物贮存污染控制标准》（GB18597-2023）中有关要求；生活垃圾在厂区内分类收集后，定期交由当地环卫部门清运。</w:t>
            </w:r>
          </w:p>
        </w:tc>
      </w:tr>
      <w:tr w14:paraId="770CFF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0" w:type="dxa"/>
            <w:noWrap w:val="0"/>
            <w:vAlign w:val="center"/>
          </w:tcPr>
          <w:p w14:paraId="4196889C">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总量</w:t>
            </w:r>
          </w:p>
          <w:p w14:paraId="43C425E5">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控制</w:t>
            </w:r>
          </w:p>
          <w:p w14:paraId="7CF02873">
            <w:pPr>
              <w:adjustRightInd w:val="0"/>
              <w:snapToGrid w:val="0"/>
              <w:jc w:val="center"/>
              <w:rPr>
                <w:rFonts w:hint="default" w:ascii="Times New Roman" w:hAnsi="Times New Roman" w:cs="Times New Roman"/>
                <w:kern w:val="0"/>
                <w:sz w:val="24"/>
                <w:szCs w:val="24"/>
                <w:highlight w:val="none"/>
              </w:rPr>
            </w:pPr>
            <w:r>
              <w:rPr>
                <w:rFonts w:hint="default" w:ascii="Times New Roman" w:hAnsi="Times New Roman" w:cs="Times New Roman"/>
                <w:kern w:val="0"/>
                <w:sz w:val="24"/>
                <w:szCs w:val="24"/>
                <w:highlight w:val="none"/>
              </w:rPr>
              <w:t>指标</w:t>
            </w:r>
          </w:p>
        </w:tc>
        <w:tc>
          <w:tcPr>
            <w:tcW w:w="8190" w:type="dxa"/>
            <w:noWrap w:val="0"/>
            <w:vAlign w:val="center"/>
          </w:tcPr>
          <w:p w14:paraId="4C7EEFDC">
            <w:pPr>
              <w:pStyle w:val="15"/>
              <w:spacing w:line="360" w:lineRule="auto"/>
              <w:ind w:firstLine="480" w:firstLineChars="200"/>
              <w:rPr>
                <w:rFonts w:hint="eastAsia" w:ascii="Times New Roman" w:hAnsi="Times New Roman" w:cs="Times New Roman"/>
                <w:color w:val="auto"/>
                <w:sz w:val="24"/>
                <w:u w:val="none"/>
                <w:lang w:val="en-US" w:eastAsia="zh-CN"/>
              </w:rPr>
            </w:pPr>
            <w:r>
              <w:rPr>
                <w:rFonts w:hint="eastAsia" w:ascii="Times New Roman" w:hAnsi="Times New Roman" w:cs="Times New Roman"/>
                <w:color w:val="auto"/>
                <w:sz w:val="24"/>
                <w:u w:val="none"/>
                <w:lang w:val="en-US"/>
              </w:rPr>
              <w:t>根据《湖南省主要污染物排污权有偿使用和交易管理办法》（湘政办发〔2022〕23号）</w:t>
            </w:r>
            <w:r>
              <w:rPr>
                <w:rFonts w:hint="eastAsia" w:ascii="Times New Roman" w:hAnsi="Times New Roman" w:cs="Times New Roman"/>
                <w:color w:val="auto"/>
                <w:sz w:val="24"/>
                <w:u w:val="none"/>
                <w:lang w:val="en-US" w:eastAsia="zh-CN"/>
              </w:rPr>
              <w:t>和《湖南省主要污染物排污权有偿使用和交易实施细则》（湘环发</w:t>
            </w:r>
            <w:r>
              <w:rPr>
                <w:rFonts w:hint="eastAsia" w:ascii="Times New Roman" w:hAnsi="Times New Roman" w:cs="Times New Roman"/>
                <w:color w:val="auto"/>
                <w:sz w:val="24"/>
                <w:u w:val="none"/>
                <w:lang w:val="en-US"/>
              </w:rPr>
              <w:t>〔</w:t>
            </w:r>
            <w:r>
              <w:rPr>
                <w:rFonts w:hint="eastAsia" w:ascii="Times New Roman" w:hAnsi="Times New Roman" w:cs="Times New Roman"/>
                <w:color w:val="auto"/>
                <w:sz w:val="24"/>
                <w:u w:val="none"/>
                <w:lang w:val="en-US" w:eastAsia="zh-CN"/>
              </w:rPr>
              <w:t>2024</w:t>
            </w:r>
            <w:r>
              <w:rPr>
                <w:rFonts w:hint="eastAsia" w:ascii="Times New Roman" w:hAnsi="Times New Roman" w:cs="Times New Roman"/>
                <w:color w:val="auto"/>
                <w:sz w:val="24"/>
                <w:u w:val="none"/>
                <w:lang w:val="en-US"/>
              </w:rPr>
              <w:t>〕</w:t>
            </w:r>
            <w:r>
              <w:rPr>
                <w:rFonts w:hint="eastAsia" w:ascii="Times New Roman" w:hAnsi="Times New Roman" w:cs="Times New Roman"/>
                <w:color w:val="auto"/>
                <w:sz w:val="24"/>
                <w:u w:val="none"/>
                <w:lang w:val="en-US" w:eastAsia="zh-CN"/>
              </w:rPr>
              <w:t>3号）中</w:t>
            </w:r>
            <w:r>
              <w:rPr>
                <w:rFonts w:hint="eastAsia" w:ascii="Times New Roman" w:hAnsi="Times New Roman" w:cs="Times New Roman"/>
                <w:color w:val="auto"/>
                <w:sz w:val="24"/>
                <w:u w:val="none"/>
                <w:lang w:val="en-US"/>
              </w:rPr>
              <w:t>对化学需氧量、氨氮、二氧化硫、氮氧化物、铅、镉、砷、汞、铬、挥发性有机物、总磷等十一类污染物实施排污权有偿使用和交易管理</w:t>
            </w:r>
            <w:r>
              <w:rPr>
                <w:rFonts w:hint="eastAsia" w:ascii="Times New Roman" w:hAnsi="Times New Roman" w:cs="Times New Roman"/>
                <w:color w:val="auto"/>
                <w:sz w:val="24"/>
                <w:u w:val="none"/>
                <w:lang w:val="en-US" w:eastAsia="zh-CN"/>
              </w:rPr>
              <w:t>，实施管理的范围为有效实施的国家固定污染源排污许可分类管理名录的工业类排污单位。生活垃圾焚烧发电企业、餐厨垃圾处置中心、医疗废物处置中心、生活污水集中处理厂、园区工业废水集中处理厂、生活垃圾填 埋场等公共基础设施不纳入排污权有偿使用和交易管理范围。</w:t>
            </w:r>
          </w:p>
          <w:p w14:paraId="0065EF35">
            <w:pPr>
              <w:pStyle w:val="40"/>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rPr>
            </w:pPr>
            <w:r>
              <w:rPr>
                <w:rFonts w:hint="default" w:ascii="Times New Roman" w:hAnsi="Times New Roman" w:eastAsia="宋体" w:cs="Times New Roman"/>
                <w:bCs w:val="0"/>
                <w:color w:val="auto"/>
                <w:kern w:val="2"/>
                <w:sz w:val="24"/>
                <w:szCs w:val="24"/>
                <w:u w:val="none"/>
                <w:lang w:val="en-US" w:eastAsia="zh-CN" w:bidi="ar-SA"/>
              </w:rPr>
              <w:t>本项目</w:t>
            </w:r>
            <w:r>
              <w:rPr>
                <w:rFonts w:hint="eastAsia" w:ascii="Times New Roman" w:hAnsi="Times New Roman" w:eastAsia="宋体" w:cs="Times New Roman"/>
                <w:bCs w:val="0"/>
                <w:color w:val="auto"/>
                <w:kern w:val="2"/>
                <w:sz w:val="24"/>
                <w:szCs w:val="24"/>
                <w:u w:val="none"/>
                <w:lang w:val="en-US" w:eastAsia="zh-CN" w:bidi="ar-SA"/>
              </w:rPr>
              <w:t>属于市政基础设施，自来水生产与供应业，</w:t>
            </w:r>
            <w:r>
              <w:rPr>
                <w:rFonts w:hint="default" w:ascii="Times New Roman" w:hAnsi="Times New Roman" w:eastAsia="宋体" w:cs="Times New Roman"/>
                <w:bCs w:val="0"/>
                <w:color w:val="auto"/>
                <w:kern w:val="2"/>
                <w:sz w:val="24"/>
                <w:szCs w:val="24"/>
                <w:u w:val="none"/>
                <w:lang w:val="en-US" w:eastAsia="zh-CN" w:bidi="ar-SA"/>
              </w:rPr>
              <w:t>不涉及</w:t>
            </w:r>
            <w:r>
              <w:rPr>
                <w:rFonts w:hint="eastAsia" w:ascii="Times New Roman" w:hAnsi="Times New Roman" w:eastAsia="宋体" w:cs="Times New Roman"/>
                <w:bCs w:val="0"/>
                <w:color w:val="auto"/>
                <w:kern w:val="2"/>
                <w:sz w:val="24"/>
                <w:szCs w:val="24"/>
                <w:u w:val="none"/>
                <w:lang w:val="en-US" w:eastAsia="zh-CN" w:bidi="ar-SA"/>
              </w:rPr>
              <w:t>工业类排污，因此本项目</w:t>
            </w:r>
            <w:r>
              <w:rPr>
                <w:rFonts w:hint="default" w:ascii="Times New Roman" w:hAnsi="Times New Roman" w:eastAsia="宋体" w:cs="Times New Roman"/>
                <w:bCs w:val="0"/>
                <w:color w:val="auto"/>
                <w:kern w:val="2"/>
                <w:sz w:val="24"/>
                <w:szCs w:val="24"/>
                <w:u w:val="none"/>
                <w:lang w:val="en-US" w:eastAsia="zh-CN" w:bidi="ar-SA"/>
              </w:rPr>
              <w:t>无需</w:t>
            </w:r>
            <w:r>
              <w:rPr>
                <w:rFonts w:hint="eastAsia" w:ascii="Times New Roman" w:hAnsi="Times New Roman" w:eastAsia="宋体" w:cs="Times New Roman"/>
                <w:bCs w:val="0"/>
                <w:color w:val="auto"/>
                <w:kern w:val="2"/>
                <w:sz w:val="24"/>
                <w:szCs w:val="24"/>
                <w:u w:val="none"/>
                <w:lang w:val="en-US" w:eastAsia="zh-CN" w:bidi="ar-SA"/>
              </w:rPr>
              <w:t>进行主要污染物</w:t>
            </w:r>
            <w:r>
              <w:rPr>
                <w:rFonts w:hint="default" w:ascii="Times New Roman" w:hAnsi="Times New Roman" w:eastAsia="宋体" w:cs="Times New Roman"/>
                <w:bCs w:val="0"/>
                <w:color w:val="auto"/>
                <w:kern w:val="2"/>
                <w:sz w:val="24"/>
                <w:szCs w:val="24"/>
                <w:u w:val="none"/>
                <w:lang w:val="en-US" w:eastAsia="zh-CN" w:bidi="ar-SA"/>
              </w:rPr>
              <w:t>总</w:t>
            </w:r>
            <w:r>
              <w:rPr>
                <w:rFonts w:hint="default" w:ascii="Times New Roman" w:hAnsi="Times New Roman" w:eastAsia="宋体" w:cs="Times New Roman"/>
                <w:b w:val="0"/>
                <w:bCs w:val="0"/>
                <w:color w:val="auto"/>
                <w:kern w:val="0"/>
                <w:sz w:val="24"/>
                <w:szCs w:val="24"/>
                <w:highlight w:val="none"/>
                <w:u w:val="none" w:color="auto"/>
                <w:lang w:val="en-US" w:eastAsia="zh-CN" w:bidi="ar-SA"/>
              </w:rPr>
              <w:t>量</w:t>
            </w:r>
            <w:r>
              <w:rPr>
                <w:rFonts w:hint="eastAsia" w:ascii="Times New Roman" w:hAnsi="Times New Roman" w:cs="Times New Roman"/>
                <w:b w:val="0"/>
                <w:bCs w:val="0"/>
                <w:color w:val="auto"/>
                <w:kern w:val="0"/>
                <w:sz w:val="24"/>
                <w:szCs w:val="24"/>
                <w:highlight w:val="none"/>
                <w:u w:val="none" w:color="auto"/>
                <w:lang w:val="en-US" w:eastAsia="zh-CN" w:bidi="ar-SA"/>
              </w:rPr>
              <w:t>控制，无需</w:t>
            </w:r>
            <w:r>
              <w:rPr>
                <w:rFonts w:hint="default" w:ascii="Times New Roman" w:hAnsi="Times New Roman" w:eastAsia="宋体" w:cs="Times New Roman"/>
                <w:b w:val="0"/>
                <w:bCs w:val="0"/>
                <w:color w:val="auto"/>
                <w:kern w:val="0"/>
                <w:sz w:val="24"/>
                <w:szCs w:val="24"/>
                <w:highlight w:val="none"/>
                <w:u w:val="none" w:color="auto"/>
                <w:lang w:val="en-US" w:eastAsia="zh-CN" w:bidi="ar-SA"/>
              </w:rPr>
              <w:t>申请总量</w:t>
            </w:r>
            <w:r>
              <w:rPr>
                <w:rFonts w:hint="eastAsia" w:ascii="Times New Roman" w:hAnsi="Times New Roman" w:cs="Times New Roman"/>
                <w:b w:val="0"/>
                <w:bCs w:val="0"/>
                <w:color w:val="auto"/>
                <w:kern w:val="0"/>
                <w:sz w:val="24"/>
                <w:szCs w:val="24"/>
                <w:highlight w:val="none"/>
                <w:u w:val="none" w:color="auto"/>
                <w:lang w:val="en-US" w:eastAsia="zh-CN" w:bidi="ar-SA"/>
              </w:rPr>
              <w:t>控制指标</w:t>
            </w:r>
            <w:r>
              <w:rPr>
                <w:rFonts w:hint="default" w:ascii="Times New Roman" w:hAnsi="Times New Roman" w:eastAsia="宋体" w:cs="Times New Roman"/>
                <w:b w:val="0"/>
                <w:bCs w:val="0"/>
                <w:color w:val="auto"/>
                <w:kern w:val="0"/>
                <w:sz w:val="24"/>
                <w:szCs w:val="24"/>
                <w:highlight w:val="none"/>
                <w:u w:val="none" w:color="auto"/>
                <w:lang w:val="en-US" w:eastAsia="zh-CN" w:bidi="ar-SA"/>
              </w:rPr>
              <w:t>。</w:t>
            </w:r>
          </w:p>
        </w:tc>
      </w:tr>
    </w:tbl>
    <w:p w14:paraId="1A53D690"/>
    <w:p w14:paraId="1B6B49CC">
      <w:r>
        <w:br w:type="page"/>
      </w:r>
    </w:p>
    <w:p w14:paraId="7B5892D9">
      <w:pPr>
        <w:pStyle w:val="23"/>
        <w:jc w:val="center"/>
        <w:outlineLvl w:val="0"/>
        <w:rPr>
          <w:rFonts w:hint="default" w:ascii="黑体" w:hAnsi="黑体" w:eastAsia="黑体" w:cs="Times New Roman"/>
          <w:snapToGrid w:val="0"/>
          <w:sz w:val="30"/>
          <w:szCs w:val="30"/>
        </w:rPr>
      </w:pPr>
      <w:bookmarkStart w:id="16" w:name="_Toc28408"/>
      <w:bookmarkStart w:id="17" w:name="_Toc15741"/>
      <w:r>
        <w:rPr>
          <w:rFonts w:hint="eastAsia" w:ascii="黑体" w:hAnsi="黑体" w:eastAsia="黑体" w:cs="Times New Roman"/>
          <w:snapToGrid w:val="0"/>
          <w:sz w:val="30"/>
          <w:szCs w:val="30"/>
        </w:rPr>
        <w:t>四、主要环境影响和保护措施</w:t>
      </w:r>
      <w:bookmarkEnd w:id="16"/>
      <w:bookmarkEnd w:id="17"/>
    </w:p>
    <w:tbl>
      <w:tblPr>
        <w:tblStyle w:val="24"/>
        <w:tblW w:w="882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41"/>
        <w:gridCol w:w="249"/>
        <w:gridCol w:w="7950"/>
        <w:gridCol w:w="385"/>
      </w:tblGrid>
      <w:tr w14:paraId="178900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78" w:hRule="atLeast"/>
          <w:jc w:val="center"/>
        </w:trPr>
        <w:tc>
          <w:tcPr>
            <w:tcW w:w="490" w:type="dxa"/>
            <w:gridSpan w:val="2"/>
            <w:tcMar>
              <w:left w:w="28" w:type="dxa"/>
              <w:right w:w="28" w:type="dxa"/>
            </w:tcMar>
            <w:vAlign w:val="center"/>
          </w:tcPr>
          <w:p w14:paraId="494D3A56">
            <w:pPr>
              <w:pStyle w:val="23"/>
              <w:adjustRightInd w:val="0"/>
              <w:snapToGrid w:val="0"/>
              <w:spacing w:before="0" w:beforeAutospacing="0" w:after="0" w:afterAutospacing="0"/>
              <w:jc w:val="center"/>
              <w:rPr>
                <w:rFonts w:cs="宋体"/>
                <w:color w:val="auto"/>
                <w:kern w:val="2"/>
                <w:szCs w:val="21"/>
              </w:rPr>
            </w:pPr>
            <w:r>
              <w:rPr>
                <w:rFonts w:hint="eastAsia" w:cs="宋体"/>
                <w:color w:val="auto"/>
                <w:kern w:val="2"/>
                <w:szCs w:val="21"/>
              </w:rPr>
              <w:t>施工</w:t>
            </w:r>
          </w:p>
          <w:p w14:paraId="7E278191">
            <w:pPr>
              <w:pStyle w:val="23"/>
              <w:adjustRightInd w:val="0"/>
              <w:snapToGrid w:val="0"/>
              <w:spacing w:before="0" w:beforeAutospacing="0" w:after="0" w:afterAutospacing="0"/>
              <w:jc w:val="center"/>
              <w:rPr>
                <w:rFonts w:cs="宋体"/>
                <w:color w:val="auto"/>
                <w:kern w:val="2"/>
                <w:szCs w:val="21"/>
              </w:rPr>
            </w:pPr>
            <w:r>
              <w:rPr>
                <w:rFonts w:hint="eastAsia" w:cs="宋体"/>
                <w:color w:val="auto"/>
                <w:kern w:val="2"/>
                <w:szCs w:val="21"/>
              </w:rPr>
              <w:t>期环</w:t>
            </w:r>
          </w:p>
          <w:p w14:paraId="4971E51D">
            <w:pPr>
              <w:pStyle w:val="23"/>
              <w:adjustRightInd w:val="0"/>
              <w:snapToGrid w:val="0"/>
              <w:spacing w:before="0" w:beforeAutospacing="0" w:after="0" w:afterAutospacing="0"/>
              <w:jc w:val="center"/>
              <w:rPr>
                <w:rFonts w:cs="宋体"/>
                <w:color w:val="auto"/>
                <w:kern w:val="2"/>
                <w:szCs w:val="21"/>
              </w:rPr>
            </w:pPr>
            <w:r>
              <w:rPr>
                <w:rFonts w:hint="eastAsia" w:cs="宋体"/>
                <w:color w:val="auto"/>
                <w:kern w:val="2"/>
                <w:szCs w:val="21"/>
              </w:rPr>
              <w:t>境保</w:t>
            </w:r>
          </w:p>
          <w:p w14:paraId="79AD7B0B">
            <w:pPr>
              <w:pStyle w:val="23"/>
              <w:adjustRightInd w:val="0"/>
              <w:snapToGrid w:val="0"/>
              <w:spacing w:before="0" w:beforeAutospacing="0" w:after="0" w:afterAutospacing="0"/>
              <w:jc w:val="center"/>
              <w:rPr>
                <w:rFonts w:cs="宋体"/>
                <w:color w:val="auto"/>
                <w:kern w:val="2"/>
                <w:szCs w:val="21"/>
              </w:rPr>
            </w:pPr>
            <w:r>
              <w:rPr>
                <w:rFonts w:hint="eastAsia" w:cs="宋体"/>
                <w:color w:val="auto"/>
                <w:kern w:val="2"/>
                <w:szCs w:val="21"/>
              </w:rPr>
              <w:t>护措</w:t>
            </w:r>
          </w:p>
          <w:p w14:paraId="5007EF79">
            <w:pPr>
              <w:pStyle w:val="23"/>
              <w:adjustRightInd w:val="0"/>
              <w:snapToGrid w:val="0"/>
              <w:spacing w:before="0" w:beforeAutospacing="0" w:after="0" w:afterAutospacing="0"/>
              <w:jc w:val="center"/>
              <w:rPr>
                <w:rFonts w:cs="宋体"/>
                <w:bCs/>
                <w:color w:val="auto"/>
                <w:kern w:val="2"/>
                <w:sz w:val="21"/>
                <w:szCs w:val="21"/>
              </w:rPr>
            </w:pPr>
            <w:r>
              <w:rPr>
                <w:rFonts w:hint="eastAsia" w:cs="宋体"/>
                <w:color w:val="auto"/>
                <w:kern w:val="2"/>
                <w:szCs w:val="21"/>
              </w:rPr>
              <w:t>施</w:t>
            </w:r>
          </w:p>
        </w:tc>
        <w:tc>
          <w:tcPr>
            <w:tcW w:w="8335" w:type="dxa"/>
            <w:gridSpan w:val="2"/>
          </w:tcPr>
          <w:p w14:paraId="5AE905FE">
            <w:pPr>
              <w:pStyle w:val="39"/>
              <w:keepNext w:val="0"/>
              <w:keepLines w:val="0"/>
              <w:pageBreakBefore w:val="0"/>
              <w:widowControl w:val="0"/>
              <w:kinsoku/>
              <w:wordWrap/>
              <w:overflowPunct/>
              <w:topLinePunct w:val="0"/>
              <w:autoSpaceDE/>
              <w:autoSpaceDN/>
              <w:bidi w:val="0"/>
              <w:adjustRightInd w:val="0"/>
              <w:snapToGrid w:val="0"/>
              <w:textAlignment w:val="auto"/>
              <w:rPr>
                <w:color w:val="auto"/>
              </w:rPr>
            </w:pPr>
            <w:r>
              <w:rPr>
                <w:rFonts w:hint="default" w:ascii="Times New Roman" w:hAnsi="Times New Roman" w:cs="Times New Roman"/>
                <w:color w:val="auto"/>
                <w:spacing w:val="0"/>
                <w:sz w:val="24"/>
                <w:u w:val="none" w:color="auto"/>
              </w:rPr>
              <w:t>本项目</w:t>
            </w:r>
            <w:r>
              <w:rPr>
                <w:rFonts w:hint="eastAsia" w:ascii="Times New Roman" w:hAnsi="Times New Roman" w:cs="Times New Roman"/>
                <w:color w:val="auto"/>
                <w:spacing w:val="0"/>
                <w:sz w:val="24"/>
                <w:u w:val="none" w:color="auto"/>
                <w:lang w:val="en-US" w:eastAsia="zh-CN"/>
              </w:rPr>
              <w:t>属于补办环评手续，现有工程厂区已建成多年，现场无明显施工遗留环境问题。本次主要在机修区内设置一处危险废物暂存间，施工环节较少</w:t>
            </w:r>
            <w:r>
              <w:rPr>
                <w:rFonts w:hint="default" w:ascii="Times New Roman" w:hAnsi="Times New Roman" w:cs="Times New Roman"/>
                <w:color w:val="auto"/>
                <w:spacing w:val="0"/>
                <w:sz w:val="24"/>
                <w:u w:val="none" w:color="auto"/>
              </w:rPr>
              <w:t>，</w:t>
            </w:r>
            <w:r>
              <w:rPr>
                <w:rFonts w:hint="default" w:ascii="Times New Roman" w:hAnsi="Times New Roman" w:cs="Times New Roman"/>
                <w:bCs/>
                <w:color w:val="auto"/>
                <w:spacing w:val="0"/>
                <w:sz w:val="24"/>
                <w:u w:val="none" w:color="auto"/>
              </w:rPr>
              <w:t>无</w:t>
            </w:r>
            <w:r>
              <w:rPr>
                <w:rFonts w:hint="default" w:ascii="Times New Roman" w:hAnsi="Times New Roman" w:cs="Times New Roman"/>
                <w:bCs/>
                <w:color w:val="auto"/>
                <w:spacing w:val="0"/>
                <w:sz w:val="24"/>
                <w:u w:val="none" w:color="auto"/>
                <w:lang w:val="en-US" w:eastAsia="zh-CN"/>
              </w:rPr>
              <w:t>土建</w:t>
            </w:r>
            <w:r>
              <w:rPr>
                <w:rFonts w:hint="eastAsia" w:ascii="Times New Roman" w:hAnsi="Times New Roman" w:cs="Times New Roman"/>
                <w:bCs/>
                <w:color w:val="auto"/>
                <w:spacing w:val="0"/>
                <w:sz w:val="24"/>
                <w:u w:val="none" w:color="auto"/>
                <w:lang w:val="en-US" w:eastAsia="zh-CN"/>
              </w:rPr>
              <w:t>、基础设施</w:t>
            </w:r>
            <w:r>
              <w:rPr>
                <w:rFonts w:hint="default" w:ascii="Times New Roman" w:hAnsi="Times New Roman" w:cs="Times New Roman"/>
                <w:bCs/>
                <w:color w:val="auto"/>
                <w:spacing w:val="0"/>
                <w:sz w:val="24"/>
                <w:u w:val="none" w:color="auto"/>
                <w:lang w:val="en-US" w:eastAsia="zh-CN"/>
              </w:rPr>
              <w:t>等施工，主要为</w:t>
            </w:r>
            <w:r>
              <w:rPr>
                <w:rFonts w:hint="eastAsia" w:ascii="Times New Roman" w:hAnsi="Times New Roman" w:cs="Times New Roman"/>
                <w:bCs/>
                <w:color w:val="auto"/>
                <w:spacing w:val="0"/>
                <w:sz w:val="24"/>
                <w:u w:val="none" w:color="auto"/>
                <w:lang w:val="en-US" w:eastAsia="zh-CN"/>
              </w:rPr>
              <w:t>少量装修</w:t>
            </w:r>
            <w:r>
              <w:rPr>
                <w:rFonts w:hint="default" w:ascii="Times New Roman" w:hAnsi="Times New Roman" w:cs="Times New Roman"/>
                <w:bCs/>
                <w:color w:val="auto"/>
                <w:spacing w:val="0"/>
                <w:sz w:val="24"/>
                <w:u w:val="none" w:color="auto"/>
                <w:lang w:val="en-US" w:eastAsia="zh-CN"/>
              </w:rPr>
              <w:t>安装施工，且施工期较短，产生的影响较小，因此本次评价</w:t>
            </w:r>
            <w:r>
              <w:rPr>
                <w:rFonts w:hint="eastAsia" w:ascii="Times New Roman" w:hAnsi="Times New Roman" w:cs="Times New Roman"/>
                <w:bCs/>
                <w:color w:val="auto"/>
                <w:spacing w:val="0"/>
                <w:sz w:val="24"/>
                <w:u w:val="none" w:color="auto"/>
                <w:lang w:val="en-US" w:eastAsia="zh-CN"/>
              </w:rPr>
              <w:t>不再对施工期进行评述。</w:t>
            </w:r>
          </w:p>
        </w:tc>
      </w:tr>
      <w:tr w14:paraId="259FB9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85" w:type="dxa"/>
          <w:trHeight w:val="13485" w:hRule="atLeast"/>
          <w:jc w:val="center"/>
        </w:trPr>
        <w:tc>
          <w:tcPr>
            <w:tcW w:w="241" w:type="dxa"/>
            <w:tcMar>
              <w:left w:w="28" w:type="dxa"/>
              <w:right w:w="28" w:type="dxa"/>
            </w:tcMar>
            <w:vAlign w:val="center"/>
          </w:tcPr>
          <w:p w14:paraId="6C25D8D6">
            <w:pPr>
              <w:adjustRightInd w:val="0"/>
              <w:snapToGrid w:val="0"/>
              <w:jc w:val="center"/>
              <w:rPr>
                <w:rFonts w:ascii="宋体" w:hAnsi="宋体" w:cs="宋体"/>
                <w:bCs/>
                <w:color w:val="auto"/>
                <w:sz w:val="24"/>
                <w:szCs w:val="21"/>
              </w:rPr>
            </w:pPr>
            <w:r>
              <w:rPr>
                <w:rFonts w:hint="eastAsia" w:ascii="宋体" w:hAnsi="宋体" w:cs="宋体"/>
                <w:bCs/>
                <w:color w:val="auto"/>
                <w:sz w:val="24"/>
                <w:szCs w:val="21"/>
              </w:rPr>
              <w:t>运营</w:t>
            </w:r>
          </w:p>
          <w:p w14:paraId="6DDA2166">
            <w:pPr>
              <w:adjustRightInd w:val="0"/>
              <w:snapToGrid w:val="0"/>
              <w:jc w:val="center"/>
              <w:rPr>
                <w:rFonts w:ascii="宋体" w:hAnsi="宋体" w:cs="宋体"/>
                <w:bCs/>
                <w:color w:val="auto"/>
                <w:sz w:val="24"/>
                <w:szCs w:val="21"/>
              </w:rPr>
            </w:pPr>
            <w:r>
              <w:rPr>
                <w:rFonts w:hint="eastAsia" w:ascii="宋体" w:hAnsi="宋体" w:cs="宋体"/>
                <w:bCs/>
                <w:color w:val="auto"/>
                <w:sz w:val="24"/>
                <w:szCs w:val="21"/>
              </w:rPr>
              <w:t>期环</w:t>
            </w:r>
          </w:p>
          <w:p w14:paraId="13FD1164">
            <w:pPr>
              <w:adjustRightInd w:val="0"/>
              <w:snapToGrid w:val="0"/>
              <w:jc w:val="center"/>
              <w:rPr>
                <w:rFonts w:ascii="宋体" w:hAnsi="宋体" w:cs="宋体"/>
                <w:bCs/>
                <w:color w:val="auto"/>
                <w:sz w:val="24"/>
                <w:szCs w:val="21"/>
              </w:rPr>
            </w:pPr>
            <w:r>
              <w:rPr>
                <w:rFonts w:hint="eastAsia" w:ascii="宋体" w:hAnsi="宋体" w:cs="宋体"/>
                <w:bCs/>
                <w:color w:val="auto"/>
                <w:sz w:val="24"/>
                <w:szCs w:val="21"/>
              </w:rPr>
              <w:t>境影</w:t>
            </w:r>
          </w:p>
          <w:p w14:paraId="23F4AB54">
            <w:pPr>
              <w:adjustRightInd w:val="0"/>
              <w:snapToGrid w:val="0"/>
              <w:jc w:val="center"/>
              <w:rPr>
                <w:rFonts w:ascii="宋体" w:hAnsi="宋体" w:cs="宋体"/>
                <w:bCs/>
                <w:color w:val="auto"/>
                <w:sz w:val="24"/>
                <w:szCs w:val="21"/>
              </w:rPr>
            </w:pPr>
            <w:r>
              <w:rPr>
                <w:rFonts w:hint="eastAsia" w:ascii="宋体" w:hAnsi="宋体" w:cs="宋体"/>
                <w:bCs/>
                <w:color w:val="auto"/>
                <w:sz w:val="24"/>
                <w:szCs w:val="21"/>
              </w:rPr>
              <w:t>响和</w:t>
            </w:r>
          </w:p>
          <w:p w14:paraId="6111D950">
            <w:pPr>
              <w:adjustRightInd w:val="0"/>
              <w:snapToGrid w:val="0"/>
              <w:jc w:val="center"/>
              <w:rPr>
                <w:rFonts w:ascii="宋体" w:hAnsi="宋体" w:cs="宋体"/>
                <w:bCs/>
                <w:color w:val="auto"/>
                <w:sz w:val="24"/>
                <w:szCs w:val="21"/>
              </w:rPr>
            </w:pPr>
            <w:r>
              <w:rPr>
                <w:rFonts w:hint="eastAsia" w:ascii="宋体" w:hAnsi="宋体" w:cs="宋体"/>
                <w:bCs/>
                <w:color w:val="auto"/>
                <w:sz w:val="24"/>
                <w:szCs w:val="21"/>
              </w:rPr>
              <w:t>保护</w:t>
            </w:r>
          </w:p>
          <w:p w14:paraId="6D742758">
            <w:pPr>
              <w:adjustRightInd w:val="0"/>
              <w:snapToGrid w:val="0"/>
              <w:jc w:val="center"/>
              <w:rPr>
                <w:rFonts w:ascii="宋体" w:hAnsi="宋体" w:cs="宋体"/>
                <w:bCs/>
                <w:color w:val="auto"/>
                <w:szCs w:val="21"/>
              </w:rPr>
            </w:pPr>
            <w:r>
              <w:rPr>
                <w:rFonts w:hint="eastAsia" w:ascii="宋体" w:hAnsi="宋体" w:cs="宋体"/>
                <w:bCs/>
                <w:color w:val="auto"/>
                <w:sz w:val="24"/>
                <w:szCs w:val="21"/>
              </w:rPr>
              <w:t>措施</w:t>
            </w:r>
          </w:p>
        </w:tc>
        <w:tc>
          <w:tcPr>
            <w:tcW w:w="8199" w:type="dxa"/>
            <w:gridSpan w:val="2"/>
            <w:vAlign w:val="center"/>
          </w:tcPr>
          <w:p w14:paraId="4A7D94B3">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eastAsia"/>
                <w:b/>
                <w:bCs w:val="0"/>
                <w:sz w:val="24"/>
                <w:szCs w:val="24"/>
                <w:lang w:val="en-US" w:eastAsia="zh-CN"/>
              </w:rPr>
              <w:t>一、营运期废气环境影响分析</w:t>
            </w:r>
          </w:p>
          <w:p w14:paraId="3EF86B6B">
            <w:pPr>
              <w:pStyle w:val="20"/>
              <w:ind w:firstLine="482"/>
              <w:rPr>
                <w:rFonts w:hint="default" w:ascii="Times New Roman" w:hAnsi="Times New Roman" w:cs="Times New Roman"/>
                <w:b/>
                <w:bCs/>
                <w:color w:val="000000"/>
                <w:highlight w:val="none"/>
                <w:u w:val="none" w:color="auto"/>
                <w:lang w:val="en-US" w:eastAsia="zh-CN"/>
              </w:rPr>
            </w:pPr>
            <w:r>
              <w:rPr>
                <w:rFonts w:hint="eastAsia" w:ascii="Times New Roman" w:hAnsi="Times New Roman" w:cs="Times New Roman"/>
                <w:b/>
                <w:bCs/>
                <w:color w:val="000000"/>
                <w:highlight w:val="none"/>
                <w:u w:val="none" w:color="auto"/>
              </w:rPr>
              <w:t>1</w:t>
            </w:r>
            <w:r>
              <w:rPr>
                <w:rFonts w:hint="eastAsia" w:cs="Times New Roman"/>
                <w:b/>
                <w:bCs/>
                <w:color w:val="000000"/>
                <w:highlight w:val="none"/>
                <w:u w:val="none" w:color="auto"/>
                <w:lang w:eastAsia="zh-CN"/>
              </w:rPr>
              <w:t>、</w:t>
            </w:r>
            <w:r>
              <w:rPr>
                <w:rFonts w:hint="eastAsia" w:ascii="Times New Roman" w:hAnsi="Times New Roman" w:cs="Times New Roman"/>
                <w:b/>
                <w:bCs/>
                <w:color w:val="000000"/>
                <w:highlight w:val="none"/>
                <w:u w:val="none" w:color="auto"/>
                <w:lang w:val="en-US" w:eastAsia="zh-CN"/>
              </w:rPr>
              <w:t>废气源强核算</w:t>
            </w:r>
          </w:p>
          <w:p w14:paraId="74A694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0000FF"/>
                <w:sz w:val="24"/>
                <w:highlight w:val="yellow"/>
                <w:u w:val="none"/>
                <w:lang w:val="en-US" w:eastAsia="zh-CN"/>
              </w:rPr>
            </w:pPr>
            <w:r>
              <w:rPr>
                <w:rFonts w:hint="eastAsia"/>
                <w:b w:val="0"/>
                <w:bCs w:val="0"/>
                <w:color w:val="auto"/>
                <w:sz w:val="24"/>
                <w:u w:val="none"/>
                <w:lang w:val="en-US" w:eastAsia="zh-CN"/>
              </w:rPr>
              <w:t>本项目运营期厂区产生的废气主要为少量异味气体，主要来源于污泥处理车间内污泥浓缩、脱水环节，车间内污泥暂存堆场/间异味气体。</w:t>
            </w:r>
          </w:p>
          <w:p w14:paraId="634405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项目为自来水净化厂泥水处理系统，其污泥成分为泥沙、悬浮物、浮游生物和絮凝剂，有机物含量较少，因而污泥恶臭浓度不高。类比国内同类型市政自来水厂内已建成污泥浓缩脱水处理系统运行期间实测情况来看，污泥处理车间废气污染逸散恶臭废气对周边环境影响不明显，氨、硫化氢、臭气浓度指标的监测结果显示：厂界设立的监测点中氨、硫化氢、臭气浓度最大值分别为0.21mg/m</w:t>
            </w:r>
            <w:r>
              <w:rPr>
                <w:rFonts w:hint="eastAsia"/>
                <w:b w:val="0"/>
                <w:bCs w:val="0"/>
                <w:color w:val="auto"/>
                <w:sz w:val="24"/>
                <w:u w:val="none"/>
                <w:vertAlign w:val="superscript"/>
                <w:lang w:val="en-US" w:eastAsia="zh-CN"/>
              </w:rPr>
              <w:t>3</w:t>
            </w:r>
            <w:r>
              <w:rPr>
                <w:rFonts w:hint="eastAsia"/>
                <w:b w:val="0"/>
                <w:bCs w:val="0"/>
                <w:color w:val="auto"/>
                <w:sz w:val="24"/>
                <w:u w:val="none"/>
                <w:lang w:val="en-US" w:eastAsia="zh-CN"/>
              </w:rPr>
              <w:t>、0.003mg/m</w:t>
            </w:r>
            <w:r>
              <w:rPr>
                <w:rFonts w:hint="eastAsia"/>
                <w:b w:val="0"/>
                <w:bCs w:val="0"/>
                <w:color w:val="auto"/>
                <w:sz w:val="24"/>
                <w:u w:val="none"/>
                <w:vertAlign w:val="superscript"/>
                <w:lang w:val="en-US" w:eastAsia="zh-CN"/>
              </w:rPr>
              <w:t>3</w:t>
            </w:r>
            <w:r>
              <w:rPr>
                <w:rFonts w:hint="eastAsia"/>
                <w:b w:val="0"/>
                <w:bCs w:val="0"/>
                <w:color w:val="auto"/>
                <w:sz w:val="24"/>
                <w:u w:val="none"/>
                <w:lang w:val="en-US" w:eastAsia="zh-CN"/>
              </w:rPr>
              <w:t>、15（无量纲），能够满足《恶臭污染排放标准》(GB 14554-93)中对无组织排放源的限值要求。</w:t>
            </w:r>
          </w:p>
          <w:p w14:paraId="5B8128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single"/>
                <w:lang w:val="en-US" w:eastAsia="zh-CN"/>
              </w:rPr>
            </w:pPr>
            <w:r>
              <w:rPr>
                <w:rFonts w:hint="eastAsia"/>
                <w:b w:val="0"/>
                <w:bCs w:val="0"/>
                <w:color w:val="auto"/>
                <w:sz w:val="24"/>
                <w:u w:val="none"/>
                <w:lang w:val="en-US" w:eastAsia="zh-CN"/>
              </w:rPr>
              <w:t>项目净水生产线采用二次加氯净水工艺进行预加氯和出水消毒，液氯具有刺激性异味气体，</w:t>
            </w:r>
            <w:r>
              <w:rPr>
                <w:rFonts w:hint="eastAsia"/>
                <w:b w:val="0"/>
                <w:bCs w:val="0"/>
                <w:color w:val="auto"/>
                <w:sz w:val="24"/>
                <w:u w:val="single"/>
                <w:lang w:val="en-US" w:eastAsia="zh-CN"/>
              </w:rPr>
              <w:t>正常工况下加氯间一般不会有废气的产生，仅在对使用的氯气钢瓶进行更换时，应先关闭在用瓶气相阀，将管道内余氯抽入</w:t>
            </w:r>
            <w:r>
              <w:rPr>
                <w:rFonts w:hint="eastAsia" w:ascii="Times New Roman" w:hAnsi="Times New Roman" w:cs="Times New Roman"/>
                <w:color w:val="auto"/>
                <w:sz w:val="24"/>
                <w:szCs w:val="24"/>
                <w:u w:val="single"/>
                <w:lang w:val="en-US" w:eastAsia="zh-CN"/>
              </w:rPr>
              <w:t>漏氯吸收安全装置</w:t>
            </w:r>
            <w:r>
              <w:rPr>
                <w:rFonts w:hint="eastAsia" w:cs="Times New Roman"/>
                <w:color w:val="auto"/>
                <w:sz w:val="24"/>
                <w:szCs w:val="24"/>
                <w:u w:val="single"/>
                <w:lang w:val="en-US" w:eastAsia="zh-CN"/>
              </w:rPr>
              <w:t>进行</w:t>
            </w:r>
            <w:r>
              <w:rPr>
                <w:rFonts w:hint="eastAsia"/>
                <w:b w:val="0"/>
                <w:bCs w:val="0"/>
                <w:color w:val="auto"/>
                <w:sz w:val="24"/>
                <w:u w:val="single"/>
                <w:lang w:val="en-US" w:eastAsia="zh-CN"/>
              </w:rPr>
              <w:t>中和处理，严禁直接排在作业场所，在更换钢瓶时确保加氯间气瓶区空气中氯气达到《工作场所有害因素职业接触限值 第1部分：化学有害因素》（GBZ 2.1-2019）的最高容许浓度（MAC）为1mg/m³。</w:t>
            </w:r>
          </w:p>
          <w:p w14:paraId="743600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single"/>
                <w:lang w:val="en-US" w:eastAsia="zh-CN"/>
              </w:rPr>
            </w:pPr>
            <w:r>
              <w:rPr>
                <w:rFonts w:hint="eastAsia"/>
                <w:b w:val="0"/>
                <w:bCs w:val="0"/>
                <w:color w:val="auto"/>
                <w:sz w:val="24"/>
                <w:u w:val="single"/>
                <w:lang w:val="en-US" w:eastAsia="zh-CN"/>
              </w:rPr>
              <w:t>当发生氯气钢瓶接口与管道泄漏事故状态下时，会造成少量氯气气体的泄漏，项目加氯间设置氯气探测器，空气浓度达1ppm时自动启动排风机，将废气送入加氯间配套的</w:t>
            </w:r>
            <w:r>
              <w:rPr>
                <w:rFonts w:hint="eastAsia" w:ascii="Times New Roman" w:hAnsi="Times New Roman" w:cs="Times New Roman"/>
                <w:color w:val="auto"/>
                <w:sz w:val="24"/>
                <w:szCs w:val="24"/>
                <w:u w:val="single"/>
                <w:lang w:val="en-US" w:eastAsia="zh-CN"/>
              </w:rPr>
              <w:t>漏氯吸收安全装置（双塔液碱溶液吸收），确保厂界无组织氯气排放限值</w:t>
            </w:r>
            <w:r>
              <w:rPr>
                <w:rFonts w:hint="eastAsia" w:cs="Times New Roman"/>
                <w:color w:val="auto"/>
                <w:sz w:val="24"/>
                <w:szCs w:val="24"/>
                <w:u w:val="single"/>
                <w:lang w:val="en-US" w:eastAsia="zh-CN"/>
              </w:rPr>
              <w:t>达到《大气污染综合排放标准》（GB16297-1996）中表2氯气无组织监控点浓度限值（</w:t>
            </w:r>
            <w:r>
              <w:rPr>
                <w:rFonts w:hint="eastAsia" w:ascii="Times New Roman" w:hAnsi="Times New Roman" w:cs="Times New Roman"/>
                <w:color w:val="auto"/>
                <w:sz w:val="24"/>
                <w:szCs w:val="24"/>
                <w:u w:val="single"/>
                <w:lang w:val="en-US" w:eastAsia="zh-CN"/>
              </w:rPr>
              <w:t>≤0.40mg/m³</w:t>
            </w:r>
            <w:r>
              <w:rPr>
                <w:rFonts w:hint="eastAsia" w:cs="Times New Roman"/>
                <w:color w:val="auto"/>
                <w:sz w:val="24"/>
                <w:szCs w:val="24"/>
                <w:u w:val="single"/>
                <w:lang w:val="en-US" w:eastAsia="zh-CN"/>
              </w:rPr>
              <w:t>）要求</w:t>
            </w:r>
            <w:r>
              <w:rPr>
                <w:rFonts w:hint="eastAsia" w:ascii="Times New Roman" w:hAnsi="Times New Roman" w:cs="Times New Roman"/>
                <w:color w:val="auto"/>
                <w:sz w:val="24"/>
                <w:szCs w:val="24"/>
                <w:u w:val="single"/>
                <w:lang w:val="en-US" w:eastAsia="zh-CN"/>
              </w:rPr>
              <w:t>，排出</w:t>
            </w:r>
            <w:r>
              <w:rPr>
                <w:rFonts w:hint="eastAsia" w:cs="Times New Roman"/>
                <w:color w:val="auto"/>
                <w:sz w:val="24"/>
                <w:szCs w:val="24"/>
                <w:u w:val="single"/>
                <w:lang w:val="en-US" w:eastAsia="zh-CN"/>
              </w:rPr>
              <w:t>事故</w:t>
            </w:r>
            <w:r>
              <w:rPr>
                <w:rFonts w:hint="eastAsia" w:ascii="Times New Roman" w:hAnsi="Times New Roman" w:cs="Times New Roman"/>
                <w:color w:val="auto"/>
                <w:sz w:val="24"/>
                <w:szCs w:val="24"/>
                <w:u w:val="single"/>
                <w:lang w:val="en-US" w:eastAsia="zh-CN"/>
              </w:rPr>
              <w:t>废气对</w:t>
            </w:r>
            <w:r>
              <w:rPr>
                <w:rFonts w:hint="eastAsia" w:cs="Times New Roman"/>
                <w:color w:val="auto"/>
                <w:sz w:val="24"/>
                <w:szCs w:val="24"/>
                <w:u w:val="single"/>
                <w:lang w:val="en-US" w:eastAsia="zh-CN"/>
              </w:rPr>
              <w:t>区域</w:t>
            </w:r>
            <w:r>
              <w:rPr>
                <w:rFonts w:hint="eastAsia" w:ascii="Times New Roman" w:hAnsi="Times New Roman" w:cs="Times New Roman"/>
                <w:color w:val="auto"/>
                <w:sz w:val="24"/>
                <w:szCs w:val="24"/>
                <w:u w:val="single"/>
                <w:lang w:val="en-US" w:eastAsia="zh-CN"/>
              </w:rPr>
              <w:t>外界环境</w:t>
            </w:r>
            <w:r>
              <w:rPr>
                <w:rFonts w:hint="eastAsia" w:cs="Times New Roman"/>
                <w:color w:val="auto"/>
                <w:sz w:val="24"/>
                <w:szCs w:val="24"/>
                <w:u w:val="single"/>
                <w:lang w:val="en-US" w:eastAsia="zh-CN"/>
              </w:rPr>
              <w:t>不造成明显</w:t>
            </w:r>
            <w:r>
              <w:rPr>
                <w:rFonts w:hint="eastAsia" w:ascii="Times New Roman" w:hAnsi="Times New Roman" w:cs="Times New Roman"/>
                <w:color w:val="auto"/>
                <w:sz w:val="24"/>
                <w:szCs w:val="24"/>
                <w:u w:val="single"/>
                <w:lang w:val="en-US" w:eastAsia="zh-CN"/>
              </w:rPr>
              <w:t>影响。</w:t>
            </w:r>
          </w:p>
          <w:p w14:paraId="489AD962">
            <w:pPr>
              <w:pStyle w:val="20"/>
              <w:ind w:firstLine="482"/>
              <w:rPr>
                <w:rFonts w:hint="eastAsia" w:ascii="Times New Roman" w:hAnsi="Times New Roman"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2、</w:t>
            </w:r>
            <w:r>
              <w:rPr>
                <w:rFonts w:hint="eastAsia" w:ascii="Times New Roman" w:hAnsi="Times New Roman" w:cs="Times New Roman"/>
                <w:b/>
                <w:bCs/>
                <w:color w:val="000000"/>
                <w:highlight w:val="none"/>
                <w:u w:val="none" w:color="auto"/>
                <w:lang w:val="en-US" w:eastAsia="zh-CN"/>
              </w:rPr>
              <w:t>废气治理措施可行性分析</w:t>
            </w:r>
          </w:p>
          <w:p w14:paraId="3D0FDD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 xml:space="preserve">本项目厂区内排泥水处理系统中污泥处理车间运行过程中逸散异味产生量少，通过厂区内的绿化吸收和自然通风扩散的形式，能够使异味对周围环境影响不大； </w:t>
            </w:r>
          </w:p>
          <w:p w14:paraId="7AE2DE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加氯间正常情况下不会有异味产生，在更换氯气钢瓶时和输送管道、</w:t>
            </w:r>
            <w:r>
              <w:rPr>
                <w:rFonts w:hint="eastAsia"/>
                <w:b w:val="0"/>
                <w:bCs w:val="0"/>
                <w:color w:val="auto"/>
                <w:sz w:val="24"/>
                <w:u w:val="single"/>
                <w:lang w:val="en-US" w:eastAsia="zh-CN"/>
              </w:rPr>
              <w:t>氯气钢瓶接口</w:t>
            </w:r>
            <w:r>
              <w:rPr>
                <w:rFonts w:hint="eastAsia"/>
                <w:b w:val="0"/>
                <w:bCs w:val="0"/>
                <w:color w:val="auto"/>
                <w:sz w:val="24"/>
                <w:u w:val="none"/>
                <w:lang w:val="en-US" w:eastAsia="zh-CN"/>
              </w:rPr>
              <w:t>非正常情况下排放氯气发生泄漏事故时，会产生刺激性气体（逸散氯气），通过在加氯间配套设置</w:t>
            </w:r>
            <w:r>
              <w:rPr>
                <w:rFonts w:hint="eastAsia" w:ascii="Times New Roman" w:hAnsi="Times New Roman" w:cs="Times New Roman"/>
                <w:color w:val="auto"/>
                <w:sz w:val="24"/>
                <w:szCs w:val="24"/>
                <w:lang w:val="en-US" w:eastAsia="zh-CN"/>
              </w:rPr>
              <w:t>漏氯吸收安全装置</w:t>
            </w:r>
            <w:r>
              <w:rPr>
                <w:rFonts w:hint="eastAsia" w:cs="Times New Roman"/>
                <w:color w:val="auto"/>
                <w:sz w:val="24"/>
                <w:szCs w:val="24"/>
                <w:lang w:val="en-US" w:eastAsia="zh-CN"/>
              </w:rPr>
              <w:t>、配套</w:t>
            </w:r>
            <w:r>
              <w:rPr>
                <w:rFonts w:hint="eastAsia"/>
                <w:b w:val="0"/>
                <w:bCs w:val="0"/>
                <w:color w:val="auto"/>
                <w:sz w:val="24"/>
                <w:u w:val="single"/>
                <w:lang w:val="en-US" w:eastAsia="zh-CN"/>
              </w:rPr>
              <w:t>氯气探测器和</w:t>
            </w:r>
            <w:r>
              <w:rPr>
                <w:rFonts w:hint="eastAsia" w:cs="Times New Roman"/>
                <w:color w:val="auto"/>
                <w:sz w:val="24"/>
                <w:szCs w:val="24"/>
                <w:lang w:val="en-US" w:eastAsia="zh-CN"/>
              </w:rPr>
              <w:t>强制抽风</w:t>
            </w:r>
            <w:r>
              <w:rPr>
                <w:rFonts w:hint="eastAsia"/>
                <w:b w:val="0"/>
                <w:bCs w:val="0"/>
                <w:color w:val="auto"/>
                <w:sz w:val="24"/>
                <w:u w:val="none"/>
                <w:lang w:val="en-US" w:eastAsia="zh-CN"/>
              </w:rPr>
              <w:t>排气系统，将发生事故排放时氯气及时收集进行处理。采取这些措施后，能够有效控制加氯间逸散废气对周围空气环境质量影响。</w:t>
            </w:r>
          </w:p>
          <w:p w14:paraId="2F04A2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因此，在采取有效措施后，全厂产生的废气能够达标排放，对环境影响不大，废气治理措施可行。</w:t>
            </w:r>
          </w:p>
          <w:p w14:paraId="1DFA78AE">
            <w:pPr>
              <w:pStyle w:val="20"/>
              <w:ind w:firstLine="482"/>
              <w:rPr>
                <w:rFonts w:hint="eastAsia"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3、大气环境监测计划</w:t>
            </w:r>
          </w:p>
          <w:p w14:paraId="085EB82F">
            <w:pPr>
              <w:pStyle w:val="59"/>
              <w:keepNext/>
              <w:keepLines w:val="0"/>
              <w:pageBreakBefore/>
              <w:widowControl/>
              <w:numPr>
                <w:ilvl w:val="0"/>
                <w:numId w:val="0"/>
              </w:numPr>
              <w:kinsoku/>
              <w:wordWrap/>
              <w:overflowPunct/>
              <w:topLinePunct w:val="0"/>
              <w:autoSpaceDE/>
              <w:autoSpaceDN/>
              <w:bidi w:val="0"/>
              <w:adjustRightInd/>
              <w:snapToGrid/>
              <w:ind w:firstLine="480" w:firstLineChars="200"/>
              <w:textAlignment w:val="auto"/>
              <w:outlineLvl w:val="9"/>
              <w:rPr>
                <w:rFonts w:hint="eastAsia" w:eastAsia="宋体"/>
                <w:bCs w:val="0"/>
                <w:snapToGrid/>
                <w:color w:val="auto"/>
                <w:kern w:val="2"/>
                <w:szCs w:val="24"/>
                <w:u w:val="none"/>
              </w:rPr>
            </w:pPr>
            <w:r>
              <w:rPr>
                <w:rFonts w:hint="default" w:eastAsia="宋体"/>
                <w:bCs w:val="0"/>
                <w:snapToGrid/>
                <w:color w:val="auto"/>
                <w:kern w:val="2"/>
                <w:szCs w:val="24"/>
                <w:u w:val="none"/>
                <w:lang w:val="en-US" w:eastAsia="zh-CN"/>
              </w:rPr>
              <w:t>根据</w:t>
            </w:r>
            <w:r>
              <w:rPr>
                <w:rFonts w:hint="eastAsia" w:eastAsia="宋体"/>
                <w:bCs w:val="0"/>
                <w:snapToGrid/>
                <w:color w:val="auto"/>
                <w:kern w:val="2"/>
                <w:szCs w:val="24"/>
                <w:u w:val="none"/>
                <w:lang w:val="en-US" w:eastAsia="zh-CN"/>
              </w:rPr>
              <w:t>《排污单位自行监测技术指南 总则》（HJ819-2017）的相关要求</w:t>
            </w:r>
            <w:r>
              <w:rPr>
                <w:rFonts w:eastAsia="宋体"/>
                <w:bCs w:val="0"/>
                <w:snapToGrid/>
                <w:color w:val="auto"/>
                <w:kern w:val="2"/>
                <w:szCs w:val="24"/>
                <w:u w:val="none"/>
              </w:rPr>
              <w:t>，结合本项目的特点，建议对本项目排放的主要大气污染物可委托有相应检测资质的单位进行定期监测，建议监测点位置和主要监测项目详见下表</w:t>
            </w:r>
            <w:r>
              <w:rPr>
                <w:rFonts w:hint="eastAsia" w:eastAsia="宋体"/>
                <w:bCs w:val="0"/>
                <w:snapToGrid/>
                <w:color w:val="auto"/>
                <w:kern w:val="2"/>
                <w:szCs w:val="24"/>
                <w:u w:val="none"/>
              </w:rPr>
              <w:t>。</w:t>
            </w:r>
          </w:p>
          <w:p w14:paraId="02BDFAFA">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表4-1  项目废气监测计划表</w:t>
            </w:r>
          </w:p>
          <w:tbl>
            <w:tblPr>
              <w:tblStyle w:val="24"/>
              <w:tblW w:w="493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14"/>
              <w:gridCol w:w="1276"/>
              <w:gridCol w:w="2354"/>
              <w:gridCol w:w="1169"/>
              <w:gridCol w:w="2452"/>
            </w:tblGrid>
            <w:tr w14:paraId="4EC253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390" w:type="pct"/>
                  <w:tcBorders>
                    <w:tl2br w:val="nil"/>
                    <w:tr2bl w:val="nil"/>
                  </w:tcBorders>
                  <w:noWrap w:val="0"/>
                  <w:vAlign w:val="center"/>
                </w:tcPr>
                <w:p w14:paraId="4878D388">
                  <w:pPr>
                    <w:jc w:val="center"/>
                    <w:rPr>
                      <w:rFonts w:hint="default" w:ascii="Times New Roman" w:hAnsi="Times New Roman" w:cs="Times New Roman"/>
                      <w:color w:val="auto"/>
                      <w:sz w:val="21"/>
                      <w:szCs w:val="21"/>
                      <w:u w:val="none" w:color="auto"/>
                      <w:lang w:val="en-US" w:eastAsia="zh-CN"/>
                    </w:rPr>
                  </w:pPr>
                  <w:r>
                    <w:rPr>
                      <w:rFonts w:hint="eastAsia" w:cs="Times New Roman"/>
                      <w:b w:val="0"/>
                      <w:bCs w:val="0"/>
                      <w:color w:val="auto"/>
                      <w:spacing w:val="0"/>
                      <w:kern w:val="24"/>
                      <w:szCs w:val="21"/>
                      <w:highlight w:val="none"/>
                      <w:u w:val="none" w:color="auto"/>
                      <w:lang w:val="en-US" w:eastAsia="zh-CN"/>
                    </w:rPr>
                    <w:t>类别</w:t>
                  </w:r>
                </w:p>
              </w:tc>
              <w:tc>
                <w:tcPr>
                  <w:tcW w:w="811" w:type="pct"/>
                  <w:tcBorders>
                    <w:tl2br w:val="nil"/>
                    <w:tr2bl w:val="nil"/>
                  </w:tcBorders>
                  <w:shd w:val="clear" w:color="auto" w:fill="auto"/>
                  <w:noWrap w:val="0"/>
                  <w:vAlign w:val="center"/>
                </w:tcPr>
                <w:p w14:paraId="2C51DB0F">
                  <w:pPr>
                    <w:jc w:val="center"/>
                    <w:rPr>
                      <w:rFonts w:hint="default" w:ascii="Times New Roman" w:hAnsi="Times New Roman" w:cs="Times New Roman"/>
                      <w:color w:val="auto"/>
                      <w:spacing w:val="0"/>
                      <w:kern w:val="24"/>
                      <w:szCs w:val="21"/>
                      <w:highlight w:val="none"/>
                      <w:u w:val="none" w:color="auto"/>
                    </w:rPr>
                  </w:pPr>
                  <w:r>
                    <w:rPr>
                      <w:rFonts w:hint="default" w:ascii="Times New Roman" w:hAnsi="Times New Roman" w:cs="Times New Roman"/>
                      <w:b w:val="0"/>
                      <w:bCs w:val="0"/>
                      <w:color w:val="auto"/>
                      <w:spacing w:val="0"/>
                      <w:kern w:val="24"/>
                      <w:szCs w:val="21"/>
                      <w:highlight w:val="none"/>
                      <w:u w:val="none" w:color="auto"/>
                    </w:rPr>
                    <w:t>污染源点位</w:t>
                  </w:r>
                </w:p>
              </w:tc>
              <w:tc>
                <w:tcPr>
                  <w:tcW w:w="1496" w:type="pct"/>
                  <w:tcBorders>
                    <w:tl2br w:val="nil"/>
                    <w:tr2bl w:val="nil"/>
                  </w:tcBorders>
                  <w:shd w:val="clear" w:color="auto" w:fill="auto"/>
                  <w:noWrap w:val="0"/>
                  <w:vAlign w:val="center"/>
                </w:tcPr>
                <w:p w14:paraId="61DCB7E9">
                  <w:pPr>
                    <w:jc w:val="center"/>
                    <w:rPr>
                      <w:rFonts w:hint="default" w:ascii="Times New Roman" w:hAnsi="Times New Roman" w:cs="Times New Roman"/>
                      <w:color w:val="auto"/>
                      <w:spacing w:val="0"/>
                      <w:kern w:val="24"/>
                      <w:szCs w:val="21"/>
                      <w:highlight w:val="none"/>
                      <w:u w:val="none" w:color="auto"/>
                      <w:lang w:val="en-US" w:eastAsia="zh-CN"/>
                    </w:rPr>
                  </w:pPr>
                  <w:r>
                    <w:rPr>
                      <w:rFonts w:hint="default" w:ascii="Times New Roman" w:hAnsi="Times New Roman" w:cs="Times New Roman"/>
                      <w:b w:val="0"/>
                      <w:bCs w:val="0"/>
                      <w:color w:val="auto"/>
                      <w:spacing w:val="0"/>
                      <w:kern w:val="24"/>
                      <w:szCs w:val="21"/>
                      <w:highlight w:val="none"/>
                      <w:u w:val="none" w:color="auto"/>
                    </w:rPr>
                    <w:t>监测指标</w:t>
                  </w:r>
                </w:p>
              </w:tc>
              <w:tc>
                <w:tcPr>
                  <w:tcW w:w="743" w:type="pct"/>
                  <w:tcBorders>
                    <w:tl2br w:val="nil"/>
                    <w:tr2bl w:val="nil"/>
                  </w:tcBorders>
                  <w:shd w:val="clear" w:color="auto" w:fill="auto"/>
                  <w:noWrap w:val="0"/>
                  <w:vAlign w:val="center"/>
                </w:tcPr>
                <w:p w14:paraId="432164F4">
                  <w:pPr>
                    <w:jc w:val="center"/>
                    <w:rPr>
                      <w:rFonts w:hint="default" w:ascii="Times New Roman" w:hAnsi="Times New Roman" w:cs="Times New Roman"/>
                      <w:color w:val="auto"/>
                      <w:spacing w:val="0"/>
                      <w:kern w:val="24"/>
                      <w:szCs w:val="21"/>
                      <w:highlight w:val="none"/>
                      <w:u w:val="none" w:color="auto"/>
                    </w:rPr>
                  </w:pPr>
                  <w:r>
                    <w:rPr>
                      <w:rFonts w:hint="default" w:ascii="Times New Roman" w:hAnsi="Times New Roman" w:cs="Times New Roman"/>
                      <w:b w:val="0"/>
                      <w:bCs w:val="0"/>
                      <w:color w:val="auto"/>
                      <w:spacing w:val="0"/>
                      <w:kern w:val="24"/>
                      <w:szCs w:val="21"/>
                      <w:highlight w:val="none"/>
                      <w:u w:val="none" w:color="auto"/>
                    </w:rPr>
                    <w:t>监测频次</w:t>
                  </w:r>
                </w:p>
              </w:tc>
              <w:tc>
                <w:tcPr>
                  <w:tcW w:w="1558" w:type="pct"/>
                  <w:tcBorders>
                    <w:tl2br w:val="nil"/>
                    <w:tr2bl w:val="nil"/>
                  </w:tcBorders>
                  <w:shd w:val="clear" w:color="auto" w:fill="auto"/>
                  <w:noWrap w:val="0"/>
                  <w:vAlign w:val="center"/>
                </w:tcPr>
                <w:p w14:paraId="11637C07">
                  <w:pPr>
                    <w:jc w:val="center"/>
                    <w:rPr>
                      <w:rFonts w:hint="default" w:ascii="Times New Roman" w:hAnsi="Times New Roman" w:eastAsia="宋体" w:cs="Times New Roman"/>
                      <w:b w:val="0"/>
                      <w:bCs w:val="0"/>
                      <w:color w:val="auto"/>
                      <w:spacing w:val="0"/>
                      <w:kern w:val="24"/>
                      <w:szCs w:val="21"/>
                      <w:highlight w:val="none"/>
                      <w:u w:val="none" w:color="auto"/>
                      <w:lang w:val="en-US" w:eastAsia="zh-CN"/>
                    </w:rPr>
                  </w:pPr>
                  <w:r>
                    <w:rPr>
                      <w:rFonts w:hint="eastAsia" w:cs="Times New Roman"/>
                      <w:b w:val="0"/>
                      <w:bCs w:val="0"/>
                      <w:color w:val="auto"/>
                      <w:spacing w:val="0"/>
                      <w:kern w:val="24"/>
                      <w:szCs w:val="21"/>
                      <w:highlight w:val="none"/>
                      <w:u w:val="none" w:color="auto"/>
                      <w:lang w:val="en-US" w:eastAsia="zh-CN"/>
                    </w:rPr>
                    <w:t>执行标准</w:t>
                  </w:r>
                </w:p>
              </w:tc>
            </w:tr>
            <w:tr w14:paraId="630068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0" w:hRule="atLeast"/>
                <w:jc w:val="center"/>
              </w:trPr>
              <w:tc>
                <w:tcPr>
                  <w:tcW w:w="390" w:type="pct"/>
                  <w:tcBorders>
                    <w:tl2br w:val="nil"/>
                    <w:tr2bl w:val="nil"/>
                  </w:tcBorders>
                  <w:noWrap w:val="0"/>
                  <w:vAlign w:val="center"/>
                </w:tcPr>
                <w:p w14:paraId="2A073A9F">
                  <w:pPr>
                    <w:jc w:val="center"/>
                    <w:rPr>
                      <w:rFonts w:hint="default" w:ascii="Times New Roman" w:hAnsi="Times New Roman" w:cs="Times New Roman"/>
                      <w:b w:val="0"/>
                      <w:bCs w:val="0"/>
                      <w:color w:val="auto"/>
                      <w:spacing w:val="0"/>
                      <w:kern w:val="24"/>
                      <w:szCs w:val="21"/>
                      <w:highlight w:val="none"/>
                      <w:u w:val="none" w:color="auto"/>
                    </w:rPr>
                  </w:pPr>
                  <w:r>
                    <w:rPr>
                      <w:rFonts w:hint="eastAsia" w:cs="Times New Roman"/>
                      <w:color w:val="auto"/>
                      <w:sz w:val="21"/>
                      <w:szCs w:val="21"/>
                      <w:u w:val="none" w:color="auto"/>
                      <w:lang w:val="en-US" w:eastAsia="zh-CN"/>
                    </w:rPr>
                    <w:t>废气</w:t>
                  </w:r>
                </w:p>
              </w:tc>
              <w:tc>
                <w:tcPr>
                  <w:tcW w:w="811" w:type="pct"/>
                  <w:tcBorders>
                    <w:tl2br w:val="nil"/>
                    <w:tr2bl w:val="nil"/>
                  </w:tcBorders>
                  <w:shd w:val="clear" w:color="auto" w:fill="auto"/>
                  <w:noWrap w:val="0"/>
                  <w:vAlign w:val="center"/>
                </w:tcPr>
                <w:p w14:paraId="234F7F3E">
                  <w:pPr>
                    <w:jc w:val="center"/>
                    <w:rPr>
                      <w:rFonts w:hint="default" w:ascii="Times New Roman" w:hAnsi="Times New Roman" w:eastAsia="宋体" w:cs="Times New Roman"/>
                      <w:b/>
                      <w:bCs/>
                      <w:color w:val="auto"/>
                      <w:spacing w:val="0"/>
                      <w:kern w:val="24"/>
                      <w:sz w:val="21"/>
                      <w:szCs w:val="21"/>
                      <w:highlight w:val="none"/>
                      <w:u w:val="none" w:color="auto"/>
                      <w:lang w:val="en-US" w:eastAsia="zh-CN" w:bidi="ar-SA"/>
                    </w:rPr>
                  </w:pPr>
                  <w:r>
                    <w:rPr>
                      <w:rFonts w:hint="default" w:ascii="Times New Roman" w:hAnsi="Times New Roman" w:cs="Times New Roman"/>
                      <w:color w:val="auto"/>
                      <w:spacing w:val="0"/>
                      <w:kern w:val="24"/>
                      <w:szCs w:val="21"/>
                      <w:highlight w:val="none"/>
                      <w:u w:val="none" w:color="auto"/>
                    </w:rPr>
                    <w:t>厂界</w:t>
                  </w:r>
                  <w:r>
                    <w:rPr>
                      <w:rFonts w:hint="eastAsia" w:cs="Times New Roman"/>
                      <w:color w:val="auto"/>
                      <w:spacing w:val="0"/>
                      <w:kern w:val="24"/>
                      <w:szCs w:val="21"/>
                      <w:highlight w:val="none"/>
                      <w:u w:val="none" w:color="auto"/>
                      <w:lang w:val="en-US" w:eastAsia="zh-CN"/>
                    </w:rPr>
                    <w:t>上、下风向</w:t>
                  </w:r>
                </w:p>
              </w:tc>
              <w:tc>
                <w:tcPr>
                  <w:tcW w:w="1496" w:type="pct"/>
                  <w:tcBorders>
                    <w:tl2br w:val="nil"/>
                    <w:tr2bl w:val="nil"/>
                  </w:tcBorders>
                  <w:shd w:val="clear" w:color="auto" w:fill="auto"/>
                  <w:noWrap w:val="0"/>
                  <w:vAlign w:val="center"/>
                </w:tcPr>
                <w:p w14:paraId="4D756DF7">
                  <w:pPr>
                    <w:jc w:val="center"/>
                    <w:rPr>
                      <w:rFonts w:hint="default" w:ascii="Times New Roman" w:hAnsi="Times New Roman" w:eastAsia="宋体" w:cs="Times New Roman"/>
                      <w:b/>
                      <w:bCs/>
                      <w:color w:val="auto"/>
                      <w:spacing w:val="0"/>
                      <w:kern w:val="24"/>
                      <w:sz w:val="21"/>
                      <w:szCs w:val="21"/>
                      <w:highlight w:val="none"/>
                      <w:u w:val="none" w:color="auto"/>
                      <w:lang w:val="en-US" w:eastAsia="zh-CN" w:bidi="ar-SA"/>
                    </w:rPr>
                  </w:pPr>
                  <w:r>
                    <w:rPr>
                      <w:rFonts w:hint="default" w:ascii="Times New Roman" w:hAnsi="Times New Roman" w:cs="Times New Roman"/>
                      <w:b w:val="0"/>
                      <w:bCs w:val="0"/>
                      <w:color w:val="auto"/>
                      <w:spacing w:val="0"/>
                      <w:kern w:val="24"/>
                      <w:szCs w:val="21"/>
                      <w:highlight w:val="none"/>
                      <w:u w:val="none" w:color="auto"/>
                    </w:rPr>
                    <w:t>氨、硫化氢、臭气浓度</w:t>
                  </w:r>
                </w:p>
              </w:tc>
              <w:tc>
                <w:tcPr>
                  <w:tcW w:w="743" w:type="pct"/>
                  <w:tcBorders>
                    <w:tl2br w:val="nil"/>
                    <w:tr2bl w:val="nil"/>
                  </w:tcBorders>
                  <w:shd w:val="clear" w:color="auto" w:fill="auto"/>
                  <w:noWrap w:val="0"/>
                  <w:vAlign w:val="center"/>
                </w:tcPr>
                <w:p w14:paraId="3327857F">
                  <w:pPr>
                    <w:jc w:val="center"/>
                    <w:rPr>
                      <w:rFonts w:hint="default" w:ascii="Times New Roman" w:hAnsi="Times New Roman" w:eastAsia="宋体" w:cs="Times New Roman"/>
                      <w:b/>
                      <w:bCs/>
                      <w:color w:val="auto"/>
                      <w:spacing w:val="0"/>
                      <w:kern w:val="24"/>
                      <w:sz w:val="21"/>
                      <w:szCs w:val="21"/>
                      <w:highlight w:val="none"/>
                      <w:u w:val="none" w:color="auto"/>
                      <w:lang w:val="en-US" w:eastAsia="zh-CN" w:bidi="ar-SA"/>
                    </w:rPr>
                  </w:pPr>
                  <w:r>
                    <w:rPr>
                      <w:rFonts w:hint="default" w:ascii="Times New Roman" w:hAnsi="Times New Roman" w:cs="Times New Roman"/>
                      <w:color w:val="auto"/>
                      <w:spacing w:val="0"/>
                      <w:kern w:val="24"/>
                      <w:szCs w:val="21"/>
                      <w:highlight w:val="none"/>
                      <w:u w:val="none" w:color="auto"/>
                    </w:rPr>
                    <w:t>1次/年</w:t>
                  </w:r>
                </w:p>
              </w:tc>
              <w:tc>
                <w:tcPr>
                  <w:tcW w:w="1558" w:type="pct"/>
                  <w:tcBorders>
                    <w:tl2br w:val="nil"/>
                    <w:tr2bl w:val="nil"/>
                  </w:tcBorders>
                  <w:shd w:val="clear" w:color="auto" w:fill="auto"/>
                  <w:noWrap w:val="0"/>
                  <w:vAlign w:val="center"/>
                </w:tcPr>
                <w:p w14:paraId="1DA33B30">
                  <w:pPr>
                    <w:jc w:val="center"/>
                    <w:rPr>
                      <w:rFonts w:hint="default" w:ascii="Times New Roman" w:hAnsi="Times New Roman" w:cs="Times New Roman"/>
                      <w:color w:val="auto"/>
                      <w:spacing w:val="0"/>
                      <w:kern w:val="24"/>
                      <w:szCs w:val="21"/>
                      <w:highlight w:val="none"/>
                      <w:u w:val="none" w:color="auto"/>
                    </w:rPr>
                  </w:pPr>
                  <w:r>
                    <w:rPr>
                      <w:rFonts w:hint="default" w:ascii="Times New Roman" w:hAnsi="Times New Roman" w:cs="Times New Roman"/>
                      <w:color w:val="auto"/>
                      <w:spacing w:val="0"/>
                      <w:kern w:val="24"/>
                      <w:szCs w:val="21"/>
                      <w:highlight w:val="none"/>
                      <w:u w:val="none" w:color="auto"/>
                    </w:rPr>
                    <w:t>《恶臭污染物排放标准》（GB14554-93）表1</w:t>
                  </w:r>
                </w:p>
              </w:tc>
            </w:tr>
          </w:tbl>
          <w:p w14:paraId="2E6D2D27">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eastAsia"/>
                <w:b/>
                <w:bCs w:val="0"/>
                <w:sz w:val="24"/>
                <w:szCs w:val="24"/>
                <w:lang w:val="en-US" w:eastAsia="zh-CN"/>
              </w:rPr>
            </w:pPr>
            <w:r>
              <w:rPr>
                <w:rFonts w:hint="eastAsia"/>
                <w:b/>
                <w:bCs w:val="0"/>
                <w:sz w:val="24"/>
                <w:szCs w:val="24"/>
                <w:lang w:val="en-US" w:eastAsia="zh-CN"/>
              </w:rPr>
              <w:t>二、营运期水环境影响分析</w:t>
            </w:r>
          </w:p>
          <w:p w14:paraId="46EC8399">
            <w:pPr>
              <w:pStyle w:val="20"/>
              <w:ind w:firstLine="482"/>
              <w:rPr>
                <w:rFonts w:hint="eastAsia"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1、废水污染源强</w:t>
            </w:r>
          </w:p>
          <w:p w14:paraId="5B5758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color w:val="auto"/>
                <w:sz w:val="24"/>
                <w:u w:val="none"/>
                <w:lang w:val="en-US" w:eastAsia="zh-CN"/>
              </w:rPr>
            </w:pPr>
            <w:r>
              <w:rPr>
                <w:rFonts w:hint="eastAsia"/>
                <w:b w:val="0"/>
                <w:bCs w:val="0"/>
                <w:color w:val="auto"/>
                <w:sz w:val="24"/>
                <w:u w:val="none"/>
                <w:lang w:val="en-US" w:eastAsia="zh-CN"/>
              </w:rPr>
              <w:t>（1）生活污水</w:t>
            </w:r>
          </w:p>
          <w:p w14:paraId="57F008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项目内部劳动定员为72人，</w:t>
            </w:r>
            <w:r>
              <w:rPr>
                <w:rFonts w:hint="eastAsia"/>
                <w:b w:val="0"/>
                <w:bCs w:val="0"/>
                <w:color w:val="auto"/>
                <w:sz w:val="24"/>
                <w:u w:val="single"/>
                <w:lang w:val="en-US" w:eastAsia="zh-CN"/>
              </w:rPr>
              <w:t>根据实际运行情况，生活用水量为8</w:t>
            </w:r>
            <w:r>
              <w:rPr>
                <w:rFonts w:hint="eastAsia" w:cs="Times New Roman"/>
                <w:color w:val="000000"/>
                <w:kern w:val="0"/>
                <w:sz w:val="24"/>
                <w:szCs w:val="24"/>
                <w:u w:val="single"/>
                <w:lang w:val="en-US" w:eastAsia="zh-CN" w:bidi="ar"/>
              </w:rPr>
              <w:t>.125</w:t>
            </w:r>
            <w:r>
              <w:rPr>
                <w:rFonts w:hint="eastAsia" w:ascii="Times New Roman" w:hAnsi="Times New Roman" w:eastAsia="宋体" w:cs="Times New Roman"/>
                <w:color w:val="000000"/>
                <w:kern w:val="0"/>
                <w:sz w:val="24"/>
                <w:szCs w:val="24"/>
                <w:u w:val="single"/>
                <w:lang w:val="en-US" w:eastAsia="zh-CN" w:bidi="ar"/>
              </w:rPr>
              <w:t>m</w:t>
            </w:r>
            <w:r>
              <w:rPr>
                <w:rFonts w:hint="eastAsia" w:ascii="Times New Roman" w:hAnsi="Times New Roman" w:eastAsia="宋体" w:cs="Times New Roman"/>
                <w:color w:val="000000"/>
                <w:kern w:val="0"/>
                <w:sz w:val="24"/>
                <w:szCs w:val="24"/>
                <w:u w:val="single"/>
                <w:vertAlign w:val="superscript"/>
                <w:lang w:val="en-US" w:eastAsia="zh-CN" w:bidi="ar"/>
              </w:rPr>
              <w:t>3</w:t>
            </w:r>
            <w:r>
              <w:rPr>
                <w:rFonts w:hint="eastAsia" w:ascii="Times New Roman" w:hAnsi="Times New Roman" w:eastAsia="宋体" w:cs="Times New Roman"/>
                <w:color w:val="000000"/>
                <w:kern w:val="0"/>
                <w:sz w:val="24"/>
                <w:szCs w:val="24"/>
                <w:u w:val="single"/>
                <w:lang w:val="en-US" w:eastAsia="zh-CN" w:bidi="ar"/>
              </w:rPr>
              <w:t>/</w:t>
            </w:r>
            <w:r>
              <w:rPr>
                <w:rFonts w:hint="eastAsia" w:cs="Times New Roman"/>
                <w:color w:val="000000"/>
                <w:kern w:val="0"/>
                <w:sz w:val="24"/>
                <w:szCs w:val="24"/>
                <w:u w:val="single"/>
                <w:lang w:val="en-US" w:eastAsia="zh-CN" w:bidi="ar"/>
              </w:rPr>
              <w:t>d</w:t>
            </w:r>
            <w:r>
              <w:rPr>
                <w:rFonts w:hint="default" w:ascii="Times New Roman" w:hAnsi="Times New Roman" w:eastAsia="宋体" w:cs="Times New Roman"/>
                <w:color w:val="000000"/>
                <w:kern w:val="0"/>
                <w:sz w:val="24"/>
                <w:szCs w:val="24"/>
                <w:u w:val="single"/>
                <w:lang w:val="en-US" w:eastAsia="zh-CN" w:bidi="ar"/>
              </w:rPr>
              <w:t>（</w:t>
            </w:r>
            <w:r>
              <w:rPr>
                <w:rFonts w:hint="eastAsia" w:ascii="Times New Roman" w:hAnsi="Times New Roman" w:eastAsia="宋体" w:cs="Times New Roman"/>
                <w:color w:val="000000"/>
                <w:kern w:val="0"/>
                <w:sz w:val="24"/>
                <w:szCs w:val="24"/>
                <w:u w:val="single"/>
                <w:lang w:val="en-US" w:eastAsia="zh-CN" w:bidi="ar"/>
              </w:rPr>
              <w:t>2965.625‬‬m</w:t>
            </w:r>
            <w:r>
              <w:rPr>
                <w:rFonts w:hint="eastAsia" w:ascii="Times New Roman" w:hAnsi="Times New Roman" w:eastAsia="宋体" w:cs="Times New Roman"/>
                <w:color w:val="000000"/>
                <w:kern w:val="0"/>
                <w:sz w:val="24"/>
                <w:szCs w:val="24"/>
                <w:u w:val="single"/>
                <w:vertAlign w:val="superscript"/>
                <w:lang w:val="en-US" w:eastAsia="zh-CN" w:bidi="ar"/>
              </w:rPr>
              <w:t>3</w:t>
            </w:r>
            <w:r>
              <w:rPr>
                <w:rFonts w:hint="eastAsia" w:ascii="Times New Roman" w:hAnsi="Times New Roman" w:eastAsia="宋体" w:cs="Times New Roman"/>
                <w:color w:val="000000"/>
                <w:kern w:val="0"/>
                <w:sz w:val="24"/>
                <w:szCs w:val="24"/>
                <w:u w:val="single"/>
                <w:lang w:val="en-US" w:eastAsia="zh-CN" w:bidi="ar"/>
              </w:rPr>
              <w:t>/a</w:t>
            </w:r>
            <w:r>
              <w:rPr>
                <w:rFonts w:hint="default" w:ascii="Times New Roman" w:hAnsi="Times New Roman" w:eastAsia="宋体" w:cs="Times New Roman"/>
                <w:color w:val="000000"/>
                <w:kern w:val="0"/>
                <w:sz w:val="24"/>
                <w:szCs w:val="24"/>
                <w:u w:val="single"/>
                <w:lang w:val="en-US" w:eastAsia="zh-CN" w:bidi="ar"/>
              </w:rPr>
              <w:t>）</w:t>
            </w:r>
            <w:r>
              <w:rPr>
                <w:rFonts w:hint="eastAsia" w:cs="Times New Roman"/>
                <w:color w:val="000000"/>
                <w:kern w:val="0"/>
                <w:sz w:val="24"/>
                <w:szCs w:val="24"/>
                <w:u w:val="single"/>
                <w:lang w:val="en-US" w:eastAsia="zh-CN" w:bidi="ar"/>
              </w:rPr>
              <w:t>，生活污水排放系数为用水量的80%，则</w:t>
            </w:r>
            <w:r>
              <w:rPr>
                <w:rFonts w:hint="eastAsia"/>
                <w:b w:val="0"/>
                <w:bCs w:val="0"/>
                <w:color w:val="auto"/>
                <w:sz w:val="24"/>
                <w:u w:val="single"/>
                <w:lang w:val="en-US" w:eastAsia="zh-CN"/>
              </w:rPr>
              <w:t>厂区职工生活污水约为6.5‬</w:t>
            </w:r>
            <w:r>
              <w:rPr>
                <w:rFonts w:hint="default"/>
                <w:b w:val="0"/>
                <w:bCs w:val="0"/>
                <w:color w:val="auto"/>
                <w:sz w:val="24"/>
                <w:u w:val="single"/>
                <w:lang w:val="en-US" w:eastAsia="zh-CN"/>
              </w:rPr>
              <w:t>m</w:t>
            </w:r>
            <w:r>
              <w:rPr>
                <w:rFonts w:hint="default"/>
                <w:b w:val="0"/>
                <w:bCs w:val="0"/>
                <w:color w:val="auto"/>
                <w:sz w:val="24"/>
                <w:u w:val="single"/>
                <w:vertAlign w:val="superscript"/>
                <w:lang w:val="en-US" w:eastAsia="zh-CN"/>
              </w:rPr>
              <w:t>3</w:t>
            </w:r>
            <w:r>
              <w:rPr>
                <w:rFonts w:hint="default"/>
                <w:b w:val="0"/>
                <w:bCs w:val="0"/>
                <w:color w:val="auto"/>
                <w:sz w:val="24"/>
                <w:u w:val="single"/>
                <w:lang w:val="en-US" w:eastAsia="zh-CN"/>
              </w:rPr>
              <w:t>/</w:t>
            </w:r>
            <w:r>
              <w:rPr>
                <w:rFonts w:hint="eastAsia"/>
                <w:b w:val="0"/>
                <w:bCs w:val="0"/>
                <w:color w:val="auto"/>
                <w:sz w:val="24"/>
                <w:u w:val="single"/>
                <w:lang w:val="en-US" w:eastAsia="zh-CN"/>
              </w:rPr>
              <w:t>d（2372.5</w:t>
            </w:r>
            <w:r>
              <w:rPr>
                <w:rFonts w:hint="default"/>
                <w:b w:val="0"/>
                <w:bCs w:val="0"/>
                <w:color w:val="auto"/>
                <w:sz w:val="24"/>
                <w:u w:val="single"/>
                <w:lang w:val="en-US" w:eastAsia="zh-CN"/>
              </w:rPr>
              <w:t>m</w:t>
            </w:r>
            <w:r>
              <w:rPr>
                <w:rFonts w:hint="default"/>
                <w:b w:val="0"/>
                <w:bCs w:val="0"/>
                <w:color w:val="auto"/>
                <w:sz w:val="24"/>
                <w:u w:val="single"/>
                <w:vertAlign w:val="superscript"/>
                <w:lang w:val="en-US" w:eastAsia="zh-CN"/>
              </w:rPr>
              <w:t>3</w:t>
            </w:r>
            <w:r>
              <w:rPr>
                <w:rFonts w:hint="default"/>
                <w:b w:val="0"/>
                <w:bCs w:val="0"/>
                <w:color w:val="auto"/>
                <w:sz w:val="24"/>
                <w:u w:val="single"/>
                <w:lang w:val="en-US" w:eastAsia="zh-CN"/>
              </w:rPr>
              <w:t>/a</w:t>
            </w:r>
            <w:r>
              <w:rPr>
                <w:rFonts w:hint="eastAsia"/>
                <w:b w:val="0"/>
                <w:bCs w:val="0"/>
                <w:color w:val="auto"/>
                <w:sz w:val="24"/>
                <w:u w:val="single"/>
                <w:lang w:val="en-US" w:eastAsia="zh-CN"/>
              </w:rPr>
              <w:t>）。</w:t>
            </w:r>
            <w:r>
              <w:rPr>
                <w:rFonts w:hint="default"/>
                <w:b w:val="0"/>
                <w:bCs w:val="0"/>
                <w:color w:val="auto"/>
                <w:sz w:val="24"/>
                <w:u w:val="none"/>
                <w:lang w:val="en-US" w:eastAsia="zh-CN"/>
              </w:rPr>
              <w:t>根据《排放源统计调查产排污核算方法和系数手册》中的《生活污染源产排污系数手册》中表1-1五区城镇生活污水污染物产污校核系数的产污系数平均值，</w:t>
            </w:r>
            <w:r>
              <w:rPr>
                <w:rFonts w:hint="eastAsia"/>
                <w:b w:val="0"/>
                <w:bCs w:val="0"/>
                <w:color w:val="auto"/>
                <w:sz w:val="24"/>
                <w:u w:val="none"/>
                <w:lang w:val="en-US" w:eastAsia="zh-CN"/>
              </w:rPr>
              <w:t>项目生活废水中主要污染物</w:t>
            </w:r>
            <w:r>
              <w:rPr>
                <w:rFonts w:hint="default"/>
                <w:b w:val="0"/>
                <w:bCs w:val="0"/>
                <w:color w:val="auto"/>
                <w:sz w:val="24"/>
                <w:u w:val="none"/>
                <w:lang w:val="en-US" w:eastAsia="zh-CN"/>
              </w:rPr>
              <w:t>COD</w:t>
            </w:r>
            <w:r>
              <w:rPr>
                <w:rFonts w:hint="default"/>
                <w:b w:val="0"/>
                <w:bCs w:val="0"/>
                <w:color w:val="auto"/>
                <w:sz w:val="24"/>
                <w:u w:val="none"/>
                <w:vertAlign w:val="subscript"/>
                <w:lang w:val="en-US" w:eastAsia="zh-CN"/>
              </w:rPr>
              <w:t>Cr</w:t>
            </w:r>
            <w:r>
              <w:rPr>
                <w:rFonts w:hint="default"/>
                <w:b w:val="0"/>
                <w:bCs w:val="0"/>
                <w:color w:val="auto"/>
                <w:sz w:val="24"/>
                <w:u w:val="none"/>
                <w:lang w:val="en-US" w:eastAsia="zh-CN"/>
              </w:rPr>
              <w:t>、NH</w:t>
            </w:r>
            <w:r>
              <w:rPr>
                <w:rFonts w:hint="default"/>
                <w:b w:val="0"/>
                <w:bCs w:val="0"/>
                <w:color w:val="auto"/>
                <w:sz w:val="24"/>
                <w:u w:val="none"/>
                <w:vertAlign w:val="subscript"/>
                <w:lang w:val="en-US" w:eastAsia="zh-CN"/>
              </w:rPr>
              <w:t>3</w:t>
            </w:r>
            <w:r>
              <w:rPr>
                <w:rFonts w:hint="default"/>
                <w:b w:val="0"/>
                <w:bCs w:val="0"/>
                <w:color w:val="auto"/>
                <w:sz w:val="24"/>
                <w:u w:val="none"/>
                <w:lang w:val="en-US" w:eastAsia="zh-CN"/>
              </w:rPr>
              <w:t>-N、SS产生浓度分别为300mg/L、2</w:t>
            </w:r>
            <w:r>
              <w:rPr>
                <w:rFonts w:hint="eastAsia"/>
                <w:b w:val="0"/>
                <w:bCs w:val="0"/>
                <w:color w:val="auto"/>
                <w:sz w:val="24"/>
                <w:u w:val="none"/>
                <w:lang w:val="en-US" w:eastAsia="zh-CN"/>
              </w:rPr>
              <w:t>3</w:t>
            </w:r>
            <w:r>
              <w:rPr>
                <w:rFonts w:hint="default"/>
                <w:b w:val="0"/>
                <w:bCs w:val="0"/>
                <w:color w:val="auto"/>
                <w:sz w:val="24"/>
                <w:u w:val="none"/>
                <w:lang w:val="en-US" w:eastAsia="zh-CN"/>
              </w:rPr>
              <w:t>mg/L、150mg/L，生活污水</w:t>
            </w:r>
            <w:r>
              <w:rPr>
                <w:rFonts w:hint="eastAsia"/>
                <w:b w:val="0"/>
                <w:bCs w:val="0"/>
                <w:color w:val="auto"/>
                <w:sz w:val="24"/>
                <w:u w:val="none"/>
                <w:lang w:val="en-US" w:eastAsia="zh-CN"/>
              </w:rPr>
              <w:t>在厂区内经现有</w:t>
            </w:r>
            <w:r>
              <w:rPr>
                <w:rFonts w:hint="default"/>
                <w:b w:val="0"/>
                <w:bCs w:val="0"/>
                <w:color w:val="auto"/>
                <w:sz w:val="24"/>
                <w:u w:val="none"/>
                <w:lang w:val="en-US" w:eastAsia="zh-CN"/>
              </w:rPr>
              <w:t>办公区化粪池处理后通过</w:t>
            </w:r>
            <w:r>
              <w:rPr>
                <w:rFonts w:hint="eastAsia"/>
                <w:b w:val="0"/>
                <w:bCs w:val="0"/>
                <w:color w:val="auto"/>
                <w:sz w:val="24"/>
                <w:u w:val="none"/>
                <w:lang w:val="en-US" w:eastAsia="zh-CN"/>
              </w:rPr>
              <w:t>厂区废水排放口排</w:t>
            </w:r>
            <w:r>
              <w:rPr>
                <w:rFonts w:hint="default"/>
                <w:b w:val="0"/>
                <w:bCs w:val="0"/>
                <w:color w:val="auto"/>
                <w:sz w:val="24"/>
                <w:u w:val="none"/>
                <w:lang w:val="en-US" w:eastAsia="zh-CN"/>
              </w:rPr>
              <w:t>入</w:t>
            </w:r>
            <w:r>
              <w:rPr>
                <w:rFonts w:hint="eastAsia"/>
                <w:b w:val="0"/>
                <w:bCs w:val="0"/>
                <w:color w:val="auto"/>
                <w:sz w:val="24"/>
                <w:u w:val="none"/>
                <w:lang w:val="en-US" w:eastAsia="zh-CN"/>
              </w:rPr>
              <w:t>市政</w:t>
            </w:r>
            <w:r>
              <w:rPr>
                <w:rFonts w:hint="default"/>
                <w:b w:val="0"/>
                <w:bCs w:val="0"/>
                <w:color w:val="auto"/>
                <w:sz w:val="24"/>
                <w:u w:val="none"/>
                <w:lang w:val="en-US" w:eastAsia="zh-CN"/>
              </w:rPr>
              <w:t>污水收集管网。</w:t>
            </w:r>
            <w:r>
              <w:rPr>
                <w:rFonts w:hint="eastAsia"/>
                <w:b w:val="0"/>
                <w:bCs w:val="0"/>
                <w:color w:val="auto"/>
                <w:sz w:val="24"/>
                <w:u w:val="none"/>
                <w:lang w:val="en-US" w:eastAsia="zh-CN"/>
              </w:rPr>
              <w:t>经处理后生活污水中主要污染物排放浓度分别为</w:t>
            </w:r>
            <w:r>
              <w:rPr>
                <w:rFonts w:hint="default"/>
                <w:b w:val="0"/>
                <w:bCs w:val="0"/>
                <w:color w:val="auto"/>
                <w:sz w:val="24"/>
                <w:u w:val="none"/>
                <w:lang w:val="en-US" w:eastAsia="zh-CN"/>
              </w:rPr>
              <w:t>COD285mg/L、SS</w:t>
            </w:r>
            <w:r>
              <w:rPr>
                <w:rFonts w:hint="eastAsia"/>
                <w:b w:val="0"/>
                <w:bCs w:val="0"/>
                <w:color w:val="auto"/>
                <w:sz w:val="24"/>
                <w:u w:val="none"/>
                <w:lang w:val="en-US" w:eastAsia="zh-CN"/>
              </w:rPr>
              <w:t>1</w:t>
            </w:r>
            <w:r>
              <w:rPr>
                <w:rFonts w:hint="default"/>
                <w:b w:val="0"/>
                <w:bCs w:val="0"/>
                <w:color w:val="auto"/>
                <w:sz w:val="24"/>
                <w:u w:val="none"/>
                <w:lang w:val="en-US" w:eastAsia="zh-CN"/>
              </w:rPr>
              <w:t>00mg/L、NH</w:t>
            </w:r>
            <w:r>
              <w:rPr>
                <w:rFonts w:hint="default"/>
                <w:b w:val="0"/>
                <w:bCs w:val="0"/>
                <w:color w:val="auto"/>
                <w:sz w:val="24"/>
                <w:u w:val="none"/>
                <w:vertAlign w:val="subscript"/>
                <w:lang w:val="en-US" w:eastAsia="zh-CN"/>
              </w:rPr>
              <w:t>3</w:t>
            </w:r>
            <w:r>
              <w:rPr>
                <w:rFonts w:hint="default"/>
                <w:b w:val="0"/>
                <w:bCs w:val="0"/>
                <w:color w:val="auto"/>
                <w:sz w:val="24"/>
                <w:u w:val="none"/>
                <w:lang w:val="en-US" w:eastAsia="zh-CN"/>
              </w:rPr>
              <w:t>-N</w:t>
            </w:r>
            <w:r>
              <w:rPr>
                <w:rFonts w:hint="eastAsia"/>
                <w:b w:val="0"/>
                <w:bCs w:val="0"/>
                <w:color w:val="auto"/>
                <w:sz w:val="24"/>
                <w:u w:val="none"/>
                <w:lang w:val="en-US" w:eastAsia="zh-CN"/>
              </w:rPr>
              <w:t xml:space="preserve"> </w:t>
            </w:r>
            <w:r>
              <w:rPr>
                <w:rFonts w:hint="default"/>
                <w:b w:val="0"/>
                <w:bCs w:val="0"/>
                <w:color w:val="auto"/>
                <w:sz w:val="24"/>
                <w:u w:val="none"/>
                <w:lang w:val="en-US" w:eastAsia="zh-CN"/>
              </w:rPr>
              <w:t>2</w:t>
            </w:r>
            <w:r>
              <w:rPr>
                <w:rFonts w:hint="eastAsia"/>
                <w:b w:val="0"/>
                <w:bCs w:val="0"/>
                <w:color w:val="auto"/>
                <w:sz w:val="24"/>
                <w:u w:val="none"/>
                <w:lang w:val="en-US" w:eastAsia="zh-CN"/>
              </w:rPr>
              <w:t>0</w:t>
            </w:r>
            <w:r>
              <w:rPr>
                <w:rFonts w:hint="default"/>
                <w:b w:val="0"/>
                <w:bCs w:val="0"/>
                <w:color w:val="auto"/>
                <w:sz w:val="24"/>
                <w:u w:val="none"/>
                <w:lang w:val="en-US" w:eastAsia="zh-CN"/>
              </w:rPr>
              <w:t>mg/L</w:t>
            </w:r>
            <w:r>
              <w:rPr>
                <w:rFonts w:hint="eastAsia"/>
                <w:b w:val="0"/>
                <w:bCs w:val="0"/>
                <w:color w:val="auto"/>
                <w:sz w:val="24"/>
                <w:u w:val="none"/>
                <w:lang w:val="en-US" w:eastAsia="zh-CN"/>
              </w:rPr>
              <w:t>，通过区域市政污水管网，最终进岳阳马壕水质净化中心污水处理厂深度处理。</w:t>
            </w:r>
          </w:p>
          <w:p w14:paraId="3E3521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color w:val="auto"/>
                <w:sz w:val="24"/>
                <w:u w:val="none"/>
                <w:lang w:val="en-US" w:eastAsia="zh-CN"/>
              </w:rPr>
            </w:pPr>
            <w:r>
              <w:rPr>
                <w:rFonts w:hint="eastAsia"/>
                <w:b w:val="0"/>
                <w:bCs w:val="0"/>
                <w:color w:val="auto"/>
                <w:sz w:val="24"/>
                <w:u w:val="none"/>
                <w:lang w:val="en-US" w:eastAsia="zh-CN"/>
              </w:rPr>
              <w:t>（2）生产废水</w:t>
            </w:r>
          </w:p>
          <w:p w14:paraId="4309FC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color w:val="auto"/>
                <w:sz w:val="24"/>
                <w:u w:val="none"/>
                <w:lang w:val="en-US" w:eastAsia="zh-CN"/>
              </w:rPr>
            </w:pPr>
            <w:r>
              <w:rPr>
                <w:rFonts w:hint="eastAsia"/>
                <w:b w:val="0"/>
                <w:bCs w:val="0"/>
                <w:color w:val="auto"/>
                <w:sz w:val="24"/>
                <w:u w:val="none"/>
                <w:lang w:val="en-US" w:eastAsia="zh-CN"/>
              </w:rPr>
              <w:t>项目自来水净水生产过程中产生的生产废水主要为絮凝沉淀产生的排泥渣水、滤池反冲洗水，根据建设单位多年的实际生产经验和运行情况来看，排泥渣水全部进入排泥水池；滤池冲洗水全部进入回收水池，回收水池中上清液约占95%经回用水泵抽入生产线进水分配井回用于制水生产利用、下层底泥砂水约占5%进入排泥水池，进入排泥水池的生产区废水量根据《排放源统计调查产排污核算方法和系数手册》（2021年版）中4610自来水生产和供应行业系数手册，项目采用混凝沉淀、过滤消毒工艺生产自来水，厂区日产自来水19万吨，根据产污系数废水量为4.36×10</w:t>
            </w:r>
            <w:r>
              <w:rPr>
                <w:rFonts w:hint="eastAsia"/>
                <w:b w:val="0"/>
                <w:bCs w:val="0"/>
                <w:color w:val="auto"/>
                <w:sz w:val="24"/>
                <w:u w:val="none"/>
                <w:vertAlign w:val="superscript"/>
                <w:lang w:val="en-US" w:eastAsia="zh-CN"/>
              </w:rPr>
              <w:t>-2</w:t>
            </w:r>
            <w:r>
              <w:rPr>
                <w:rFonts w:hint="eastAsia"/>
                <w:b w:val="0"/>
                <w:bCs w:val="0"/>
                <w:color w:val="auto"/>
                <w:sz w:val="24"/>
                <w:u w:val="none"/>
                <w:lang w:val="en-US" w:eastAsia="zh-CN"/>
              </w:rPr>
              <w:t>吨/吨-产品、主要污染物化学需氧量为1.12克/吨-产品、氨氮为2.88×10</w:t>
            </w:r>
            <w:r>
              <w:rPr>
                <w:rFonts w:hint="eastAsia"/>
                <w:b w:val="0"/>
                <w:bCs w:val="0"/>
                <w:color w:val="auto"/>
                <w:sz w:val="24"/>
                <w:u w:val="none"/>
                <w:vertAlign w:val="superscript"/>
                <w:lang w:val="en-US" w:eastAsia="zh-CN"/>
              </w:rPr>
              <w:t>-2</w:t>
            </w:r>
            <w:r>
              <w:rPr>
                <w:rFonts w:hint="eastAsia"/>
                <w:b w:val="0"/>
                <w:bCs w:val="0"/>
                <w:color w:val="auto"/>
                <w:sz w:val="24"/>
                <w:u w:val="none"/>
                <w:lang w:val="en-US" w:eastAsia="zh-CN"/>
              </w:rPr>
              <w:t>克/吨-产品、总磷为2.34×10</w:t>
            </w:r>
            <w:r>
              <w:rPr>
                <w:rFonts w:hint="eastAsia"/>
                <w:b w:val="0"/>
                <w:bCs w:val="0"/>
                <w:color w:val="auto"/>
                <w:sz w:val="24"/>
                <w:u w:val="none"/>
                <w:vertAlign w:val="superscript"/>
                <w:lang w:val="en-US" w:eastAsia="zh-CN"/>
              </w:rPr>
              <w:t>-2</w:t>
            </w:r>
            <w:r>
              <w:rPr>
                <w:rFonts w:hint="eastAsia"/>
                <w:b w:val="0"/>
                <w:bCs w:val="0"/>
                <w:color w:val="auto"/>
                <w:sz w:val="24"/>
                <w:u w:val="none"/>
                <w:lang w:val="en-US" w:eastAsia="zh-CN"/>
              </w:rPr>
              <w:t>克/吨-产品、总氮为0.381克/吨-产品。则排泥渣水和滤池冲洗水产生量为8284t/d，其中排泥渣水：滤池冲洗水为2:8，排泥渣水产生量为1657t/d、滤池冲洗水为6627t/d。根据回收水池回用情况，回收水池中约有332t/d排底泥砂水进入排泥水池，计入净水生产线上排泥渣水量，总体进入排泥水池废水量为1989t/d。‬</w:t>
            </w:r>
          </w:p>
          <w:p w14:paraId="48F4EBC8">
            <w:pPr>
              <w:keepNext w:val="0"/>
              <w:keepLines w:val="0"/>
              <w:pageBreakBefore w:val="0"/>
              <w:widowControl w:val="0"/>
              <w:tabs>
                <w:tab w:val="left" w:pos="1050"/>
              </w:tabs>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排泥水池内废水全部进入污泥处理车间进行脱泥处理，其中污泥转鼓浓缩机进行浓缩，贮泥池内上清液（1428.5t/d）进入现状厂区内回用水池进行回用，浓缩后含泥废水（含水率96%，560.5t/d）进入污泥离心脱水机进一步处理，处理后泥饼（含水率80%，产生量为112.1‬t/d）送往污泥干化堆放区自然晾干，污泥处理车间排放离心废水（最终排泥废水）大约为448.4t/d经厂区废水排放口（DW001）排入厂区北侧区域汴河园路的市政污水管网。</w:t>
            </w:r>
          </w:p>
          <w:p w14:paraId="1E97A4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color w:val="auto"/>
                <w:sz w:val="24"/>
                <w:u w:val="single"/>
                <w:lang w:val="en-US" w:eastAsia="zh-CN"/>
              </w:rPr>
            </w:pPr>
            <w:r>
              <w:rPr>
                <w:rFonts w:hint="eastAsia"/>
                <w:b w:val="0"/>
                <w:bCs w:val="0"/>
                <w:color w:val="auto"/>
                <w:sz w:val="24"/>
                <w:u w:val="none"/>
                <w:lang w:val="en-US" w:eastAsia="zh-CN"/>
              </w:rPr>
              <w:t>根据产污系数和去除效率核算，项目净水生产过程排泥水废水中主要污染物化学需氧量产生量为0.2128t/d、氨氮产生量为0.006128t/d、总磷产生量为0.004446t/d、总氮产生量为0.07238t/d，进入排泥水池、回收水池沉淀分离预处理后，对主要污染物去除效率按照4610自来水生产和供应行业系数手册推荐值进行估算，化学需氧量为40%、氨氮为30%、总磷为95%、总氮为60%。</w:t>
            </w:r>
            <w:r>
              <w:rPr>
                <w:rFonts w:hint="eastAsia"/>
                <w:b w:val="0"/>
                <w:bCs w:val="0"/>
                <w:color w:val="auto"/>
                <w:sz w:val="24"/>
                <w:u w:val="single"/>
                <w:lang w:val="en-US" w:eastAsia="zh-CN"/>
              </w:rPr>
              <w:t>排泥水中悬浮物浓度预计为7500mg/L（产生量为3.363t/d），经过沉淀分离、污泥浓缩+离心分离后，对主要污染物SS去除效率为98%。</w:t>
            </w:r>
          </w:p>
          <w:p w14:paraId="4E5FE8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color w:val="auto"/>
                <w:sz w:val="24"/>
                <w:u w:val="none"/>
                <w:lang w:val="en-US" w:eastAsia="zh-CN"/>
              </w:rPr>
            </w:pPr>
            <w:r>
              <w:rPr>
                <w:rFonts w:hint="eastAsia"/>
                <w:b w:val="0"/>
                <w:bCs w:val="0"/>
                <w:color w:val="auto"/>
                <w:sz w:val="24"/>
                <w:u w:val="none"/>
                <w:lang w:val="en-US" w:eastAsia="zh-CN"/>
              </w:rPr>
              <w:t>则厂区生产废水通过废水排放口（DW001）外排废水量为448.4t/d（163666t/a‬），主要污染物排放浓度为化学需氧量为284.7mg/L、氨氮为9.56mg/L、总磷为0.49mg/L、总氮为64.5mg/L、</w:t>
            </w:r>
            <w:r>
              <w:rPr>
                <w:rFonts w:hint="eastAsia"/>
                <w:b w:val="0"/>
                <w:bCs w:val="0"/>
                <w:color w:val="auto"/>
                <w:sz w:val="24"/>
                <w:u w:val="single"/>
                <w:lang w:val="en-US" w:eastAsia="zh-CN"/>
              </w:rPr>
              <w:t>悬浮物为150mg/L，</w:t>
            </w:r>
            <w:r>
              <w:rPr>
                <w:rFonts w:hint="eastAsia"/>
                <w:b w:val="0"/>
                <w:bCs w:val="0"/>
                <w:color w:val="auto"/>
                <w:sz w:val="24"/>
                <w:u w:val="none"/>
                <w:lang w:val="en-US" w:eastAsia="zh-CN"/>
              </w:rPr>
              <w:t>排放废水符合《污水综合排放标准》（GB8978-1996）中表4三级标准</w:t>
            </w:r>
            <w:r>
              <w:rPr>
                <w:rFonts w:hint="eastAsia" w:cs="Times New Roman"/>
                <w:color w:val="auto"/>
                <w:sz w:val="24"/>
                <w:szCs w:val="32"/>
                <w:highlight w:val="none"/>
                <w:u w:val="none"/>
                <w:lang w:val="en-US" w:eastAsia="zh-CN"/>
              </w:rPr>
              <w:t>和岳阳马壕水质净化中心进水水质标准</w:t>
            </w:r>
            <w:r>
              <w:rPr>
                <w:rFonts w:hint="eastAsia"/>
                <w:b w:val="0"/>
                <w:bCs w:val="0"/>
                <w:color w:val="auto"/>
                <w:sz w:val="24"/>
                <w:u w:val="none"/>
                <w:lang w:val="en-US" w:eastAsia="zh-CN"/>
              </w:rPr>
              <w:t>。</w:t>
            </w:r>
          </w:p>
          <w:p w14:paraId="6E60783A">
            <w:pPr>
              <w:pStyle w:val="20"/>
              <w:ind w:firstLine="482"/>
              <w:rPr>
                <w:rFonts w:hint="default"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2、污染物排放情况</w:t>
            </w:r>
          </w:p>
          <w:p w14:paraId="38DB7CF3">
            <w:pPr>
              <w:pStyle w:val="37"/>
              <w:keepNext/>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color w:val="auto"/>
                <w:kern w:val="21"/>
                <w:sz w:val="24"/>
                <w:u w:val="none" w:color="auto"/>
                <w:vertAlign w:val="baseline"/>
                <w:lang w:val="en-US" w:eastAsia="zh-CN"/>
              </w:rPr>
            </w:pPr>
            <w:r>
              <w:rPr>
                <w:rFonts w:hint="eastAsia"/>
                <w:b w:val="0"/>
                <w:bCs/>
                <w:color w:val="auto"/>
                <w:kern w:val="21"/>
                <w:sz w:val="24"/>
                <w:u w:val="none" w:color="auto"/>
                <w:vertAlign w:val="baseline"/>
                <w:lang w:val="en-US" w:eastAsia="zh-CN"/>
              </w:rPr>
              <w:t>本项目废水类别，污染物排放及污染治理措施见下表所示。</w:t>
            </w:r>
          </w:p>
          <w:p w14:paraId="76D6754F">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表4-2  项目废水类别、污染物及污染治理措施信息表</w:t>
            </w:r>
          </w:p>
          <w:tbl>
            <w:tblPr>
              <w:tblStyle w:val="24"/>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
              <w:gridCol w:w="693"/>
              <w:gridCol w:w="822"/>
              <w:gridCol w:w="688"/>
              <w:gridCol w:w="679"/>
              <w:gridCol w:w="732"/>
              <w:gridCol w:w="664"/>
              <w:gridCol w:w="930"/>
              <w:gridCol w:w="728"/>
              <w:gridCol w:w="679"/>
              <w:gridCol w:w="943"/>
            </w:tblGrid>
            <w:tr w14:paraId="3FAA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1" w:type="pct"/>
                  <w:vMerge w:val="restart"/>
                  <w:tcBorders>
                    <w:tl2br w:val="nil"/>
                    <w:tr2bl w:val="nil"/>
                  </w:tcBorders>
                  <w:noWrap w:val="0"/>
                  <w:vAlign w:val="center"/>
                </w:tcPr>
                <w:p w14:paraId="78BD9989">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序号</w:t>
                  </w:r>
                </w:p>
              </w:tc>
              <w:tc>
                <w:tcPr>
                  <w:tcW w:w="435" w:type="pct"/>
                  <w:vMerge w:val="restart"/>
                  <w:tcBorders>
                    <w:tl2br w:val="nil"/>
                    <w:tr2bl w:val="nil"/>
                  </w:tcBorders>
                  <w:noWrap w:val="0"/>
                  <w:vAlign w:val="center"/>
                </w:tcPr>
                <w:p w14:paraId="29772FC8">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废水类别</w:t>
                  </w:r>
                </w:p>
              </w:tc>
              <w:tc>
                <w:tcPr>
                  <w:tcW w:w="516" w:type="pct"/>
                  <w:vMerge w:val="restart"/>
                  <w:tcBorders>
                    <w:tl2br w:val="nil"/>
                    <w:tr2bl w:val="nil"/>
                  </w:tcBorders>
                  <w:noWrap w:val="0"/>
                  <w:vAlign w:val="center"/>
                </w:tcPr>
                <w:p w14:paraId="41A2CA21">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污染物种类</w:t>
                  </w:r>
                </w:p>
              </w:tc>
              <w:tc>
                <w:tcPr>
                  <w:tcW w:w="432" w:type="pct"/>
                  <w:vMerge w:val="restart"/>
                  <w:tcBorders>
                    <w:tl2br w:val="nil"/>
                    <w:tr2bl w:val="nil"/>
                  </w:tcBorders>
                  <w:noWrap w:val="0"/>
                  <w:vAlign w:val="center"/>
                </w:tcPr>
                <w:p w14:paraId="3C1F117A">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排放去向</w:t>
                  </w:r>
                </w:p>
              </w:tc>
              <w:tc>
                <w:tcPr>
                  <w:tcW w:w="426" w:type="pct"/>
                  <w:vMerge w:val="restart"/>
                  <w:tcBorders>
                    <w:tl2br w:val="nil"/>
                    <w:tr2bl w:val="nil"/>
                  </w:tcBorders>
                  <w:noWrap w:val="0"/>
                  <w:vAlign w:val="center"/>
                </w:tcPr>
                <w:p w14:paraId="48061660">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排放规律</w:t>
                  </w:r>
                </w:p>
              </w:tc>
              <w:tc>
                <w:tcPr>
                  <w:tcW w:w="1461" w:type="pct"/>
                  <w:gridSpan w:val="3"/>
                  <w:tcBorders>
                    <w:tl2br w:val="nil"/>
                    <w:tr2bl w:val="nil"/>
                  </w:tcBorders>
                  <w:noWrap w:val="0"/>
                  <w:vAlign w:val="center"/>
                </w:tcPr>
                <w:p w14:paraId="5FB7624B">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污染治理设施</w:t>
                  </w:r>
                </w:p>
              </w:tc>
              <w:tc>
                <w:tcPr>
                  <w:tcW w:w="457" w:type="pct"/>
                  <w:vMerge w:val="restart"/>
                  <w:tcBorders>
                    <w:tl2br w:val="nil"/>
                    <w:tr2bl w:val="nil"/>
                  </w:tcBorders>
                  <w:noWrap w:val="0"/>
                  <w:vAlign w:val="center"/>
                </w:tcPr>
                <w:p w14:paraId="2E22114E">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排放口编号</w:t>
                  </w:r>
                </w:p>
              </w:tc>
              <w:tc>
                <w:tcPr>
                  <w:tcW w:w="426" w:type="pct"/>
                  <w:vMerge w:val="restart"/>
                  <w:tcBorders>
                    <w:tl2br w:val="nil"/>
                    <w:tr2bl w:val="nil"/>
                  </w:tcBorders>
                  <w:noWrap w:val="0"/>
                  <w:vAlign w:val="center"/>
                </w:tcPr>
                <w:p w14:paraId="0ACEAA47">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排放口设置是否符合要求</w:t>
                  </w:r>
                </w:p>
              </w:tc>
              <w:tc>
                <w:tcPr>
                  <w:tcW w:w="592" w:type="pct"/>
                  <w:vMerge w:val="restart"/>
                  <w:tcBorders>
                    <w:tl2br w:val="nil"/>
                    <w:tr2bl w:val="nil"/>
                  </w:tcBorders>
                  <w:noWrap w:val="0"/>
                  <w:vAlign w:val="center"/>
                </w:tcPr>
                <w:p w14:paraId="309FEA9B">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排放口类型</w:t>
                  </w:r>
                </w:p>
              </w:tc>
            </w:tr>
            <w:tr w14:paraId="7BCF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1" w:type="pct"/>
                  <w:vMerge w:val="continue"/>
                  <w:tcBorders>
                    <w:tl2br w:val="nil"/>
                    <w:tr2bl w:val="nil"/>
                  </w:tcBorders>
                  <w:noWrap w:val="0"/>
                  <w:vAlign w:val="center"/>
                </w:tcPr>
                <w:p w14:paraId="282C26A4">
                  <w:pPr>
                    <w:widowControl/>
                    <w:jc w:val="center"/>
                    <w:textAlignment w:val="center"/>
                    <w:rPr>
                      <w:rFonts w:hint="default" w:ascii="Times New Roman" w:hAnsi="Times New Roman" w:eastAsia="宋体" w:cs="Times New Roman"/>
                      <w:color w:val="auto"/>
                      <w:kern w:val="0"/>
                      <w:szCs w:val="21"/>
                      <w:lang w:bidi="ar"/>
                    </w:rPr>
                  </w:pPr>
                </w:p>
              </w:tc>
              <w:tc>
                <w:tcPr>
                  <w:tcW w:w="435" w:type="pct"/>
                  <w:vMerge w:val="continue"/>
                  <w:tcBorders>
                    <w:tl2br w:val="nil"/>
                    <w:tr2bl w:val="nil"/>
                  </w:tcBorders>
                  <w:noWrap w:val="0"/>
                  <w:vAlign w:val="center"/>
                </w:tcPr>
                <w:p w14:paraId="1A95DAA5">
                  <w:pPr>
                    <w:widowControl/>
                    <w:jc w:val="center"/>
                    <w:textAlignment w:val="center"/>
                    <w:rPr>
                      <w:rFonts w:hint="default" w:ascii="Times New Roman" w:hAnsi="Times New Roman" w:eastAsia="宋体" w:cs="Times New Roman"/>
                      <w:color w:val="auto"/>
                      <w:kern w:val="0"/>
                      <w:szCs w:val="21"/>
                      <w:lang w:bidi="ar"/>
                    </w:rPr>
                  </w:pPr>
                </w:p>
              </w:tc>
              <w:tc>
                <w:tcPr>
                  <w:tcW w:w="516" w:type="pct"/>
                  <w:vMerge w:val="continue"/>
                  <w:tcBorders>
                    <w:tl2br w:val="nil"/>
                    <w:tr2bl w:val="nil"/>
                  </w:tcBorders>
                  <w:noWrap w:val="0"/>
                  <w:vAlign w:val="center"/>
                </w:tcPr>
                <w:p w14:paraId="0B39AB61">
                  <w:pPr>
                    <w:widowControl/>
                    <w:jc w:val="center"/>
                    <w:textAlignment w:val="center"/>
                    <w:rPr>
                      <w:rFonts w:hint="default" w:ascii="Times New Roman" w:hAnsi="Times New Roman" w:eastAsia="宋体" w:cs="Times New Roman"/>
                      <w:color w:val="auto"/>
                      <w:kern w:val="0"/>
                      <w:szCs w:val="21"/>
                      <w:lang w:bidi="ar"/>
                    </w:rPr>
                  </w:pPr>
                </w:p>
              </w:tc>
              <w:tc>
                <w:tcPr>
                  <w:tcW w:w="432" w:type="pct"/>
                  <w:vMerge w:val="continue"/>
                  <w:tcBorders>
                    <w:tl2br w:val="nil"/>
                    <w:tr2bl w:val="nil"/>
                  </w:tcBorders>
                  <w:noWrap w:val="0"/>
                  <w:vAlign w:val="center"/>
                </w:tcPr>
                <w:p w14:paraId="251EAA52">
                  <w:pPr>
                    <w:widowControl/>
                    <w:jc w:val="center"/>
                    <w:textAlignment w:val="center"/>
                    <w:rPr>
                      <w:rFonts w:hint="default" w:ascii="Times New Roman" w:hAnsi="Times New Roman" w:eastAsia="宋体" w:cs="Times New Roman"/>
                      <w:color w:val="auto"/>
                      <w:kern w:val="0"/>
                      <w:szCs w:val="21"/>
                      <w:lang w:bidi="ar"/>
                    </w:rPr>
                  </w:pPr>
                </w:p>
              </w:tc>
              <w:tc>
                <w:tcPr>
                  <w:tcW w:w="426" w:type="pct"/>
                  <w:vMerge w:val="continue"/>
                  <w:tcBorders>
                    <w:tl2br w:val="nil"/>
                    <w:tr2bl w:val="nil"/>
                  </w:tcBorders>
                  <w:noWrap w:val="0"/>
                  <w:vAlign w:val="center"/>
                </w:tcPr>
                <w:p w14:paraId="114E3A7B">
                  <w:pPr>
                    <w:widowControl/>
                    <w:jc w:val="center"/>
                    <w:textAlignment w:val="center"/>
                    <w:rPr>
                      <w:rFonts w:hint="default" w:ascii="Times New Roman" w:hAnsi="Times New Roman" w:eastAsia="宋体" w:cs="Times New Roman"/>
                      <w:color w:val="auto"/>
                      <w:kern w:val="0"/>
                      <w:szCs w:val="21"/>
                      <w:lang w:bidi="ar"/>
                    </w:rPr>
                  </w:pPr>
                </w:p>
              </w:tc>
              <w:tc>
                <w:tcPr>
                  <w:tcW w:w="459" w:type="pct"/>
                  <w:tcBorders>
                    <w:tl2br w:val="nil"/>
                    <w:tr2bl w:val="nil"/>
                  </w:tcBorders>
                  <w:noWrap w:val="0"/>
                  <w:vAlign w:val="center"/>
                </w:tcPr>
                <w:p w14:paraId="7D3DD6ED">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污染治理设施编号</w:t>
                  </w:r>
                </w:p>
              </w:tc>
              <w:tc>
                <w:tcPr>
                  <w:tcW w:w="417" w:type="pct"/>
                  <w:tcBorders>
                    <w:tl2br w:val="nil"/>
                    <w:tr2bl w:val="nil"/>
                  </w:tcBorders>
                  <w:noWrap w:val="0"/>
                  <w:vAlign w:val="center"/>
                </w:tcPr>
                <w:p w14:paraId="0FE4E854">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污染治理设施名称</w:t>
                  </w:r>
                </w:p>
              </w:tc>
              <w:tc>
                <w:tcPr>
                  <w:tcW w:w="584" w:type="pct"/>
                  <w:tcBorders>
                    <w:tl2br w:val="nil"/>
                    <w:tr2bl w:val="nil"/>
                  </w:tcBorders>
                  <w:noWrap w:val="0"/>
                  <w:vAlign w:val="center"/>
                </w:tcPr>
                <w:p w14:paraId="12D90A71">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污染治理设施工艺</w:t>
                  </w:r>
                </w:p>
              </w:tc>
              <w:tc>
                <w:tcPr>
                  <w:tcW w:w="457" w:type="pct"/>
                  <w:vMerge w:val="continue"/>
                  <w:tcBorders>
                    <w:tl2br w:val="nil"/>
                    <w:tr2bl w:val="nil"/>
                  </w:tcBorders>
                  <w:noWrap w:val="0"/>
                  <w:vAlign w:val="center"/>
                </w:tcPr>
                <w:p w14:paraId="74C3B95F">
                  <w:pPr>
                    <w:pStyle w:val="41"/>
                    <w:keepNext w:val="0"/>
                    <w:keepLines w:val="0"/>
                    <w:pageBreakBefore w:val="0"/>
                    <w:widowControl w:val="0"/>
                    <w:kinsoku/>
                    <w:wordWrap/>
                    <w:overflowPunct/>
                    <w:topLinePunct w:val="0"/>
                    <w:autoSpaceDE/>
                    <w:autoSpaceDN/>
                    <w:bidi w:val="0"/>
                    <w:adjustRightInd/>
                    <w:snapToGrid/>
                    <w:spacing w:beforeLines="0" w:afterLines="0" w:line="240" w:lineRule="auto"/>
                    <w:ind w:firstLine="0"/>
                    <w:jc w:val="center"/>
                    <w:textAlignment w:val="auto"/>
                    <w:rPr>
                      <w:rFonts w:hint="default" w:ascii="Times New Roman" w:hAnsi="Times New Roman" w:cs="Times New Roman"/>
                      <w:color w:val="auto"/>
                      <w:spacing w:val="0"/>
                      <w:sz w:val="21"/>
                      <w:szCs w:val="21"/>
                      <w:u w:val="none" w:color="auto"/>
                    </w:rPr>
                  </w:pPr>
                </w:p>
              </w:tc>
              <w:tc>
                <w:tcPr>
                  <w:tcW w:w="426" w:type="pct"/>
                  <w:vMerge w:val="continue"/>
                  <w:tcBorders>
                    <w:tl2br w:val="nil"/>
                    <w:tr2bl w:val="nil"/>
                  </w:tcBorders>
                  <w:noWrap w:val="0"/>
                  <w:vAlign w:val="center"/>
                </w:tcPr>
                <w:p w14:paraId="2E4E6173">
                  <w:pPr>
                    <w:pStyle w:val="41"/>
                    <w:keepNext w:val="0"/>
                    <w:keepLines w:val="0"/>
                    <w:pageBreakBefore w:val="0"/>
                    <w:widowControl w:val="0"/>
                    <w:kinsoku/>
                    <w:wordWrap/>
                    <w:overflowPunct/>
                    <w:topLinePunct w:val="0"/>
                    <w:autoSpaceDE/>
                    <w:autoSpaceDN/>
                    <w:bidi w:val="0"/>
                    <w:adjustRightInd/>
                    <w:snapToGrid/>
                    <w:spacing w:beforeLines="0" w:afterLines="0" w:line="240" w:lineRule="auto"/>
                    <w:ind w:firstLine="0"/>
                    <w:jc w:val="center"/>
                    <w:textAlignment w:val="auto"/>
                    <w:rPr>
                      <w:rFonts w:hint="default" w:ascii="Times New Roman" w:hAnsi="Times New Roman" w:cs="Times New Roman"/>
                      <w:color w:val="auto"/>
                      <w:spacing w:val="0"/>
                      <w:sz w:val="21"/>
                      <w:szCs w:val="21"/>
                      <w:u w:val="none" w:color="auto"/>
                    </w:rPr>
                  </w:pPr>
                </w:p>
              </w:tc>
              <w:tc>
                <w:tcPr>
                  <w:tcW w:w="592" w:type="pct"/>
                  <w:vMerge w:val="continue"/>
                  <w:tcBorders>
                    <w:tl2br w:val="nil"/>
                    <w:tr2bl w:val="nil"/>
                  </w:tcBorders>
                  <w:noWrap w:val="0"/>
                  <w:vAlign w:val="center"/>
                </w:tcPr>
                <w:p w14:paraId="2B94EC35">
                  <w:pPr>
                    <w:pStyle w:val="41"/>
                    <w:keepNext w:val="0"/>
                    <w:keepLines w:val="0"/>
                    <w:pageBreakBefore w:val="0"/>
                    <w:widowControl w:val="0"/>
                    <w:kinsoku/>
                    <w:wordWrap/>
                    <w:overflowPunct/>
                    <w:topLinePunct w:val="0"/>
                    <w:autoSpaceDE/>
                    <w:autoSpaceDN/>
                    <w:bidi w:val="0"/>
                    <w:adjustRightInd/>
                    <w:snapToGrid/>
                    <w:spacing w:beforeLines="0" w:afterLines="0" w:line="240" w:lineRule="auto"/>
                    <w:ind w:firstLine="0"/>
                    <w:jc w:val="center"/>
                    <w:textAlignment w:val="auto"/>
                    <w:rPr>
                      <w:rFonts w:hint="default" w:ascii="Times New Roman" w:hAnsi="Times New Roman" w:cs="Times New Roman"/>
                      <w:color w:val="auto"/>
                      <w:spacing w:val="0"/>
                      <w:sz w:val="21"/>
                      <w:szCs w:val="21"/>
                      <w:u w:val="none" w:color="auto"/>
                    </w:rPr>
                  </w:pPr>
                </w:p>
              </w:tc>
            </w:tr>
            <w:tr w14:paraId="58FF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1" w:type="pct"/>
                  <w:tcBorders>
                    <w:tl2br w:val="nil"/>
                    <w:tr2bl w:val="nil"/>
                  </w:tcBorders>
                  <w:noWrap w:val="0"/>
                  <w:vAlign w:val="center"/>
                </w:tcPr>
                <w:p w14:paraId="51AC44E4">
                  <w:pPr>
                    <w:pStyle w:val="41"/>
                    <w:keepNext w:val="0"/>
                    <w:keepLines w:val="0"/>
                    <w:pageBreakBefore w:val="0"/>
                    <w:widowControl w:val="0"/>
                    <w:kinsoku/>
                    <w:wordWrap/>
                    <w:overflowPunct/>
                    <w:topLinePunct w:val="0"/>
                    <w:autoSpaceDE/>
                    <w:autoSpaceDN/>
                    <w:bidi w:val="0"/>
                    <w:adjustRightInd/>
                    <w:snapToGrid/>
                    <w:spacing w:beforeLines="0" w:afterLines="0" w:line="240" w:lineRule="auto"/>
                    <w:ind w:firstLine="0"/>
                    <w:jc w:val="center"/>
                    <w:textAlignment w:val="auto"/>
                    <w:rPr>
                      <w:rFonts w:hint="default" w:ascii="Times New Roman" w:hAnsi="Times New Roman" w:cs="Times New Roman"/>
                      <w:color w:val="auto"/>
                      <w:spacing w:val="0"/>
                      <w:sz w:val="21"/>
                      <w:szCs w:val="21"/>
                      <w:u w:val="none" w:color="auto"/>
                      <w:lang w:val="en-US" w:eastAsia="zh-CN"/>
                    </w:rPr>
                  </w:pPr>
                  <w:r>
                    <w:rPr>
                      <w:rFonts w:hint="default" w:ascii="Times New Roman" w:hAnsi="Times New Roman" w:cs="Times New Roman"/>
                      <w:color w:val="auto"/>
                      <w:spacing w:val="0"/>
                      <w:sz w:val="21"/>
                      <w:szCs w:val="21"/>
                      <w:u w:val="none" w:color="auto"/>
                      <w:lang w:val="en-US" w:eastAsia="zh-CN"/>
                    </w:rPr>
                    <w:t>1</w:t>
                  </w:r>
                </w:p>
              </w:tc>
              <w:tc>
                <w:tcPr>
                  <w:tcW w:w="435" w:type="pct"/>
                  <w:tcBorders>
                    <w:tl2br w:val="nil"/>
                    <w:tr2bl w:val="nil"/>
                  </w:tcBorders>
                  <w:noWrap w:val="0"/>
                  <w:vAlign w:val="center"/>
                </w:tcPr>
                <w:p w14:paraId="16119EC0">
                  <w:pPr>
                    <w:widowControl/>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val="en-US" w:eastAsia="zh-CN" w:bidi="ar"/>
                    </w:rPr>
                    <w:t>生活污水</w:t>
                  </w:r>
                </w:p>
              </w:tc>
              <w:tc>
                <w:tcPr>
                  <w:tcW w:w="516" w:type="pct"/>
                  <w:tcBorders>
                    <w:tl2br w:val="nil"/>
                    <w:tr2bl w:val="nil"/>
                  </w:tcBorders>
                  <w:noWrap w:val="0"/>
                  <w:vAlign w:val="center"/>
                </w:tcPr>
                <w:p w14:paraId="40953750">
                  <w:pPr>
                    <w:widowControl/>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bidi="ar"/>
                    </w:rPr>
                    <w:t>COD、SS、氨氮等</w:t>
                  </w:r>
                </w:p>
              </w:tc>
              <w:tc>
                <w:tcPr>
                  <w:tcW w:w="432" w:type="pct"/>
                  <w:vMerge w:val="restart"/>
                  <w:tcBorders>
                    <w:tl2br w:val="nil"/>
                    <w:tr2bl w:val="nil"/>
                  </w:tcBorders>
                  <w:noWrap w:val="0"/>
                  <w:vAlign w:val="center"/>
                </w:tcPr>
                <w:p w14:paraId="76E8BDB8">
                  <w:pPr>
                    <w:widowControl/>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val="en-US" w:eastAsia="zh-CN" w:bidi="ar"/>
                    </w:rPr>
                    <w:t>岳阳马壕水质净化中心</w:t>
                  </w:r>
                </w:p>
              </w:tc>
              <w:tc>
                <w:tcPr>
                  <w:tcW w:w="426" w:type="pct"/>
                  <w:vMerge w:val="restart"/>
                  <w:tcBorders>
                    <w:tl2br w:val="nil"/>
                    <w:tr2bl w:val="nil"/>
                  </w:tcBorders>
                  <w:noWrap w:val="0"/>
                  <w:vAlign w:val="center"/>
                </w:tcPr>
                <w:p w14:paraId="75E7380A">
                  <w:pPr>
                    <w:widowControl/>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bidi="ar"/>
                    </w:rPr>
                    <w:t>间断排放</w:t>
                  </w:r>
                  <w:r>
                    <w:rPr>
                      <w:rFonts w:hint="default" w:ascii="Times New Roman" w:hAnsi="Times New Roman" w:eastAsia="宋体" w:cs="Times New Roman"/>
                      <w:color w:val="auto"/>
                      <w:kern w:val="0"/>
                      <w:szCs w:val="21"/>
                      <w:lang w:eastAsia="zh-CN" w:bidi="ar"/>
                    </w:rPr>
                    <w:t>，</w:t>
                  </w:r>
                  <w:r>
                    <w:rPr>
                      <w:rFonts w:hint="default" w:ascii="Times New Roman" w:hAnsi="Times New Roman" w:eastAsia="宋体" w:cs="Times New Roman"/>
                      <w:color w:val="auto"/>
                      <w:kern w:val="0"/>
                      <w:szCs w:val="21"/>
                      <w:lang w:bidi="ar"/>
                    </w:rPr>
                    <w:t>排放期间流量不稳定</w:t>
                  </w:r>
                  <w:r>
                    <w:rPr>
                      <w:rFonts w:hint="default" w:ascii="Times New Roman" w:hAnsi="Times New Roman" w:eastAsia="宋体" w:cs="Times New Roman"/>
                      <w:color w:val="auto"/>
                      <w:kern w:val="0"/>
                      <w:szCs w:val="21"/>
                      <w:lang w:eastAsia="zh-CN" w:bidi="ar"/>
                    </w:rPr>
                    <w:t>，</w:t>
                  </w:r>
                  <w:r>
                    <w:rPr>
                      <w:rFonts w:hint="default" w:ascii="Times New Roman" w:hAnsi="Times New Roman" w:eastAsia="宋体" w:cs="Times New Roman"/>
                      <w:color w:val="auto"/>
                      <w:kern w:val="0"/>
                      <w:szCs w:val="21"/>
                      <w:lang w:bidi="ar"/>
                    </w:rPr>
                    <w:t>不属于冲击型排放</w:t>
                  </w:r>
                </w:p>
              </w:tc>
              <w:tc>
                <w:tcPr>
                  <w:tcW w:w="459" w:type="pct"/>
                  <w:tcBorders>
                    <w:tl2br w:val="nil"/>
                    <w:tr2bl w:val="nil"/>
                  </w:tcBorders>
                  <w:noWrap w:val="0"/>
                  <w:vAlign w:val="center"/>
                </w:tcPr>
                <w:p w14:paraId="71E75BD2">
                  <w:pPr>
                    <w:widowControl/>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val="en-US" w:eastAsia="zh-CN" w:bidi="ar"/>
                    </w:rPr>
                    <w:t>TW001</w:t>
                  </w:r>
                </w:p>
              </w:tc>
              <w:tc>
                <w:tcPr>
                  <w:tcW w:w="417" w:type="pct"/>
                  <w:tcBorders>
                    <w:tl2br w:val="nil"/>
                    <w:tr2bl w:val="nil"/>
                  </w:tcBorders>
                  <w:noWrap w:val="0"/>
                  <w:vAlign w:val="center"/>
                </w:tcPr>
                <w:p w14:paraId="5F68A4BB">
                  <w:pPr>
                    <w:widowControl/>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val="en-US" w:eastAsia="zh-CN" w:bidi="ar"/>
                    </w:rPr>
                    <w:t>生活污水处理系统</w:t>
                  </w:r>
                </w:p>
              </w:tc>
              <w:tc>
                <w:tcPr>
                  <w:tcW w:w="584" w:type="pct"/>
                  <w:tcBorders>
                    <w:bottom w:val="single" w:color="000000" w:sz="4" w:space="0"/>
                    <w:tl2br w:val="nil"/>
                    <w:tr2bl w:val="nil"/>
                  </w:tcBorders>
                  <w:noWrap w:val="0"/>
                  <w:vAlign w:val="center"/>
                </w:tcPr>
                <w:p w14:paraId="2C5BD35D">
                  <w:pPr>
                    <w:widowControl/>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val="en-US" w:eastAsia="zh-CN" w:bidi="ar"/>
                    </w:rPr>
                    <w:t>化粪池</w:t>
                  </w:r>
                </w:p>
              </w:tc>
              <w:tc>
                <w:tcPr>
                  <w:tcW w:w="457" w:type="pct"/>
                  <w:vMerge w:val="restart"/>
                  <w:tcBorders>
                    <w:tl2br w:val="nil"/>
                    <w:tr2bl w:val="nil"/>
                  </w:tcBorders>
                  <w:noWrap w:val="0"/>
                  <w:vAlign w:val="center"/>
                </w:tcPr>
                <w:p w14:paraId="676F0944">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pacing w:val="0"/>
                      <w:sz w:val="21"/>
                      <w:szCs w:val="21"/>
                      <w:u w:val="none" w:color="auto"/>
                      <w:lang w:val="en-US" w:eastAsia="zh-CN"/>
                    </w:rPr>
                  </w:pPr>
                  <w:r>
                    <w:rPr>
                      <w:rFonts w:hint="default" w:ascii="Times New Roman" w:hAnsi="Times New Roman" w:eastAsia="宋体" w:cs="Times New Roman"/>
                      <w:color w:val="auto"/>
                      <w:sz w:val="21"/>
                      <w:szCs w:val="21"/>
                      <w:u w:val="none" w:color="auto"/>
                    </w:rPr>
                    <w:t>DW00</w:t>
                  </w:r>
                  <w:r>
                    <w:rPr>
                      <w:rFonts w:hint="default" w:ascii="Times New Roman" w:hAnsi="Times New Roman" w:eastAsia="宋体" w:cs="Times New Roman"/>
                      <w:color w:val="auto"/>
                      <w:sz w:val="21"/>
                      <w:szCs w:val="21"/>
                      <w:u w:val="none" w:color="auto"/>
                      <w:lang w:val="en-US" w:eastAsia="zh-CN"/>
                    </w:rPr>
                    <w:t>1</w:t>
                  </w:r>
                </w:p>
              </w:tc>
              <w:tc>
                <w:tcPr>
                  <w:tcW w:w="426" w:type="pct"/>
                  <w:vMerge w:val="restart"/>
                  <w:tcBorders>
                    <w:tl2br w:val="nil"/>
                    <w:tr2bl w:val="nil"/>
                  </w:tcBorders>
                  <w:noWrap w:val="0"/>
                  <w:vAlign w:val="center"/>
                </w:tcPr>
                <w:p w14:paraId="70B32840">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rPr>
                    <w:t>是</w:t>
                  </w:r>
                </w:p>
                <w:p w14:paraId="5F5589D5">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pacing w:val="0"/>
                      <w:sz w:val="21"/>
                      <w:szCs w:val="21"/>
                      <w:u w:val="none" w:color="auto"/>
                      <w:lang w:val="en-US" w:eastAsia="zh-CN"/>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rPr>
                    <w:t>否</w:t>
                  </w:r>
                </w:p>
              </w:tc>
              <w:tc>
                <w:tcPr>
                  <w:tcW w:w="592" w:type="pct"/>
                  <w:vMerge w:val="restart"/>
                  <w:tcBorders>
                    <w:tl2br w:val="nil"/>
                    <w:tr2bl w:val="nil"/>
                  </w:tcBorders>
                  <w:noWrap w:val="0"/>
                  <w:vAlign w:val="center"/>
                </w:tcPr>
                <w:p w14:paraId="1EC505EF">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rPr>
                    <w:t>企业总排</w:t>
                  </w:r>
                </w:p>
                <w:p w14:paraId="39406E5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rPr>
                    <w:t>雨水排放</w:t>
                  </w:r>
                </w:p>
                <w:p w14:paraId="5C739CF7">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rPr>
                    <w:t>清净下水排放</w:t>
                  </w:r>
                </w:p>
                <w:p w14:paraId="2AC38C1F">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rPr>
                    <w:t>温排水排放</w:t>
                  </w:r>
                </w:p>
                <w:p w14:paraId="12152A81">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pacing w:val="0"/>
                      <w:sz w:val="21"/>
                      <w:szCs w:val="21"/>
                      <w:u w:val="none" w:color="auto"/>
                      <w:lang w:val="en-US" w:eastAsia="zh-CN"/>
                    </w:rPr>
                  </w:pPr>
                  <w:r>
                    <w:rPr>
                      <w:rFonts w:hint="default" w:ascii="Times New Roman" w:hAnsi="Times New Roman" w:eastAsia="宋体" w:cs="Times New Roman"/>
                      <w:color w:val="auto"/>
                      <w:sz w:val="21"/>
                      <w:szCs w:val="21"/>
                      <w:u w:val="none" w:color="auto"/>
                      <w:lang w:eastAsia="zh-CN"/>
                    </w:rPr>
                    <w:t>□</w:t>
                  </w:r>
                  <w:r>
                    <w:rPr>
                      <w:rFonts w:hint="default" w:ascii="Times New Roman" w:hAnsi="Times New Roman" w:eastAsia="宋体" w:cs="Times New Roman"/>
                      <w:color w:val="auto"/>
                      <w:sz w:val="21"/>
                      <w:szCs w:val="21"/>
                      <w:u w:val="none" w:color="auto"/>
                    </w:rPr>
                    <w:t>车间或车间处理设施排放口</w:t>
                  </w:r>
                </w:p>
              </w:tc>
            </w:tr>
            <w:tr w14:paraId="7B14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1" w:type="pct"/>
                  <w:tcBorders>
                    <w:tl2br w:val="nil"/>
                    <w:tr2bl w:val="nil"/>
                  </w:tcBorders>
                  <w:noWrap w:val="0"/>
                  <w:vAlign w:val="center"/>
                </w:tcPr>
                <w:p w14:paraId="7D712114">
                  <w:pPr>
                    <w:pStyle w:val="41"/>
                    <w:keepNext w:val="0"/>
                    <w:keepLines w:val="0"/>
                    <w:pageBreakBefore w:val="0"/>
                    <w:widowControl w:val="0"/>
                    <w:kinsoku/>
                    <w:wordWrap/>
                    <w:overflowPunct/>
                    <w:topLinePunct w:val="0"/>
                    <w:autoSpaceDE/>
                    <w:autoSpaceDN/>
                    <w:bidi w:val="0"/>
                    <w:adjustRightInd/>
                    <w:snapToGrid/>
                    <w:spacing w:beforeLines="0" w:afterLines="0" w:line="240" w:lineRule="auto"/>
                    <w:ind w:firstLine="0"/>
                    <w:jc w:val="center"/>
                    <w:textAlignment w:val="auto"/>
                    <w:rPr>
                      <w:rFonts w:hint="default" w:ascii="Times New Roman" w:hAnsi="Times New Roman" w:cs="Times New Roman"/>
                      <w:color w:val="auto"/>
                      <w:spacing w:val="0"/>
                      <w:sz w:val="21"/>
                      <w:szCs w:val="21"/>
                      <w:u w:val="none" w:color="auto"/>
                      <w:lang w:val="en-US" w:eastAsia="zh-CN"/>
                    </w:rPr>
                  </w:pPr>
                  <w:r>
                    <w:rPr>
                      <w:rFonts w:hint="default" w:ascii="Times New Roman" w:hAnsi="Times New Roman" w:cs="Times New Roman"/>
                      <w:color w:val="auto"/>
                      <w:spacing w:val="0"/>
                      <w:sz w:val="21"/>
                      <w:szCs w:val="21"/>
                      <w:u w:val="none" w:color="auto"/>
                      <w:lang w:val="en-US" w:eastAsia="zh-CN"/>
                    </w:rPr>
                    <w:t>2</w:t>
                  </w:r>
                </w:p>
              </w:tc>
              <w:tc>
                <w:tcPr>
                  <w:tcW w:w="435" w:type="pct"/>
                  <w:tcBorders>
                    <w:tl2br w:val="nil"/>
                    <w:tr2bl w:val="nil"/>
                  </w:tcBorders>
                  <w:noWrap w:val="0"/>
                  <w:vAlign w:val="center"/>
                </w:tcPr>
                <w:p w14:paraId="5BB11419">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生产过程排泥废水</w:t>
                  </w:r>
                </w:p>
              </w:tc>
              <w:tc>
                <w:tcPr>
                  <w:tcW w:w="516" w:type="pct"/>
                  <w:tcBorders>
                    <w:tl2br w:val="nil"/>
                    <w:tr2bl w:val="nil"/>
                  </w:tcBorders>
                  <w:noWrap w:val="0"/>
                  <w:vAlign w:val="center"/>
                </w:tcPr>
                <w:p w14:paraId="798C5231">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COD、NH3-N、TN、TP</w:t>
                  </w:r>
                  <w:r>
                    <w:rPr>
                      <w:rFonts w:hint="eastAsia" w:cs="Times New Roman"/>
                      <w:color w:val="auto"/>
                      <w:sz w:val="21"/>
                      <w:szCs w:val="21"/>
                      <w:u w:val="none" w:color="auto"/>
                      <w:lang w:val="en-US" w:eastAsia="zh-CN"/>
                    </w:rPr>
                    <w:t>、SS</w:t>
                  </w:r>
                  <w:r>
                    <w:rPr>
                      <w:rFonts w:hint="default" w:ascii="Times New Roman" w:hAnsi="Times New Roman" w:eastAsia="宋体" w:cs="Times New Roman"/>
                      <w:color w:val="auto"/>
                      <w:sz w:val="21"/>
                      <w:szCs w:val="21"/>
                      <w:u w:val="none" w:color="auto"/>
                      <w:lang w:val="en-US" w:eastAsia="zh-CN"/>
                    </w:rPr>
                    <w:t>等</w:t>
                  </w:r>
                </w:p>
              </w:tc>
              <w:tc>
                <w:tcPr>
                  <w:tcW w:w="432" w:type="pct"/>
                  <w:vMerge w:val="continue"/>
                  <w:tcBorders>
                    <w:tl2br w:val="nil"/>
                    <w:tr2bl w:val="nil"/>
                  </w:tcBorders>
                  <w:noWrap w:val="0"/>
                  <w:vAlign w:val="center"/>
                </w:tcPr>
                <w:p w14:paraId="6C463B24">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val="en-US" w:eastAsia="zh-CN"/>
                    </w:rPr>
                  </w:pPr>
                </w:p>
              </w:tc>
              <w:tc>
                <w:tcPr>
                  <w:tcW w:w="426" w:type="pct"/>
                  <w:vMerge w:val="continue"/>
                  <w:tcBorders>
                    <w:tl2br w:val="nil"/>
                    <w:tr2bl w:val="nil"/>
                  </w:tcBorders>
                  <w:noWrap w:val="0"/>
                  <w:vAlign w:val="center"/>
                </w:tcPr>
                <w:p w14:paraId="671AA145">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val="en-US" w:eastAsia="zh-CN"/>
                    </w:rPr>
                  </w:pPr>
                </w:p>
              </w:tc>
              <w:tc>
                <w:tcPr>
                  <w:tcW w:w="459" w:type="pct"/>
                  <w:tcBorders>
                    <w:tl2br w:val="nil"/>
                    <w:tr2bl w:val="nil"/>
                  </w:tcBorders>
                  <w:noWrap w:val="0"/>
                  <w:vAlign w:val="center"/>
                </w:tcPr>
                <w:p w14:paraId="6FF989A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TW001</w:t>
                  </w:r>
                </w:p>
              </w:tc>
              <w:tc>
                <w:tcPr>
                  <w:tcW w:w="417" w:type="pct"/>
                  <w:tcBorders>
                    <w:tl2br w:val="nil"/>
                    <w:tr2bl w:val="nil"/>
                  </w:tcBorders>
                  <w:noWrap w:val="0"/>
                  <w:vAlign w:val="center"/>
                </w:tcPr>
                <w:p w14:paraId="17C834D7">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cs="Times New Roman"/>
                      <w:color w:val="auto"/>
                      <w:sz w:val="21"/>
                      <w:szCs w:val="21"/>
                      <w:u w:val="none" w:color="auto"/>
                      <w:lang w:val="en-US" w:eastAsia="zh-CN"/>
                    </w:rPr>
                    <w:t>污水处理系统</w:t>
                  </w:r>
                </w:p>
              </w:tc>
              <w:tc>
                <w:tcPr>
                  <w:tcW w:w="584" w:type="pct"/>
                  <w:tcBorders>
                    <w:top w:val="single" w:color="000000" w:sz="4" w:space="0"/>
                    <w:tl2br w:val="nil"/>
                    <w:tr2bl w:val="nil"/>
                  </w:tcBorders>
                  <w:noWrap w:val="0"/>
                  <w:vAlign w:val="center"/>
                </w:tcPr>
                <w:p w14:paraId="3C0216FE">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cs="Times New Roman"/>
                      <w:color w:val="auto"/>
                      <w:sz w:val="21"/>
                      <w:szCs w:val="21"/>
                      <w:u w:val="none" w:color="auto"/>
                      <w:lang w:val="en-US" w:eastAsia="zh-CN"/>
                    </w:rPr>
                    <w:t>回收水池/排泥水池+污泥处理</w:t>
                  </w:r>
                  <w:r>
                    <w:rPr>
                      <w:rFonts w:hint="default" w:ascii="Times New Roman" w:hAnsi="Times New Roman" w:eastAsia="宋体" w:cs="Times New Roman"/>
                      <w:color w:val="auto"/>
                      <w:sz w:val="21"/>
                      <w:szCs w:val="21"/>
                      <w:u w:val="none" w:color="auto"/>
                      <w:lang w:val="en-US" w:eastAsia="zh-CN"/>
                    </w:rPr>
                    <w:t>系统</w:t>
                  </w:r>
                </w:p>
              </w:tc>
              <w:tc>
                <w:tcPr>
                  <w:tcW w:w="457" w:type="pct"/>
                  <w:vMerge w:val="continue"/>
                  <w:tcBorders>
                    <w:tl2br w:val="nil"/>
                    <w:tr2bl w:val="nil"/>
                  </w:tcBorders>
                  <w:noWrap w:val="0"/>
                  <w:vAlign w:val="center"/>
                </w:tcPr>
                <w:p w14:paraId="4372AABE">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rPr>
                  </w:pPr>
                </w:p>
              </w:tc>
              <w:tc>
                <w:tcPr>
                  <w:tcW w:w="426" w:type="pct"/>
                  <w:vMerge w:val="continue"/>
                  <w:tcBorders>
                    <w:tl2br w:val="nil"/>
                    <w:tr2bl w:val="nil"/>
                  </w:tcBorders>
                  <w:noWrap w:val="0"/>
                  <w:vAlign w:val="center"/>
                </w:tcPr>
                <w:p w14:paraId="78C89F78">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eastAsia="zh-CN"/>
                    </w:rPr>
                  </w:pPr>
                </w:p>
              </w:tc>
              <w:tc>
                <w:tcPr>
                  <w:tcW w:w="592" w:type="pct"/>
                  <w:vMerge w:val="continue"/>
                  <w:tcBorders>
                    <w:tl2br w:val="nil"/>
                    <w:tr2bl w:val="nil"/>
                  </w:tcBorders>
                  <w:noWrap w:val="0"/>
                  <w:vAlign w:val="center"/>
                </w:tcPr>
                <w:p w14:paraId="3D17ABC9">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u w:val="none" w:color="auto"/>
                      <w:lang w:eastAsia="zh-CN"/>
                    </w:rPr>
                  </w:pPr>
                </w:p>
              </w:tc>
            </w:tr>
          </w:tbl>
          <w:p w14:paraId="66691E8E">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表4-3  废水间接排放口基本情况一览表</w:t>
            </w:r>
          </w:p>
          <w:tbl>
            <w:tblPr>
              <w:tblStyle w:val="24"/>
              <w:tblW w:w="8054"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
              <w:gridCol w:w="649"/>
              <w:gridCol w:w="900"/>
              <w:gridCol w:w="917"/>
              <w:gridCol w:w="783"/>
              <w:gridCol w:w="734"/>
              <w:gridCol w:w="983"/>
              <w:gridCol w:w="467"/>
              <w:gridCol w:w="587"/>
              <w:gridCol w:w="674"/>
              <w:gridCol w:w="957"/>
            </w:tblGrid>
            <w:tr w14:paraId="5BE1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50" w:type="pct"/>
                  <w:vMerge w:val="restart"/>
                  <w:tcBorders>
                    <w:tl2br w:val="nil"/>
                    <w:tr2bl w:val="nil"/>
                  </w:tcBorders>
                  <w:noWrap w:val="0"/>
                  <w:vAlign w:val="center"/>
                </w:tcPr>
                <w:p w14:paraId="38CBB845">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序</w:t>
                  </w:r>
                </w:p>
                <w:p w14:paraId="0DA90A81">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号</w:t>
                  </w:r>
                </w:p>
              </w:tc>
              <w:tc>
                <w:tcPr>
                  <w:tcW w:w="402" w:type="pct"/>
                  <w:vMerge w:val="restart"/>
                  <w:tcBorders>
                    <w:tl2br w:val="nil"/>
                    <w:tr2bl w:val="nil"/>
                  </w:tcBorders>
                  <w:noWrap w:val="0"/>
                  <w:vAlign w:val="center"/>
                </w:tcPr>
                <w:p w14:paraId="19F4639B">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排放口编号</w:t>
                  </w:r>
                </w:p>
              </w:tc>
              <w:tc>
                <w:tcPr>
                  <w:tcW w:w="1128" w:type="pct"/>
                  <w:gridSpan w:val="2"/>
                  <w:tcBorders>
                    <w:tl2br w:val="nil"/>
                    <w:tr2bl w:val="nil"/>
                  </w:tcBorders>
                  <w:noWrap w:val="0"/>
                  <w:vAlign w:val="center"/>
                </w:tcPr>
                <w:p w14:paraId="389776AB">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排放口地理坐标</w:t>
                  </w:r>
                </w:p>
              </w:tc>
              <w:tc>
                <w:tcPr>
                  <w:tcW w:w="486" w:type="pct"/>
                  <w:vMerge w:val="restart"/>
                  <w:tcBorders>
                    <w:tl2br w:val="nil"/>
                    <w:tr2bl w:val="nil"/>
                  </w:tcBorders>
                  <w:noWrap w:val="0"/>
                  <w:vAlign w:val="center"/>
                </w:tcPr>
                <w:p w14:paraId="74F6CC47">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废水排放量</w:t>
                  </w:r>
                </w:p>
                <w:p w14:paraId="73A771B3">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/（万t/a）</w:t>
                  </w:r>
                </w:p>
              </w:tc>
              <w:tc>
                <w:tcPr>
                  <w:tcW w:w="455" w:type="pct"/>
                  <w:vMerge w:val="restart"/>
                  <w:tcBorders>
                    <w:tl2br w:val="nil"/>
                    <w:tr2bl w:val="nil"/>
                  </w:tcBorders>
                  <w:noWrap w:val="0"/>
                  <w:vAlign w:val="center"/>
                </w:tcPr>
                <w:p w14:paraId="19A9E6F2">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排放去向</w:t>
                  </w:r>
                </w:p>
              </w:tc>
              <w:tc>
                <w:tcPr>
                  <w:tcW w:w="610" w:type="pct"/>
                  <w:vMerge w:val="restart"/>
                  <w:tcBorders>
                    <w:tl2br w:val="nil"/>
                    <w:tr2bl w:val="nil"/>
                  </w:tcBorders>
                  <w:noWrap w:val="0"/>
                  <w:vAlign w:val="center"/>
                </w:tcPr>
                <w:p w14:paraId="432A22AB">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排放</w:t>
                  </w:r>
                </w:p>
                <w:p w14:paraId="64555B66">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规律</w:t>
                  </w:r>
                </w:p>
              </w:tc>
              <w:tc>
                <w:tcPr>
                  <w:tcW w:w="289" w:type="pct"/>
                  <w:vMerge w:val="restart"/>
                  <w:tcBorders>
                    <w:tl2br w:val="nil"/>
                    <w:tr2bl w:val="nil"/>
                  </w:tcBorders>
                  <w:noWrap w:val="0"/>
                  <w:vAlign w:val="center"/>
                </w:tcPr>
                <w:p w14:paraId="6CD86B19">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间歇排放时段</w:t>
                  </w:r>
                </w:p>
              </w:tc>
              <w:tc>
                <w:tcPr>
                  <w:tcW w:w="1376" w:type="pct"/>
                  <w:gridSpan w:val="3"/>
                  <w:tcBorders>
                    <w:tl2br w:val="nil"/>
                    <w:tr2bl w:val="nil"/>
                  </w:tcBorders>
                  <w:noWrap w:val="0"/>
                  <w:vAlign w:val="center"/>
                </w:tcPr>
                <w:p w14:paraId="00E881E0">
                  <w:pPr>
                    <w:topLinePunct w:val="0"/>
                    <w:bidi w:val="0"/>
                    <w:adjustRightInd/>
                    <w:snapToGrid/>
                    <w:spacing w:line="240" w:lineRule="exact"/>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受纳污水处理厂信息</w:t>
                  </w:r>
                </w:p>
              </w:tc>
            </w:tr>
            <w:tr w14:paraId="6450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50" w:type="pct"/>
                  <w:vMerge w:val="continue"/>
                  <w:tcBorders>
                    <w:tl2br w:val="nil"/>
                    <w:tr2bl w:val="nil"/>
                  </w:tcBorders>
                  <w:noWrap w:val="0"/>
                  <w:vAlign w:val="center"/>
                </w:tcPr>
                <w:p w14:paraId="0CBF9E55">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p>
              </w:tc>
              <w:tc>
                <w:tcPr>
                  <w:tcW w:w="402" w:type="pct"/>
                  <w:vMerge w:val="continue"/>
                  <w:tcBorders>
                    <w:tl2br w:val="nil"/>
                    <w:tr2bl w:val="nil"/>
                  </w:tcBorders>
                  <w:noWrap w:val="0"/>
                  <w:vAlign w:val="center"/>
                </w:tcPr>
                <w:p w14:paraId="00470CB2">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p>
              </w:tc>
              <w:tc>
                <w:tcPr>
                  <w:tcW w:w="558" w:type="pct"/>
                  <w:tcBorders>
                    <w:tl2br w:val="nil"/>
                    <w:tr2bl w:val="nil"/>
                  </w:tcBorders>
                  <w:noWrap w:val="0"/>
                  <w:vAlign w:val="center"/>
                </w:tcPr>
                <w:p w14:paraId="084EC881">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经度</w:t>
                  </w:r>
                </w:p>
              </w:tc>
              <w:tc>
                <w:tcPr>
                  <w:tcW w:w="569" w:type="pct"/>
                  <w:tcBorders>
                    <w:tl2br w:val="nil"/>
                    <w:tr2bl w:val="nil"/>
                  </w:tcBorders>
                  <w:noWrap w:val="0"/>
                  <w:vAlign w:val="center"/>
                </w:tcPr>
                <w:p w14:paraId="65015754">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纬度</w:t>
                  </w:r>
                </w:p>
              </w:tc>
              <w:tc>
                <w:tcPr>
                  <w:tcW w:w="486" w:type="pct"/>
                  <w:vMerge w:val="continue"/>
                  <w:tcBorders>
                    <w:tl2br w:val="nil"/>
                    <w:tr2bl w:val="nil"/>
                  </w:tcBorders>
                  <w:noWrap w:val="0"/>
                  <w:vAlign w:val="center"/>
                </w:tcPr>
                <w:p w14:paraId="71564371">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p>
              </w:tc>
              <w:tc>
                <w:tcPr>
                  <w:tcW w:w="455" w:type="pct"/>
                  <w:vMerge w:val="continue"/>
                  <w:tcBorders>
                    <w:tl2br w:val="nil"/>
                    <w:tr2bl w:val="nil"/>
                  </w:tcBorders>
                  <w:noWrap w:val="0"/>
                  <w:vAlign w:val="center"/>
                </w:tcPr>
                <w:p w14:paraId="089B4AEB">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p>
              </w:tc>
              <w:tc>
                <w:tcPr>
                  <w:tcW w:w="610" w:type="pct"/>
                  <w:vMerge w:val="continue"/>
                  <w:tcBorders>
                    <w:tl2br w:val="nil"/>
                    <w:tr2bl w:val="nil"/>
                  </w:tcBorders>
                  <w:noWrap w:val="0"/>
                  <w:vAlign w:val="center"/>
                </w:tcPr>
                <w:p w14:paraId="37CE16D2">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p>
              </w:tc>
              <w:tc>
                <w:tcPr>
                  <w:tcW w:w="289" w:type="pct"/>
                  <w:vMerge w:val="continue"/>
                  <w:tcBorders>
                    <w:tl2br w:val="nil"/>
                    <w:tr2bl w:val="nil"/>
                  </w:tcBorders>
                  <w:noWrap w:val="0"/>
                  <w:vAlign w:val="center"/>
                </w:tcPr>
                <w:p w14:paraId="74FD38DD">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p>
              </w:tc>
              <w:tc>
                <w:tcPr>
                  <w:tcW w:w="364" w:type="pct"/>
                  <w:tcBorders>
                    <w:tl2br w:val="nil"/>
                    <w:tr2bl w:val="nil"/>
                  </w:tcBorders>
                  <w:noWrap w:val="0"/>
                  <w:vAlign w:val="center"/>
                </w:tcPr>
                <w:p w14:paraId="73819899">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名称</w:t>
                  </w:r>
                </w:p>
              </w:tc>
              <w:tc>
                <w:tcPr>
                  <w:tcW w:w="418" w:type="pct"/>
                  <w:tcBorders>
                    <w:tl2br w:val="nil"/>
                    <w:tr2bl w:val="nil"/>
                  </w:tcBorders>
                  <w:noWrap w:val="0"/>
                  <w:vAlign w:val="center"/>
                </w:tcPr>
                <w:p w14:paraId="2169F932">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污染物</w:t>
                  </w:r>
                </w:p>
                <w:p w14:paraId="242E622F">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种类</w:t>
                  </w:r>
                </w:p>
              </w:tc>
              <w:tc>
                <w:tcPr>
                  <w:tcW w:w="594" w:type="pct"/>
                  <w:tcBorders>
                    <w:tl2br w:val="nil"/>
                    <w:tr2bl w:val="nil"/>
                  </w:tcBorders>
                  <w:noWrap w:val="0"/>
                  <w:vAlign w:val="center"/>
                </w:tcPr>
                <w:p w14:paraId="4EF29101">
                  <w:pPr>
                    <w:topLinePunct w:val="0"/>
                    <w:bidi w:val="0"/>
                    <w:adjustRightInd/>
                    <w:snapToGrid/>
                    <w:jc w:val="center"/>
                    <w:rPr>
                      <w:rFonts w:hint="default" w:ascii="Times New Roman" w:hAnsi="Times New Roman" w:eastAsia="宋体" w:cs="Times New Roman"/>
                      <w:b w:val="0"/>
                      <w:bCs w:val="0"/>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国家或地方污染物排放标准浓度限值</w:t>
                  </w:r>
                </w:p>
              </w:tc>
            </w:tr>
            <w:tr w14:paraId="0BDB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0" w:type="pct"/>
                  <w:vMerge w:val="restart"/>
                  <w:tcBorders>
                    <w:tl2br w:val="nil"/>
                    <w:tr2bl w:val="nil"/>
                  </w:tcBorders>
                  <w:noWrap w:val="0"/>
                  <w:vAlign w:val="center"/>
                </w:tcPr>
                <w:p w14:paraId="45D8BD3C">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1</w:t>
                  </w:r>
                </w:p>
              </w:tc>
              <w:tc>
                <w:tcPr>
                  <w:tcW w:w="402" w:type="pct"/>
                  <w:vMerge w:val="restart"/>
                  <w:tcBorders>
                    <w:tl2br w:val="nil"/>
                    <w:tr2bl w:val="nil"/>
                  </w:tcBorders>
                  <w:noWrap w:val="0"/>
                  <w:vAlign w:val="center"/>
                </w:tcPr>
                <w:p w14:paraId="0AEC40D1">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highlight w:val="none"/>
                      <w:u w:val="none" w:color="auto"/>
                      <w:lang w:val="en-US" w:eastAsia="zh-CN"/>
                    </w:rPr>
                    <w:t>DW00</w:t>
                  </w:r>
                  <w:r>
                    <w:rPr>
                      <w:rFonts w:hint="default" w:ascii="Times New Roman" w:hAnsi="Times New Roman" w:eastAsia="宋体" w:cs="Times New Roman"/>
                      <w:color w:val="auto"/>
                      <w:highlight w:val="none"/>
                      <w:u w:val="none" w:color="auto"/>
                    </w:rPr>
                    <w:t>1</w:t>
                  </w:r>
                </w:p>
              </w:tc>
              <w:tc>
                <w:tcPr>
                  <w:tcW w:w="558" w:type="pct"/>
                  <w:vMerge w:val="restart"/>
                  <w:tcBorders>
                    <w:tl2br w:val="nil"/>
                    <w:tr2bl w:val="nil"/>
                  </w:tcBorders>
                  <w:noWrap w:val="0"/>
                  <w:vAlign w:val="center"/>
                </w:tcPr>
                <w:p w14:paraId="6F33D942">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highlight w:val="none"/>
                      <w:u w:val="none" w:color="auto"/>
                    </w:rPr>
                    <w:t>113°5'25.932”</w:t>
                  </w:r>
                </w:p>
              </w:tc>
              <w:tc>
                <w:tcPr>
                  <w:tcW w:w="569" w:type="pct"/>
                  <w:vMerge w:val="restart"/>
                  <w:tcBorders>
                    <w:tl2br w:val="nil"/>
                    <w:tr2bl w:val="nil"/>
                  </w:tcBorders>
                  <w:noWrap w:val="0"/>
                  <w:vAlign w:val="center"/>
                </w:tcPr>
                <w:p w14:paraId="22B12F2E">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highlight w:val="none"/>
                      <w:u w:val="none" w:color="auto"/>
                    </w:rPr>
                    <w:t>29°23'25.433"</w:t>
                  </w:r>
                </w:p>
              </w:tc>
              <w:tc>
                <w:tcPr>
                  <w:tcW w:w="486" w:type="pct"/>
                  <w:vMerge w:val="restart"/>
                  <w:tcBorders>
                    <w:tl2br w:val="nil"/>
                    <w:tr2bl w:val="nil"/>
                  </w:tcBorders>
                  <w:noWrap w:val="0"/>
                  <w:vAlign w:val="center"/>
                </w:tcPr>
                <w:p w14:paraId="3F21CCC4">
                  <w:pPr>
                    <w:topLinePunct w:val="0"/>
                    <w:bidi w:val="0"/>
                    <w:adjustRightInd/>
                    <w:snapToGrid/>
                    <w:jc w:val="center"/>
                    <w:rPr>
                      <w:rFonts w:hint="default" w:ascii="Times New Roman" w:hAnsi="Times New Roman" w:eastAsia="宋体" w:cs="Times New Roman"/>
                      <w:color w:val="auto"/>
                      <w:szCs w:val="21"/>
                      <w:highlight w:val="none"/>
                      <w:u w:val="none" w:color="auto"/>
                      <w:lang w:val="en-US" w:eastAsia="zh-CN"/>
                    </w:rPr>
                  </w:pPr>
                  <w:r>
                    <w:rPr>
                      <w:rFonts w:hint="eastAsia" w:cs="Times New Roman"/>
                      <w:color w:val="auto"/>
                      <w:szCs w:val="21"/>
                      <w:highlight w:val="red"/>
                      <w:u w:val="none" w:color="auto"/>
                      <w:lang w:val="en-US" w:eastAsia="zh-CN"/>
                    </w:rPr>
                    <w:t>16.6714</w:t>
                  </w:r>
                </w:p>
              </w:tc>
              <w:tc>
                <w:tcPr>
                  <w:tcW w:w="455" w:type="pct"/>
                  <w:vMerge w:val="restart"/>
                  <w:tcBorders>
                    <w:tl2br w:val="nil"/>
                    <w:tr2bl w:val="nil"/>
                  </w:tcBorders>
                  <w:noWrap w:val="0"/>
                  <w:vAlign w:val="center"/>
                </w:tcPr>
                <w:p w14:paraId="2BF4B93A">
                  <w:pPr>
                    <w:pStyle w:val="46"/>
                    <w:topLinePunct w:val="0"/>
                    <w:bidi w:val="0"/>
                    <w:adjustRightInd/>
                    <w:snapToGrid/>
                    <w:rPr>
                      <w:rFonts w:hint="default" w:ascii="Times New Roman" w:hAnsi="Times New Roman" w:eastAsia="宋体" w:cs="Times New Roman"/>
                      <w:color w:val="auto"/>
                      <w:szCs w:val="21"/>
                      <w:highlight w:val="none"/>
                      <w:u w:val="none" w:color="auto"/>
                    </w:rPr>
                  </w:pPr>
                  <w:r>
                    <w:rPr>
                      <w:rFonts w:hint="eastAsia" w:cs="Times New Roman"/>
                      <w:color w:val="auto"/>
                      <w:szCs w:val="21"/>
                      <w:highlight w:val="none"/>
                      <w:u w:val="none" w:color="auto"/>
                      <w:lang w:val="en-US" w:eastAsia="zh-CN"/>
                    </w:rPr>
                    <w:t>城市污水</w:t>
                  </w:r>
                  <w:r>
                    <w:rPr>
                      <w:rFonts w:hint="default" w:ascii="Times New Roman" w:hAnsi="Times New Roman" w:eastAsia="宋体" w:cs="Times New Roman"/>
                      <w:color w:val="auto"/>
                      <w:szCs w:val="21"/>
                      <w:highlight w:val="none"/>
                      <w:u w:val="none" w:color="auto"/>
                    </w:rPr>
                    <w:t>处理厂</w:t>
                  </w:r>
                </w:p>
              </w:tc>
              <w:tc>
                <w:tcPr>
                  <w:tcW w:w="610" w:type="pct"/>
                  <w:vMerge w:val="restart"/>
                  <w:tcBorders>
                    <w:tl2br w:val="nil"/>
                    <w:tr2bl w:val="nil"/>
                  </w:tcBorders>
                  <w:noWrap w:val="0"/>
                  <w:vAlign w:val="center"/>
                </w:tcPr>
                <w:p w14:paraId="54BEE676">
                  <w:pPr>
                    <w:pStyle w:val="46"/>
                    <w:topLinePunct w:val="0"/>
                    <w:bidi w:val="0"/>
                    <w:adjustRightInd/>
                    <w:snapToGrid/>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间断排放</w:t>
                  </w:r>
                  <w:r>
                    <w:rPr>
                      <w:rFonts w:hint="default" w:ascii="Times New Roman" w:hAnsi="Times New Roman" w:eastAsia="宋体" w:cs="Times New Roman"/>
                      <w:color w:val="auto"/>
                      <w:szCs w:val="21"/>
                      <w:highlight w:val="none"/>
                      <w:u w:val="none" w:color="auto"/>
                      <w:lang w:eastAsia="zh-CN"/>
                    </w:rPr>
                    <w:t>，</w:t>
                  </w:r>
                  <w:r>
                    <w:rPr>
                      <w:rFonts w:hint="default" w:ascii="Times New Roman" w:hAnsi="Times New Roman" w:eastAsia="宋体" w:cs="Times New Roman"/>
                      <w:color w:val="auto"/>
                      <w:szCs w:val="21"/>
                      <w:highlight w:val="none"/>
                      <w:u w:val="none" w:color="auto"/>
                    </w:rPr>
                    <w:t>排放期间流量不稳定</w:t>
                  </w:r>
                  <w:r>
                    <w:rPr>
                      <w:rFonts w:hint="default" w:ascii="Times New Roman" w:hAnsi="Times New Roman" w:eastAsia="宋体" w:cs="Times New Roman"/>
                      <w:color w:val="auto"/>
                      <w:szCs w:val="21"/>
                      <w:highlight w:val="none"/>
                      <w:u w:val="none" w:color="auto"/>
                      <w:lang w:eastAsia="zh-CN"/>
                    </w:rPr>
                    <w:t>，</w:t>
                  </w:r>
                  <w:r>
                    <w:rPr>
                      <w:rFonts w:hint="default" w:ascii="Times New Roman" w:hAnsi="Times New Roman" w:eastAsia="宋体" w:cs="Times New Roman"/>
                      <w:color w:val="auto"/>
                      <w:szCs w:val="21"/>
                      <w:highlight w:val="none"/>
                      <w:u w:val="none" w:color="auto"/>
                    </w:rPr>
                    <w:t>不属于冲击型排放</w:t>
                  </w:r>
                </w:p>
              </w:tc>
              <w:tc>
                <w:tcPr>
                  <w:tcW w:w="289" w:type="pct"/>
                  <w:vMerge w:val="restart"/>
                  <w:tcBorders>
                    <w:tl2br w:val="nil"/>
                    <w:tr2bl w:val="nil"/>
                  </w:tcBorders>
                  <w:noWrap w:val="0"/>
                  <w:vAlign w:val="center"/>
                </w:tcPr>
                <w:p w14:paraId="05490BF7">
                  <w:pPr>
                    <w:pStyle w:val="46"/>
                    <w:topLinePunct w:val="0"/>
                    <w:bidi w:val="0"/>
                    <w:adjustRightInd/>
                    <w:snapToGrid/>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eastAsia="宋体" w:cs="Times New Roman"/>
                      <w:color w:val="auto"/>
                      <w:szCs w:val="21"/>
                      <w:highlight w:val="none"/>
                      <w:u w:val="none" w:color="auto"/>
                      <w:lang w:val="en-US" w:eastAsia="zh-CN"/>
                    </w:rPr>
                    <w:t>有废水排放时</w:t>
                  </w:r>
                </w:p>
              </w:tc>
              <w:tc>
                <w:tcPr>
                  <w:tcW w:w="364" w:type="pct"/>
                  <w:vMerge w:val="restart"/>
                  <w:tcBorders>
                    <w:tl2br w:val="nil"/>
                    <w:tr2bl w:val="nil"/>
                  </w:tcBorders>
                  <w:noWrap w:val="0"/>
                  <w:vAlign w:val="center"/>
                </w:tcPr>
                <w:p w14:paraId="236C3BFE">
                  <w:pPr>
                    <w:pStyle w:val="46"/>
                    <w:topLinePunct w:val="0"/>
                    <w:bidi w:val="0"/>
                    <w:adjustRightInd/>
                    <w:snapToGrid/>
                    <w:rPr>
                      <w:rFonts w:hint="default" w:ascii="Times New Roman" w:hAnsi="Times New Roman" w:eastAsia="宋体" w:cs="Times New Roman"/>
                      <w:color w:val="auto"/>
                      <w:szCs w:val="21"/>
                      <w:highlight w:val="none"/>
                      <w:u w:val="none" w:color="auto"/>
                    </w:rPr>
                  </w:pPr>
                  <w:r>
                    <w:rPr>
                      <w:rFonts w:hint="eastAsia" w:ascii="Times New Roman" w:hAnsi="Times New Roman" w:eastAsia="宋体" w:cs="Times New Roman"/>
                      <w:color w:val="auto"/>
                      <w:szCs w:val="21"/>
                      <w:highlight w:val="none"/>
                      <w:u w:val="none" w:color="auto"/>
                      <w:lang w:val="en-US" w:eastAsia="zh-CN"/>
                    </w:rPr>
                    <w:t>岳阳马壕</w:t>
                  </w:r>
                  <w:r>
                    <w:rPr>
                      <w:rFonts w:hint="default" w:ascii="Times New Roman" w:hAnsi="Times New Roman" w:eastAsia="宋体" w:cs="Times New Roman"/>
                      <w:color w:val="auto"/>
                      <w:szCs w:val="21"/>
                      <w:highlight w:val="none"/>
                      <w:u w:val="none" w:color="auto"/>
                      <w:lang w:val="en-US" w:eastAsia="zh-CN"/>
                    </w:rPr>
                    <w:t>水质净化中心</w:t>
                  </w:r>
                </w:p>
              </w:tc>
              <w:tc>
                <w:tcPr>
                  <w:tcW w:w="418" w:type="pct"/>
                  <w:tcBorders>
                    <w:tl2br w:val="nil"/>
                    <w:tr2bl w:val="nil"/>
                  </w:tcBorders>
                  <w:noWrap w:val="0"/>
                  <w:vAlign w:val="center"/>
                </w:tcPr>
                <w:p w14:paraId="6BA74888">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pH</w:t>
                  </w:r>
                </w:p>
              </w:tc>
              <w:tc>
                <w:tcPr>
                  <w:tcW w:w="594" w:type="pct"/>
                  <w:tcBorders>
                    <w:tl2br w:val="nil"/>
                    <w:tr2bl w:val="nil"/>
                  </w:tcBorders>
                  <w:noWrap w:val="0"/>
                  <w:vAlign w:val="center"/>
                </w:tcPr>
                <w:p w14:paraId="468D749E">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6~9（无量纲）</w:t>
                  </w:r>
                </w:p>
              </w:tc>
            </w:tr>
            <w:tr w14:paraId="158B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0" w:type="pct"/>
                  <w:vMerge w:val="continue"/>
                  <w:tcBorders>
                    <w:tl2br w:val="nil"/>
                    <w:tr2bl w:val="nil"/>
                  </w:tcBorders>
                  <w:noWrap w:val="0"/>
                  <w:vAlign w:val="center"/>
                </w:tcPr>
                <w:p w14:paraId="0494E0A4">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02" w:type="pct"/>
                  <w:vMerge w:val="continue"/>
                  <w:tcBorders>
                    <w:tl2br w:val="nil"/>
                    <w:tr2bl w:val="nil"/>
                  </w:tcBorders>
                  <w:noWrap w:val="0"/>
                  <w:vAlign w:val="center"/>
                </w:tcPr>
                <w:p w14:paraId="3888183E">
                  <w:pPr>
                    <w:topLinePunct w:val="0"/>
                    <w:bidi w:val="0"/>
                    <w:adjustRightInd/>
                    <w:snapToGrid/>
                    <w:jc w:val="center"/>
                    <w:rPr>
                      <w:rFonts w:hint="default" w:ascii="Times New Roman" w:hAnsi="Times New Roman" w:eastAsia="宋体" w:cs="Times New Roman"/>
                      <w:color w:val="auto"/>
                      <w:highlight w:val="none"/>
                      <w:u w:val="none" w:color="auto"/>
                    </w:rPr>
                  </w:pPr>
                </w:p>
              </w:tc>
              <w:tc>
                <w:tcPr>
                  <w:tcW w:w="558" w:type="pct"/>
                  <w:vMerge w:val="continue"/>
                  <w:tcBorders>
                    <w:tl2br w:val="nil"/>
                    <w:tr2bl w:val="nil"/>
                  </w:tcBorders>
                  <w:noWrap w:val="0"/>
                  <w:vAlign w:val="center"/>
                </w:tcPr>
                <w:p w14:paraId="3FC93B1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569" w:type="pct"/>
                  <w:vMerge w:val="continue"/>
                  <w:tcBorders>
                    <w:tl2br w:val="nil"/>
                    <w:tr2bl w:val="nil"/>
                  </w:tcBorders>
                  <w:noWrap w:val="0"/>
                  <w:vAlign w:val="center"/>
                </w:tcPr>
                <w:p w14:paraId="0C6546BC">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86" w:type="pct"/>
                  <w:vMerge w:val="continue"/>
                  <w:tcBorders>
                    <w:tl2br w:val="nil"/>
                    <w:tr2bl w:val="nil"/>
                  </w:tcBorders>
                  <w:noWrap w:val="0"/>
                  <w:vAlign w:val="center"/>
                </w:tcPr>
                <w:p w14:paraId="74C29E8F">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55" w:type="pct"/>
                  <w:vMerge w:val="continue"/>
                  <w:tcBorders>
                    <w:tl2br w:val="nil"/>
                    <w:tr2bl w:val="nil"/>
                  </w:tcBorders>
                  <w:noWrap w:val="0"/>
                  <w:vAlign w:val="center"/>
                </w:tcPr>
                <w:p w14:paraId="40D95DF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610" w:type="pct"/>
                  <w:vMerge w:val="continue"/>
                  <w:tcBorders>
                    <w:tl2br w:val="nil"/>
                    <w:tr2bl w:val="nil"/>
                  </w:tcBorders>
                  <w:noWrap w:val="0"/>
                  <w:vAlign w:val="center"/>
                </w:tcPr>
                <w:p w14:paraId="35394B3E">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289" w:type="pct"/>
                  <w:vMerge w:val="continue"/>
                  <w:tcBorders>
                    <w:tl2br w:val="nil"/>
                    <w:tr2bl w:val="nil"/>
                  </w:tcBorders>
                  <w:noWrap w:val="0"/>
                  <w:vAlign w:val="center"/>
                </w:tcPr>
                <w:p w14:paraId="0E6528A3">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364" w:type="pct"/>
                  <w:vMerge w:val="continue"/>
                  <w:tcBorders>
                    <w:tl2br w:val="nil"/>
                    <w:tr2bl w:val="nil"/>
                  </w:tcBorders>
                  <w:noWrap w:val="0"/>
                  <w:vAlign w:val="center"/>
                </w:tcPr>
                <w:p w14:paraId="7368FC6B">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18" w:type="pct"/>
                  <w:tcBorders>
                    <w:tl2br w:val="nil"/>
                    <w:tr2bl w:val="nil"/>
                  </w:tcBorders>
                  <w:noWrap w:val="0"/>
                  <w:vAlign w:val="center"/>
                </w:tcPr>
                <w:p w14:paraId="40D7891B">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COD</w:t>
                  </w:r>
                </w:p>
              </w:tc>
              <w:tc>
                <w:tcPr>
                  <w:tcW w:w="594" w:type="pct"/>
                  <w:tcBorders>
                    <w:tl2br w:val="nil"/>
                    <w:tr2bl w:val="nil"/>
                  </w:tcBorders>
                  <w:noWrap w:val="0"/>
                  <w:vAlign w:val="center"/>
                </w:tcPr>
                <w:p w14:paraId="4146D2FD">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50mg/L</w:t>
                  </w:r>
                </w:p>
              </w:tc>
            </w:tr>
            <w:tr w14:paraId="66E2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0" w:type="pct"/>
                  <w:vMerge w:val="continue"/>
                  <w:tcBorders>
                    <w:tl2br w:val="nil"/>
                    <w:tr2bl w:val="nil"/>
                  </w:tcBorders>
                  <w:noWrap w:val="0"/>
                  <w:vAlign w:val="center"/>
                </w:tcPr>
                <w:p w14:paraId="5503C30A">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02" w:type="pct"/>
                  <w:vMerge w:val="continue"/>
                  <w:tcBorders>
                    <w:tl2br w:val="nil"/>
                    <w:tr2bl w:val="nil"/>
                  </w:tcBorders>
                  <w:noWrap w:val="0"/>
                  <w:vAlign w:val="center"/>
                </w:tcPr>
                <w:p w14:paraId="7AFD6EDC">
                  <w:pPr>
                    <w:topLinePunct w:val="0"/>
                    <w:bidi w:val="0"/>
                    <w:adjustRightInd/>
                    <w:snapToGrid/>
                    <w:jc w:val="center"/>
                    <w:rPr>
                      <w:rFonts w:hint="default" w:ascii="Times New Roman" w:hAnsi="Times New Roman" w:eastAsia="宋体" w:cs="Times New Roman"/>
                      <w:color w:val="auto"/>
                      <w:highlight w:val="none"/>
                      <w:u w:val="none" w:color="auto"/>
                    </w:rPr>
                  </w:pPr>
                </w:p>
              </w:tc>
              <w:tc>
                <w:tcPr>
                  <w:tcW w:w="558" w:type="pct"/>
                  <w:vMerge w:val="continue"/>
                  <w:tcBorders>
                    <w:tl2br w:val="nil"/>
                    <w:tr2bl w:val="nil"/>
                  </w:tcBorders>
                  <w:noWrap w:val="0"/>
                  <w:vAlign w:val="center"/>
                </w:tcPr>
                <w:p w14:paraId="67FA08D5">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569" w:type="pct"/>
                  <w:vMerge w:val="continue"/>
                  <w:tcBorders>
                    <w:tl2br w:val="nil"/>
                    <w:tr2bl w:val="nil"/>
                  </w:tcBorders>
                  <w:noWrap w:val="0"/>
                  <w:vAlign w:val="center"/>
                </w:tcPr>
                <w:p w14:paraId="07663CB0">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86" w:type="pct"/>
                  <w:vMerge w:val="continue"/>
                  <w:tcBorders>
                    <w:tl2br w:val="nil"/>
                    <w:tr2bl w:val="nil"/>
                  </w:tcBorders>
                  <w:noWrap w:val="0"/>
                  <w:vAlign w:val="center"/>
                </w:tcPr>
                <w:p w14:paraId="4A35D5DD">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55" w:type="pct"/>
                  <w:vMerge w:val="continue"/>
                  <w:tcBorders>
                    <w:tl2br w:val="nil"/>
                    <w:tr2bl w:val="nil"/>
                  </w:tcBorders>
                  <w:noWrap w:val="0"/>
                  <w:vAlign w:val="center"/>
                </w:tcPr>
                <w:p w14:paraId="34C4927E">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610" w:type="pct"/>
                  <w:vMerge w:val="continue"/>
                  <w:tcBorders>
                    <w:tl2br w:val="nil"/>
                    <w:tr2bl w:val="nil"/>
                  </w:tcBorders>
                  <w:noWrap w:val="0"/>
                  <w:vAlign w:val="center"/>
                </w:tcPr>
                <w:p w14:paraId="376738AD">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289" w:type="pct"/>
                  <w:vMerge w:val="continue"/>
                  <w:tcBorders>
                    <w:tl2br w:val="nil"/>
                    <w:tr2bl w:val="nil"/>
                  </w:tcBorders>
                  <w:noWrap w:val="0"/>
                  <w:vAlign w:val="center"/>
                </w:tcPr>
                <w:p w14:paraId="4FFCFE51">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364" w:type="pct"/>
                  <w:vMerge w:val="continue"/>
                  <w:tcBorders>
                    <w:tl2br w:val="nil"/>
                    <w:tr2bl w:val="nil"/>
                  </w:tcBorders>
                  <w:noWrap w:val="0"/>
                  <w:vAlign w:val="center"/>
                </w:tcPr>
                <w:p w14:paraId="6092BF68">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18" w:type="pct"/>
                  <w:tcBorders>
                    <w:tl2br w:val="nil"/>
                    <w:tr2bl w:val="nil"/>
                  </w:tcBorders>
                  <w:noWrap w:val="0"/>
                  <w:vAlign w:val="center"/>
                </w:tcPr>
                <w:p w14:paraId="652FE959">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BOD</w:t>
                  </w:r>
                  <w:r>
                    <w:rPr>
                      <w:rFonts w:hint="default" w:ascii="Times New Roman" w:hAnsi="Times New Roman" w:eastAsia="宋体" w:cs="Times New Roman"/>
                      <w:color w:val="auto"/>
                      <w:szCs w:val="21"/>
                      <w:highlight w:val="none"/>
                      <w:u w:val="none" w:color="auto"/>
                      <w:vertAlign w:val="subscript"/>
                    </w:rPr>
                    <w:t>5</w:t>
                  </w:r>
                </w:p>
              </w:tc>
              <w:tc>
                <w:tcPr>
                  <w:tcW w:w="594" w:type="pct"/>
                  <w:tcBorders>
                    <w:tl2br w:val="nil"/>
                    <w:tr2bl w:val="nil"/>
                  </w:tcBorders>
                  <w:noWrap w:val="0"/>
                  <w:vAlign w:val="center"/>
                </w:tcPr>
                <w:p w14:paraId="0B340561">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10mg/L</w:t>
                  </w:r>
                </w:p>
              </w:tc>
            </w:tr>
            <w:tr w14:paraId="0897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250" w:type="pct"/>
                  <w:vMerge w:val="continue"/>
                  <w:tcBorders>
                    <w:tl2br w:val="nil"/>
                    <w:tr2bl w:val="nil"/>
                  </w:tcBorders>
                  <w:noWrap w:val="0"/>
                  <w:vAlign w:val="center"/>
                </w:tcPr>
                <w:p w14:paraId="5710D88B">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02" w:type="pct"/>
                  <w:vMerge w:val="continue"/>
                  <w:tcBorders>
                    <w:tl2br w:val="nil"/>
                    <w:tr2bl w:val="nil"/>
                  </w:tcBorders>
                  <w:noWrap w:val="0"/>
                  <w:vAlign w:val="center"/>
                </w:tcPr>
                <w:p w14:paraId="4DADA1FF">
                  <w:pPr>
                    <w:topLinePunct w:val="0"/>
                    <w:bidi w:val="0"/>
                    <w:adjustRightInd/>
                    <w:snapToGrid/>
                    <w:jc w:val="center"/>
                    <w:rPr>
                      <w:rFonts w:hint="default" w:ascii="Times New Roman" w:hAnsi="Times New Roman" w:eastAsia="宋体" w:cs="Times New Roman"/>
                      <w:color w:val="auto"/>
                      <w:highlight w:val="none"/>
                      <w:u w:val="none" w:color="auto"/>
                    </w:rPr>
                  </w:pPr>
                </w:p>
              </w:tc>
              <w:tc>
                <w:tcPr>
                  <w:tcW w:w="558" w:type="pct"/>
                  <w:vMerge w:val="continue"/>
                  <w:tcBorders>
                    <w:tl2br w:val="nil"/>
                    <w:tr2bl w:val="nil"/>
                  </w:tcBorders>
                  <w:noWrap w:val="0"/>
                  <w:vAlign w:val="center"/>
                </w:tcPr>
                <w:p w14:paraId="50BCF5F8">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569" w:type="pct"/>
                  <w:vMerge w:val="continue"/>
                  <w:tcBorders>
                    <w:tl2br w:val="nil"/>
                    <w:tr2bl w:val="nil"/>
                  </w:tcBorders>
                  <w:noWrap w:val="0"/>
                  <w:vAlign w:val="center"/>
                </w:tcPr>
                <w:p w14:paraId="7A3A6918">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86" w:type="pct"/>
                  <w:vMerge w:val="continue"/>
                  <w:tcBorders>
                    <w:tl2br w:val="nil"/>
                    <w:tr2bl w:val="nil"/>
                  </w:tcBorders>
                  <w:noWrap w:val="0"/>
                  <w:vAlign w:val="center"/>
                </w:tcPr>
                <w:p w14:paraId="169ACA03">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55" w:type="pct"/>
                  <w:vMerge w:val="continue"/>
                  <w:tcBorders>
                    <w:tl2br w:val="nil"/>
                    <w:tr2bl w:val="nil"/>
                  </w:tcBorders>
                  <w:noWrap w:val="0"/>
                  <w:vAlign w:val="center"/>
                </w:tcPr>
                <w:p w14:paraId="13222769">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610" w:type="pct"/>
                  <w:vMerge w:val="continue"/>
                  <w:tcBorders>
                    <w:tl2br w:val="nil"/>
                    <w:tr2bl w:val="nil"/>
                  </w:tcBorders>
                  <w:noWrap w:val="0"/>
                  <w:vAlign w:val="center"/>
                </w:tcPr>
                <w:p w14:paraId="52A296C2">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289" w:type="pct"/>
                  <w:vMerge w:val="continue"/>
                  <w:tcBorders>
                    <w:tl2br w:val="nil"/>
                    <w:tr2bl w:val="nil"/>
                  </w:tcBorders>
                  <w:noWrap w:val="0"/>
                  <w:vAlign w:val="center"/>
                </w:tcPr>
                <w:p w14:paraId="5FE7644D">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364" w:type="pct"/>
                  <w:vMerge w:val="continue"/>
                  <w:tcBorders>
                    <w:tl2br w:val="nil"/>
                    <w:tr2bl w:val="nil"/>
                  </w:tcBorders>
                  <w:noWrap w:val="0"/>
                  <w:vAlign w:val="center"/>
                </w:tcPr>
                <w:p w14:paraId="02177DA9">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18" w:type="pct"/>
                  <w:tcBorders>
                    <w:tl2br w:val="nil"/>
                    <w:tr2bl w:val="nil"/>
                  </w:tcBorders>
                  <w:noWrap w:val="0"/>
                  <w:vAlign w:val="center"/>
                </w:tcPr>
                <w:p w14:paraId="4541BFA3">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SS</w:t>
                  </w:r>
                </w:p>
              </w:tc>
              <w:tc>
                <w:tcPr>
                  <w:tcW w:w="594" w:type="pct"/>
                  <w:tcBorders>
                    <w:tl2br w:val="nil"/>
                    <w:tr2bl w:val="nil"/>
                  </w:tcBorders>
                  <w:noWrap w:val="0"/>
                  <w:vAlign w:val="center"/>
                </w:tcPr>
                <w:p w14:paraId="051D1DD8">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10mg/L</w:t>
                  </w:r>
                </w:p>
              </w:tc>
            </w:tr>
            <w:tr w14:paraId="1DEB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0" w:type="pct"/>
                  <w:vMerge w:val="continue"/>
                  <w:tcBorders>
                    <w:tl2br w:val="nil"/>
                    <w:tr2bl w:val="nil"/>
                  </w:tcBorders>
                  <w:noWrap w:val="0"/>
                  <w:vAlign w:val="center"/>
                </w:tcPr>
                <w:p w14:paraId="2EA8C1DA">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02" w:type="pct"/>
                  <w:vMerge w:val="continue"/>
                  <w:tcBorders>
                    <w:tl2br w:val="nil"/>
                    <w:tr2bl w:val="nil"/>
                  </w:tcBorders>
                  <w:noWrap w:val="0"/>
                  <w:vAlign w:val="center"/>
                </w:tcPr>
                <w:p w14:paraId="3F3FE606">
                  <w:pPr>
                    <w:topLinePunct w:val="0"/>
                    <w:bidi w:val="0"/>
                    <w:adjustRightInd/>
                    <w:snapToGrid/>
                    <w:jc w:val="center"/>
                    <w:rPr>
                      <w:rFonts w:hint="default" w:ascii="Times New Roman" w:hAnsi="Times New Roman" w:eastAsia="宋体" w:cs="Times New Roman"/>
                      <w:color w:val="auto"/>
                      <w:highlight w:val="none"/>
                      <w:u w:val="none" w:color="auto"/>
                    </w:rPr>
                  </w:pPr>
                </w:p>
              </w:tc>
              <w:tc>
                <w:tcPr>
                  <w:tcW w:w="558" w:type="pct"/>
                  <w:vMerge w:val="continue"/>
                  <w:tcBorders>
                    <w:tl2br w:val="nil"/>
                    <w:tr2bl w:val="nil"/>
                  </w:tcBorders>
                  <w:noWrap w:val="0"/>
                  <w:vAlign w:val="center"/>
                </w:tcPr>
                <w:p w14:paraId="75AF1B04">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569" w:type="pct"/>
                  <w:vMerge w:val="continue"/>
                  <w:tcBorders>
                    <w:tl2br w:val="nil"/>
                    <w:tr2bl w:val="nil"/>
                  </w:tcBorders>
                  <w:noWrap w:val="0"/>
                  <w:vAlign w:val="center"/>
                </w:tcPr>
                <w:p w14:paraId="6A51E19B">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86" w:type="pct"/>
                  <w:vMerge w:val="continue"/>
                  <w:tcBorders>
                    <w:tl2br w:val="nil"/>
                    <w:tr2bl w:val="nil"/>
                  </w:tcBorders>
                  <w:noWrap w:val="0"/>
                  <w:vAlign w:val="center"/>
                </w:tcPr>
                <w:p w14:paraId="4A4C2FE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55" w:type="pct"/>
                  <w:vMerge w:val="continue"/>
                  <w:tcBorders>
                    <w:tl2br w:val="nil"/>
                    <w:tr2bl w:val="nil"/>
                  </w:tcBorders>
                  <w:noWrap w:val="0"/>
                  <w:vAlign w:val="center"/>
                </w:tcPr>
                <w:p w14:paraId="09038074">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610" w:type="pct"/>
                  <w:vMerge w:val="continue"/>
                  <w:tcBorders>
                    <w:tl2br w:val="nil"/>
                    <w:tr2bl w:val="nil"/>
                  </w:tcBorders>
                  <w:noWrap w:val="0"/>
                  <w:vAlign w:val="center"/>
                </w:tcPr>
                <w:p w14:paraId="036ED00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289" w:type="pct"/>
                  <w:vMerge w:val="continue"/>
                  <w:tcBorders>
                    <w:tl2br w:val="nil"/>
                    <w:tr2bl w:val="nil"/>
                  </w:tcBorders>
                  <w:noWrap w:val="0"/>
                  <w:vAlign w:val="center"/>
                </w:tcPr>
                <w:p w14:paraId="74B8F02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364" w:type="pct"/>
                  <w:vMerge w:val="continue"/>
                  <w:tcBorders>
                    <w:tl2br w:val="nil"/>
                    <w:tr2bl w:val="nil"/>
                  </w:tcBorders>
                  <w:noWrap w:val="0"/>
                  <w:vAlign w:val="center"/>
                </w:tcPr>
                <w:p w14:paraId="50A8B35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18" w:type="pct"/>
                  <w:tcBorders>
                    <w:tl2br w:val="nil"/>
                    <w:tr2bl w:val="nil"/>
                  </w:tcBorders>
                  <w:noWrap w:val="0"/>
                  <w:vAlign w:val="center"/>
                </w:tcPr>
                <w:p w14:paraId="195E5BDE">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氨氮</w:t>
                  </w:r>
                </w:p>
              </w:tc>
              <w:tc>
                <w:tcPr>
                  <w:tcW w:w="594" w:type="pct"/>
                  <w:tcBorders>
                    <w:tl2br w:val="nil"/>
                    <w:tr2bl w:val="nil"/>
                  </w:tcBorders>
                  <w:noWrap w:val="0"/>
                  <w:vAlign w:val="center"/>
                </w:tcPr>
                <w:p w14:paraId="77AC1300">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default" w:ascii="Times New Roman" w:hAnsi="Times New Roman" w:eastAsia="宋体" w:cs="Times New Roman"/>
                      <w:color w:val="auto"/>
                      <w:szCs w:val="21"/>
                      <w:highlight w:val="none"/>
                      <w:u w:val="none" w:color="auto"/>
                    </w:rPr>
                    <w:t>5mg/L</w:t>
                  </w:r>
                </w:p>
              </w:tc>
            </w:tr>
            <w:tr w14:paraId="56FD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0" w:type="pct"/>
                  <w:vMerge w:val="continue"/>
                  <w:tcBorders>
                    <w:tl2br w:val="nil"/>
                    <w:tr2bl w:val="nil"/>
                  </w:tcBorders>
                  <w:noWrap w:val="0"/>
                  <w:vAlign w:val="center"/>
                </w:tcPr>
                <w:p w14:paraId="2F9E582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02" w:type="pct"/>
                  <w:vMerge w:val="continue"/>
                  <w:tcBorders>
                    <w:tl2br w:val="nil"/>
                    <w:tr2bl w:val="nil"/>
                  </w:tcBorders>
                  <w:noWrap w:val="0"/>
                  <w:vAlign w:val="center"/>
                </w:tcPr>
                <w:p w14:paraId="767575FA">
                  <w:pPr>
                    <w:topLinePunct w:val="0"/>
                    <w:bidi w:val="0"/>
                    <w:adjustRightInd/>
                    <w:snapToGrid/>
                    <w:jc w:val="center"/>
                    <w:rPr>
                      <w:rFonts w:hint="default" w:ascii="Times New Roman" w:hAnsi="Times New Roman" w:eastAsia="宋体" w:cs="Times New Roman"/>
                      <w:color w:val="auto"/>
                      <w:highlight w:val="none"/>
                      <w:u w:val="none" w:color="auto"/>
                    </w:rPr>
                  </w:pPr>
                </w:p>
              </w:tc>
              <w:tc>
                <w:tcPr>
                  <w:tcW w:w="558" w:type="pct"/>
                  <w:vMerge w:val="continue"/>
                  <w:tcBorders>
                    <w:tl2br w:val="nil"/>
                    <w:tr2bl w:val="nil"/>
                  </w:tcBorders>
                  <w:noWrap w:val="0"/>
                  <w:vAlign w:val="center"/>
                </w:tcPr>
                <w:p w14:paraId="72AB28A0">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569" w:type="pct"/>
                  <w:vMerge w:val="continue"/>
                  <w:tcBorders>
                    <w:tl2br w:val="nil"/>
                    <w:tr2bl w:val="nil"/>
                  </w:tcBorders>
                  <w:noWrap w:val="0"/>
                  <w:vAlign w:val="center"/>
                </w:tcPr>
                <w:p w14:paraId="3A432475">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86" w:type="pct"/>
                  <w:vMerge w:val="continue"/>
                  <w:tcBorders>
                    <w:tl2br w:val="nil"/>
                    <w:tr2bl w:val="nil"/>
                  </w:tcBorders>
                  <w:noWrap w:val="0"/>
                  <w:vAlign w:val="center"/>
                </w:tcPr>
                <w:p w14:paraId="425E158C">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55" w:type="pct"/>
                  <w:vMerge w:val="continue"/>
                  <w:tcBorders>
                    <w:tl2br w:val="nil"/>
                    <w:tr2bl w:val="nil"/>
                  </w:tcBorders>
                  <w:noWrap w:val="0"/>
                  <w:vAlign w:val="center"/>
                </w:tcPr>
                <w:p w14:paraId="06A00704">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610" w:type="pct"/>
                  <w:vMerge w:val="continue"/>
                  <w:tcBorders>
                    <w:tl2br w:val="nil"/>
                    <w:tr2bl w:val="nil"/>
                  </w:tcBorders>
                  <w:noWrap w:val="0"/>
                  <w:vAlign w:val="center"/>
                </w:tcPr>
                <w:p w14:paraId="4CC3E36D">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289" w:type="pct"/>
                  <w:vMerge w:val="continue"/>
                  <w:tcBorders>
                    <w:tl2br w:val="nil"/>
                    <w:tr2bl w:val="nil"/>
                  </w:tcBorders>
                  <w:noWrap w:val="0"/>
                  <w:vAlign w:val="center"/>
                </w:tcPr>
                <w:p w14:paraId="6125AC4B">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364" w:type="pct"/>
                  <w:vMerge w:val="continue"/>
                  <w:tcBorders>
                    <w:tl2br w:val="nil"/>
                    <w:tr2bl w:val="nil"/>
                  </w:tcBorders>
                  <w:noWrap w:val="0"/>
                  <w:vAlign w:val="center"/>
                </w:tcPr>
                <w:p w14:paraId="27D6C797">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18" w:type="pct"/>
                  <w:tcBorders>
                    <w:tl2br w:val="nil"/>
                    <w:tr2bl w:val="nil"/>
                  </w:tcBorders>
                  <w:noWrap w:val="0"/>
                  <w:vAlign w:val="center"/>
                </w:tcPr>
                <w:p w14:paraId="4C90FBCF">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color="auto"/>
                    </w:rPr>
                  </w:pPr>
                  <w:r>
                    <w:rPr>
                      <w:rFonts w:hint="eastAsia" w:cs="Times New Roman"/>
                      <w:i w:val="0"/>
                      <w:iCs w:val="0"/>
                      <w:color w:val="auto"/>
                      <w:kern w:val="0"/>
                      <w:sz w:val="21"/>
                      <w:szCs w:val="21"/>
                      <w:u w:val="none" w:color="auto"/>
                      <w:lang w:val="en-US" w:eastAsia="zh-CN" w:bidi="ar"/>
                    </w:rPr>
                    <w:t>TP</w:t>
                  </w:r>
                </w:p>
              </w:tc>
              <w:tc>
                <w:tcPr>
                  <w:tcW w:w="594" w:type="pct"/>
                  <w:tcBorders>
                    <w:tl2br w:val="nil"/>
                    <w:tr2bl w:val="nil"/>
                  </w:tcBorders>
                  <w:noWrap w:val="0"/>
                  <w:vAlign w:val="center"/>
                </w:tcPr>
                <w:p w14:paraId="2E2CF5C2">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eastAsia" w:cs="Times New Roman"/>
                      <w:color w:val="auto"/>
                      <w:szCs w:val="21"/>
                      <w:highlight w:val="none"/>
                      <w:u w:val="none" w:color="auto"/>
                      <w:lang w:val="en-US" w:eastAsia="zh-CN"/>
                    </w:rPr>
                    <w:t>0.</w:t>
                  </w:r>
                  <w:r>
                    <w:rPr>
                      <w:rFonts w:hint="default" w:ascii="Times New Roman" w:hAnsi="Times New Roman" w:eastAsia="宋体" w:cs="Times New Roman"/>
                      <w:color w:val="auto"/>
                      <w:szCs w:val="21"/>
                      <w:highlight w:val="none"/>
                      <w:u w:val="none" w:color="auto"/>
                    </w:rPr>
                    <w:t>5mg/L</w:t>
                  </w:r>
                </w:p>
              </w:tc>
            </w:tr>
            <w:tr w14:paraId="441AA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50" w:type="pct"/>
                  <w:vMerge w:val="continue"/>
                  <w:tcBorders>
                    <w:tl2br w:val="nil"/>
                    <w:tr2bl w:val="nil"/>
                  </w:tcBorders>
                  <w:noWrap w:val="0"/>
                  <w:vAlign w:val="center"/>
                </w:tcPr>
                <w:p w14:paraId="0B22153E">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02" w:type="pct"/>
                  <w:vMerge w:val="continue"/>
                  <w:tcBorders>
                    <w:tl2br w:val="nil"/>
                    <w:tr2bl w:val="nil"/>
                  </w:tcBorders>
                  <w:noWrap w:val="0"/>
                  <w:vAlign w:val="center"/>
                </w:tcPr>
                <w:p w14:paraId="5CCA135B">
                  <w:pPr>
                    <w:topLinePunct w:val="0"/>
                    <w:bidi w:val="0"/>
                    <w:adjustRightInd/>
                    <w:snapToGrid/>
                    <w:jc w:val="center"/>
                    <w:rPr>
                      <w:rFonts w:hint="default" w:ascii="Times New Roman" w:hAnsi="Times New Roman" w:eastAsia="宋体" w:cs="Times New Roman"/>
                      <w:color w:val="auto"/>
                      <w:highlight w:val="none"/>
                      <w:u w:val="none" w:color="auto"/>
                    </w:rPr>
                  </w:pPr>
                </w:p>
              </w:tc>
              <w:tc>
                <w:tcPr>
                  <w:tcW w:w="558" w:type="pct"/>
                  <w:vMerge w:val="continue"/>
                  <w:tcBorders>
                    <w:tl2br w:val="nil"/>
                    <w:tr2bl w:val="nil"/>
                  </w:tcBorders>
                  <w:noWrap w:val="0"/>
                  <w:vAlign w:val="center"/>
                </w:tcPr>
                <w:p w14:paraId="33EB4799">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569" w:type="pct"/>
                  <w:vMerge w:val="continue"/>
                  <w:tcBorders>
                    <w:tl2br w:val="nil"/>
                    <w:tr2bl w:val="nil"/>
                  </w:tcBorders>
                  <w:noWrap w:val="0"/>
                  <w:vAlign w:val="center"/>
                </w:tcPr>
                <w:p w14:paraId="61AB1A48">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86" w:type="pct"/>
                  <w:vMerge w:val="continue"/>
                  <w:tcBorders>
                    <w:tl2br w:val="nil"/>
                    <w:tr2bl w:val="nil"/>
                  </w:tcBorders>
                  <w:noWrap w:val="0"/>
                  <w:vAlign w:val="center"/>
                </w:tcPr>
                <w:p w14:paraId="11481359">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55" w:type="pct"/>
                  <w:vMerge w:val="continue"/>
                  <w:tcBorders>
                    <w:tl2br w:val="nil"/>
                    <w:tr2bl w:val="nil"/>
                  </w:tcBorders>
                  <w:noWrap w:val="0"/>
                  <w:vAlign w:val="center"/>
                </w:tcPr>
                <w:p w14:paraId="7EC8478D">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610" w:type="pct"/>
                  <w:vMerge w:val="continue"/>
                  <w:tcBorders>
                    <w:tl2br w:val="nil"/>
                    <w:tr2bl w:val="nil"/>
                  </w:tcBorders>
                  <w:noWrap w:val="0"/>
                  <w:vAlign w:val="center"/>
                </w:tcPr>
                <w:p w14:paraId="5CC234EA">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289" w:type="pct"/>
                  <w:vMerge w:val="continue"/>
                  <w:tcBorders>
                    <w:tl2br w:val="nil"/>
                    <w:tr2bl w:val="nil"/>
                  </w:tcBorders>
                  <w:noWrap w:val="0"/>
                  <w:vAlign w:val="center"/>
                </w:tcPr>
                <w:p w14:paraId="5958D192">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364" w:type="pct"/>
                  <w:vMerge w:val="continue"/>
                  <w:tcBorders>
                    <w:tl2br w:val="nil"/>
                    <w:tr2bl w:val="nil"/>
                  </w:tcBorders>
                  <w:noWrap w:val="0"/>
                  <w:vAlign w:val="center"/>
                </w:tcPr>
                <w:p w14:paraId="0FBEA020">
                  <w:pPr>
                    <w:topLinePunct w:val="0"/>
                    <w:bidi w:val="0"/>
                    <w:adjustRightInd/>
                    <w:snapToGrid/>
                    <w:jc w:val="center"/>
                    <w:rPr>
                      <w:rFonts w:hint="default" w:ascii="Times New Roman" w:hAnsi="Times New Roman" w:eastAsia="宋体" w:cs="Times New Roman"/>
                      <w:color w:val="auto"/>
                      <w:szCs w:val="21"/>
                      <w:highlight w:val="none"/>
                      <w:u w:val="none" w:color="auto"/>
                    </w:rPr>
                  </w:pPr>
                </w:p>
              </w:tc>
              <w:tc>
                <w:tcPr>
                  <w:tcW w:w="418" w:type="pct"/>
                  <w:tcBorders>
                    <w:tl2br w:val="nil"/>
                    <w:tr2bl w:val="nil"/>
                  </w:tcBorders>
                  <w:noWrap w:val="0"/>
                  <w:vAlign w:val="center"/>
                </w:tcPr>
                <w:p w14:paraId="73C7E427">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color="auto"/>
                    </w:rPr>
                  </w:pPr>
                  <w:r>
                    <w:rPr>
                      <w:rFonts w:hint="eastAsia" w:cs="Times New Roman"/>
                      <w:i w:val="0"/>
                      <w:iCs w:val="0"/>
                      <w:color w:val="auto"/>
                      <w:sz w:val="21"/>
                      <w:szCs w:val="21"/>
                      <w:u w:val="none" w:color="auto"/>
                      <w:lang w:val="en-US" w:eastAsia="zh-CN"/>
                    </w:rPr>
                    <w:t>TN</w:t>
                  </w:r>
                </w:p>
              </w:tc>
              <w:tc>
                <w:tcPr>
                  <w:tcW w:w="594" w:type="pct"/>
                  <w:tcBorders>
                    <w:tl2br w:val="nil"/>
                    <w:tr2bl w:val="nil"/>
                  </w:tcBorders>
                  <w:noWrap w:val="0"/>
                  <w:vAlign w:val="center"/>
                </w:tcPr>
                <w:p w14:paraId="26B586B1">
                  <w:pPr>
                    <w:topLinePunct w:val="0"/>
                    <w:bidi w:val="0"/>
                    <w:adjustRightInd/>
                    <w:snapToGrid/>
                    <w:jc w:val="center"/>
                    <w:rPr>
                      <w:rFonts w:hint="default" w:ascii="Times New Roman" w:hAnsi="Times New Roman" w:eastAsia="宋体" w:cs="Times New Roman"/>
                      <w:color w:val="auto"/>
                      <w:szCs w:val="21"/>
                      <w:highlight w:val="none"/>
                      <w:u w:val="none" w:color="auto"/>
                    </w:rPr>
                  </w:pPr>
                  <w:r>
                    <w:rPr>
                      <w:rFonts w:hint="eastAsia" w:cs="Times New Roman"/>
                      <w:color w:val="auto"/>
                      <w:szCs w:val="21"/>
                      <w:highlight w:val="none"/>
                      <w:u w:val="none" w:color="auto"/>
                      <w:lang w:val="en-US" w:eastAsia="zh-CN"/>
                    </w:rPr>
                    <w:t>15</w:t>
                  </w:r>
                  <w:r>
                    <w:rPr>
                      <w:rFonts w:hint="default" w:ascii="Times New Roman" w:hAnsi="Times New Roman" w:eastAsia="宋体" w:cs="Times New Roman"/>
                      <w:color w:val="auto"/>
                      <w:szCs w:val="21"/>
                      <w:highlight w:val="none"/>
                      <w:u w:val="none" w:color="auto"/>
                    </w:rPr>
                    <w:t>mg/L</w:t>
                  </w:r>
                </w:p>
              </w:tc>
            </w:tr>
          </w:tbl>
          <w:p w14:paraId="0A19FDC0">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cs="Times New Roman"/>
                <w:b/>
                <w:bCs w:val="0"/>
                <w:sz w:val="24"/>
                <w:szCs w:val="21"/>
                <w:lang w:val="en-US" w:eastAsia="zh-CN"/>
              </w:rPr>
            </w:pPr>
            <w:r>
              <w:rPr>
                <w:rFonts w:hint="eastAsia" w:ascii="Times New Roman" w:hAnsi="Times New Roman" w:cs="Times New Roman"/>
                <w:b/>
                <w:bCs w:val="0"/>
                <w:sz w:val="24"/>
                <w:szCs w:val="21"/>
                <w:lang w:val="en-US" w:eastAsia="zh-CN"/>
              </w:rPr>
              <w:t>表4-4  项目废水污染物排放信息表</w:t>
            </w:r>
          </w:p>
          <w:tbl>
            <w:tblPr>
              <w:tblStyle w:val="24"/>
              <w:tblW w:w="488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10"/>
              <w:gridCol w:w="1614"/>
              <w:gridCol w:w="1487"/>
              <w:gridCol w:w="1240"/>
              <w:gridCol w:w="1350"/>
              <w:gridCol w:w="1487"/>
            </w:tblGrid>
            <w:tr w14:paraId="1B361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391" w:type="pct"/>
                  <w:tcBorders>
                    <w:tl2br w:val="nil"/>
                    <w:tr2bl w:val="nil"/>
                  </w:tcBorders>
                  <w:shd w:val="clear" w:color="auto" w:fill="auto"/>
                  <w:vAlign w:val="center"/>
                </w:tcPr>
                <w:p w14:paraId="2CB919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b w:val="0"/>
                      <w:bCs w:val="0"/>
                      <w:i w:val="0"/>
                      <w:iCs w:val="0"/>
                      <w:color w:val="auto"/>
                      <w:kern w:val="0"/>
                      <w:sz w:val="21"/>
                      <w:szCs w:val="21"/>
                      <w:u w:val="none" w:color="auto"/>
                      <w:lang w:val="en-US" w:eastAsia="zh-CN" w:bidi="ar"/>
                    </w:rPr>
                    <w:t>序号</w:t>
                  </w:r>
                </w:p>
              </w:tc>
              <w:tc>
                <w:tcPr>
                  <w:tcW w:w="1036" w:type="pct"/>
                  <w:tcBorders>
                    <w:tl2br w:val="nil"/>
                    <w:tr2bl w:val="nil"/>
                  </w:tcBorders>
                  <w:shd w:val="clear" w:color="auto" w:fill="auto"/>
                  <w:vAlign w:val="center"/>
                </w:tcPr>
                <w:p w14:paraId="598957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b w:val="0"/>
                      <w:bCs w:val="0"/>
                      <w:i w:val="0"/>
                      <w:iCs w:val="0"/>
                      <w:color w:val="auto"/>
                      <w:kern w:val="0"/>
                      <w:sz w:val="21"/>
                      <w:szCs w:val="21"/>
                      <w:u w:val="none" w:color="auto"/>
                      <w:lang w:val="en-US" w:eastAsia="zh-CN" w:bidi="ar"/>
                    </w:rPr>
                    <w:t>排放口编号</w:t>
                  </w:r>
                </w:p>
              </w:tc>
              <w:tc>
                <w:tcPr>
                  <w:tcW w:w="954" w:type="pct"/>
                  <w:tcBorders>
                    <w:tl2br w:val="nil"/>
                    <w:tr2bl w:val="nil"/>
                  </w:tcBorders>
                  <w:shd w:val="clear" w:color="auto" w:fill="auto"/>
                  <w:vAlign w:val="center"/>
                </w:tcPr>
                <w:p w14:paraId="78C1FA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b w:val="0"/>
                      <w:bCs w:val="0"/>
                      <w:i w:val="0"/>
                      <w:iCs w:val="0"/>
                      <w:color w:val="auto"/>
                      <w:kern w:val="0"/>
                      <w:sz w:val="21"/>
                      <w:szCs w:val="21"/>
                      <w:u w:val="none" w:color="auto"/>
                      <w:lang w:val="en-US" w:eastAsia="zh-CN" w:bidi="ar"/>
                    </w:rPr>
                    <w:t>污染物种类</w:t>
                  </w:r>
                </w:p>
              </w:tc>
              <w:tc>
                <w:tcPr>
                  <w:tcW w:w="796" w:type="pct"/>
                  <w:tcBorders>
                    <w:tl2br w:val="nil"/>
                    <w:tr2bl w:val="nil"/>
                  </w:tcBorders>
                  <w:shd w:val="clear" w:color="auto" w:fill="auto"/>
                  <w:vAlign w:val="center"/>
                </w:tcPr>
                <w:p w14:paraId="6059D4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b w:val="0"/>
                      <w:bCs w:val="0"/>
                      <w:i w:val="0"/>
                      <w:iCs w:val="0"/>
                      <w:color w:val="auto"/>
                      <w:kern w:val="0"/>
                      <w:sz w:val="21"/>
                      <w:szCs w:val="21"/>
                      <w:u w:val="none" w:color="auto"/>
                      <w:lang w:val="en-US" w:eastAsia="zh-CN" w:bidi="ar"/>
                    </w:rPr>
                    <w:t>排放浓度（</w:t>
                  </w:r>
                  <w:r>
                    <w:rPr>
                      <w:rStyle w:val="50"/>
                      <w:rFonts w:hint="default" w:ascii="Times New Roman" w:hAnsi="Times New Roman" w:eastAsia="宋体" w:cs="Times New Roman"/>
                      <w:b w:val="0"/>
                      <w:bCs w:val="0"/>
                      <w:color w:val="auto"/>
                      <w:sz w:val="21"/>
                      <w:szCs w:val="21"/>
                      <w:u w:val="none" w:color="auto"/>
                      <w:lang w:val="en-US" w:eastAsia="zh-CN" w:bidi="ar"/>
                    </w:rPr>
                    <w:t>mg/L</w:t>
                  </w:r>
                  <w:r>
                    <w:rPr>
                      <w:rStyle w:val="65"/>
                      <w:rFonts w:hint="default" w:ascii="Times New Roman" w:hAnsi="Times New Roman" w:cs="Times New Roman"/>
                      <w:b w:val="0"/>
                      <w:bCs w:val="0"/>
                      <w:color w:val="auto"/>
                      <w:sz w:val="21"/>
                      <w:szCs w:val="21"/>
                      <w:u w:val="none" w:color="auto"/>
                      <w:lang w:val="en-US" w:eastAsia="zh-CN" w:bidi="ar"/>
                    </w:rPr>
                    <w:t>）</w:t>
                  </w:r>
                </w:p>
              </w:tc>
              <w:tc>
                <w:tcPr>
                  <w:tcW w:w="867" w:type="pct"/>
                  <w:tcBorders>
                    <w:tl2br w:val="nil"/>
                    <w:tr2bl w:val="nil"/>
                  </w:tcBorders>
                  <w:shd w:val="clear" w:color="auto" w:fill="auto"/>
                  <w:vAlign w:val="center"/>
                </w:tcPr>
                <w:p w14:paraId="7F4F0DB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b w:val="0"/>
                      <w:bCs w:val="0"/>
                      <w:i w:val="0"/>
                      <w:iCs w:val="0"/>
                      <w:color w:val="auto"/>
                      <w:kern w:val="0"/>
                      <w:sz w:val="21"/>
                      <w:szCs w:val="21"/>
                      <w:u w:val="none" w:color="auto"/>
                      <w:lang w:val="en-US" w:eastAsia="zh-CN" w:bidi="ar"/>
                    </w:rPr>
                    <w:t>日排放量（</w:t>
                  </w:r>
                  <w:r>
                    <w:rPr>
                      <w:rStyle w:val="50"/>
                      <w:rFonts w:hint="default" w:ascii="Times New Roman" w:hAnsi="Times New Roman" w:eastAsia="宋体" w:cs="Times New Roman"/>
                      <w:b w:val="0"/>
                      <w:bCs w:val="0"/>
                      <w:color w:val="auto"/>
                      <w:sz w:val="21"/>
                      <w:szCs w:val="21"/>
                      <w:u w:val="none" w:color="auto"/>
                      <w:lang w:val="en-US" w:eastAsia="zh-CN" w:bidi="ar"/>
                    </w:rPr>
                    <w:t>kg/d</w:t>
                  </w:r>
                  <w:r>
                    <w:rPr>
                      <w:rStyle w:val="65"/>
                      <w:rFonts w:hint="default" w:ascii="Times New Roman" w:hAnsi="Times New Roman" w:cs="Times New Roman"/>
                      <w:b w:val="0"/>
                      <w:bCs w:val="0"/>
                      <w:color w:val="auto"/>
                      <w:sz w:val="21"/>
                      <w:szCs w:val="21"/>
                      <w:u w:val="none" w:color="auto"/>
                      <w:lang w:val="en-US" w:eastAsia="zh-CN" w:bidi="ar"/>
                    </w:rPr>
                    <w:t>）</w:t>
                  </w:r>
                </w:p>
              </w:tc>
              <w:tc>
                <w:tcPr>
                  <w:tcW w:w="954" w:type="pct"/>
                  <w:tcBorders>
                    <w:tl2br w:val="nil"/>
                    <w:tr2bl w:val="nil"/>
                  </w:tcBorders>
                  <w:shd w:val="clear" w:color="auto" w:fill="auto"/>
                  <w:vAlign w:val="center"/>
                </w:tcPr>
                <w:p w14:paraId="54091E4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b w:val="0"/>
                      <w:bCs w:val="0"/>
                      <w:i w:val="0"/>
                      <w:iCs w:val="0"/>
                      <w:color w:val="auto"/>
                      <w:kern w:val="0"/>
                      <w:sz w:val="21"/>
                      <w:szCs w:val="21"/>
                      <w:u w:val="none" w:color="auto"/>
                      <w:lang w:val="en-US" w:eastAsia="zh-CN" w:bidi="ar"/>
                    </w:rPr>
                    <w:t>年排放量（</w:t>
                  </w:r>
                  <w:r>
                    <w:rPr>
                      <w:rStyle w:val="50"/>
                      <w:rFonts w:hint="default" w:ascii="Times New Roman" w:hAnsi="Times New Roman" w:eastAsia="宋体" w:cs="Times New Roman"/>
                      <w:b w:val="0"/>
                      <w:bCs w:val="0"/>
                      <w:color w:val="auto"/>
                      <w:sz w:val="21"/>
                      <w:szCs w:val="21"/>
                      <w:u w:val="none" w:color="auto"/>
                      <w:lang w:val="en-US" w:eastAsia="zh-CN" w:bidi="ar"/>
                    </w:rPr>
                    <w:t>t/a</w:t>
                  </w:r>
                  <w:r>
                    <w:rPr>
                      <w:rStyle w:val="65"/>
                      <w:rFonts w:hint="default" w:ascii="Times New Roman" w:hAnsi="Times New Roman" w:cs="Times New Roman"/>
                      <w:b w:val="0"/>
                      <w:bCs w:val="0"/>
                      <w:color w:val="auto"/>
                      <w:sz w:val="21"/>
                      <w:szCs w:val="21"/>
                      <w:u w:val="none" w:color="auto"/>
                      <w:lang w:val="en-US" w:eastAsia="zh-CN" w:bidi="ar"/>
                    </w:rPr>
                    <w:t>）</w:t>
                  </w:r>
                </w:p>
              </w:tc>
            </w:tr>
            <w:tr w14:paraId="0CEAD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1" w:type="pct"/>
                  <w:vMerge w:val="restart"/>
                  <w:tcBorders>
                    <w:tl2br w:val="nil"/>
                    <w:tr2bl w:val="nil"/>
                  </w:tcBorders>
                  <w:shd w:val="clear" w:color="auto" w:fill="auto"/>
                  <w:vAlign w:val="center"/>
                </w:tcPr>
                <w:p w14:paraId="6FAC260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1</w:t>
                  </w:r>
                </w:p>
              </w:tc>
              <w:tc>
                <w:tcPr>
                  <w:tcW w:w="1036" w:type="pct"/>
                  <w:vMerge w:val="restart"/>
                  <w:tcBorders>
                    <w:tl2br w:val="nil"/>
                    <w:tr2bl w:val="nil"/>
                  </w:tcBorders>
                  <w:shd w:val="clear" w:color="auto" w:fill="auto"/>
                  <w:vAlign w:val="center"/>
                </w:tcPr>
                <w:p w14:paraId="5898767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DW001</w:t>
                  </w:r>
                </w:p>
              </w:tc>
              <w:tc>
                <w:tcPr>
                  <w:tcW w:w="954" w:type="pct"/>
                  <w:tcBorders>
                    <w:tl2br w:val="nil"/>
                    <w:tr2bl w:val="nil"/>
                  </w:tcBorders>
                  <w:shd w:val="clear" w:color="auto" w:fill="auto"/>
                  <w:vAlign w:val="center"/>
                </w:tcPr>
                <w:p w14:paraId="27F49CB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COD</w:t>
                  </w:r>
                </w:p>
              </w:tc>
              <w:tc>
                <w:tcPr>
                  <w:tcW w:w="796" w:type="pct"/>
                  <w:tcBorders>
                    <w:tl2br w:val="nil"/>
                    <w:tr2bl w:val="nil"/>
                  </w:tcBorders>
                  <w:shd w:val="clear" w:color="auto" w:fill="auto"/>
                  <w:vAlign w:val="center"/>
                </w:tcPr>
                <w:p w14:paraId="0BA3A7B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50</w:t>
                  </w:r>
                </w:p>
              </w:tc>
              <w:tc>
                <w:tcPr>
                  <w:tcW w:w="1350" w:type="dxa"/>
                  <w:tcBorders>
                    <w:tl2br w:val="nil"/>
                    <w:tr2bl w:val="nil"/>
                  </w:tcBorders>
                  <w:shd w:val="clear" w:color="auto" w:fill="auto"/>
                  <w:vAlign w:val="center"/>
                </w:tcPr>
                <w:p w14:paraId="0FE463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22.745</w:t>
                  </w:r>
                </w:p>
              </w:tc>
              <w:tc>
                <w:tcPr>
                  <w:tcW w:w="1487" w:type="dxa"/>
                  <w:tcBorders>
                    <w:tl2br w:val="nil"/>
                    <w:tr2bl w:val="nil"/>
                  </w:tcBorders>
                  <w:shd w:val="clear" w:color="auto" w:fill="auto"/>
                  <w:vAlign w:val="center"/>
                </w:tcPr>
                <w:p w14:paraId="76244B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8.30</w:t>
                  </w:r>
                  <w:r>
                    <w:rPr>
                      <w:rFonts w:hint="eastAsia" w:cs="Times New Roman"/>
                      <w:i w:val="0"/>
                      <w:iCs w:val="0"/>
                      <w:color w:val="000000"/>
                      <w:kern w:val="0"/>
                      <w:sz w:val="21"/>
                      <w:szCs w:val="21"/>
                      <w:u w:val="none"/>
                      <w:lang w:val="en-US" w:eastAsia="zh-CN" w:bidi="ar"/>
                    </w:rPr>
                    <w:t>2</w:t>
                  </w:r>
                </w:p>
              </w:tc>
            </w:tr>
            <w:tr w14:paraId="2B746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391" w:type="pct"/>
                  <w:vMerge w:val="continue"/>
                  <w:tcBorders>
                    <w:tl2br w:val="nil"/>
                    <w:tr2bl w:val="nil"/>
                  </w:tcBorders>
                  <w:shd w:val="clear" w:color="auto" w:fill="auto"/>
                  <w:vAlign w:val="center"/>
                </w:tcPr>
                <w:p w14:paraId="0DAAA1AE">
                  <w:pPr>
                    <w:jc w:val="center"/>
                    <w:rPr>
                      <w:rFonts w:hint="default" w:ascii="Times New Roman" w:hAnsi="Times New Roman" w:eastAsia="宋体" w:cs="Times New Roman"/>
                      <w:i w:val="0"/>
                      <w:iCs w:val="0"/>
                      <w:color w:val="auto"/>
                      <w:sz w:val="21"/>
                      <w:szCs w:val="21"/>
                      <w:u w:val="none" w:color="auto"/>
                    </w:rPr>
                  </w:pPr>
                </w:p>
              </w:tc>
              <w:tc>
                <w:tcPr>
                  <w:tcW w:w="1036" w:type="pct"/>
                  <w:vMerge w:val="continue"/>
                  <w:tcBorders>
                    <w:tl2br w:val="nil"/>
                    <w:tr2bl w:val="nil"/>
                  </w:tcBorders>
                  <w:shd w:val="clear" w:color="auto" w:fill="auto"/>
                  <w:vAlign w:val="center"/>
                </w:tcPr>
                <w:p w14:paraId="7262BC38">
                  <w:pPr>
                    <w:jc w:val="center"/>
                    <w:rPr>
                      <w:rFonts w:hint="default" w:ascii="Times New Roman" w:hAnsi="Times New Roman" w:eastAsia="宋体" w:cs="Times New Roman"/>
                      <w:i w:val="0"/>
                      <w:iCs w:val="0"/>
                      <w:color w:val="auto"/>
                      <w:sz w:val="21"/>
                      <w:szCs w:val="21"/>
                      <w:u w:val="none" w:color="auto"/>
                    </w:rPr>
                  </w:pPr>
                </w:p>
              </w:tc>
              <w:tc>
                <w:tcPr>
                  <w:tcW w:w="954" w:type="pct"/>
                  <w:tcBorders>
                    <w:tl2br w:val="nil"/>
                    <w:tr2bl w:val="nil"/>
                  </w:tcBorders>
                  <w:shd w:val="clear" w:color="auto" w:fill="auto"/>
                  <w:vAlign w:val="center"/>
                </w:tcPr>
                <w:p w14:paraId="0B20C72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BOD</w:t>
                  </w:r>
                  <w:r>
                    <w:rPr>
                      <w:rStyle w:val="66"/>
                      <w:rFonts w:hint="default" w:ascii="Times New Roman" w:hAnsi="Times New Roman" w:eastAsia="宋体" w:cs="Times New Roman"/>
                      <w:color w:val="auto"/>
                      <w:sz w:val="21"/>
                      <w:szCs w:val="21"/>
                      <w:u w:val="none" w:color="auto"/>
                      <w:vertAlign w:val="subscript"/>
                      <w:lang w:val="en-US" w:eastAsia="zh-CN" w:bidi="ar"/>
                    </w:rPr>
                    <w:t>5</w:t>
                  </w:r>
                </w:p>
              </w:tc>
              <w:tc>
                <w:tcPr>
                  <w:tcW w:w="796" w:type="pct"/>
                  <w:tcBorders>
                    <w:tl2br w:val="nil"/>
                    <w:tr2bl w:val="nil"/>
                  </w:tcBorders>
                  <w:shd w:val="clear" w:color="auto" w:fill="auto"/>
                  <w:vAlign w:val="center"/>
                </w:tcPr>
                <w:p w14:paraId="1E68D1E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10</w:t>
                  </w:r>
                </w:p>
              </w:tc>
              <w:tc>
                <w:tcPr>
                  <w:tcW w:w="1350" w:type="dxa"/>
                  <w:tcBorders>
                    <w:tl2br w:val="nil"/>
                    <w:tr2bl w:val="nil"/>
                  </w:tcBorders>
                  <w:shd w:val="clear" w:color="auto" w:fill="auto"/>
                  <w:vAlign w:val="center"/>
                </w:tcPr>
                <w:p w14:paraId="74A0C6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4.549</w:t>
                  </w:r>
                </w:p>
              </w:tc>
              <w:tc>
                <w:tcPr>
                  <w:tcW w:w="1487" w:type="dxa"/>
                  <w:tcBorders>
                    <w:tl2br w:val="nil"/>
                    <w:tr2bl w:val="nil"/>
                  </w:tcBorders>
                  <w:shd w:val="clear" w:color="auto" w:fill="auto"/>
                  <w:vAlign w:val="center"/>
                </w:tcPr>
                <w:p w14:paraId="2BCF19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1.66</w:t>
                  </w:r>
                </w:p>
              </w:tc>
            </w:tr>
            <w:tr w14:paraId="606C1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1" w:type="pct"/>
                  <w:vMerge w:val="continue"/>
                  <w:tcBorders>
                    <w:tl2br w:val="nil"/>
                    <w:tr2bl w:val="nil"/>
                  </w:tcBorders>
                  <w:shd w:val="clear" w:color="auto" w:fill="auto"/>
                  <w:vAlign w:val="center"/>
                </w:tcPr>
                <w:p w14:paraId="4AFD9685">
                  <w:pPr>
                    <w:jc w:val="center"/>
                    <w:rPr>
                      <w:rFonts w:hint="default" w:ascii="Times New Roman" w:hAnsi="Times New Roman" w:eastAsia="宋体" w:cs="Times New Roman"/>
                      <w:i w:val="0"/>
                      <w:iCs w:val="0"/>
                      <w:color w:val="auto"/>
                      <w:sz w:val="21"/>
                      <w:szCs w:val="21"/>
                      <w:u w:val="none" w:color="auto"/>
                    </w:rPr>
                  </w:pPr>
                </w:p>
              </w:tc>
              <w:tc>
                <w:tcPr>
                  <w:tcW w:w="1036" w:type="pct"/>
                  <w:vMerge w:val="continue"/>
                  <w:tcBorders>
                    <w:tl2br w:val="nil"/>
                    <w:tr2bl w:val="nil"/>
                  </w:tcBorders>
                  <w:shd w:val="clear" w:color="auto" w:fill="auto"/>
                  <w:vAlign w:val="center"/>
                </w:tcPr>
                <w:p w14:paraId="59D4301C">
                  <w:pPr>
                    <w:jc w:val="center"/>
                    <w:rPr>
                      <w:rFonts w:hint="default" w:ascii="Times New Roman" w:hAnsi="Times New Roman" w:eastAsia="宋体" w:cs="Times New Roman"/>
                      <w:i w:val="0"/>
                      <w:iCs w:val="0"/>
                      <w:color w:val="auto"/>
                      <w:sz w:val="21"/>
                      <w:szCs w:val="21"/>
                      <w:u w:val="none" w:color="auto"/>
                    </w:rPr>
                  </w:pPr>
                </w:p>
              </w:tc>
              <w:tc>
                <w:tcPr>
                  <w:tcW w:w="954" w:type="pct"/>
                  <w:tcBorders>
                    <w:tl2br w:val="nil"/>
                    <w:tr2bl w:val="nil"/>
                  </w:tcBorders>
                  <w:shd w:val="clear" w:color="auto" w:fill="auto"/>
                  <w:vAlign w:val="center"/>
                </w:tcPr>
                <w:p w14:paraId="6B857F1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SS</w:t>
                  </w:r>
                </w:p>
              </w:tc>
              <w:tc>
                <w:tcPr>
                  <w:tcW w:w="796" w:type="pct"/>
                  <w:tcBorders>
                    <w:tl2br w:val="nil"/>
                    <w:tr2bl w:val="nil"/>
                  </w:tcBorders>
                  <w:shd w:val="clear" w:color="auto" w:fill="auto"/>
                  <w:vAlign w:val="center"/>
                </w:tcPr>
                <w:p w14:paraId="31A96CA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10</w:t>
                  </w:r>
                </w:p>
              </w:tc>
              <w:tc>
                <w:tcPr>
                  <w:tcW w:w="1350" w:type="dxa"/>
                  <w:tcBorders>
                    <w:tl2br w:val="nil"/>
                    <w:tr2bl w:val="nil"/>
                  </w:tcBorders>
                  <w:shd w:val="clear" w:color="auto" w:fill="auto"/>
                  <w:vAlign w:val="center"/>
                </w:tcPr>
                <w:p w14:paraId="54BE62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4.549</w:t>
                  </w:r>
                </w:p>
              </w:tc>
              <w:tc>
                <w:tcPr>
                  <w:tcW w:w="1487" w:type="dxa"/>
                  <w:tcBorders>
                    <w:tl2br w:val="nil"/>
                    <w:tr2bl w:val="nil"/>
                  </w:tcBorders>
                  <w:shd w:val="clear" w:color="auto" w:fill="auto"/>
                  <w:vAlign w:val="center"/>
                </w:tcPr>
                <w:p w14:paraId="2D61D2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1.66</w:t>
                  </w:r>
                </w:p>
              </w:tc>
            </w:tr>
            <w:tr w14:paraId="2AE93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1" w:type="pct"/>
                  <w:vMerge w:val="continue"/>
                  <w:tcBorders>
                    <w:tl2br w:val="nil"/>
                    <w:tr2bl w:val="nil"/>
                  </w:tcBorders>
                  <w:shd w:val="clear" w:color="auto" w:fill="auto"/>
                  <w:vAlign w:val="center"/>
                </w:tcPr>
                <w:p w14:paraId="4C9AD3E5">
                  <w:pPr>
                    <w:jc w:val="center"/>
                    <w:rPr>
                      <w:rFonts w:hint="default" w:ascii="Times New Roman" w:hAnsi="Times New Roman" w:eastAsia="宋体" w:cs="Times New Roman"/>
                      <w:i w:val="0"/>
                      <w:iCs w:val="0"/>
                      <w:color w:val="auto"/>
                      <w:sz w:val="21"/>
                      <w:szCs w:val="21"/>
                      <w:u w:val="none" w:color="auto"/>
                    </w:rPr>
                  </w:pPr>
                </w:p>
              </w:tc>
              <w:tc>
                <w:tcPr>
                  <w:tcW w:w="1036" w:type="pct"/>
                  <w:vMerge w:val="continue"/>
                  <w:tcBorders>
                    <w:tl2br w:val="nil"/>
                    <w:tr2bl w:val="nil"/>
                  </w:tcBorders>
                  <w:shd w:val="clear" w:color="auto" w:fill="auto"/>
                  <w:vAlign w:val="center"/>
                </w:tcPr>
                <w:p w14:paraId="673D55E7">
                  <w:pPr>
                    <w:jc w:val="center"/>
                    <w:rPr>
                      <w:rFonts w:hint="default" w:ascii="Times New Roman" w:hAnsi="Times New Roman" w:eastAsia="宋体" w:cs="Times New Roman"/>
                      <w:i w:val="0"/>
                      <w:iCs w:val="0"/>
                      <w:color w:val="auto"/>
                      <w:sz w:val="21"/>
                      <w:szCs w:val="21"/>
                      <w:u w:val="none" w:color="auto"/>
                    </w:rPr>
                  </w:pPr>
                </w:p>
              </w:tc>
              <w:tc>
                <w:tcPr>
                  <w:tcW w:w="954" w:type="pct"/>
                  <w:tcBorders>
                    <w:tl2br w:val="nil"/>
                    <w:tr2bl w:val="nil"/>
                  </w:tcBorders>
                  <w:shd w:val="clear" w:color="auto" w:fill="auto"/>
                  <w:vAlign w:val="center"/>
                </w:tcPr>
                <w:p w14:paraId="2A23EEA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氨氮</w:t>
                  </w:r>
                </w:p>
              </w:tc>
              <w:tc>
                <w:tcPr>
                  <w:tcW w:w="796" w:type="pct"/>
                  <w:tcBorders>
                    <w:tl2br w:val="nil"/>
                    <w:tr2bl w:val="nil"/>
                  </w:tcBorders>
                  <w:shd w:val="clear" w:color="auto" w:fill="auto"/>
                  <w:vAlign w:val="center"/>
                </w:tcPr>
                <w:p w14:paraId="266DFB8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5</w:t>
                  </w:r>
                </w:p>
              </w:tc>
              <w:tc>
                <w:tcPr>
                  <w:tcW w:w="1350" w:type="dxa"/>
                  <w:tcBorders>
                    <w:tl2br w:val="nil"/>
                    <w:tr2bl w:val="nil"/>
                  </w:tcBorders>
                  <w:shd w:val="clear" w:color="auto" w:fill="auto"/>
                  <w:vAlign w:val="center"/>
                </w:tcPr>
                <w:p w14:paraId="790F95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2.2745</w:t>
                  </w:r>
                </w:p>
              </w:tc>
              <w:tc>
                <w:tcPr>
                  <w:tcW w:w="1487" w:type="dxa"/>
                  <w:tcBorders>
                    <w:tl2br w:val="nil"/>
                    <w:tr2bl w:val="nil"/>
                  </w:tcBorders>
                  <w:shd w:val="clear" w:color="auto" w:fill="auto"/>
                  <w:vAlign w:val="center"/>
                </w:tcPr>
                <w:p w14:paraId="7D6465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0.83</w:t>
                  </w:r>
                </w:p>
              </w:tc>
            </w:tr>
            <w:tr w14:paraId="5A152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1" w:type="pct"/>
                  <w:vMerge w:val="continue"/>
                  <w:tcBorders>
                    <w:tl2br w:val="nil"/>
                    <w:tr2bl w:val="nil"/>
                  </w:tcBorders>
                  <w:shd w:val="clear" w:color="auto" w:fill="auto"/>
                  <w:vAlign w:val="center"/>
                </w:tcPr>
                <w:p w14:paraId="00820E96">
                  <w:pPr>
                    <w:jc w:val="center"/>
                    <w:rPr>
                      <w:rFonts w:hint="default" w:ascii="Times New Roman" w:hAnsi="Times New Roman" w:eastAsia="宋体" w:cs="Times New Roman"/>
                      <w:i w:val="0"/>
                      <w:iCs w:val="0"/>
                      <w:color w:val="auto"/>
                      <w:sz w:val="21"/>
                      <w:szCs w:val="21"/>
                      <w:u w:val="none" w:color="auto"/>
                    </w:rPr>
                  </w:pPr>
                </w:p>
              </w:tc>
              <w:tc>
                <w:tcPr>
                  <w:tcW w:w="1036" w:type="pct"/>
                  <w:vMerge w:val="continue"/>
                  <w:tcBorders>
                    <w:tl2br w:val="nil"/>
                    <w:tr2bl w:val="nil"/>
                  </w:tcBorders>
                  <w:shd w:val="clear" w:color="auto" w:fill="auto"/>
                  <w:vAlign w:val="center"/>
                </w:tcPr>
                <w:p w14:paraId="1273F6A0">
                  <w:pPr>
                    <w:jc w:val="center"/>
                    <w:rPr>
                      <w:rFonts w:hint="default" w:ascii="Times New Roman" w:hAnsi="Times New Roman" w:eastAsia="宋体" w:cs="Times New Roman"/>
                      <w:i w:val="0"/>
                      <w:iCs w:val="0"/>
                      <w:color w:val="auto"/>
                      <w:sz w:val="21"/>
                      <w:szCs w:val="21"/>
                      <w:u w:val="none" w:color="auto"/>
                    </w:rPr>
                  </w:pPr>
                </w:p>
              </w:tc>
              <w:tc>
                <w:tcPr>
                  <w:tcW w:w="954" w:type="pct"/>
                  <w:tcBorders>
                    <w:tl2br w:val="nil"/>
                    <w:tr2bl w:val="nil"/>
                  </w:tcBorders>
                  <w:shd w:val="clear" w:color="auto" w:fill="auto"/>
                  <w:vAlign w:val="center"/>
                </w:tcPr>
                <w:p w14:paraId="671282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eastAsia" w:cs="Times New Roman"/>
                      <w:i w:val="0"/>
                      <w:iCs w:val="0"/>
                      <w:color w:val="auto"/>
                      <w:kern w:val="0"/>
                      <w:sz w:val="21"/>
                      <w:szCs w:val="21"/>
                      <w:u w:val="none" w:color="auto"/>
                      <w:lang w:val="en-US" w:eastAsia="zh-CN" w:bidi="ar"/>
                    </w:rPr>
                    <w:t>TP</w:t>
                  </w:r>
                </w:p>
              </w:tc>
              <w:tc>
                <w:tcPr>
                  <w:tcW w:w="796" w:type="pct"/>
                  <w:tcBorders>
                    <w:tl2br w:val="nil"/>
                    <w:tr2bl w:val="nil"/>
                  </w:tcBorders>
                  <w:shd w:val="clear" w:color="auto" w:fill="auto"/>
                  <w:vAlign w:val="center"/>
                </w:tcPr>
                <w:p w14:paraId="669C65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eastAsia" w:cs="Times New Roman"/>
                      <w:i w:val="0"/>
                      <w:iCs w:val="0"/>
                      <w:color w:val="auto"/>
                      <w:kern w:val="0"/>
                      <w:sz w:val="21"/>
                      <w:szCs w:val="21"/>
                      <w:u w:val="none" w:color="auto"/>
                      <w:lang w:val="en-US" w:eastAsia="zh-CN" w:bidi="ar"/>
                    </w:rPr>
                    <w:t>0.5</w:t>
                  </w:r>
                </w:p>
              </w:tc>
              <w:tc>
                <w:tcPr>
                  <w:tcW w:w="1350" w:type="dxa"/>
                  <w:tcBorders>
                    <w:tl2br w:val="nil"/>
                    <w:tr2bl w:val="nil"/>
                  </w:tcBorders>
                  <w:shd w:val="clear" w:color="auto" w:fill="auto"/>
                  <w:vAlign w:val="center"/>
                </w:tcPr>
                <w:p w14:paraId="346CA91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0.22745</w:t>
                  </w:r>
                </w:p>
              </w:tc>
              <w:tc>
                <w:tcPr>
                  <w:tcW w:w="1487" w:type="dxa"/>
                  <w:tcBorders>
                    <w:tl2br w:val="nil"/>
                    <w:tr2bl w:val="nil"/>
                  </w:tcBorders>
                  <w:shd w:val="clear" w:color="auto" w:fill="auto"/>
                  <w:vAlign w:val="center"/>
                </w:tcPr>
                <w:p w14:paraId="2FD32D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0.083</w:t>
                  </w:r>
                </w:p>
              </w:tc>
            </w:tr>
            <w:tr w14:paraId="0553E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91" w:type="pct"/>
                  <w:vMerge w:val="continue"/>
                  <w:tcBorders>
                    <w:tl2br w:val="nil"/>
                    <w:tr2bl w:val="nil"/>
                  </w:tcBorders>
                  <w:shd w:val="clear" w:color="auto" w:fill="auto"/>
                  <w:vAlign w:val="center"/>
                </w:tcPr>
                <w:p w14:paraId="0E0920AE">
                  <w:pPr>
                    <w:jc w:val="center"/>
                    <w:rPr>
                      <w:rFonts w:hint="default" w:ascii="Times New Roman" w:hAnsi="Times New Roman" w:eastAsia="宋体" w:cs="Times New Roman"/>
                      <w:i w:val="0"/>
                      <w:iCs w:val="0"/>
                      <w:color w:val="auto"/>
                      <w:sz w:val="21"/>
                      <w:szCs w:val="21"/>
                      <w:u w:val="none" w:color="auto"/>
                    </w:rPr>
                  </w:pPr>
                </w:p>
              </w:tc>
              <w:tc>
                <w:tcPr>
                  <w:tcW w:w="1036" w:type="pct"/>
                  <w:vMerge w:val="continue"/>
                  <w:tcBorders>
                    <w:tl2br w:val="nil"/>
                    <w:tr2bl w:val="nil"/>
                  </w:tcBorders>
                  <w:shd w:val="clear" w:color="auto" w:fill="auto"/>
                  <w:vAlign w:val="center"/>
                </w:tcPr>
                <w:p w14:paraId="0C7B4AA3">
                  <w:pPr>
                    <w:jc w:val="center"/>
                    <w:rPr>
                      <w:rFonts w:hint="default" w:ascii="Times New Roman" w:hAnsi="Times New Roman" w:eastAsia="宋体" w:cs="Times New Roman"/>
                      <w:i w:val="0"/>
                      <w:iCs w:val="0"/>
                      <w:color w:val="auto"/>
                      <w:sz w:val="21"/>
                      <w:szCs w:val="21"/>
                      <w:u w:val="none" w:color="auto"/>
                    </w:rPr>
                  </w:pPr>
                </w:p>
              </w:tc>
              <w:tc>
                <w:tcPr>
                  <w:tcW w:w="954" w:type="pct"/>
                  <w:tcBorders>
                    <w:tl2br w:val="nil"/>
                    <w:tr2bl w:val="nil"/>
                  </w:tcBorders>
                  <w:shd w:val="clear" w:color="auto" w:fill="auto"/>
                  <w:vAlign w:val="center"/>
                </w:tcPr>
                <w:p w14:paraId="5E31A85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lang w:val="en-US" w:eastAsia="zh-CN"/>
                    </w:rPr>
                  </w:pPr>
                  <w:r>
                    <w:rPr>
                      <w:rFonts w:hint="eastAsia" w:cs="Times New Roman"/>
                      <w:i w:val="0"/>
                      <w:iCs w:val="0"/>
                      <w:color w:val="auto"/>
                      <w:sz w:val="21"/>
                      <w:szCs w:val="21"/>
                      <w:u w:val="none" w:color="auto"/>
                      <w:lang w:val="en-US" w:eastAsia="zh-CN"/>
                    </w:rPr>
                    <w:t>TN</w:t>
                  </w:r>
                </w:p>
              </w:tc>
              <w:tc>
                <w:tcPr>
                  <w:tcW w:w="796" w:type="pct"/>
                  <w:tcBorders>
                    <w:tl2br w:val="nil"/>
                    <w:tr2bl w:val="nil"/>
                  </w:tcBorders>
                  <w:shd w:val="clear" w:color="auto" w:fill="auto"/>
                  <w:vAlign w:val="center"/>
                </w:tcPr>
                <w:p w14:paraId="51008E3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lang w:val="en-US"/>
                    </w:rPr>
                  </w:pPr>
                  <w:r>
                    <w:rPr>
                      <w:rFonts w:hint="default" w:ascii="Times New Roman" w:hAnsi="Times New Roman" w:eastAsia="宋体" w:cs="Times New Roman"/>
                      <w:i w:val="0"/>
                      <w:iCs w:val="0"/>
                      <w:color w:val="auto"/>
                      <w:kern w:val="0"/>
                      <w:sz w:val="21"/>
                      <w:szCs w:val="21"/>
                      <w:u w:val="none" w:color="auto"/>
                      <w:lang w:val="en-US" w:eastAsia="zh-CN" w:bidi="ar"/>
                    </w:rPr>
                    <w:t>1</w:t>
                  </w:r>
                  <w:r>
                    <w:rPr>
                      <w:rFonts w:hint="eastAsia" w:cs="Times New Roman"/>
                      <w:i w:val="0"/>
                      <w:iCs w:val="0"/>
                      <w:color w:val="auto"/>
                      <w:kern w:val="0"/>
                      <w:sz w:val="21"/>
                      <w:szCs w:val="21"/>
                      <w:u w:val="none" w:color="auto"/>
                      <w:lang w:val="en-US" w:eastAsia="zh-CN" w:bidi="ar"/>
                    </w:rPr>
                    <w:t>5</w:t>
                  </w:r>
                </w:p>
              </w:tc>
              <w:tc>
                <w:tcPr>
                  <w:tcW w:w="1350" w:type="dxa"/>
                  <w:tcBorders>
                    <w:tl2br w:val="nil"/>
                    <w:tr2bl w:val="nil"/>
                  </w:tcBorders>
                  <w:shd w:val="clear" w:color="auto" w:fill="auto"/>
                  <w:vAlign w:val="center"/>
                </w:tcPr>
                <w:p w14:paraId="5F2DF0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6.8235</w:t>
                  </w:r>
                </w:p>
              </w:tc>
              <w:tc>
                <w:tcPr>
                  <w:tcW w:w="1487" w:type="dxa"/>
                  <w:tcBorders>
                    <w:tl2br w:val="nil"/>
                    <w:tr2bl w:val="nil"/>
                  </w:tcBorders>
                  <w:shd w:val="clear" w:color="auto" w:fill="auto"/>
                  <w:vAlign w:val="center"/>
                </w:tcPr>
                <w:p w14:paraId="4E8A2B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2.49</w:t>
                  </w:r>
                  <w:r>
                    <w:rPr>
                      <w:rFonts w:hint="eastAsia" w:cs="Times New Roman"/>
                      <w:i w:val="0"/>
                      <w:iCs w:val="0"/>
                      <w:color w:val="000000"/>
                      <w:kern w:val="0"/>
                      <w:sz w:val="21"/>
                      <w:szCs w:val="21"/>
                      <w:u w:val="none"/>
                      <w:lang w:val="en-US" w:eastAsia="zh-CN" w:bidi="ar"/>
                    </w:rPr>
                    <w:t>1</w:t>
                  </w:r>
                </w:p>
              </w:tc>
            </w:tr>
            <w:tr w14:paraId="6EEAE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427" w:type="pct"/>
                  <w:gridSpan w:val="2"/>
                  <w:vMerge w:val="restart"/>
                  <w:tcBorders>
                    <w:tl2br w:val="nil"/>
                    <w:tr2bl w:val="nil"/>
                  </w:tcBorders>
                  <w:shd w:val="clear" w:color="auto" w:fill="auto"/>
                  <w:vAlign w:val="center"/>
                </w:tcPr>
                <w:p w14:paraId="631C7F7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排放口合计</w:t>
                  </w:r>
                </w:p>
              </w:tc>
              <w:tc>
                <w:tcPr>
                  <w:tcW w:w="4068" w:type="dxa"/>
                  <w:gridSpan w:val="3"/>
                  <w:tcBorders>
                    <w:tl2br w:val="nil"/>
                    <w:tr2bl w:val="nil"/>
                  </w:tcBorders>
                  <w:shd w:val="clear" w:color="auto" w:fill="auto"/>
                  <w:vAlign w:val="center"/>
                </w:tcPr>
                <w:p w14:paraId="3B44FA1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COD</w:t>
                  </w:r>
                </w:p>
              </w:tc>
              <w:tc>
                <w:tcPr>
                  <w:tcW w:w="1487" w:type="dxa"/>
                  <w:tcBorders>
                    <w:tl2br w:val="nil"/>
                    <w:tr2bl w:val="nil"/>
                  </w:tcBorders>
                  <w:shd w:val="clear" w:color="auto" w:fill="auto"/>
                  <w:vAlign w:val="center"/>
                </w:tcPr>
                <w:p w14:paraId="71063983">
                  <w:pPr>
                    <w:keepNext w:val="0"/>
                    <w:keepLines w:val="0"/>
                    <w:widowControl/>
                    <w:suppressLineNumbers w:val="0"/>
                    <w:jc w:val="center"/>
                    <w:textAlignment w:val="center"/>
                    <w:rPr>
                      <w:rFonts w:hint="default" w:ascii="Times New Roman" w:hAnsi="Times New Roman" w:eastAsia="宋体" w:cs="Times New Roman"/>
                      <w:b/>
                      <w:bCs/>
                      <w:i w:val="0"/>
                      <w:iCs w:val="0"/>
                      <w:color w:val="FF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8.30</w:t>
                  </w:r>
                  <w:r>
                    <w:rPr>
                      <w:rFonts w:hint="eastAsia" w:cs="Times New Roman"/>
                      <w:i w:val="0"/>
                      <w:iCs w:val="0"/>
                      <w:color w:val="000000"/>
                      <w:kern w:val="0"/>
                      <w:sz w:val="21"/>
                      <w:szCs w:val="21"/>
                      <w:u w:val="none"/>
                      <w:lang w:val="en-US" w:eastAsia="zh-CN" w:bidi="ar"/>
                    </w:rPr>
                    <w:t>2</w:t>
                  </w:r>
                </w:p>
              </w:tc>
            </w:tr>
            <w:tr w14:paraId="413FB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427" w:type="pct"/>
                  <w:gridSpan w:val="2"/>
                  <w:vMerge w:val="continue"/>
                  <w:tcBorders>
                    <w:tl2br w:val="nil"/>
                    <w:tr2bl w:val="nil"/>
                  </w:tcBorders>
                  <w:shd w:val="clear" w:color="auto" w:fill="auto"/>
                  <w:vAlign w:val="center"/>
                </w:tcPr>
                <w:p w14:paraId="68918E74">
                  <w:pPr>
                    <w:jc w:val="center"/>
                    <w:rPr>
                      <w:rFonts w:hint="default" w:ascii="Times New Roman" w:hAnsi="Times New Roman" w:eastAsia="宋体" w:cs="Times New Roman"/>
                      <w:i w:val="0"/>
                      <w:iCs w:val="0"/>
                      <w:color w:val="auto"/>
                      <w:sz w:val="21"/>
                      <w:szCs w:val="21"/>
                      <w:u w:val="none" w:color="auto"/>
                    </w:rPr>
                  </w:pPr>
                </w:p>
              </w:tc>
              <w:tc>
                <w:tcPr>
                  <w:tcW w:w="4068" w:type="dxa"/>
                  <w:gridSpan w:val="3"/>
                  <w:tcBorders>
                    <w:tl2br w:val="nil"/>
                    <w:tr2bl w:val="nil"/>
                  </w:tcBorders>
                  <w:shd w:val="clear" w:color="auto" w:fill="auto"/>
                  <w:vAlign w:val="center"/>
                </w:tcPr>
                <w:p w14:paraId="05B0D23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BOD</w:t>
                  </w:r>
                  <w:r>
                    <w:rPr>
                      <w:rStyle w:val="66"/>
                      <w:rFonts w:hint="default" w:ascii="Times New Roman" w:hAnsi="Times New Roman" w:eastAsia="宋体" w:cs="Times New Roman"/>
                      <w:color w:val="auto"/>
                      <w:sz w:val="21"/>
                      <w:szCs w:val="21"/>
                      <w:u w:val="none" w:color="auto"/>
                      <w:vertAlign w:val="subscript"/>
                      <w:lang w:val="en-US" w:eastAsia="zh-CN" w:bidi="ar"/>
                    </w:rPr>
                    <w:t>5</w:t>
                  </w:r>
                </w:p>
              </w:tc>
              <w:tc>
                <w:tcPr>
                  <w:tcW w:w="1487" w:type="dxa"/>
                  <w:tcBorders>
                    <w:tl2br w:val="nil"/>
                    <w:tr2bl w:val="nil"/>
                  </w:tcBorders>
                  <w:shd w:val="clear" w:color="auto" w:fill="auto"/>
                  <w:vAlign w:val="center"/>
                </w:tcPr>
                <w:p w14:paraId="308EDFDC">
                  <w:pPr>
                    <w:keepNext w:val="0"/>
                    <w:keepLines w:val="0"/>
                    <w:widowControl/>
                    <w:suppressLineNumbers w:val="0"/>
                    <w:jc w:val="center"/>
                    <w:textAlignment w:val="center"/>
                    <w:rPr>
                      <w:rFonts w:hint="default" w:ascii="Times New Roman" w:hAnsi="Times New Roman" w:eastAsia="宋体" w:cs="Times New Roman"/>
                      <w:b/>
                      <w:bCs/>
                      <w:i w:val="0"/>
                      <w:iCs w:val="0"/>
                      <w:color w:val="FF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1.66</w:t>
                  </w:r>
                </w:p>
              </w:tc>
            </w:tr>
            <w:tr w14:paraId="63F4A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427" w:type="pct"/>
                  <w:gridSpan w:val="2"/>
                  <w:vMerge w:val="continue"/>
                  <w:tcBorders>
                    <w:tl2br w:val="nil"/>
                    <w:tr2bl w:val="nil"/>
                  </w:tcBorders>
                  <w:shd w:val="clear" w:color="auto" w:fill="auto"/>
                  <w:vAlign w:val="center"/>
                </w:tcPr>
                <w:p w14:paraId="1E763B85">
                  <w:pPr>
                    <w:jc w:val="center"/>
                    <w:rPr>
                      <w:rFonts w:hint="default" w:ascii="Times New Roman" w:hAnsi="Times New Roman" w:eastAsia="宋体" w:cs="Times New Roman"/>
                      <w:i w:val="0"/>
                      <w:iCs w:val="0"/>
                      <w:color w:val="auto"/>
                      <w:sz w:val="21"/>
                      <w:szCs w:val="21"/>
                      <w:u w:val="none" w:color="auto"/>
                    </w:rPr>
                  </w:pPr>
                </w:p>
              </w:tc>
              <w:tc>
                <w:tcPr>
                  <w:tcW w:w="4068" w:type="dxa"/>
                  <w:gridSpan w:val="3"/>
                  <w:tcBorders>
                    <w:tl2br w:val="nil"/>
                    <w:tr2bl w:val="nil"/>
                  </w:tcBorders>
                  <w:shd w:val="clear" w:color="auto" w:fill="auto"/>
                  <w:vAlign w:val="center"/>
                </w:tcPr>
                <w:p w14:paraId="0249AE3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SS</w:t>
                  </w:r>
                </w:p>
              </w:tc>
              <w:tc>
                <w:tcPr>
                  <w:tcW w:w="1487" w:type="dxa"/>
                  <w:tcBorders>
                    <w:tl2br w:val="nil"/>
                    <w:tr2bl w:val="nil"/>
                  </w:tcBorders>
                  <w:shd w:val="clear" w:color="auto" w:fill="auto"/>
                  <w:vAlign w:val="center"/>
                </w:tcPr>
                <w:p w14:paraId="7A426C37">
                  <w:pPr>
                    <w:keepNext w:val="0"/>
                    <w:keepLines w:val="0"/>
                    <w:widowControl/>
                    <w:suppressLineNumbers w:val="0"/>
                    <w:jc w:val="center"/>
                    <w:textAlignment w:val="center"/>
                    <w:rPr>
                      <w:rFonts w:hint="default" w:ascii="Times New Roman" w:hAnsi="Times New Roman" w:eastAsia="宋体" w:cs="Times New Roman"/>
                      <w:b/>
                      <w:bCs/>
                      <w:i w:val="0"/>
                      <w:iCs w:val="0"/>
                      <w:color w:val="FF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1.66</w:t>
                  </w:r>
                </w:p>
              </w:tc>
            </w:tr>
            <w:tr w14:paraId="078A0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427" w:type="pct"/>
                  <w:gridSpan w:val="2"/>
                  <w:vMerge w:val="continue"/>
                  <w:tcBorders>
                    <w:tl2br w:val="nil"/>
                    <w:tr2bl w:val="nil"/>
                  </w:tcBorders>
                  <w:shd w:val="clear" w:color="auto" w:fill="auto"/>
                  <w:vAlign w:val="center"/>
                </w:tcPr>
                <w:p w14:paraId="3532E42A">
                  <w:pPr>
                    <w:jc w:val="center"/>
                    <w:rPr>
                      <w:rFonts w:hint="default" w:ascii="Times New Roman" w:hAnsi="Times New Roman" w:eastAsia="宋体" w:cs="Times New Roman"/>
                      <w:i w:val="0"/>
                      <w:iCs w:val="0"/>
                      <w:color w:val="auto"/>
                      <w:sz w:val="21"/>
                      <w:szCs w:val="21"/>
                      <w:u w:val="none" w:color="auto"/>
                    </w:rPr>
                  </w:pPr>
                </w:p>
              </w:tc>
              <w:tc>
                <w:tcPr>
                  <w:tcW w:w="4068" w:type="dxa"/>
                  <w:gridSpan w:val="3"/>
                  <w:tcBorders>
                    <w:tl2br w:val="nil"/>
                    <w:tr2bl w:val="nil"/>
                  </w:tcBorders>
                  <w:shd w:val="clear" w:color="auto" w:fill="auto"/>
                  <w:vAlign w:val="center"/>
                </w:tcPr>
                <w:p w14:paraId="2828FB0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0"/>
                      <w:sz w:val="21"/>
                      <w:szCs w:val="21"/>
                      <w:u w:val="none" w:color="auto"/>
                      <w:lang w:val="en-US" w:eastAsia="zh-CN" w:bidi="ar"/>
                    </w:rPr>
                    <w:t>氨氮</w:t>
                  </w:r>
                </w:p>
              </w:tc>
              <w:tc>
                <w:tcPr>
                  <w:tcW w:w="1487" w:type="dxa"/>
                  <w:tcBorders>
                    <w:tl2br w:val="nil"/>
                    <w:tr2bl w:val="nil"/>
                  </w:tcBorders>
                  <w:shd w:val="clear" w:color="auto" w:fill="auto"/>
                  <w:vAlign w:val="center"/>
                </w:tcPr>
                <w:p w14:paraId="470CA0C3">
                  <w:pPr>
                    <w:keepNext w:val="0"/>
                    <w:keepLines w:val="0"/>
                    <w:widowControl/>
                    <w:suppressLineNumbers w:val="0"/>
                    <w:jc w:val="center"/>
                    <w:textAlignment w:val="center"/>
                    <w:rPr>
                      <w:rFonts w:hint="default" w:ascii="Times New Roman" w:hAnsi="Times New Roman" w:eastAsia="宋体" w:cs="Times New Roman"/>
                      <w:b/>
                      <w:bCs/>
                      <w:i w:val="0"/>
                      <w:iCs w:val="0"/>
                      <w:color w:val="FF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0.83</w:t>
                  </w:r>
                </w:p>
              </w:tc>
            </w:tr>
            <w:tr w14:paraId="7E68A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427" w:type="pct"/>
                  <w:gridSpan w:val="2"/>
                  <w:vMerge w:val="continue"/>
                  <w:tcBorders>
                    <w:tl2br w:val="nil"/>
                    <w:tr2bl w:val="nil"/>
                  </w:tcBorders>
                  <w:shd w:val="clear" w:color="auto" w:fill="auto"/>
                  <w:vAlign w:val="center"/>
                </w:tcPr>
                <w:p w14:paraId="2AE2BAE9">
                  <w:pPr>
                    <w:jc w:val="center"/>
                    <w:rPr>
                      <w:rFonts w:hint="default" w:ascii="Times New Roman" w:hAnsi="Times New Roman" w:eastAsia="宋体" w:cs="Times New Roman"/>
                      <w:i w:val="0"/>
                      <w:iCs w:val="0"/>
                      <w:color w:val="auto"/>
                      <w:sz w:val="21"/>
                      <w:szCs w:val="21"/>
                      <w:u w:val="none" w:color="auto"/>
                    </w:rPr>
                  </w:pPr>
                </w:p>
              </w:tc>
              <w:tc>
                <w:tcPr>
                  <w:tcW w:w="4068" w:type="dxa"/>
                  <w:gridSpan w:val="3"/>
                  <w:tcBorders>
                    <w:tl2br w:val="nil"/>
                    <w:tr2bl w:val="nil"/>
                  </w:tcBorders>
                  <w:shd w:val="clear" w:color="auto" w:fill="auto"/>
                  <w:vAlign w:val="center"/>
                </w:tcPr>
                <w:p w14:paraId="414EFD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eastAsia" w:cs="Times New Roman"/>
                      <w:i w:val="0"/>
                      <w:iCs w:val="0"/>
                      <w:color w:val="auto"/>
                      <w:kern w:val="0"/>
                      <w:sz w:val="21"/>
                      <w:szCs w:val="21"/>
                      <w:u w:val="none" w:color="auto"/>
                      <w:lang w:val="en-US" w:eastAsia="zh-CN" w:bidi="ar"/>
                    </w:rPr>
                    <w:t>TP</w:t>
                  </w:r>
                </w:p>
              </w:tc>
              <w:tc>
                <w:tcPr>
                  <w:tcW w:w="1487" w:type="dxa"/>
                  <w:tcBorders>
                    <w:tl2br w:val="nil"/>
                    <w:tr2bl w:val="nil"/>
                  </w:tcBorders>
                  <w:shd w:val="clear" w:color="auto" w:fill="auto"/>
                  <w:vAlign w:val="center"/>
                </w:tcPr>
                <w:p w14:paraId="420443E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0.083</w:t>
                  </w:r>
                </w:p>
              </w:tc>
            </w:tr>
            <w:tr w14:paraId="65977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427" w:type="pct"/>
                  <w:gridSpan w:val="2"/>
                  <w:vMerge w:val="continue"/>
                  <w:tcBorders>
                    <w:tl2br w:val="nil"/>
                    <w:tr2bl w:val="nil"/>
                  </w:tcBorders>
                  <w:shd w:val="clear" w:color="auto" w:fill="auto"/>
                  <w:vAlign w:val="center"/>
                </w:tcPr>
                <w:p w14:paraId="7248FF45">
                  <w:pPr>
                    <w:jc w:val="center"/>
                    <w:rPr>
                      <w:rFonts w:hint="default" w:ascii="Times New Roman" w:hAnsi="Times New Roman" w:eastAsia="宋体" w:cs="Times New Roman"/>
                      <w:i w:val="0"/>
                      <w:iCs w:val="0"/>
                      <w:color w:val="auto"/>
                      <w:sz w:val="21"/>
                      <w:szCs w:val="21"/>
                      <w:u w:val="none" w:color="auto"/>
                    </w:rPr>
                  </w:pPr>
                </w:p>
              </w:tc>
              <w:tc>
                <w:tcPr>
                  <w:tcW w:w="4068" w:type="dxa"/>
                  <w:gridSpan w:val="3"/>
                  <w:tcBorders>
                    <w:tl2br w:val="nil"/>
                    <w:tr2bl w:val="nil"/>
                  </w:tcBorders>
                  <w:shd w:val="clear" w:color="auto" w:fill="auto"/>
                  <w:vAlign w:val="center"/>
                </w:tcPr>
                <w:p w14:paraId="13BBA4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eastAsia" w:cs="Times New Roman"/>
                      <w:i w:val="0"/>
                      <w:iCs w:val="0"/>
                      <w:color w:val="auto"/>
                      <w:sz w:val="21"/>
                      <w:szCs w:val="21"/>
                      <w:u w:val="none" w:color="auto"/>
                      <w:lang w:val="en-US" w:eastAsia="zh-CN"/>
                    </w:rPr>
                    <w:t>TN</w:t>
                  </w:r>
                </w:p>
              </w:tc>
              <w:tc>
                <w:tcPr>
                  <w:tcW w:w="1487" w:type="dxa"/>
                  <w:tcBorders>
                    <w:tl2br w:val="nil"/>
                    <w:tr2bl w:val="nil"/>
                  </w:tcBorders>
                  <w:shd w:val="clear" w:color="auto" w:fill="auto"/>
                  <w:vAlign w:val="center"/>
                </w:tcPr>
                <w:p w14:paraId="0D0B1D30">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2.49</w:t>
                  </w:r>
                  <w:r>
                    <w:rPr>
                      <w:rFonts w:hint="eastAsia" w:cs="Times New Roman"/>
                      <w:i w:val="0"/>
                      <w:iCs w:val="0"/>
                      <w:color w:val="000000"/>
                      <w:kern w:val="0"/>
                      <w:sz w:val="21"/>
                      <w:szCs w:val="21"/>
                      <w:u w:val="none"/>
                      <w:lang w:val="en-US" w:eastAsia="zh-CN" w:bidi="ar"/>
                    </w:rPr>
                    <w:t>1</w:t>
                  </w:r>
                </w:p>
              </w:tc>
            </w:tr>
          </w:tbl>
          <w:p w14:paraId="09EED728">
            <w:pPr>
              <w:pStyle w:val="20"/>
              <w:ind w:firstLine="482"/>
              <w:rPr>
                <w:rFonts w:hint="eastAsia"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3、废水处理的可行性分析</w:t>
            </w:r>
          </w:p>
          <w:p w14:paraId="50CFC1FC">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right="0" w:rightChars="0" w:firstLine="480" w:firstLineChars="200"/>
              <w:textAlignment w:val="auto"/>
              <w:rPr>
                <w:rFonts w:hint="default" w:ascii="Times New Roman" w:hAnsi="Times New Roman" w:cs="Times New Roman"/>
                <w:b w:val="0"/>
                <w:bCs w:val="0"/>
                <w:color w:val="auto"/>
                <w:kern w:val="2"/>
                <w:sz w:val="24"/>
                <w:szCs w:val="24"/>
                <w:lang w:val="en-US" w:eastAsia="zh-CN" w:bidi="ar-SA"/>
              </w:rPr>
            </w:pPr>
            <w:r>
              <w:rPr>
                <w:rFonts w:hint="default" w:ascii="Times New Roman" w:hAnsi="Times New Roman" w:cs="Times New Roman"/>
                <w:b w:val="0"/>
                <w:bCs w:val="0"/>
                <w:color w:val="auto"/>
                <w:sz w:val="24"/>
                <w:szCs w:val="24"/>
                <w:u w:val="none" w:color="auto"/>
                <w:lang w:val="en-US" w:eastAsia="zh-CN"/>
              </w:rPr>
              <w:t>①废水设施处理可行性分析</w:t>
            </w:r>
          </w:p>
          <w:p w14:paraId="2535E3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项目生活污水经厂区办公区现有化粪池处理后，通过厂区排污管道在废水总排口处排入区域内城市污水收集管网，最终进岳阳马壕水质净化中心深度处理。化粪池是处理粪便并加以过滤沉淀的设施。其原理是固化物在池底分解，上层的水化物进入管道流走，防止了管道堵塞，给固化物体</w:t>
            </w:r>
            <w:r>
              <w:rPr>
                <w:rFonts w:hint="default"/>
                <w:b w:val="0"/>
                <w:bCs w:val="0"/>
                <w:color w:val="auto"/>
                <w:sz w:val="24"/>
                <w:u w:val="none"/>
                <w:lang w:val="en-US" w:eastAsia="zh-CN"/>
              </w:rPr>
              <w:t>(</w:t>
            </w:r>
            <w:r>
              <w:rPr>
                <w:rFonts w:hint="eastAsia"/>
                <w:b w:val="0"/>
                <w:bCs w:val="0"/>
                <w:color w:val="auto"/>
                <w:sz w:val="24"/>
                <w:u w:val="none"/>
                <w:lang w:val="en-US" w:eastAsia="zh-CN"/>
              </w:rPr>
              <w:t>粪便等垃圾</w:t>
            </w:r>
            <w:r>
              <w:rPr>
                <w:rFonts w:hint="default"/>
                <w:b w:val="0"/>
                <w:bCs w:val="0"/>
                <w:color w:val="auto"/>
                <w:sz w:val="24"/>
                <w:u w:val="none"/>
                <w:lang w:val="en-US" w:eastAsia="zh-CN"/>
              </w:rPr>
              <w:t>)</w:t>
            </w:r>
            <w:r>
              <w:rPr>
                <w:rFonts w:hint="eastAsia"/>
                <w:b w:val="0"/>
                <w:bCs w:val="0"/>
                <w:color w:val="auto"/>
                <w:sz w:val="24"/>
                <w:u w:val="none"/>
                <w:lang w:val="en-US" w:eastAsia="zh-CN"/>
              </w:rPr>
              <w:t>有充足的时间水解。根据《排污许可证申请与核发技术规范总则》（</w:t>
            </w:r>
            <w:r>
              <w:rPr>
                <w:rFonts w:hint="default"/>
                <w:b w:val="0"/>
                <w:bCs w:val="0"/>
                <w:color w:val="auto"/>
                <w:sz w:val="24"/>
                <w:u w:val="none"/>
                <w:lang w:val="en-US" w:eastAsia="zh-CN"/>
              </w:rPr>
              <w:t>HJ942-2018</w:t>
            </w:r>
            <w:r>
              <w:rPr>
                <w:rFonts w:hint="eastAsia"/>
                <w:b w:val="0"/>
                <w:bCs w:val="0"/>
                <w:color w:val="auto"/>
                <w:sz w:val="24"/>
                <w:u w:val="none"/>
                <w:lang w:val="en-US" w:eastAsia="zh-CN"/>
              </w:rPr>
              <w:t>）中有关内容，生活污水采用化粪池</w:t>
            </w:r>
            <w:r>
              <w:rPr>
                <w:rFonts w:hint="default"/>
                <w:b w:val="0"/>
                <w:bCs w:val="0"/>
                <w:color w:val="auto"/>
                <w:sz w:val="24"/>
                <w:u w:val="none"/>
                <w:lang w:val="en-US" w:eastAsia="zh-CN"/>
              </w:rPr>
              <w:t>(</w:t>
            </w:r>
            <w:r>
              <w:rPr>
                <w:rFonts w:hint="eastAsia"/>
                <w:b w:val="0"/>
                <w:bCs w:val="0"/>
                <w:color w:val="auto"/>
                <w:sz w:val="24"/>
                <w:u w:val="none"/>
                <w:lang w:val="en-US" w:eastAsia="zh-CN"/>
              </w:rPr>
              <w:t>沉淀</w:t>
            </w:r>
            <w:r>
              <w:rPr>
                <w:rFonts w:hint="default"/>
                <w:b w:val="0"/>
                <w:bCs w:val="0"/>
                <w:color w:val="auto"/>
                <w:sz w:val="24"/>
                <w:u w:val="none"/>
                <w:lang w:val="en-US" w:eastAsia="zh-CN"/>
              </w:rPr>
              <w:t>+</w:t>
            </w:r>
            <w:r>
              <w:rPr>
                <w:rFonts w:hint="eastAsia"/>
                <w:b w:val="0"/>
                <w:bCs w:val="0"/>
                <w:color w:val="auto"/>
                <w:sz w:val="24"/>
                <w:u w:val="none"/>
                <w:lang w:val="en-US" w:eastAsia="zh-CN"/>
              </w:rPr>
              <w:t>厌氧</w:t>
            </w:r>
            <w:r>
              <w:rPr>
                <w:rFonts w:hint="default"/>
                <w:b w:val="0"/>
                <w:bCs w:val="0"/>
                <w:color w:val="auto"/>
                <w:sz w:val="24"/>
                <w:u w:val="none"/>
                <w:lang w:val="en-US" w:eastAsia="zh-CN"/>
              </w:rPr>
              <w:t>)</w:t>
            </w:r>
            <w:r>
              <w:rPr>
                <w:rFonts w:hint="eastAsia"/>
                <w:b w:val="0"/>
                <w:bCs w:val="0"/>
                <w:color w:val="auto"/>
                <w:sz w:val="24"/>
                <w:u w:val="none"/>
                <w:lang w:val="en-US" w:eastAsia="zh-CN"/>
              </w:rPr>
              <w:t>进行处理，为可行技术。</w:t>
            </w:r>
          </w:p>
          <w:p w14:paraId="427407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项目运营期产生的生产废水主要为</w:t>
            </w:r>
            <w:r>
              <w:rPr>
                <w:rFonts w:hint="eastAsia"/>
                <w:b w:val="0"/>
                <w:bCs w:val="0"/>
                <w:color w:val="auto"/>
                <w:sz w:val="24"/>
                <w:u w:val="single"/>
                <w:lang w:val="en-US" w:eastAsia="zh-CN"/>
              </w:rPr>
              <w:t>絮凝沉淀产生的排泥渣水、滤池反冲洗水，排泥渣水全部进入排泥水池；滤池冲洗水全部进入回收水池（同时污泥处理车间污泥浓缩在贮泥池上清液进入回收水池），回收水池中上清液约占95%经回用水泵抽入生产线进水分配井回用于制水生产利用、下层底泥砂水约占5%进入排泥水池，进入排泥水池的生产区废水全部进污泥处理车间进行排泥后，最终离心脱水产生的废水达标外排。</w:t>
            </w:r>
            <w:r>
              <w:rPr>
                <w:rFonts w:hint="eastAsia"/>
                <w:b w:val="0"/>
                <w:bCs w:val="0"/>
                <w:color w:val="auto"/>
                <w:sz w:val="24"/>
                <w:u w:val="none"/>
                <w:lang w:val="en-US" w:eastAsia="zh-CN"/>
              </w:rPr>
              <w:t>项目废水处理流程见下图：</w:t>
            </w:r>
          </w:p>
          <w:p w14:paraId="19113D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p>
          <w:p w14:paraId="5E3BF8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color w:val="auto"/>
                <w:sz w:val="24"/>
                <w:u w:val="none"/>
                <w:lang w:val="en-US" w:eastAsia="zh-CN"/>
              </w:rPr>
            </w:pPr>
          </w:p>
          <w:p w14:paraId="3CCAE4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color w:val="auto"/>
                <w:sz w:val="24"/>
                <w:u w:val="none"/>
                <w:lang w:val="en-US" w:eastAsia="zh-CN"/>
              </w:rPr>
            </w:pPr>
            <w:r>
              <w:rPr>
                <w:sz w:val="24"/>
              </w:rPr>
              <mc:AlternateContent>
                <mc:Choice Requires="wpg">
                  <w:drawing>
                    <wp:anchor distT="0" distB="0" distL="114300" distR="114300" simplePos="0" relativeHeight="251660288" behindDoc="0" locked="0" layoutInCell="1" allowOverlap="1">
                      <wp:simplePos x="0" y="0"/>
                      <wp:positionH relativeFrom="column">
                        <wp:posOffset>217805</wp:posOffset>
                      </wp:positionH>
                      <wp:positionV relativeFrom="paragraph">
                        <wp:posOffset>281940</wp:posOffset>
                      </wp:positionV>
                      <wp:extent cx="4427220" cy="2254250"/>
                      <wp:effectExtent l="4445" t="0" r="0" b="0"/>
                      <wp:wrapNone/>
                      <wp:docPr id="47" name="组合 47"/>
                      <wp:cNvGraphicFramePr/>
                      <a:graphic xmlns:a="http://schemas.openxmlformats.org/drawingml/2006/main">
                        <a:graphicData uri="http://schemas.microsoft.com/office/word/2010/wordprocessingGroup">
                          <wpg:wgp>
                            <wpg:cNvGrpSpPr/>
                            <wpg:grpSpPr>
                              <a:xfrm>
                                <a:off x="0" y="0"/>
                                <a:ext cx="4427220" cy="2254250"/>
                                <a:chOff x="4306" y="678918"/>
                                <a:chExt cx="6972" cy="3550"/>
                              </a:xfrm>
                            </wpg:grpSpPr>
                            <wps:wsp>
                              <wps:cNvPr id="10" name="文本框 10"/>
                              <wps:cNvSpPr txBox="1"/>
                              <wps:spPr>
                                <a:xfrm>
                                  <a:off x="4306" y="679282"/>
                                  <a:ext cx="1450" cy="48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228F6A7">
                                    <w:pPr>
                                      <w:jc w:val="center"/>
                                      <w:rPr>
                                        <w:rFonts w:hint="default" w:eastAsia="宋体"/>
                                        <w:lang w:val="en-US" w:eastAsia="zh-CN"/>
                                      </w:rPr>
                                    </w:pPr>
                                    <w:r>
                                      <w:rPr>
                                        <w:rFonts w:hint="eastAsia"/>
                                        <w:lang w:val="en-US" w:eastAsia="zh-CN"/>
                                      </w:rPr>
                                      <w:t>1#线反应池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 name="文本框 11"/>
                              <wps:cNvSpPr txBox="1"/>
                              <wps:spPr>
                                <a:xfrm>
                                  <a:off x="6469" y="679276"/>
                                  <a:ext cx="1450" cy="48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041D506">
                                    <w:pPr>
                                      <w:jc w:val="center"/>
                                      <w:rPr>
                                        <w:rFonts w:hint="default" w:eastAsia="宋体"/>
                                        <w:lang w:val="en-US" w:eastAsia="zh-CN"/>
                                      </w:rPr>
                                    </w:pPr>
                                    <w:r>
                                      <w:rPr>
                                        <w:rFonts w:hint="eastAsia"/>
                                        <w:lang w:val="en-US" w:eastAsia="zh-CN"/>
                                      </w:rPr>
                                      <w:t>2#线反应池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 name="文本框 12"/>
                              <wps:cNvSpPr txBox="1"/>
                              <wps:spPr>
                                <a:xfrm>
                                  <a:off x="8623" y="679280"/>
                                  <a:ext cx="1450" cy="48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1CA1F39">
                                    <w:pPr>
                                      <w:jc w:val="center"/>
                                      <w:rPr>
                                        <w:rFonts w:hint="default" w:eastAsia="宋体"/>
                                        <w:lang w:val="en-US" w:eastAsia="zh-CN"/>
                                      </w:rPr>
                                    </w:pPr>
                                    <w:r>
                                      <w:rPr>
                                        <w:rFonts w:hint="eastAsia"/>
                                        <w:lang w:val="en-US" w:eastAsia="zh-CN"/>
                                      </w:rPr>
                                      <w:t>3#线反应池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 name="直接连接符 13"/>
                              <wps:cNvCnPr/>
                              <wps:spPr>
                                <a:xfrm>
                                  <a:off x="10769" y="679021"/>
                                  <a:ext cx="13" cy="1514"/>
                                </a:xfrm>
                                <a:prstGeom prst="line">
                                  <a:avLst/>
                                </a:prstGeom>
                                <a:ln w="12700" cap="flat" cmpd="sng" algn="ctr">
                                  <a:solidFill>
                                    <a:schemeClr val="tx1"/>
                                  </a:solidFill>
                                  <a:prstDash val="dash"/>
                                  <a:miter lim="800000"/>
                                </a:ln>
                              </wps:spPr>
                              <wps:style>
                                <a:lnRef idx="0">
                                  <a:schemeClr val="accent1"/>
                                </a:lnRef>
                                <a:fillRef idx="0">
                                  <a:srgbClr val="FFFFFF"/>
                                </a:fillRef>
                                <a:effectRef idx="0">
                                  <a:srgbClr val="FFFFFF"/>
                                </a:effectRef>
                                <a:fontRef idx="minor">
                                  <a:schemeClr val="tx1"/>
                                </a:fontRef>
                              </wps:style>
                              <wps:bodyPr/>
                            </wps:wsp>
                            <wps:wsp>
                              <wps:cNvPr id="14" name="直接连接符 14"/>
                              <wps:cNvCnPr/>
                              <wps:spPr>
                                <a:xfrm>
                                  <a:off x="4814" y="679754"/>
                                  <a:ext cx="8" cy="994"/>
                                </a:xfrm>
                                <a:prstGeom prst="line">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15" name="直接连接符 15"/>
                              <wps:cNvCnPr/>
                              <wps:spPr>
                                <a:xfrm>
                                  <a:off x="7353" y="680727"/>
                                  <a:ext cx="0" cy="626"/>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6" name="直接连接符 16"/>
                              <wps:cNvCnPr/>
                              <wps:spPr>
                                <a:xfrm flipH="1">
                                  <a:off x="8727" y="679761"/>
                                  <a:ext cx="3" cy="326"/>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7" name="文本框 17"/>
                              <wps:cNvSpPr txBox="1"/>
                              <wps:spPr>
                                <a:xfrm>
                                  <a:off x="9657" y="680470"/>
                                  <a:ext cx="1450" cy="48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E9A0EE">
                                    <w:pPr>
                                      <w:jc w:val="center"/>
                                      <w:rPr>
                                        <w:rFonts w:hint="default" w:eastAsia="宋体"/>
                                        <w:lang w:val="en-US" w:eastAsia="zh-CN"/>
                                      </w:rPr>
                                    </w:pPr>
                                    <w:r>
                                      <w:rPr>
                                        <w:rFonts w:hint="eastAsia"/>
                                        <w:lang w:val="en-US" w:eastAsia="zh-CN"/>
                                      </w:rPr>
                                      <w:t>回收水池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 name="直接连接符 19"/>
                              <wps:cNvCnPr/>
                              <wps:spPr>
                                <a:xfrm flipH="1">
                                  <a:off x="4985" y="681597"/>
                                  <a:ext cx="1329" cy="3"/>
                                </a:xfrm>
                                <a:prstGeom prst="line">
                                  <a:avLst/>
                                </a:prstGeom>
                                <a:ln>
                                  <a:solidFill>
                                    <a:schemeClr val="tx1"/>
                                  </a:solidFill>
                                  <a:headEnd type="triangle"/>
                                  <a:tailEnd type="none"/>
                                </a:ln>
                              </wps:spPr>
                              <wps:style>
                                <a:lnRef idx="2">
                                  <a:schemeClr val="accent1"/>
                                </a:lnRef>
                                <a:fillRef idx="0">
                                  <a:srgbClr val="FFFFFF"/>
                                </a:fillRef>
                                <a:effectRef idx="0">
                                  <a:srgbClr val="FFFFFF"/>
                                </a:effectRef>
                                <a:fontRef idx="minor">
                                  <a:schemeClr val="tx1"/>
                                </a:fontRef>
                              </wps:style>
                              <wps:bodyPr/>
                            </wps:wsp>
                            <wps:wsp>
                              <wps:cNvPr id="21" name="直接连接符 21"/>
                              <wps:cNvCnPr>
                                <a:endCxn id="25" idx="0"/>
                              </wps:cNvCnPr>
                              <wps:spPr>
                                <a:xfrm>
                                  <a:off x="5238" y="680554"/>
                                  <a:ext cx="3" cy="204"/>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2" name="直接连接符 22"/>
                              <wps:cNvCnPr/>
                              <wps:spPr>
                                <a:xfrm>
                                  <a:off x="4994" y="681235"/>
                                  <a:ext cx="6" cy="362"/>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3" name="直接连接符 23"/>
                              <wps:cNvCnPr/>
                              <wps:spPr>
                                <a:xfrm>
                                  <a:off x="9993" y="680164"/>
                                  <a:ext cx="7" cy="306"/>
                                </a:xfrm>
                                <a:prstGeom prst="line">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24" name="直接连接符 24"/>
                              <wps:cNvCnPr/>
                              <wps:spPr>
                                <a:xfrm flipH="1" flipV="1">
                                  <a:off x="5250" y="680574"/>
                                  <a:ext cx="4413" cy="9"/>
                                </a:xfrm>
                                <a:prstGeom prst="line">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25" name="文本框 25"/>
                              <wps:cNvSpPr txBox="1"/>
                              <wps:spPr>
                                <a:xfrm>
                                  <a:off x="4598" y="680758"/>
                                  <a:ext cx="1285" cy="48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4165E7E">
                                    <w:pPr>
                                      <w:jc w:val="center"/>
                                      <w:rPr>
                                        <w:rFonts w:hint="default" w:eastAsia="宋体"/>
                                        <w:lang w:val="en-US" w:eastAsia="zh-CN"/>
                                      </w:rPr>
                                    </w:pPr>
                                    <w:r>
                                      <w:rPr>
                                        <w:rFonts w:hint="eastAsia"/>
                                        <w:lang w:val="en-US" w:eastAsia="zh-CN"/>
                                      </w:rPr>
                                      <w:t>排泥水池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 name="文本框 26"/>
                              <wps:cNvSpPr txBox="1"/>
                              <wps:spPr>
                                <a:xfrm>
                                  <a:off x="6320" y="681350"/>
                                  <a:ext cx="1561" cy="48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236F5E0">
                                    <w:pPr>
                                      <w:jc w:val="center"/>
                                      <w:rPr>
                                        <w:rFonts w:hint="default" w:eastAsia="宋体"/>
                                        <w:lang w:val="en-US" w:eastAsia="zh-CN"/>
                                      </w:rPr>
                                    </w:pPr>
                                    <w:r>
                                      <w:rPr>
                                        <w:rFonts w:hint="eastAsia"/>
                                        <w:lang w:val="en-US" w:eastAsia="zh-CN"/>
                                      </w:rPr>
                                      <w:t>浓缩+贮泥池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 name="文本框 27"/>
                              <wps:cNvSpPr txBox="1"/>
                              <wps:spPr>
                                <a:xfrm>
                                  <a:off x="9026" y="681347"/>
                                  <a:ext cx="1269" cy="483"/>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F2977EA">
                                    <w:pPr>
                                      <w:jc w:val="center"/>
                                      <w:rPr>
                                        <w:rFonts w:hint="default" w:eastAsia="宋体"/>
                                        <w:lang w:val="en-US" w:eastAsia="zh-CN"/>
                                      </w:rPr>
                                    </w:pPr>
                                    <w:r>
                                      <w:rPr>
                                        <w:rFonts w:hint="eastAsia"/>
                                        <w:lang w:val="en-US" w:eastAsia="zh-CN"/>
                                      </w:rPr>
                                      <w:t>离心脱水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 name="直接连接符 28"/>
                              <wps:cNvCnPr>
                                <a:stCxn id="27" idx="1"/>
                                <a:endCxn id="26" idx="3"/>
                              </wps:cNvCnPr>
                              <wps:spPr>
                                <a:xfrm flipH="1">
                                  <a:off x="7881" y="681589"/>
                                  <a:ext cx="1145" cy="3"/>
                                </a:xfrm>
                                <a:prstGeom prst="line">
                                  <a:avLst/>
                                </a:prstGeom>
                                <a:ln>
                                  <a:solidFill>
                                    <a:schemeClr val="tx1"/>
                                  </a:solidFill>
                                  <a:headEnd type="triangle"/>
                                  <a:tailEnd type="none"/>
                                </a:ln>
                              </wps:spPr>
                              <wps:style>
                                <a:lnRef idx="2">
                                  <a:schemeClr val="accent1"/>
                                </a:lnRef>
                                <a:fillRef idx="0">
                                  <a:srgbClr val="FFFFFF"/>
                                </a:fillRef>
                                <a:effectRef idx="0">
                                  <a:srgbClr val="FFFFFF"/>
                                </a:effectRef>
                                <a:fontRef idx="minor">
                                  <a:schemeClr val="tx1"/>
                                </a:fontRef>
                              </wps:style>
                              <wps:bodyPr/>
                            </wps:wsp>
                            <wps:wsp>
                              <wps:cNvPr id="29" name="文本框 29"/>
                              <wps:cNvSpPr txBox="1"/>
                              <wps:spPr>
                                <a:xfrm>
                                  <a:off x="7762" y="681199"/>
                                  <a:ext cx="1410"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6FB64">
                                    <w:pPr>
                                      <w:jc w:val="center"/>
                                      <w:rPr>
                                        <w:rFonts w:hint="default" w:eastAsia="宋体"/>
                                        <w:sz w:val="18"/>
                                        <w:szCs w:val="18"/>
                                        <w:lang w:val="en-US" w:eastAsia="zh-CN"/>
                                      </w:rPr>
                                    </w:pPr>
                                    <w:r>
                                      <w:rPr>
                                        <w:rFonts w:hint="eastAsia"/>
                                        <w:sz w:val="18"/>
                                        <w:szCs w:val="18"/>
                                        <w:lang w:val="en-US" w:eastAsia="zh-CN"/>
                                      </w:rPr>
                                      <w:t>底部泥浓缩液</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 name="直接连接符 30"/>
                              <wps:cNvCnPr/>
                              <wps:spPr>
                                <a:xfrm flipH="1">
                                  <a:off x="7343" y="680726"/>
                                  <a:ext cx="2306" cy="1"/>
                                </a:xfrm>
                                <a:prstGeom prst="line">
                                  <a:avLst/>
                                </a:prstGeom>
                                <a:ln>
                                  <a:solidFill>
                                    <a:schemeClr val="tx1"/>
                                  </a:solidFill>
                                  <a:headEnd type="triangle"/>
                                  <a:tailEnd type="none"/>
                                </a:ln>
                              </wps:spPr>
                              <wps:style>
                                <a:lnRef idx="2">
                                  <a:schemeClr val="accent1"/>
                                </a:lnRef>
                                <a:fillRef idx="0">
                                  <a:srgbClr val="FFFFFF"/>
                                </a:fillRef>
                                <a:effectRef idx="0">
                                  <a:srgbClr val="FFFFFF"/>
                                </a:effectRef>
                                <a:fontRef idx="minor">
                                  <a:schemeClr val="tx1"/>
                                </a:fontRef>
                              </wps:style>
                              <wps:bodyPr/>
                            </wps:wsp>
                            <wps:wsp>
                              <wps:cNvPr id="31" name="文本框 31"/>
                              <wps:cNvSpPr txBox="1"/>
                              <wps:spPr>
                                <a:xfrm>
                                  <a:off x="7560" y="680640"/>
                                  <a:ext cx="1410"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B90035">
                                    <w:pPr>
                                      <w:jc w:val="center"/>
                                      <w:rPr>
                                        <w:rFonts w:hint="default" w:eastAsia="宋体"/>
                                        <w:sz w:val="18"/>
                                        <w:szCs w:val="18"/>
                                        <w:lang w:val="en-US" w:eastAsia="zh-CN"/>
                                      </w:rPr>
                                    </w:pPr>
                                    <w:r>
                                      <w:rPr>
                                        <w:rFonts w:hint="eastAsia"/>
                                        <w:sz w:val="18"/>
                                        <w:szCs w:val="18"/>
                                        <w:lang w:val="en-US" w:eastAsia="zh-CN"/>
                                      </w:rPr>
                                      <w:t>上清液</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 name="直接连接符 32"/>
                              <wps:cNvCnPr/>
                              <wps:spPr>
                                <a:xfrm flipH="1" flipV="1">
                                  <a:off x="4384" y="679005"/>
                                  <a:ext cx="6359" cy="16"/>
                                </a:xfrm>
                                <a:prstGeom prst="line">
                                  <a:avLst/>
                                </a:prstGeom>
                                <a:ln w="12700" cap="flat" cmpd="sng" algn="ctr">
                                  <a:solidFill>
                                    <a:schemeClr val="tx1"/>
                                  </a:solidFill>
                                  <a:prstDash val="dash"/>
                                  <a:miter lim="800000"/>
                                </a:ln>
                              </wps:spPr>
                              <wps:style>
                                <a:lnRef idx="0">
                                  <a:schemeClr val="accent1"/>
                                </a:lnRef>
                                <a:fillRef idx="0">
                                  <a:srgbClr val="FFFFFF"/>
                                </a:fillRef>
                                <a:effectRef idx="0">
                                  <a:srgbClr val="FFFFFF"/>
                                </a:effectRef>
                                <a:fontRef idx="minor">
                                  <a:schemeClr val="tx1"/>
                                </a:fontRef>
                              </wps:style>
                              <wps:bodyPr/>
                            </wps:wsp>
                            <wps:wsp>
                              <wps:cNvPr id="33" name="直接连接符 33"/>
                              <wps:cNvCnPr/>
                              <wps:spPr>
                                <a:xfrm>
                                  <a:off x="4395" y="678997"/>
                                  <a:ext cx="0" cy="287"/>
                                </a:xfrm>
                                <a:prstGeom prst="line">
                                  <a:avLst/>
                                </a:prstGeom>
                                <a:ln>
                                  <a:solidFill>
                                    <a:schemeClr val="tx1"/>
                                  </a:solidFill>
                                  <a:prstDash val="dash"/>
                                  <a:headEnd type="none"/>
                                  <a:tailEnd type="triangle"/>
                                </a:ln>
                              </wps:spPr>
                              <wps:style>
                                <a:lnRef idx="2">
                                  <a:schemeClr val="accent1"/>
                                </a:lnRef>
                                <a:fillRef idx="0">
                                  <a:srgbClr val="FFFFFF"/>
                                </a:fillRef>
                                <a:effectRef idx="0">
                                  <a:srgbClr val="FFFFFF"/>
                                </a:effectRef>
                                <a:fontRef idx="minor">
                                  <a:schemeClr val="tx1"/>
                                </a:fontRef>
                              </wps:style>
                              <wps:bodyPr/>
                            </wps:wsp>
                            <wps:wsp>
                              <wps:cNvPr id="34" name="直接连接符 34"/>
                              <wps:cNvCnPr/>
                              <wps:spPr>
                                <a:xfrm>
                                  <a:off x="6629" y="679012"/>
                                  <a:ext cx="0" cy="287"/>
                                </a:xfrm>
                                <a:prstGeom prst="line">
                                  <a:avLst/>
                                </a:prstGeom>
                                <a:ln>
                                  <a:solidFill>
                                    <a:schemeClr val="tx1"/>
                                  </a:solidFill>
                                  <a:prstDash val="dash"/>
                                  <a:headEnd type="none"/>
                                  <a:tailEnd type="triangle"/>
                                </a:ln>
                              </wps:spPr>
                              <wps:style>
                                <a:lnRef idx="2">
                                  <a:schemeClr val="accent1"/>
                                </a:lnRef>
                                <a:fillRef idx="0">
                                  <a:srgbClr val="FFFFFF"/>
                                </a:fillRef>
                                <a:effectRef idx="0">
                                  <a:srgbClr val="FFFFFF"/>
                                </a:effectRef>
                                <a:fontRef idx="minor">
                                  <a:schemeClr val="tx1"/>
                                </a:fontRef>
                              </wps:style>
                              <wps:bodyPr/>
                            </wps:wsp>
                            <wps:wsp>
                              <wps:cNvPr id="35" name="直接连接符 35"/>
                              <wps:cNvCnPr/>
                              <wps:spPr>
                                <a:xfrm>
                                  <a:off x="8858" y="679012"/>
                                  <a:ext cx="0" cy="287"/>
                                </a:xfrm>
                                <a:prstGeom prst="line">
                                  <a:avLst/>
                                </a:prstGeom>
                                <a:ln>
                                  <a:solidFill>
                                    <a:schemeClr val="tx1"/>
                                  </a:solidFill>
                                  <a:prstDash val="dash"/>
                                  <a:headEnd type="none"/>
                                  <a:tailEnd type="triangle"/>
                                </a:ln>
                              </wps:spPr>
                              <wps:style>
                                <a:lnRef idx="2">
                                  <a:schemeClr val="accent1"/>
                                </a:lnRef>
                                <a:fillRef idx="0">
                                  <a:srgbClr val="FFFFFF"/>
                                </a:fillRef>
                                <a:effectRef idx="0">
                                  <a:srgbClr val="FFFFFF"/>
                                </a:effectRef>
                                <a:fontRef idx="minor">
                                  <a:schemeClr val="tx1"/>
                                </a:fontRef>
                              </wps:style>
                              <wps:bodyPr/>
                            </wps:wsp>
                            <wps:wsp>
                              <wps:cNvPr id="36" name="直接连接符 36"/>
                              <wps:cNvCnPr/>
                              <wps:spPr>
                                <a:xfrm flipH="1">
                                  <a:off x="6585" y="679761"/>
                                  <a:ext cx="3" cy="326"/>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7" name="直接连接符 37"/>
                              <wps:cNvCnPr/>
                              <wps:spPr>
                                <a:xfrm flipH="1" flipV="1">
                                  <a:off x="4800" y="680073"/>
                                  <a:ext cx="3922" cy="3"/>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38" name="文本框 38"/>
                              <wps:cNvSpPr txBox="1"/>
                              <wps:spPr>
                                <a:xfrm>
                                  <a:off x="5057" y="679998"/>
                                  <a:ext cx="1410"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77B142">
                                    <w:pPr>
                                      <w:jc w:val="center"/>
                                      <w:rPr>
                                        <w:rFonts w:hint="default" w:eastAsia="宋体"/>
                                        <w:sz w:val="18"/>
                                        <w:szCs w:val="18"/>
                                        <w:lang w:val="en-US" w:eastAsia="zh-CN"/>
                                      </w:rPr>
                                    </w:pPr>
                                    <w:r>
                                      <w:rPr>
                                        <w:rFonts w:hint="eastAsia"/>
                                        <w:sz w:val="18"/>
                                        <w:szCs w:val="18"/>
                                        <w:lang w:val="en-US" w:eastAsia="zh-CN"/>
                                      </w:rPr>
                                      <w:t>沉淀排泥废水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9" name="文本框 39"/>
                              <wps:cNvSpPr txBox="1"/>
                              <wps:spPr>
                                <a:xfrm>
                                  <a:off x="9175" y="679821"/>
                                  <a:ext cx="1410"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6D22C0">
                                    <w:pPr>
                                      <w:jc w:val="center"/>
                                      <w:rPr>
                                        <w:rFonts w:hint="default" w:eastAsia="宋体"/>
                                        <w:sz w:val="18"/>
                                        <w:szCs w:val="18"/>
                                        <w:lang w:val="en-US" w:eastAsia="zh-CN"/>
                                      </w:rPr>
                                    </w:pPr>
                                    <w:r>
                                      <w:rPr>
                                        <w:rFonts w:hint="eastAsia"/>
                                        <w:sz w:val="18"/>
                                        <w:szCs w:val="18"/>
                                        <w:lang w:val="en-US" w:eastAsia="zh-CN"/>
                                      </w:rPr>
                                      <w:t>滤池冲洗废水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0" name="文本框 40"/>
                              <wps:cNvSpPr txBox="1"/>
                              <wps:spPr>
                                <a:xfrm>
                                  <a:off x="6685" y="680241"/>
                                  <a:ext cx="1410"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B8DDB">
                                    <w:pPr>
                                      <w:jc w:val="center"/>
                                      <w:rPr>
                                        <w:rFonts w:hint="default" w:eastAsia="宋体"/>
                                        <w:sz w:val="18"/>
                                        <w:szCs w:val="18"/>
                                        <w:lang w:val="en-US" w:eastAsia="zh-CN"/>
                                      </w:rPr>
                                    </w:pPr>
                                    <w:r>
                                      <w:rPr>
                                        <w:rFonts w:hint="eastAsia"/>
                                        <w:sz w:val="18"/>
                                        <w:szCs w:val="18"/>
                                        <w:lang w:val="en-US" w:eastAsia="zh-CN"/>
                                      </w:rPr>
                                      <w:t>底部泥渣废水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1" name="文本框 41"/>
                              <wps:cNvSpPr txBox="1"/>
                              <wps:spPr>
                                <a:xfrm>
                                  <a:off x="4987" y="681237"/>
                                  <a:ext cx="1062"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C036F">
                                    <w:pPr>
                                      <w:jc w:val="center"/>
                                      <w:rPr>
                                        <w:rFonts w:hint="default" w:eastAsia="宋体"/>
                                        <w:sz w:val="18"/>
                                        <w:szCs w:val="18"/>
                                        <w:lang w:val="en-US" w:eastAsia="zh-CN"/>
                                      </w:rPr>
                                    </w:pPr>
                                    <w:r>
                                      <w:rPr>
                                        <w:rFonts w:hint="eastAsia"/>
                                        <w:sz w:val="18"/>
                                        <w:szCs w:val="18"/>
                                        <w:lang w:val="en-US" w:eastAsia="zh-CN"/>
                                      </w:rPr>
                                      <w:t>生产废水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 name="文本框 42"/>
                              <wps:cNvSpPr txBox="1"/>
                              <wps:spPr>
                                <a:xfrm>
                                  <a:off x="10002" y="678918"/>
                                  <a:ext cx="876" cy="72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0D4DC">
                                    <w:pPr>
                                      <w:jc w:val="right"/>
                                      <w:rPr>
                                        <w:rFonts w:hint="eastAsia"/>
                                        <w:sz w:val="18"/>
                                        <w:szCs w:val="18"/>
                                        <w:lang w:val="en-US" w:eastAsia="zh-CN"/>
                                      </w:rPr>
                                    </w:pPr>
                                    <w:r>
                                      <w:rPr>
                                        <w:rFonts w:hint="eastAsia"/>
                                        <w:sz w:val="18"/>
                                        <w:szCs w:val="18"/>
                                        <w:lang w:val="en-US" w:eastAsia="zh-CN"/>
                                      </w:rPr>
                                      <w:t>经分配</w:t>
                                    </w:r>
                                  </w:p>
                                  <w:p w14:paraId="126FA1A9">
                                    <w:pPr>
                                      <w:jc w:val="right"/>
                                      <w:rPr>
                                        <w:rFonts w:hint="default" w:ascii="Times New Roman" w:hAnsi="Times New Roman" w:cs="Times New Roman"/>
                                        <w:sz w:val="18"/>
                                        <w:szCs w:val="18"/>
                                        <w:lang w:val="en-US" w:eastAsia="zh-CN"/>
                                      </w:rPr>
                                    </w:pPr>
                                    <w:r>
                                      <w:rPr>
                                        <w:rFonts w:hint="eastAsia"/>
                                        <w:sz w:val="18"/>
                                        <w:szCs w:val="18"/>
                                        <w:lang w:val="en-US" w:eastAsia="zh-CN"/>
                                      </w:rPr>
                                      <w:t>井</w:t>
                                    </w:r>
                                    <w:r>
                                      <w:rPr>
                                        <w:rFonts w:hint="eastAsia" w:ascii="Times New Roman" w:hAnsi="Times New Roman" w:cs="Times New Roman"/>
                                        <w:sz w:val="18"/>
                                        <w:szCs w:val="18"/>
                                        <w:lang w:val="en-US" w:eastAsia="zh-CN"/>
                                      </w:rPr>
                                      <w:t>回用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 name="直接连接符 43"/>
                              <wps:cNvCnPr/>
                              <wps:spPr>
                                <a:xfrm>
                                  <a:off x="9637" y="681851"/>
                                  <a:ext cx="7" cy="306"/>
                                </a:xfrm>
                                <a:prstGeom prst="line">
                                  <a:avLst/>
                                </a:prstGeom>
                                <a:ln>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wps:wsp>
                              <wps:cNvPr id="44" name="文本框 44"/>
                              <wps:cNvSpPr txBox="1"/>
                              <wps:spPr>
                                <a:xfrm>
                                  <a:off x="8934" y="682052"/>
                                  <a:ext cx="1410"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C0A08">
                                    <w:pPr>
                                      <w:jc w:val="center"/>
                                      <w:rPr>
                                        <w:rFonts w:hint="default" w:eastAsia="宋体"/>
                                        <w:sz w:val="18"/>
                                        <w:szCs w:val="18"/>
                                        <w:lang w:val="en-US" w:eastAsia="zh-CN"/>
                                      </w:rPr>
                                    </w:pPr>
                                    <w:r>
                                      <w:rPr>
                                        <w:rFonts w:hint="eastAsia"/>
                                        <w:sz w:val="18"/>
                                        <w:szCs w:val="18"/>
                                        <w:lang w:val="en-US" w:eastAsia="zh-CN"/>
                                      </w:rPr>
                                      <w:t>外排废水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 name="直接连接符 45"/>
                              <wps:cNvCnPr>
                                <a:stCxn id="27" idx="3"/>
                              </wps:cNvCnPr>
                              <wps:spPr>
                                <a:xfrm>
                                  <a:off x="10295" y="681589"/>
                                  <a:ext cx="390" cy="6"/>
                                </a:xfrm>
                                <a:prstGeom prst="line">
                                  <a:avLst/>
                                </a:prstGeom>
                                <a:ln>
                                  <a:solidFill>
                                    <a:schemeClr val="tx1"/>
                                  </a:solidFill>
                                  <a:prstDash val="dash"/>
                                  <a:headEnd type="none"/>
                                  <a:tailEnd type="triangle"/>
                                </a:ln>
                              </wps:spPr>
                              <wps:style>
                                <a:lnRef idx="2">
                                  <a:schemeClr val="accent1"/>
                                </a:lnRef>
                                <a:fillRef idx="0">
                                  <a:srgbClr val="FFFFFF"/>
                                </a:fillRef>
                                <a:effectRef idx="0">
                                  <a:srgbClr val="FFFFFF"/>
                                </a:effectRef>
                                <a:fontRef idx="minor">
                                  <a:schemeClr val="tx1"/>
                                </a:fontRef>
                              </wps:style>
                              <wps:bodyPr/>
                            </wps:wsp>
                            <wps:wsp>
                              <wps:cNvPr id="46" name="文本框 46"/>
                              <wps:cNvSpPr txBox="1"/>
                              <wps:spPr>
                                <a:xfrm>
                                  <a:off x="10232" y="681193"/>
                                  <a:ext cx="1046"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DAC040">
                                    <w:pPr>
                                      <w:jc w:val="center"/>
                                      <w:rPr>
                                        <w:rFonts w:hint="default" w:eastAsia="宋体"/>
                                        <w:sz w:val="18"/>
                                        <w:szCs w:val="18"/>
                                        <w:lang w:val="en-US" w:eastAsia="zh-CN"/>
                                      </w:rPr>
                                    </w:pPr>
                                    <w:r>
                                      <w:rPr>
                                        <w:rFonts w:hint="eastAsia"/>
                                        <w:sz w:val="18"/>
                                        <w:szCs w:val="18"/>
                                        <w:lang w:val="en-US" w:eastAsia="zh-CN"/>
                                      </w:rPr>
                                      <w:t>泥饼外运</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7.15pt;margin-top:22.2pt;height:177.5pt;width:348.6pt;z-index:251660288;mso-width-relative:page;mso-height-relative:page;" coordorigin="4306,678918" coordsize="6972,3550" o:gfxdata="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">
                      <o:lock v:ext="edit" aspectratio="f"/>
                      <v:shape id="_x0000_s1026" o:spid="_x0000_s1026" o:spt="202" type="#_x0000_t202" style="position:absolute;left:4306;top:679282;height:483;width:1450;" filled="f" stroked="t" coordsize="21600,21600" o:gfxdata="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1Hlc6/&#10;AAAA2wAAAA8AAAAAAAAAAQAgAAAAIgAAAGRycy9kb3ducmV2LnhtbFBLAQIUABQAAAAIAIdO4kAz&#10;LwWeOwAAADkAAAAQAAAAAAAAAAEAIAAAAA4BAABkcnMvc2hhcGV4bWwueG1sUEsFBgAAAAAGAAYA&#10;WwEAALgDAAAAAA==&#10;">
                        <v:fill on="f" focussize="0,0"/>
                        <v:stroke weight="0.5pt" color="#000000 [3204]" joinstyle="round"/>
                        <v:imagedata o:title=""/>
                        <o:lock v:ext="edit" aspectratio="f"/>
                        <v:textbox>
                          <w:txbxContent>
                            <w:p w14:paraId="3228F6A7">
                              <w:pPr>
                                <w:jc w:val="center"/>
                                <w:rPr>
                                  <w:rFonts w:hint="default" w:eastAsia="宋体"/>
                                  <w:lang w:val="en-US" w:eastAsia="zh-CN"/>
                                </w:rPr>
                              </w:pPr>
                              <w:r>
                                <w:rPr>
                                  <w:rFonts w:hint="eastAsia"/>
                                  <w:lang w:val="en-US" w:eastAsia="zh-CN"/>
                                </w:rPr>
                                <w:t>1#线反应池</w:t>
                              </w:r>
                            </w:p>
                          </w:txbxContent>
                        </v:textbox>
                      </v:shape>
                      <v:shape id="_x0000_s1026" o:spid="_x0000_s1026" o:spt="202" type="#_x0000_t202" style="position:absolute;left:6469;top:679276;height:483;width:1450;" filled="f" stroked="t" coordsize="21600,21600" o:gfxdata="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CzBVvQAA&#10;ANsAAAAPAAAAAAAAAAEAIAAAACIAAABkcnMvZG93bnJldi54bWxQSwECFAAUAAAACACHTuJAMy8F&#10;njsAAAA5AAAAEAAAAAAAAAABACAAAAAMAQAAZHJzL3NoYXBleG1sLnhtbFBLBQYAAAAABgAGAFsB&#10;AAC2AwAAAAA=&#10;">
                        <v:fill on="f" focussize="0,0"/>
                        <v:stroke weight="0.5pt" color="#000000 [3204]" joinstyle="round"/>
                        <v:imagedata o:title=""/>
                        <o:lock v:ext="edit" aspectratio="f"/>
                        <v:textbox>
                          <w:txbxContent>
                            <w:p w14:paraId="5041D506">
                              <w:pPr>
                                <w:jc w:val="center"/>
                                <w:rPr>
                                  <w:rFonts w:hint="default" w:eastAsia="宋体"/>
                                  <w:lang w:val="en-US" w:eastAsia="zh-CN"/>
                                </w:rPr>
                              </w:pPr>
                              <w:r>
                                <w:rPr>
                                  <w:rFonts w:hint="eastAsia"/>
                                  <w:lang w:val="en-US" w:eastAsia="zh-CN"/>
                                </w:rPr>
                                <w:t>2#线反应池</w:t>
                              </w:r>
                            </w:p>
                          </w:txbxContent>
                        </v:textbox>
                      </v:shape>
                      <v:shape id="_x0000_s1026" o:spid="_x0000_s1026" o:spt="202" type="#_x0000_t202" style="position:absolute;left:8623;top:679280;height:483;width:1450;" filled="f" stroked="t" coordsize="21600,21600" o:gfxdata="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LZriK8AAAA&#10;2wAAAA8AAAAAAAAAAQAgAAAAIgAAAGRycy9kb3ducmV2LnhtbFBLAQIUABQAAAAIAIdO4kAzLwWe&#10;OwAAADkAAAAQAAAAAAAAAAEAIAAAAAsBAABkcnMvc2hhcGV4bWwueG1sUEsFBgAAAAAGAAYAWwEA&#10;ALUDAAAAAA==&#10;">
                        <v:fill on="f" focussize="0,0"/>
                        <v:stroke weight="0.5pt" color="#000000 [3204]" joinstyle="round"/>
                        <v:imagedata o:title=""/>
                        <o:lock v:ext="edit" aspectratio="f"/>
                        <v:textbox>
                          <w:txbxContent>
                            <w:p w14:paraId="01CA1F39">
                              <w:pPr>
                                <w:jc w:val="center"/>
                                <w:rPr>
                                  <w:rFonts w:hint="default" w:eastAsia="宋体"/>
                                  <w:lang w:val="en-US" w:eastAsia="zh-CN"/>
                                </w:rPr>
                              </w:pPr>
                              <w:r>
                                <w:rPr>
                                  <w:rFonts w:hint="eastAsia"/>
                                  <w:lang w:val="en-US" w:eastAsia="zh-CN"/>
                                </w:rPr>
                                <w:t>3#线反应池</w:t>
                              </w:r>
                            </w:p>
                          </w:txbxContent>
                        </v:textbox>
                      </v:shape>
                      <v:line id="_x0000_s1026" o:spid="_x0000_s1026" o:spt="20" style="position:absolute;left:10769;top:679021;height:1514;width:13;" filled="f" stroked="t" coordsize="21600,21600" o:gfxdata="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fQz05twAAANsAAAAP&#10;AAAAAAAAAAEAIAAAACIAAABkcnMvZG93bnJldi54bWxQSwECFAAUAAAACACHTuJAMy8FnjsAAAA5&#10;AAAAEAAAAAAAAAABACAAAAAGAQAAZHJzL3NoYXBleG1sLnhtbFBLBQYAAAAABgAGAFsBAACwAwAA&#10;AAA=&#10;">
                        <v:fill on="f" focussize="0,0"/>
                        <v:stroke weight="1pt" color="#000000 [3213]" miterlimit="8" joinstyle="miter" dashstyle="dash"/>
                        <v:imagedata o:title=""/>
                        <o:lock v:ext="edit" aspectratio="f"/>
                      </v:line>
                      <v:line id="_x0000_s1026" o:spid="_x0000_s1026" o:spt="20" style="position:absolute;left:4814;top:679754;height:994;width:8;" filled="f" stroked="t" coordsize="21600,21600" o:gfxdata="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aaoci5AAAA2wAA&#10;AA8AAAAAAAAAAQAgAAAAIgAAAGRycy9kb3ducmV2LnhtbFBLAQIUABQAAAAIAIdO4kAzLwWeOwAA&#10;ADkAAAAQAAAAAAAAAAEAIAAAAAgBAABkcnMvc2hhcGV4bWwueG1sUEsFBgAAAAAGAAYAWwEAALID&#10;AAAAAA==&#10;">
                        <v:fill on="f" focussize="0,0"/>
                        <v:stroke weight="1pt" color="#000000 [3213]" miterlimit="8" joinstyle="miter" endarrow="block"/>
                        <v:imagedata o:title=""/>
                        <o:lock v:ext="edit" aspectratio="f"/>
                      </v:line>
                      <v:line id="_x0000_s1026" o:spid="_x0000_s1026" o:spt="20" style="position:absolute;left:7353;top:680727;height:626;width:0;" filled="f" stroked="t" coordsize="21600,21600" o:gfxdata="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SzBe8AAAA&#10;2wAAAA8AAAAAAAAAAQAgAAAAIgAAAGRycy9kb3ducmV2LnhtbFBLAQIUABQAAAAIAIdO4kAzLwWe&#10;OwAAADkAAAAQAAAAAAAAAAEAIAAAAAsBAABkcnMvc2hhcGV4bWwueG1sUEsFBgAAAAAGAAYAWwEA&#10;ALUDAAAAAA==&#10;">
                        <v:fill on="f" focussize="0,0"/>
                        <v:stroke weight="1pt" color="#000000 [3213]" miterlimit="8" joinstyle="miter"/>
                        <v:imagedata o:title=""/>
                        <o:lock v:ext="edit" aspectratio="f"/>
                      </v:line>
                      <v:line id="_x0000_s1026" o:spid="_x0000_s1026" o:spt="20" style="position:absolute;left:8727;top:679761;flip:x;height:326;width:3;" filled="f" stroked="t" coordsize="21600,21600" o:gfxdata="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s6oj7sAAADb&#10;AAAADwAAAAAAAAABACAAAAAiAAAAZHJzL2Rvd25yZXYueG1sUEsBAhQAFAAAAAgAh07iQDMvBZ47&#10;AAAAOQAAABAAAAAAAAAAAQAgAAAACgEAAGRycy9zaGFwZXhtbC54bWxQSwUGAAAAAAYABgBbAQAA&#10;tAMAAAAA&#10;">
                        <v:fill on="f" focussize="0,0"/>
                        <v:stroke weight="1pt" color="#000000 [3213]" miterlimit="8" joinstyle="miter"/>
                        <v:imagedata o:title=""/>
                        <o:lock v:ext="edit" aspectratio="f"/>
                      </v:line>
                      <v:shape id="_x0000_s1026" o:spid="_x0000_s1026" o:spt="202" type="#_x0000_t202" style="position:absolute;left:9657;top:680470;height:483;width:1450;" filled="f" stroked="t" coordsize="21600,21600" o:gfxdata="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uDbq8AAAA&#10;2wAAAA8AAAAAAAAAAQAgAAAAIgAAAGRycy9kb3ducmV2LnhtbFBLAQIUABQAAAAIAIdO4kAzLwWe&#10;OwAAADkAAAAQAAAAAAAAAAEAIAAAAAsBAABkcnMvc2hhcGV4bWwueG1sUEsFBgAAAAAGAAYAWwEA&#10;ALUDAAAAAA==&#10;">
                        <v:fill on="f" focussize="0,0"/>
                        <v:stroke weight="0.5pt" color="#000000 [3204]" joinstyle="round"/>
                        <v:imagedata o:title=""/>
                        <o:lock v:ext="edit" aspectratio="f"/>
                        <v:textbox>
                          <w:txbxContent>
                            <w:p w14:paraId="63E9A0EE">
                              <w:pPr>
                                <w:jc w:val="center"/>
                                <w:rPr>
                                  <w:rFonts w:hint="default" w:eastAsia="宋体"/>
                                  <w:lang w:val="en-US" w:eastAsia="zh-CN"/>
                                </w:rPr>
                              </w:pPr>
                              <w:r>
                                <w:rPr>
                                  <w:rFonts w:hint="eastAsia"/>
                                  <w:lang w:val="en-US" w:eastAsia="zh-CN"/>
                                </w:rPr>
                                <w:t>回收水池</w:t>
                              </w:r>
                            </w:p>
                          </w:txbxContent>
                        </v:textbox>
                      </v:shape>
                      <v:line id="_x0000_s1026" o:spid="_x0000_s1026" o:spt="20" style="position:absolute;left:4985;top:681597;flip:x;height:3;width:1329;" filled="f" stroked="t" coordsize="21600,21600" o:gfxdata="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8YWsy8AAAA&#10;2wAAAA8AAAAAAAAAAQAgAAAAIgAAAGRycy9kb3ducmV2LnhtbFBLAQIUABQAAAAIAIdO4kAzLwWe&#10;OwAAADkAAAAQAAAAAAAAAAEAIAAAAAsBAABkcnMvc2hhcGV4bWwueG1sUEsFBgAAAAAGAAYAWwEA&#10;ALUDAAAAAA==&#10;">
                        <v:fill on="f" focussize="0,0"/>
                        <v:stroke weight="1pt" color="#000000 [3213]" miterlimit="8" joinstyle="miter" startarrow="block"/>
                        <v:imagedata o:title=""/>
                        <o:lock v:ext="edit" aspectratio="f"/>
                      </v:line>
                      <v:line id="_x0000_s1026" o:spid="_x0000_s1026" o:spt="20" style="position:absolute;left:5238;top:680554;height:204;width:3;" filled="f" stroked="t" coordsize="21600,21600" o:gfxdata="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4UAqb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line>
                      <v:line id="_x0000_s1026" o:spid="_x0000_s1026" o:spt="20" style="position:absolute;left:4994;top:681235;height:362;width:6;" filled="f" stroked="t" coordsize="21600,21600" o:gfxdata="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V57evQAA&#10;ANs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line>
                      <v:line id="_x0000_s1026" o:spid="_x0000_s1026" o:spt="20" style="position:absolute;left:9993;top:680164;height:306;width:7;" filled="f" stroked="t" coordsize="21600,21600" o:gfxdata="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cf8wG8AAAA&#10;2wAAAA8AAAAAAAAAAQAgAAAAIgAAAGRycy9kb3ducmV2LnhtbFBLAQIUABQAAAAIAIdO4kAzLwWe&#10;OwAAADkAAAAQAAAAAAAAAAEAIAAAAAsBAABkcnMvc2hhcGV4bWwueG1sUEsFBgAAAAAGAAYAWwEA&#10;ALUDAAAAAA==&#10;">
                        <v:fill on="f" focussize="0,0"/>
                        <v:stroke weight="1pt" color="#000000 [3213]" miterlimit="8" joinstyle="miter" endarrow="block"/>
                        <v:imagedata o:title=""/>
                        <o:lock v:ext="edit" aspectratio="f"/>
                      </v:line>
                      <v:line id="_x0000_s1026" o:spid="_x0000_s1026" o:spt="20" style="position:absolute;left:5250;top:680574;flip:x y;height:9;width:4413;" filled="f" stroked="t" coordsize="21600,21600" o:gfxdata="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8UxxS8AAAA&#10;2wAAAA8AAAAAAAAAAQAgAAAAIgAAAGRycy9kb3ducmV2LnhtbFBLAQIUABQAAAAIAIdO4kAzLwWe&#10;OwAAADkAAAAQAAAAAAAAAAEAIAAAAAsBAABkcnMvc2hhcGV4bWwueG1sUEsFBgAAAAAGAAYAWwEA&#10;ALUDAAAAAA==&#10;">
                        <v:fill on="f" focussize="0,0"/>
                        <v:stroke weight="1pt" color="#000000 [3213]" miterlimit="8" joinstyle="miter" endarrow="block"/>
                        <v:imagedata o:title=""/>
                        <o:lock v:ext="edit" aspectratio="f"/>
                      </v:line>
                      <v:shape id="_x0000_s1026" o:spid="_x0000_s1026" o:spt="202" type="#_x0000_t202" style="position:absolute;left:4598;top:680758;height:483;width:1285;" filled="f" stroked="t" coordsize="21600,21600" o:gfxdata="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Nc/Ou/&#10;AAAA2wAAAA8AAAAAAAAAAQAgAAAAIgAAAGRycy9kb3ducmV2LnhtbFBLAQIUABQAAAAIAIdO4kAz&#10;LwWeOwAAADkAAAAQAAAAAAAAAAEAIAAAAA4BAABkcnMvc2hhcGV4bWwueG1sUEsFBgAAAAAGAAYA&#10;WwEAALgDAAAAAA==&#10;">
                        <v:fill on="f" focussize="0,0"/>
                        <v:stroke weight="0.5pt" color="#000000 [3204]" joinstyle="round"/>
                        <v:imagedata o:title=""/>
                        <o:lock v:ext="edit" aspectratio="f"/>
                        <v:textbox>
                          <w:txbxContent>
                            <w:p w14:paraId="04165E7E">
                              <w:pPr>
                                <w:jc w:val="center"/>
                                <w:rPr>
                                  <w:rFonts w:hint="default" w:eastAsia="宋体"/>
                                  <w:lang w:val="en-US" w:eastAsia="zh-CN"/>
                                </w:rPr>
                              </w:pPr>
                              <w:r>
                                <w:rPr>
                                  <w:rFonts w:hint="eastAsia"/>
                                  <w:lang w:val="en-US" w:eastAsia="zh-CN"/>
                                </w:rPr>
                                <w:t>排泥水池</w:t>
                              </w:r>
                            </w:p>
                          </w:txbxContent>
                        </v:textbox>
                      </v:shape>
                      <v:shape id="_x0000_s1026" o:spid="_x0000_s1026" o:spt="202" type="#_x0000_t202" style="position:absolute;left:6320;top:681350;height:483;width:1561;" filled="f" stroked="t" coordsize="21600,21600" o:gfxdata="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OOYpy/&#10;AAAA2wAAAA8AAAAAAAAAAQAgAAAAIgAAAGRycy9kb3ducmV2LnhtbFBLAQIUABQAAAAIAIdO4kAz&#10;LwWeOwAAADkAAAAQAAAAAAAAAAEAIAAAAA4BAABkcnMvc2hhcGV4bWwueG1sUEsFBgAAAAAGAAYA&#10;WwEAALgDAAAAAA==&#10;">
                        <v:fill on="f" focussize="0,0"/>
                        <v:stroke weight="0.5pt" color="#000000 [3204]" joinstyle="round"/>
                        <v:imagedata o:title=""/>
                        <o:lock v:ext="edit" aspectratio="f"/>
                        <v:textbox>
                          <w:txbxContent>
                            <w:p w14:paraId="4236F5E0">
                              <w:pPr>
                                <w:jc w:val="center"/>
                                <w:rPr>
                                  <w:rFonts w:hint="default" w:eastAsia="宋体"/>
                                  <w:lang w:val="en-US" w:eastAsia="zh-CN"/>
                                </w:rPr>
                              </w:pPr>
                              <w:r>
                                <w:rPr>
                                  <w:rFonts w:hint="eastAsia"/>
                                  <w:lang w:val="en-US" w:eastAsia="zh-CN"/>
                                </w:rPr>
                                <w:t>浓缩+贮泥池</w:t>
                              </w:r>
                            </w:p>
                          </w:txbxContent>
                        </v:textbox>
                      </v:shape>
                      <v:shape id="_x0000_s1026" o:spid="_x0000_s1026" o:spt="202" type="#_x0000_t202" style="position:absolute;left:9026;top:681347;height:483;width:1269;" filled="f" stroked="t" coordsize="21600,21600" o:gfxdata="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MLHB74A&#10;AADbAAAADwAAAAAAAAABACAAAAAiAAAAZHJzL2Rvd25yZXYueG1sUEsBAhQAFAAAAAgAh07iQDMv&#10;BZ47AAAAOQAAABAAAAAAAAAAAQAgAAAADQEAAGRycy9zaGFwZXhtbC54bWxQSwUGAAAAAAYABgBb&#10;AQAAtwMAAAAA&#10;">
                        <v:fill on="f" focussize="0,0"/>
                        <v:stroke weight="0.5pt" color="#000000 [3204]" joinstyle="round"/>
                        <v:imagedata o:title=""/>
                        <o:lock v:ext="edit" aspectratio="f"/>
                        <v:textbox>
                          <w:txbxContent>
                            <w:p w14:paraId="0F2977EA">
                              <w:pPr>
                                <w:jc w:val="center"/>
                                <w:rPr>
                                  <w:rFonts w:hint="default" w:eastAsia="宋体"/>
                                  <w:lang w:val="en-US" w:eastAsia="zh-CN"/>
                                </w:rPr>
                              </w:pPr>
                              <w:r>
                                <w:rPr>
                                  <w:rFonts w:hint="eastAsia"/>
                                  <w:lang w:val="en-US" w:eastAsia="zh-CN"/>
                                </w:rPr>
                                <w:t>离心脱水</w:t>
                              </w:r>
                            </w:p>
                          </w:txbxContent>
                        </v:textbox>
                      </v:shape>
                      <v:line id="_x0000_s1026" o:spid="_x0000_s1026" o:spt="20" style="position:absolute;left:7881;top:681589;flip:x;height:3;width:1145;" filled="f" stroked="t" coordsize="21600,21600" o:gfxdata="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44Neq8AAAA&#10;2wAAAA8AAAAAAAAAAQAgAAAAIgAAAGRycy9kb3ducmV2LnhtbFBLAQIUABQAAAAIAIdO4kAzLwWe&#10;OwAAADkAAAAQAAAAAAAAAAEAIAAAAAsBAABkcnMvc2hhcGV4bWwueG1sUEsFBgAAAAAGAAYAWwEA&#10;ALUDAAAAAA==&#10;">
                        <v:fill on="f" focussize="0,0"/>
                        <v:stroke weight="1pt" color="#000000 [3213]" miterlimit="8" joinstyle="miter" startarrow="block"/>
                        <v:imagedata o:title=""/>
                        <o:lock v:ext="edit" aspectratio="f"/>
                      </v:line>
                      <v:shape id="_x0000_s1026" o:spid="_x0000_s1026" o:spt="202" type="#_x0000_t202" style="position:absolute;left:7762;top:681199;height:417;width:1410;" filled="f" stroked="f" coordsize="21600,21600" o:gfxdata="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yKqC/&#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036FB64">
                              <w:pPr>
                                <w:jc w:val="center"/>
                                <w:rPr>
                                  <w:rFonts w:hint="default" w:eastAsia="宋体"/>
                                  <w:sz w:val="18"/>
                                  <w:szCs w:val="18"/>
                                  <w:lang w:val="en-US" w:eastAsia="zh-CN"/>
                                </w:rPr>
                              </w:pPr>
                              <w:r>
                                <w:rPr>
                                  <w:rFonts w:hint="eastAsia"/>
                                  <w:sz w:val="18"/>
                                  <w:szCs w:val="18"/>
                                  <w:lang w:val="en-US" w:eastAsia="zh-CN"/>
                                </w:rPr>
                                <w:t>底部泥浓缩液</w:t>
                              </w:r>
                            </w:p>
                          </w:txbxContent>
                        </v:textbox>
                      </v:shape>
                      <v:line id="_x0000_s1026" o:spid="_x0000_s1026" o:spt="20" style="position:absolute;left:7343;top:680726;flip:x;height:1;width:2306;" filled="f" stroked="t" coordsize="21600,21600" o:gfxdata="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WXrzG8AAAA&#10;2wAAAA8AAAAAAAAAAQAgAAAAIgAAAGRycy9kb3ducmV2LnhtbFBLAQIUABQAAAAIAIdO4kAzLwWe&#10;OwAAADkAAAAQAAAAAAAAAAEAIAAAAAsBAABkcnMvc2hhcGV4bWwueG1sUEsFBgAAAAAGAAYAWwEA&#10;ALUDAAAAAA==&#10;">
                        <v:fill on="f" focussize="0,0"/>
                        <v:stroke weight="1pt" color="#000000 [3213]" miterlimit="8" joinstyle="miter" startarrow="block"/>
                        <v:imagedata o:title=""/>
                        <o:lock v:ext="edit" aspectratio="f"/>
                      </v:line>
                      <v:shape id="_x0000_s1026" o:spid="_x0000_s1026" o:spt="202" type="#_x0000_t202" style="position:absolute;left:7560;top:680640;height:417;width:1410;" filled="f" stroked="f" coordsize="21600,21600" o:gfxdata="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92we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5FB90035">
                              <w:pPr>
                                <w:jc w:val="center"/>
                                <w:rPr>
                                  <w:rFonts w:hint="default" w:eastAsia="宋体"/>
                                  <w:sz w:val="18"/>
                                  <w:szCs w:val="18"/>
                                  <w:lang w:val="en-US" w:eastAsia="zh-CN"/>
                                </w:rPr>
                              </w:pPr>
                              <w:r>
                                <w:rPr>
                                  <w:rFonts w:hint="eastAsia"/>
                                  <w:sz w:val="18"/>
                                  <w:szCs w:val="18"/>
                                  <w:lang w:val="en-US" w:eastAsia="zh-CN"/>
                                </w:rPr>
                                <w:t>上清液</w:t>
                              </w:r>
                            </w:p>
                          </w:txbxContent>
                        </v:textbox>
                      </v:shape>
                      <v:line id="_x0000_s1026" o:spid="_x0000_s1026" o:spt="20" style="position:absolute;left:4384;top:679005;flip:x y;height:16;width:6359;" filled="f" stroked="t" coordsize="21600,21600" o:gfxdata="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m2khu8AAAA&#10;2wAAAA8AAAAAAAAAAQAgAAAAIgAAAGRycy9kb3ducmV2LnhtbFBLAQIUABQAAAAIAIdO4kAzLwWe&#10;OwAAADkAAAAQAAAAAAAAAAEAIAAAAAsBAABkcnMvc2hhcGV4bWwueG1sUEsFBgAAAAAGAAYAWwEA&#10;ALUDAAAAAA==&#10;">
                        <v:fill on="f" focussize="0,0"/>
                        <v:stroke weight="1pt" color="#000000 [3213]" miterlimit="8" joinstyle="miter" dashstyle="dash"/>
                        <v:imagedata o:title=""/>
                        <o:lock v:ext="edit" aspectratio="f"/>
                      </v:line>
                      <v:line id="_x0000_s1026" o:spid="_x0000_s1026" o:spt="20" style="position:absolute;left:4395;top:678997;height:287;width:0;" filled="f" stroked="t" coordsize="21600,21600" o:gfxdata="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nW7DvQAA&#10;ANsAAAAPAAAAAAAAAAEAIAAAACIAAABkcnMvZG93bnJldi54bWxQSwECFAAUAAAACACHTuJAMy8F&#10;njsAAAA5AAAAEAAAAAAAAAABACAAAAAMAQAAZHJzL3NoYXBleG1sLnhtbFBLBQYAAAAABgAGAFsB&#10;AAC2AwAAAAA=&#10;">
                        <v:fill on="f" focussize="0,0"/>
                        <v:stroke weight="1pt" color="#000000 [3213]" miterlimit="8" joinstyle="miter" dashstyle="dash" endarrow="block"/>
                        <v:imagedata o:title=""/>
                        <o:lock v:ext="edit" aspectratio="f"/>
                      </v:line>
                      <v:line id="_x0000_s1026" o:spid="_x0000_s1026" o:spt="20" style="position:absolute;left:6629;top:679012;height:287;width:0;" filled="f" stroked="t" coordsize="21600,21600" o:gfxdata="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dPa3vQAA&#10;ANsAAAAPAAAAAAAAAAEAIAAAACIAAABkcnMvZG93bnJldi54bWxQSwECFAAUAAAACACHTuJAMy8F&#10;njsAAAA5AAAAEAAAAAAAAAABACAAAAAMAQAAZHJzL3NoYXBleG1sLnhtbFBLBQYAAAAABgAGAFsB&#10;AAC2AwAAAAA=&#10;">
                        <v:fill on="f" focussize="0,0"/>
                        <v:stroke weight="1pt" color="#000000 [3213]" miterlimit="8" joinstyle="miter" dashstyle="dash" endarrow="block"/>
                        <v:imagedata o:title=""/>
                        <o:lock v:ext="edit" aspectratio="f"/>
                      </v:line>
                      <v:line id="_x0000_s1026" o:spid="_x0000_s1026" o:spt="20" style="position:absolute;left:8858;top:679012;height:287;width:0;" filled="f" stroked="t" coordsize="21600,21600" o:gfxdata="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DhTLL4A&#10;AADbAAAADwAAAAAAAAABACAAAAAiAAAAZHJzL2Rvd25yZXYueG1sUEsBAhQAFAAAAAgAh07iQDMv&#10;BZ47AAAAOQAAABAAAAAAAAAAAQAgAAAADQEAAGRycy9zaGFwZXhtbC54bWxQSwUGAAAAAAYABgBb&#10;AQAAtwMAAAAA&#10;">
                        <v:fill on="f" focussize="0,0"/>
                        <v:stroke weight="1pt" color="#000000 [3213]" miterlimit="8" joinstyle="miter" dashstyle="dash" endarrow="block"/>
                        <v:imagedata o:title=""/>
                        <o:lock v:ext="edit" aspectratio="f"/>
                      </v:line>
                      <v:line id="_x0000_s1026" o:spid="_x0000_s1026" o:spt="20" style="position:absolute;left:6585;top:679761;flip:x;height:326;width:3;" filled="f" stroked="t" coordsize="21600,21600" o:gfxdata="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V79O+8AAAA&#10;2wAAAA8AAAAAAAAAAQAgAAAAIgAAAGRycy9kb3ducmV2LnhtbFBLAQIUABQAAAAIAIdO4kAzLwWe&#10;OwAAADkAAAAQAAAAAAAAAAEAIAAAAAsBAABkcnMvc2hhcGV4bWwueG1sUEsFBgAAAAAGAAYAWwEA&#10;ALUDAAAAAA==&#10;">
                        <v:fill on="f" focussize="0,0"/>
                        <v:stroke weight="1pt" color="#000000 [3213]" miterlimit="8" joinstyle="miter"/>
                        <v:imagedata o:title=""/>
                        <o:lock v:ext="edit" aspectratio="f"/>
                      </v:line>
                      <v:line id="_x0000_s1026" o:spid="_x0000_s1026" o:spt="20" style="position:absolute;left:4800;top:680073;flip:x y;height:3;width:3922;" filled="f" stroked="t" coordsize="21600,21600" o:gfxdata="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sGh8b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line>
                      <v:shape id="_x0000_s1026" o:spid="_x0000_s1026" o:spt="202" type="#_x0000_t202" style="position:absolute;left:5057;top:679998;height:417;width:1410;" filled="f" stroked="f" coordsize="21600,21600" o:gfxdata="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ucZ5r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6977B142">
                              <w:pPr>
                                <w:jc w:val="center"/>
                                <w:rPr>
                                  <w:rFonts w:hint="default" w:eastAsia="宋体"/>
                                  <w:sz w:val="18"/>
                                  <w:szCs w:val="18"/>
                                  <w:lang w:val="en-US" w:eastAsia="zh-CN"/>
                                </w:rPr>
                              </w:pPr>
                              <w:r>
                                <w:rPr>
                                  <w:rFonts w:hint="eastAsia"/>
                                  <w:sz w:val="18"/>
                                  <w:szCs w:val="18"/>
                                  <w:lang w:val="en-US" w:eastAsia="zh-CN"/>
                                </w:rPr>
                                <w:t>沉淀排泥废水</w:t>
                              </w:r>
                            </w:p>
                          </w:txbxContent>
                        </v:textbox>
                      </v:shape>
                      <v:shape id="_x0000_s1026" o:spid="_x0000_s1026" o:spt="202" type="#_x0000_t202" style="position:absolute;left:9175;top:679821;height:417;width:1410;" filled="f" stroked="f" coordsize="21600,21600" o:gfxdata="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au8f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16D22C0">
                              <w:pPr>
                                <w:jc w:val="center"/>
                                <w:rPr>
                                  <w:rFonts w:hint="default" w:eastAsia="宋体"/>
                                  <w:sz w:val="18"/>
                                  <w:szCs w:val="18"/>
                                  <w:lang w:val="en-US" w:eastAsia="zh-CN"/>
                                </w:rPr>
                              </w:pPr>
                              <w:r>
                                <w:rPr>
                                  <w:rFonts w:hint="eastAsia"/>
                                  <w:sz w:val="18"/>
                                  <w:szCs w:val="18"/>
                                  <w:lang w:val="en-US" w:eastAsia="zh-CN"/>
                                </w:rPr>
                                <w:t>滤池冲洗废水</w:t>
                              </w:r>
                            </w:p>
                          </w:txbxContent>
                        </v:textbox>
                      </v:shape>
                      <v:shape id="_x0000_s1026" o:spid="_x0000_s1026" o:spt="202" type="#_x0000_t202" style="position:absolute;left:6685;top:680241;height:417;width:1410;" filled="f" stroked="f" coordsize="21600,21600" o:gfxdata="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Jdmnb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0BBB8DDB">
                              <w:pPr>
                                <w:jc w:val="center"/>
                                <w:rPr>
                                  <w:rFonts w:hint="default" w:eastAsia="宋体"/>
                                  <w:sz w:val="18"/>
                                  <w:szCs w:val="18"/>
                                  <w:lang w:val="en-US" w:eastAsia="zh-CN"/>
                                </w:rPr>
                              </w:pPr>
                              <w:r>
                                <w:rPr>
                                  <w:rFonts w:hint="eastAsia"/>
                                  <w:sz w:val="18"/>
                                  <w:szCs w:val="18"/>
                                  <w:lang w:val="en-US" w:eastAsia="zh-CN"/>
                                </w:rPr>
                                <w:t>底部泥渣废水</w:t>
                              </w:r>
                            </w:p>
                          </w:txbxContent>
                        </v:textbox>
                      </v:shape>
                      <v:shape id="_x0000_s1026" o:spid="_x0000_s1026" o:spt="202" type="#_x0000_t202" style="position:absolute;left:4987;top:681237;height:417;width:1062;" filled="f" stroked="f" coordsize="21600,21600" o:gfxdata="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9vDB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2AC036F">
                              <w:pPr>
                                <w:jc w:val="center"/>
                                <w:rPr>
                                  <w:rFonts w:hint="default" w:eastAsia="宋体"/>
                                  <w:sz w:val="18"/>
                                  <w:szCs w:val="18"/>
                                  <w:lang w:val="en-US" w:eastAsia="zh-CN"/>
                                </w:rPr>
                              </w:pPr>
                              <w:r>
                                <w:rPr>
                                  <w:rFonts w:hint="eastAsia"/>
                                  <w:sz w:val="18"/>
                                  <w:szCs w:val="18"/>
                                  <w:lang w:val="en-US" w:eastAsia="zh-CN"/>
                                </w:rPr>
                                <w:t>生产废水</w:t>
                              </w:r>
                            </w:p>
                          </w:txbxContent>
                        </v:textbox>
                      </v:shape>
                      <v:shape id="_x0000_s1026" o:spid="_x0000_s1026" o:spt="202" type="#_x0000_t202" style="position:absolute;left:10002;top:678918;height:728;width:876;" filled="f" stroked="f" coordsize="21600,21600" o:gfxdata="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wldc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0390D4DC">
                              <w:pPr>
                                <w:jc w:val="right"/>
                                <w:rPr>
                                  <w:rFonts w:hint="eastAsia"/>
                                  <w:sz w:val="18"/>
                                  <w:szCs w:val="18"/>
                                  <w:lang w:val="en-US" w:eastAsia="zh-CN"/>
                                </w:rPr>
                              </w:pPr>
                              <w:r>
                                <w:rPr>
                                  <w:rFonts w:hint="eastAsia"/>
                                  <w:sz w:val="18"/>
                                  <w:szCs w:val="18"/>
                                  <w:lang w:val="en-US" w:eastAsia="zh-CN"/>
                                </w:rPr>
                                <w:t>经分配</w:t>
                              </w:r>
                            </w:p>
                            <w:p w14:paraId="126FA1A9">
                              <w:pPr>
                                <w:jc w:val="right"/>
                                <w:rPr>
                                  <w:rFonts w:hint="default" w:ascii="Times New Roman" w:hAnsi="Times New Roman" w:cs="Times New Roman"/>
                                  <w:sz w:val="18"/>
                                  <w:szCs w:val="18"/>
                                  <w:lang w:val="en-US" w:eastAsia="zh-CN"/>
                                </w:rPr>
                              </w:pPr>
                              <w:r>
                                <w:rPr>
                                  <w:rFonts w:hint="eastAsia"/>
                                  <w:sz w:val="18"/>
                                  <w:szCs w:val="18"/>
                                  <w:lang w:val="en-US" w:eastAsia="zh-CN"/>
                                </w:rPr>
                                <w:t>井</w:t>
                              </w:r>
                              <w:r>
                                <w:rPr>
                                  <w:rFonts w:hint="eastAsia" w:ascii="Times New Roman" w:hAnsi="Times New Roman" w:cs="Times New Roman"/>
                                  <w:sz w:val="18"/>
                                  <w:szCs w:val="18"/>
                                  <w:lang w:val="en-US" w:eastAsia="zh-CN"/>
                                </w:rPr>
                                <w:t>回用</w:t>
                              </w:r>
                            </w:p>
                          </w:txbxContent>
                        </v:textbox>
                      </v:shape>
                      <v:line id="_x0000_s1026" o:spid="_x0000_s1026" o:spt="20" style="position:absolute;left:9637;top:681851;height:306;width:7;" filled="f" stroked="t" coordsize="21600,21600" o:gfxdata="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sAWob4A&#10;AADbAAAADwAAAAAAAAABACAAAAAiAAAAZHJzL2Rvd25yZXYueG1sUEsBAhQAFAAAAAgAh07iQDMv&#10;BZ47AAAAOQAAABAAAAAAAAAAAQAgAAAADQEAAGRycy9zaGFwZXhtbC54bWxQSwUGAAAAAAYABgBb&#10;AQAAtwMAAAAA&#10;">
                        <v:fill on="f" focussize="0,0"/>
                        <v:stroke weight="1pt" color="#000000 [3213]" miterlimit="8" joinstyle="miter" endarrow="block"/>
                        <v:imagedata o:title=""/>
                        <o:lock v:ext="edit" aspectratio="f"/>
                      </v:line>
                      <v:shape id="_x0000_s1026" o:spid="_x0000_s1026" o:spt="202" type="#_x0000_t202" style="position:absolute;left:8934;top:682052;height:417;width:1410;" filled="f" stroked="f" coordsize="21600,21600" o:gfxdata="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rGCe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1FBC0A08">
                              <w:pPr>
                                <w:jc w:val="center"/>
                                <w:rPr>
                                  <w:rFonts w:hint="default" w:eastAsia="宋体"/>
                                  <w:sz w:val="18"/>
                                  <w:szCs w:val="18"/>
                                  <w:lang w:val="en-US" w:eastAsia="zh-CN"/>
                                </w:rPr>
                              </w:pPr>
                              <w:r>
                                <w:rPr>
                                  <w:rFonts w:hint="eastAsia"/>
                                  <w:sz w:val="18"/>
                                  <w:szCs w:val="18"/>
                                  <w:lang w:val="en-US" w:eastAsia="zh-CN"/>
                                </w:rPr>
                                <w:t>外排废水</w:t>
                              </w:r>
                            </w:p>
                          </w:txbxContent>
                        </v:textbox>
                      </v:shape>
                      <v:line id="_x0000_s1026" o:spid="_x0000_s1026" o:spt="20" style="position:absolute;left:10295;top:681589;height:6;width:390;" filled="f" stroked="t" coordsize="21600,21600" o:gfxdata="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PiBRvQAA&#10;ANsAAAAPAAAAAAAAAAEAIAAAACIAAABkcnMvZG93bnJldi54bWxQSwECFAAUAAAACACHTuJAMy8F&#10;njsAAAA5AAAAEAAAAAAAAAABACAAAAAMAQAAZHJzL3NoYXBleG1sLnhtbFBLBQYAAAAABgAGAFsB&#10;AAC2AwAAAAA=&#10;">
                        <v:fill on="f" focussize="0,0"/>
                        <v:stroke weight="1pt" color="#000000 [3213]" miterlimit="8" joinstyle="miter" dashstyle="dash" endarrow="block"/>
                        <v:imagedata o:title=""/>
                        <o:lock v:ext="edit" aspectratio="f"/>
                      </v:line>
                      <v:shape id="_x0000_s1026" o:spid="_x0000_s1026" o:spt="202" type="#_x0000_t202" style="position:absolute;left:10232;top:681193;height:417;width:1046;" filled="f" stroked="f" coordsize="21600,21600" o:gfxdata="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yW3K/&#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26DAC040">
                              <w:pPr>
                                <w:jc w:val="center"/>
                                <w:rPr>
                                  <w:rFonts w:hint="default" w:eastAsia="宋体"/>
                                  <w:sz w:val="18"/>
                                  <w:szCs w:val="18"/>
                                  <w:lang w:val="en-US" w:eastAsia="zh-CN"/>
                                </w:rPr>
                              </w:pPr>
                              <w:r>
                                <w:rPr>
                                  <w:rFonts w:hint="eastAsia"/>
                                  <w:sz w:val="18"/>
                                  <w:szCs w:val="18"/>
                                  <w:lang w:val="en-US" w:eastAsia="zh-CN"/>
                                </w:rPr>
                                <w:t>泥饼外运</w:t>
                              </w:r>
                            </w:p>
                          </w:txbxContent>
                        </v:textbox>
                      </v:shape>
                    </v:group>
                  </w:pict>
                </mc:Fallback>
              </mc:AlternateContent>
            </w:r>
          </w:p>
          <w:p w14:paraId="57C3F6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p>
          <w:p w14:paraId="330FA9E6">
            <w:pPr>
              <w:pStyle w:val="2"/>
              <w:rPr>
                <w:rFonts w:hint="eastAsia"/>
                <w:b w:val="0"/>
                <w:bCs w:val="0"/>
                <w:color w:val="auto"/>
                <w:sz w:val="24"/>
                <w:u w:val="none"/>
                <w:lang w:val="en-US" w:eastAsia="zh-CN"/>
              </w:rPr>
            </w:pPr>
          </w:p>
          <w:p w14:paraId="4345FCB7">
            <w:pPr>
              <w:rPr>
                <w:rFonts w:hint="eastAsia"/>
                <w:b w:val="0"/>
                <w:bCs w:val="0"/>
                <w:color w:val="auto"/>
                <w:sz w:val="24"/>
                <w:u w:val="none"/>
                <w:lang w:val="en-US" w:eastAsia="zh-CN"/>
              </w:rPr>
            </w:pPr>
          </w:p>
          <w:p w14:paraId="02B4300A">
            <w:pPr>
              <w:pStyle w:val="2"/>
              <w:rPr>
                <w:rFonts w:hint="eastAsia"/>
                <w:b w:val="0"/>
                <w:bCs w:val="0"/>
                <w:color w:val="auto"/>
                <w:sz w:val="24"/>
                <w:u w:val="none"/>
                <w:lang w:val="en-US" w:eastAsia="zh-CN"/>
              </w:rPr>
            </w:pPr>
          </w:p>
          <w:p w14:paraId="58794219">
            <w:pPr>
              <w:rPr>
                <w:rFonts w:hint="eastAsia"/>
                <w:b w:val="0"/>
                <w:bCs w:val="0"/>
                <w:color w:val="auto"/>
                <w:sz w:val="24"/>
                <w:u w:val="none"/>
                <w:lang w:val="en-US" w:eastAsia="zh-CN"/>
              </w:rPr>
            </w:pPr>
          </w:p>
          <w:p w14:paraId="66A99923">
            <w:pPr>
              <w:pStyle w:val="2"/>
              <w:rPr>
                <w:rFonts w:hint="eastAsia"/>
                <w:b w:val="0"/>
                <w:bCs w:val="0"/>
                <w:color w:val="auto"/>
                <w:sz w:val="24"/>
                <w:u w:val="none"/>
                <w:lang w:val="en-US" w:eastAsia="zh-CN"/>
              </w:rPr>
            </w:pPr>
          </w:p>
          <w:p w14:paraId="7D3CEF96">
            <w:pPr>
              <w:rPr>
                <w:rFonts w:hint="eastAsia"/>
                <w:lang w:val="en-US" w:eastAsia="zh-CN"/>
              </w:rPr>
            </w:pPr>
          </w:p>
          <w:p w14:paraId="5EBE26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p>
          <w:p w14:paraId="41C36841">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cs="Times New Roman"/>
                <w:b/>
                <w:bCs w:val="0"/>
                <w:sz w:val="24"/>
                <w:szCs w:val="21"/>
                <w:u w:val="single"/>
                <w:lang w:val="en-US" w:eastAsia="zh-CN"/>
              </w:rPr>
            </w:pPr>
            <w:r>
              <w:rPr>
                <w:rFonts w:hint="eastAsia" w:ascii="Times New Roman" w:hAnsi="Times New Roman" w:cs="Times New Roman"/>
                <w:b/>
                <w:bCs w:val="0"/>
                <w:sz w:val="24"/>
                <w:szCs w:val="21"/>
                <w:u w:val="single"/>
                <w:lang w:val="en-US" w:eastAsia="zh-CN"/>
              </w:rPr>
              <w:t>图4-1  项目生产废水处理走向流程示意图</w:t>
            </w:r>
          </w:p>
          <w:p w14:paraId="293CD5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val="0"/>
                <w:bCs w:val="0"/>
                <w:color w:val="auto"/>
                <w:sz w:val="24"/>
                <w:u w:val="none"/>
                <w:lang w:val="en-US" w:eastAsia="zh-CN"/>
              </w:rPr>
            </w:pPr>
            <w:r>
              <w:rPr>
                <w:rFonts w:hint="eastAsia"/>
                <w:b w:val="0"/>
                <w:bCs w:val="0"/>
                <w:color w:val="auto"/>
                <w:sz w:val="24"/>
                <w:u w:val="none"/>
                <w:lang w:val="en-US" w:eastAsia="zh-CN"/>
              </w:rPr>
              <w:t>通过以上废水处理设施处理后的产区外排废水水质在废水排放口处可满足《污水综合排放标准》（GB8978-1996）中表4三级标准和岳阳马壕水质净化中心进水要求，通过片区内市政污水收集管网进入末端岳阳马壕水质净化中心污水处理厂进行深度处理可行。</w:t>
            </w:r>
          </w:p>
          <w:p w14:paraId="07C6D936">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right="0" w:rightChars="0" w:firstLine="480" w:firstLineChars="200"/>
              <w:textAlignment w:val="auto"/>
              <w:rPr>
                <w:rFonts w:hint="eastAsia" w:ascii="Times New Roman" w:hAnsi="Times New Roman" w:cs="Times New Roman"/>
                <w:b w:val="0"/>
                <w:bCs w:val="0"/>
                <w:color w:val="auto"/>
                <w:sz w:val="24"/>
                <w:szCs w:val="24"/>
                <w:u w:val="none" w:color="auto"/>
                <w:lang w:val="en-US" w:eastAsia="zh-CN"/>
              </w:rPr>
            </w:pPr>
            <w:r>
              <w:rPr>
                <w:rFonts w:hint="eastAsia" w:ascii="Times New Roman" w:hAnsi="Times New Roman" w:cs="Times New Roman"/>
                <w:b w:val="0"/>
                <w:bCs w:val="0"/>
                <w:color w:val="auto"/>
                <w:sz w:val="24"/>
                <w:szCs w:val="24"/>
                <w:u w:val="none" w:color="auto"/>
                <w:lang w:val="en-US" w:eastAsia="zh-CN"/>
              </w:rPr>
              <w:t>②废水回用可行性分析</w:t>
            </w:r>
          </w:p>
          <w:p w14:paraId="3AB6D5BB">
            <w:pPr>
              <w:pStyle w:val="39"/>
              <w:ind w:firstLine="482"/>
              <w:rPr>
                <w:rFonts w:hint="default" w:eastAsia="宋体"/>
                <w:b w:val="0"/>
                <w:bCs w:val="0"/>
                <w:color w:val="auto"/>
                <w:u w:val="none"/>
                <w:lang w:val="en-US" w:eastAsia="zh-CN"/>
              </w:rPr>
            </w:pPr>
            <w:r>
              <w:rPr>
                <w:rFonts w:hint="eastAsia"/>
                <w:b w:val="0"/>
                <w:bCs w:val="0"/>
                <w:color w:val="auto"/>
                <w:u w:val="none"/>
              </w:rPr>
              <w:t>项目</w:t>
            </w:r>
            <w:r>
              <w:rPr>
                <w:rFonts w:hint="eastAsia"/>
                <w:b w:val="0"/>
                <w:bCs w:val="0"/>
                <w:color w:val="auto"/>
                <w:u w:val="none"/>
                <w:lang w:val="en-US" w:eastAsia="zh-CN"/>
              </w:rPr>
              <w:t>运营期排入回收水池内废水主要为滤池反冲洗水、污泥处理车间浓缩后贮泥池上清液废水，这两者废水均为净水生产过程中含有泥渣废水，水质成分与厂区进水水源水质成分类似，仅悬浮颗粒物杂质浓度较高，可返回厂区原水进水分配井中，进净水生产线再利用。回收水池池底少量含杂质较大的泥沙水定期由厂区排水管网进厂区排泥水池进行处理。</w:t>
            </w:r>
          </w:p>
          <w:p w14:paraId="75622214">
            <w:pPr>
              <w:pStyle w:val="20"/>
              <w:ind w:firstLine="482"/>
              <w:rPr>
                <w:rFonts w:hint="default"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3、</w:t>
            </w:r>
            <w:r>
              <w:rPr>
                <w:rFonts w:hint="default" w:cs="Times New Roman"/>
                <w:b/>
                <w:bCs/>
                <w:color w:val="000000"/>
                <w:highlight w:val="none"/>
                <w:u w:val="none" w:color="auto"/>
                <w:lang w:val="en-US" w:eastAsia="zh-CN"/>
              </w:rPr>
              <w:t>废水依托</w:t>
            </w:r>
            <w:r>
              <w:rPr>
                <w:rFonts w:hint="eastAsia" w:cs="Times New Roman"/>
                <w:b/>
                <w:bCs/>
                <w:color w:val="000000"/>
                <w:highlight w:val="none"/>
                <w:u w:val="none" w:color="auto"/>
                <w:lang w:val="en-US" w:eastAsia="zh-CN"/>
              </w:rPr>
              <w:t>岳阳马壕水质净化中心</w:t>
            </w:r>
            <w:r>
              <w:rPr>
                <w:rFonts w:hint="default" w:cs="Times New Roman"/>
                <w:b/>
                <w:bCs/>
                <w:color w:val="000000"/>
                <w:highlight w:val="none"/>
                <w:u w:val="none" w:color="auto"/>
                <w:lang w:val="en-US" w:eastAsia="zh-CN"/>
              </w:rPr>
              <w:t>污水处理厂处理的可行性分析</w:t>
            </w:r>
          </w:p>
          <w:p w14:paraId="39F8A212">
            <w:pPr>
              <w:spacing w:line="360" w:lineRule="auto"/>
              <w:ind w:firstLine="480" w:firstLineChars="200"/>
              <w:rPr>
                <w:rFonts w:hint="eastAsia" w:cs="Times New Roman"/>
                <w:color w:val="auto"/>
                <w:sz w:val="24"/>
                <w:u w:val="none" w:color="auto"/>
                <w:lang w:val="en-US" w:eastAsia="zh-CN"/>
              </w:rPr>
            </w:pPr>
            <w:r>
              <w:rPr>
                <w:rFonts w:hint="eastAsia" w:cs="Times New Roman"/>
                <w:color w:val="auto"/>
                <w:sz w:val="24"/>
                <w:u w:val="none" w:color="auto"/>
                <w:lang w:val="en-US" w:eastAsia="zh-CN"/>
              </w:rPr>
              <w:t>本项目位于岳阳市岳阳楼区岳阳楼街道片区，东临原3517家属区、南临岳阳市第一中学、西临洞庭北路，按照岳阳市中心城区排水专项规划内容，项目所在污水片区属Ⅱ马壕污水处理厂服务范围。</w:t>
            </w:r>
          </w:p>
          <w:p w14:paraId="06950ABE">
            <w:pPr>
              <w:spacing w:line="360" w:lineRule="auto"/>
              <w:ind w:firstLine="480" w:firstLineChars="200"/>
              <w:rPr>
                <w:rFonts w:hint="default" w:ascii="Times New Roman" w:hAnsi="Times New Roman" w:eastAsia="宋体" w:cs="Times New Roman"/>
                <w:color w:val="auto"/>
                <w:sz w:val="24"/>
                <w:u w:val="none" w:color="auto"/>
              </w:rPr>
            </w:pPr>
            <w:r>
              <w:rPr>
                <w:rFonts w:hint="eastAsia" w:cs="Times New Roman"/>
                <w:color w:val="auto"/>
                <w:sz w:val="24"/>
                <w:u w:val="none" w:color="auto"/>
                <w:lang w:val="en-US" w:eastAsia="zh-CN"/>
              </w:rPr>
              <w:t>岳阳马壕污水水质净化中心位于岳阳楼区枫桥湖街道，东风湖以南、湖东路以西</w:t>
            </w:r>
            <w:r>
              <w:rPr>
                <w:rFonts w:hint="default" w:ascii="Times New Roman" w:hAnsi="Times New Roman" w:eastAsia="宋体" w:cs="Times New Roman"/>
                <w:color w:val="auto"/>
                <w:sz w:val="24"/>
                <w:u w:val="none" w:color="auto"/>
              </w:rPr>
              <w:t>，目前处理能力为</w:t>
            </w:r>
            <w:r>
              <w:rPr>
                <w:rFonts w:hint="eastAsia" w:cs="Times New Roman"/>
                <w:color w:val="auto"/>
                <w:sz w:val="24"/>
                <w:u w:val="none" w:color="auto"/>
                <w:lang w:val="en-US" w:eastAsia="zh-CN"/>
              </w:rPr>
              <w:t>10</w:t>
            </w:r>
            <w:r>
              <w:rPr>
                <w:rFonts w:hint="default" w:ascii="Times New Roman" w:hAnsi="Times New Roman" w:eastAsia="宋体" w:cs="Times New Roman"/>
                <w:color w:val="auto"/>
                <w:sz w:val="24"/>
                <w:u w:val="none" w:color="auto"/>
              </w:rPr>
              <w:t>万t/d，设计服务范围为巴陵西路、青年中路、建湘路、琵琶王路以北，沿湖大道以南，王家河西岸及洛王-冷水铺片区和东风湖、吉家湖周边的区域</w:t>
            </w:r>
            <w:r>
              <w:rPr>
                <w:rFonts w:hint="eastAsia" w:cs="Times New Roman"/>
                <w:color w:val="auto"/>
                <w:sz w:val="24"/>
                <w:u w:val="none" w:color="auto"/>
                <w:lang w:eastAsia="zh-CN"/>
              </w:rPr>
              <w:t>。</w:t>
            </w:r>
            <w:r>
              <w:rPr>
                <w:rFonts w:hint="default" w:ascii="Times New Roman" w:hAnsi="Times New Roman" w:eastAsia="宋体" w:cs="Times New Roman"/>
                <w:color w:val="auto"/>
                <w:sz w:val="24"/>
                <w:u w:val="none" w:color="auto"/>
              </w:rPr>
              <w:t>主要采用A/A/O反应池+二沉池+高效沉淀池+回转式过滤器工艺，出水水质执行《城镇污水处理厂污染物排放标准》（GB18918-2002）一级A标准，尾水经</w:t>
            </w:r>
            <w:r>
              <w:rPr>
                <w:rFonts w:hint="eastAsia" w:cs="Times New Roman"/>
                <w:color w:val="auto"/>
                <w:sz w:val="24"/>
                <w:u w:val="none" w:color="auto"/>
                <w:lang w:val="en-US" w:eastAsia="zh-CN"/>
              </w:rPr>
              <w:t>排污管道</w:t>
            </w:r>
            <w:r>
              <w:rPr>
                <w:rFonts w:hint="default" w:ascii="Times New Roman" w:hAnsi="Times New Roman" w:eastAsia="宋体" w:cs="Times New Roman"/>
                <w:color w:val="auto"/>
                <w:sz w:val="24"/>
                <w:u w:val="none" w:color="auto"/>
              </w:rPr>
              <w:t>港排入</w:t>
            </w:r>
            <w:r>
              <w:rPr>
                <w:rFonts w:hint="eastAsia" w:cs="Times New Roman"/>
                <w:color w:val="auto"/>
                <w:sz w:val="24"/>
                <w:u w:val="none" w:color="auto"/>
                <w:lang w:val="en-US" w:eastAsia="zh-CN"/>
              </w:rPr>
              <w:t>东风湖上湖，最终经电排闸排入洞庭湖入</w:t>
            </w:r>
            <w:r>
              <w:rPr>
                <w:rFonts w:hint="default" w:ascii="Times New Roman" w:hAnsi="Times New Roman" w:eastAsia="宋体" w:cs="Times New Roman"/>
                <w:color w:val="auto"/>
                <w:sz w:val="24"/>
                <w:u w:val="none" w:color="auto"/>
              </w:rPr>
              <w:t>长江</w:t>
            </w:r>
            <w:r>
              <w:rPr>
                <w:rFonts w:hint="eastAsia" w:cs="Times New Roman"/>
                <w:color w:val="auto"/>
                <w:sz w:val="24"/>
                <w:u w:val="none" w:color="auto"/>
                <w:lang w:val="en-US" w:eastAsia="zh-CN"/>
              </w:rPr>
              <w:t>河段</w:t>
            </w:r>
            <w:r>
              <w:rPr>
                <w:rFonts w:hint="default" w:ascii="Times New Roman" w:hAnsi="Times New Roman" w:eastAsia="宋体" w:cs="Times New Roman"/>
                <w:color w:val="auto"/>
                <w:sz w:val="24"/>
                <w:u w:val="none" w:color="auto"/>
              </w:rPr>
              <w:t>。</w:t>
            </w:r>
          </w:p>
          <w:p w14:paraId="0C6D94E1">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b w:val="0"/>
                <w:bCs w:val="0"/>
                <w:color w:val="auto"/>
                <w:sz w:val="24"/>
                <w:szCs w:val="24"/>
                <w:u w:val="none" w:color="auto"/>
              </w:rPr>
              <w:t>①进水水质要求：</w:t>
            </w:r>
            <w:r>
              <w:rPr>
                <w:rFonts w:hint="eastAsia" w:cs="Times New Roman"/>
                <w:color w:val="auto"/>
                <w:sz w:val="24"/>
                <w:szCs w:val="32"/>
                <w:highlight w:val="none"/>
                <w:u w:val="none"/>
                <w:lang w:val="en-US" w:eastAsia="zh-CN"/>
              </w:rPr>
              <w:t>岳阳马壕水质净化中心进水水质标准中主要污染物分别pH6～9、COD</w:t>
            </w:r>
            <w:r>
              <w:rPr>
                <w:rFonts w:hint="eastAsia" w:cs="Times New Roman"/>
                <w:color w:val="auto"/>
                <w:sz w:val="24"/>
                <w:szCs w:val="32"/>
                <w:highlight w:val="none"/>
                <w:u w:val="none"/>
                <w:vertAlign w:val="subscript"/>
                <w:lang w:val="en-US" w:eastAsia="zh-CN"/>
              </w:rPr>
              <w:t>Cr</w:t>
            </w:r>
            <w:r>
              <w:rPr>
                <w:rFonts w:hint="eastAsia" w:cs="Times New Roman"/>
                <w:color w:val="auto"/>
                <w:sz w:val="24"/>
                <w:szCs w:val="32"/>
                <w:highlight w:val="none"/>
                <w:u w:val="none"/>
                <w:lang w:val="en-US" w:eastAsia="zh-CN"/>
              </w:rPr>
              <w:t>≤500mg/L、BOD</w:t>
            </w:r>
            <w:r>
              <w:rPr>
                <w:rFonts w:hint="eastAsia" w:cs="Times New Roman"/>
                <w:color w:val="auto"/>
                <w:sz w:val="24"/>
                <w:szCs w:val="32"/>
                <w:highlight w:val="none"/>
                <w:u w:val="none"/>
                <w:vertAlign w:val="subscript"/>
                <w:lang w:val="en-US" w:eastAsia="zh-CN"/>
              </w:rPr>
              <w:t>5</w:t>
            </w:r>
            <w:r>
              <w:rPr>
                <w:rFonts w:hint="eastAsia" w:cs="Times New Roman"/>
                <w:color w:val="auto"/>
                <w:sz w:val="24"/>
                <w:szCs w:val="32"/>
                <w:highlight w:val="none"/>
                <w:u w:val="none"/>
                <w:lang w:val="en-US" w:eastAsia="zh-CN"/>
              </w:rPr>
              <w:t>≤130mg/L、SS≤200mg/L、NH</w:t>
            </w:r>
            <w:r>
              <w:rPr>
                <w:rFonts w:hint="eastAsia" w:cs="Times New Roman"/>
                <w:color w:val="auto"/>
                <w:sz w:val="24"/>
                <w:szCs w:val="32"/>
                <w:highlight w:val="none"/>
                <w:u w:val="none"/>
                <w:vertAlign w:val="subscript"/>
                <w:lang w:val="en-US" w:eastAsia="zh-CN"/>
              </w:rPr>
              <w:t>3</w:t>
            </w:r>
            <w:r>
              <w:rPr>
                <w:rFonts w:hint="eastAsia" w:cs="Times New Roman"/>
                <w:color w:val="auto"/>
                <w:sz w:val="24"/>
                <w:szCs w:val="32"/>
                <w:highlight w:val="none"/>
                <w:u w:val="none"/>
                <w:lang w:val="en-US" w:eastAsia="zh-CN"/>
              </w:rPr>
              <w:t>-N≤25mg/L、TN≤65mg/L、TP≤3mg/L），</w:t>
            </w:r>
            <w:r>
              <w:rPr>
                <w:rFonts w:hint="default" w:ascii="Times New Roman" w:hAnsi="Times New Roman" w:eastAsia="宋体" w:cs="Times New Roman"/>
                <w:color w:val="auto"/>
                <w:sz w:val="24"/>
                <w:u w:val="none" w:color="auto"/>
              </w:rPr>
              <w:t>根据工程分析</w:t>
            </w:r>
            <w:r>
              <w:rPr>
                <w:rFonts w:hint="eastAsia" w:cs="Times New Roman"/>
                <w:color w:val="auto"/>
                <w:sz w:val="24"/>
                <w:u w:val="none" w:color="auto"/>
                <w:lang w:val="en-US" w:eastAsia="zh-CN"/>
              </w:rPr>
              <w:t>核算内容</w:t>
            </w:r>
            <w:r>
              <w:rPr>
                <w:rFonts w:hint="default" w:ascii="Times New Roman" w:hAnsi="Times New Roman" w:eastAsia="宋体" w:cs="Times New Roman"/>
                <w:color w:val="auto"/>
                <w:sz w:val="24"/>
                <w:u w:val="none" w:color="auto"/>
              </w:rPr>
              <w:t>可知，项目各类外排废水水质能满足污水处理厂的设计进水水质要求。</w:t>
            </w:r>
          </w:p>
          <w:p w14:paraId="6C6EFE09">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b w:val="0"/>
                <w:bCs w:val="0"/>
                <w:color w:val="auto"/>
                <w:sz w:val="24"/>
                <w:u w:val="none" w:color="auto"/>
              </w:rPr>
              <w:t>②配套管网建设情况：</w:t>
            </w:r>
            <w:r>
              <w:rPr>
                <w:rFonts w:hint="default" w:ascii="Times New Roman" w:hAnsi="Times New Roman" w:eastAsia="宋体" w:cs="Times New Roman"/>
                <w:color w:val="auto"/>
                <w:sz w:val="24"/>
                <w:u w:val="none" w:color="auto"/>
              </w:rPr>
              <w:t>项目位于</w:t>
            </w:r>
            <w:r>
              <w:rPr>
                <w:rFonts w:hint="eastAsia" w:cs="Times New Roman"/>
                <w:color w:val="auto"/>
                <w:sz w:val="24"/>
                <w:u w:val="none" w:color="auto"/>
                <w:lang w:val="en-US" w:eastAsia="zh-CN"/>
              </w:rPr>
              <w:t>岳阳楼街道片区，东临原3517家属区、南临岳阳市第一中学、西临洞庭北路内</w:t>
            </w:r>
            <w:r>
              <w:rPr>
                <w:rFonts w:hint="default" w:ascii="Times New Roman" w:hAnsi="Times New Roman" w:eastAsia="宋体" w:cs="Times New Roman"/>
                <w:color w:val="auto"/>
                <w:sz w:val="24"/>
                <w:u w:val="none" w:color="auto"/>
              </w:rPr>
              <w:t>，属于</w:t>
            </w:r>
            <w:r>
              <w:rPr>
                <w:rFonts w:hint="eastAsia" w:cs="Times New Roman"/>
                <w:color w:val="auto"/>
                <w:sz w:val="24"/>
                <w:u w:val="none" w:color="auto"/>
                <w:lang w:val="en-US" w:eastAsia="zh-CN"/>
              </w:rPr>
              <w:t>该</w:t>
            </w:r>
            <w:r>
              <w:rPr>
                <w:rFonts w:hint="default" w:ascii="Times New Roman" w:hAnsi="Times New Roman" w:eastAsia="宋体" w:cs="Times New Roman"/>
                <w:color w:val="auto"/>
                <w:sz w:val="24"/>
                <w:u w:val="none" w:color="auto"/>
              </w:rPr>
              <w:t>污水处理厂服务范围内，目前本项目</w:t>
            </w:r>
            <w:r>
              <w:rPr>
                <w:rFonts w:hint="eastAsia" w:cs="Times New Roman"/>
                <w:color w:val="auto"/>
                <w:sz w:val="24"/>
                <w:u w:val="none" w:color="auto"/>
                <w:lang w:val="en-US" w:eastAsia="zh-CN"/>
              </w:rPr>
              <w:t>处理后达标废水经自建污水管道（DN500）接入项目北侧汴河园路已建的市政污水收集管网，经一七路-建设北路-德胜北路污水管网，最终汇入马壕水质净化中心污水处理厂，区域内</w:t>
            </w:r>
            <w:r>
              <w:rPr>
                <w:rFonts w:hint="default" w:ascii="Times New Roman" w:hAnsi="Times New Roman" w:eastAsia="宋体" w:cs="Times New Roman"/>
                <w:color w:val="auto"/>
                <w:sz w:val="24"/>
                <w:u w:val="none" w:color="auto"/>
              </w:rPr>
              <w:t>污水管网已建成并投入运营，本项目废水可接入该污水处理厂。</w:t>
            </w:r>
          </w:p>
          <w:p w14:paraId="159E3C7A">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b w:val="0"/>
                <w:bCs w:val="0"/>
                <w:color w:val="auto"/>
                <w:sz w:val="24"/>
                <w:u w:val="none" w:color="auto"/>
              </w:rPr>
              <w:t>③剩余处理能力：</w:t>
            </w:r>
            <w:r>
              <w:rPr>
                <w:rFonts w:hint="default" w:ascii="Times New Roman" w:hAnsi="Times New Roman" w:eastAsia="宋体" w:cs="Times New Roman"/>
                <w:color w:val="auto"/>
                <w:sz w:val="24"/>
                <w:u w:val="none" w:color="auto"/>
              </w:rPr>
              <w:t>根据</w:t>
            </w:r>
            <w:r>
              <w:rPr>
                <w:rFonts w:hint="eastAsia" w:cs="Times New Roman"/>
                <w:color w:val="auto"/>
                <w:sz w:val="24"/>
                <w:u w:val="none" w:color="auto"/>
                <w:lang w:val="en-US" w:eastAsia="zh-CN"/>
              </w:rPr>
              <w:t>岳阳马壕污水水质净化中心的近期处理情况</w:t>
            </w:r>
            <w:r>
              <w:rPr>
                <w:rFonts w:hint="default" w:ascii="Times New Roman" w:hAnsi="Times New Roman" w:eastAsia="宋体" w:cs="Times New Roman"/>
                <w:color w:val="auto"/>
                <w:sz w:val="24"/>
                <w:u w:val="none" w:color="auto"/>
              </w:rPr>
              <w:t>显示，日均进水量约为</w:t>
            </w:r>
            <w:r>
              <w:rPr>
                <w:rFonts w:hint="eastAsia" w:cs="Times New Roman"/>
                <w:color w:val="auto"/>
                <w:sz w:val="24"/>
                <w:u w:val="none" w:color="auto"/>
                <w:lang w:val="en-US" w:eastAsia="zh-CN"/>
              </w:rPr>
              <w:t>8</w:t>
            </w:r>
            <w:r>
              <w:rPr>
                <w:rFonts w:hint="default" w:ascii="Times New Roman" w:hAnsi="Times New Roman" w:eastAsia="宋体" w:cs="Times New Roman"/>
                <w:color w:val="auto"/>
                <w:sz w:val="24"/>
                <w:u w:val="none" w:color="auto"/>
              </w:rPr>
              <w:t>.3万t/d，剩余</w:t>
            </w:r>
            <w:r>
              <w:rPr>
                <w:rFonts w:hint="eastAsia" w:cs="Times New Roman"/>
                <w:color w:val="auto"/>
                <w:sz w:val="24"/>
                <w:u w:val="none" w:color="auto"/>
                <w:lang w:val="en-US" w:eastAsia="zh-CN"/>
              </w:rPr>
              <w:t>1.7</w:t>
            </w:r>
            <w:r>
              <w:rPr>
                <w:rFonts w:hint="default" w:ascii="Times New Roman" w:hAnsi="Times New Roman" w:eastAsia="宋体" w:cs="Times New Roman"/>
                <w:color w:val="auto"/>
                <w:sz w:val="24"/>
                <w:u w:val="none" w:color="auto"/>
              </w:rPr>
              <w:t>万t/d，本项目日均排放量为</w:t>
            </w:r>
            <w:r>
              <w:rPr>
                <w:rFonts w:hint="eastAsia" w:cs="Times New Roman"/>
                <w:color w:val="auto"/>
                <w:sz w:val="24"/>
                <w:u w:val="none" w:color="auto"/>
                <w:lang w:val="en-US" w:eastAsia="zh-CN"/>
              </w:rPr>
              <w:t>456.752‬</w:t>
            </w:r>
            <w:r>
              <w:rPr>
                <w:rFonts w:hint="default" w:ascii="Times New Roman" w:hAnsi="Times New Roman" w:eastAsia="宋体" w:cs="Times New Roman"/>
                <w:color w:val="auto"/>
                <w:sz w:val="24"/>
                <w:u w:val="none" w:color="auto"/>
              </w:rPr>
              <w:t>t/d，</w:t>
            </w:r>
            <w:r>
              <w:rPr>
                <w:rFonts w:hint="eastAsia" w:cs="Times New Roman"/>
                <w:color w:val="auto"/>
                <w:sz w:val="24"/>
                <w:u w:val="none" w:color="auto"/>
                <w:lang w:val="en-US" w:eastAsia="zh-CN"/>
              </w:rPr>
              <w:t>且本项目已投入运行，在废水排放期间马壕水质净化中心污水处理厂正常运行，污水处理厂有能力处理本项目排放的废水</w:t>
            </w:r>
            <w:r>
              <w:rPr>
                <w:rFonts w:hint="default" w:ascii="Times New Roman" w:hAnsi="Times New Roman" w:eastAsia="宋体" w:cs="Times New Roman"/>
                <w:color w:val="auto"/>
                <w:sz w:val="24"/>
                <w:u w:val="none" w:color="auto"/>
              </w:rPr>
              <w:t>，因此不会超过污水处理厂纳污能力。</w:t>
            </w:r>
          </w:p>
          <w:p w14:paraId="7CDB172C">
            <w:pPr>
              <w:spacing w:line="360" w:lineRule="auto"/>
              <w:ind w:firstLine="480" w:firstLineChars="200"/>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b w:val="0"/>
                <w:bCs w:val="0"/>
                <w:color w:val="auto"/>
                <w:sz w:val="24"/>
                <w:szCs w:val="24"/>
                <w:u w:val="none" w:color="auto"/>
              </w:rPr>
              <w:t>④污水处理厂运行情况：</w:t>
            </w:r>
            <w:r>
              <w:rPr>
                <w:rFonts w:hint="default" w:ascii="Times New Roman" w:hAnsi="Times New Roman" w:eastAsia="宋体" w:cs="Times New Roman"/>
                <w:color w:val="auto"/>
                <w:sz w:val="24"/>
                <w:szCs w:val="24"/>
                <w:u w:val="none" w:color="auto"/>
              </w:rPr>
              <w:t>根据调查，本项目所依托的</w:t>
            </w:r>
            <w:r>
              <w:rPr>
                <w:rFonts w:hint="eastAsia" w:cs="Times New Roman"/>
                <w:color w:val="auto"/>
                <w:sz w:val="24"/>
                <w:szCs w:val="24"/>
                <w:u w:val="none" w:color="auto"/>
                <w:lang w:val="en-US" w:eastAsia="zh-CN"/>
              </w:rPr>
              <w:t>岳阳马壕</w:t>
            </w:r>
            <w:r>
              <w:rPr>
                <w:rFonts w:hint="default" w:ascii="Times New Roman" w:hAnsi="Times New Roman" w:eastAsia="宋体" w:cs="Times New Roman"/>
                <w:color w:val="auto"/>
                <w:sz w:val="24"/>
                <w:szCs w:val="24"/>
                <w:u w:val="none" w:color="auto"/>
              </w:rPr>
              <w:t>水质净化中心</w:t>
            </w:r>
            <w:r>
              <w:rPr>
                <w:rFonts w:hint="default" w:ascii="Times New Roman" w:hAnsi="Times New Roman" w:eastAsia="宋体" w:cs="Times New Roman"/>
                <w:color w:val="auto"/>
                <w:sz w:val="24"/>
                <w:szCs w:val="24"/>
                <w:u w:val="none" w:color="auto"/>
                <w:lang w:eastAsia="zh-CN"/>
              </w:rPr>
              <w:t>污水处理厂</w:t>
            </w:r>
            <w:r>
              <w:rPr>
                <w:rFonts w:hint="default" w:ascii="Times New Roman" w:hAnsi="Times New Roman" w:eastAsia="宋体" w:cs="Times New Roman"/>
                <w:color w:val="auto"/>
                <w:sz w:val="24"/>
                <w:szCs w:val="24"/>
                <w:u w:val="none" w:color="auto"/>
              </w:rPr>
              <w:t>已完成验收，</w:t>
            </w:r>
            <w:r>
              <w:rPr>
                <w:rFonts w:hint="eastAsia" w:cs="Times New Roman"/>
                <w:color w:val="auto"/>
                <w:sz w:val="24"/>
                <w:szCs w:val="24"/>
                <w:u w:val="none" w:color="auto"/>
                <w:lang w:val="en-US" w:eastAsia="zh-CN"/>
              </w:rPr>
              <w:t>目前收集东风湖片区、吉家湖片区范围内污水</w:t>
            </w:r>
            <w:r>
              <w:rPr>
                <w:rFonts w:hint="default" w:ascii="Times New Roman" w:hAnsi="Times New Roman" w:eastAsia="宋体" w:cs="Times New Roman"/>
                <w:color w:val="auto"/>
                <w:sz w:val="24"/>
                <w:szCs w:val="24"/>
                <w:u w:val="none" w:color="auto"/>
              </w:rPr>
              <w:t>并能够稳定达标排放和运行。</w:t>
            </w:r>
          </w:p>
          <w:p w14:paraId="48C37486">
            <w:pPr>
              <w:spacing w:line="360" w:lineRule="auto"/>
              <w:ind w:firstLine="480" w:firstLineChars="200"/>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u w:val="none" w:color="auto"/>
              </w:rPr>
              <w:t>通过以上分析可知，本项目废水依托</w:t>
            </w:r>
            <w:r>
              <w:rPr>
                <w:rFonts w:hint="eastAsia" w:cs="Times New Roman"/>
                <w:color w:val="auto"/>
                <w:sz w:val="24"/>
                <w:u w:val="none" w:color="auto"/>
                <w:lang w:val="en-US" w:eastAsia="zh-CN"/>
              </w:rPr>
              <w:t>岳阳马壕水质净化中心</w:t>
            </w:r>
            <w:r>
              <w:rPr>
                <w:rFonts w:hint="default" w:ascii="Times New Roman" w:hAnsi="Times New Roman" w:eastAsia="宋体" w:cs="Times New Roman"/>
                <w:color w:val="auto"/>
                <w:sz w:val="24"/>
                <w:u w:val="none" w:color="auto"/>
              </w:rPr>
              <w:t>处理是可行的。</w:t>
            </w:r>
          </w:p>
          <w:p w14:paraId="2224DD24">
            <w:pPr>
              <w:pStyle w:val="20"/>
              <w:ind w:firstLine="482"/>
              <w:rPr>
                <w:rFonts w:hint="eastAsia" w:ascii="Times New Roman" w:hAnsi="Times New Roman" w:eastAsia="宋体" w:cs="Times New Roman"/>
                <w:b/>
                <w:bCs/>
                <w:color w:val="000000"/>
                <w:highlight w:val="none"/>
                <w:u w:val="none" w:color="auto"/>
                <w:lang w:val="en-US" w:eastAsia="zh-CN"/>
              </w:rPr>
            </w:pPr>
            <w:r>
              <w:rPr>
                <w:rFonts w:hint="eastAsia" w:ascii="Times New Roman" w:hAnsi="Times New Roman" w:eastAsia="宋体" w:cs="Times New Roman"/>
                <w:b/>
                <w:bCs/>
                <w:color w:val="000000"/>
                <w:highlight w:val="none"/>
                <w:u w:val="none" w:color="auto"/>
                <w:lang w:val="en-US" w:eastAsia="zh-CN"/>
              </w:rPr>
              <w:t>4、废水监测计划</w:t>
            </w:r>
          </w:p>
          <w:p w14:paraId="58F0AC37">
            <w:pPr>
              <w:spacing w:line="360" w:lineRule="auto"/>
              <w:ind w:firstLine="480" w:firstLineChars="200"/>
              <w:rPr>
                <w:rFonts w:hint="eastAsia"/>
                <w:bCs/>
                <w:color w:val="auto"/>
                <w:kern w:val="0"/>
                <w:sz w:val="24"/>
                <w:szCs w:val="20"/>
                <w:u w:val="none" w:color="auto"/>
              </w:rPr>
            </w:pPr>
            <w:r>
              <w:rPr>
                <w:rFonts w:hint="eastAsia"/>
                <w:bCs/>
                <w:color w:val="auto"/>
                <w:kern w:val="0"/>
                <w:sz w:val="24"/>
                <w:szCs w:val="20"/>
                <w:u w:val="none" w:color="auto"/>
              </w:rPr>
              <w:t>根据《排污单位自行监测技术指南 总则》（HJ819-2017）的相关要求，结合本项目的特点，本项目运营期废水排放监测计划如下。</w:t>
            </w:r>
          </w:p>
          <w:p w14:paraId="34D3965E">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val="0"/>
                <w:sz w:val="24"/>
                <w:szCs w:val="21"/>
                <w:lang w:val="en-US" w:eastAsia="zh-CN"/>
              </w:rPr>
            </w:pPr>
            <w:r>
              <w:rPr>
                <w:rFonts w:hint="eastAsia" w:ascii="Times New Roman" w:hAnsi="Times New Roman" w:cs="Times New Roman"/>
                <w:b/>
                <w:bCs w:val="0"/>
                <w:sz w:val="24"/>
                <w:szCs w:val="21"/>
                <w:lang w:val="en-US" w:eastAsia="zh-CN"/>
              </w:rPr>
              <w:t>表4-5  项目</w:t>
            </w:r>
            <w:r>
              <w:rPr>
                <w:rFonts w:hint="eastAsia" w:ascii="Times New Roman" w:hAnsi="Times New Roman" w:eastAsia="宋体" w:cs="Times New Roman"/>
                <w:b/>
                <w:bCs w:val="0"/>
                <w:sz w:val="24"/>
                <w:szCs w:val="21"/>
                <w:lang w:val="en-US" w:eastAsia="zh-CN"/>
              </w:rPr>
              <w:t>废水监测计划表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987"/>
              <w:gridCol w:w="2713"/>
              <w:gridCol w:w="998"/>
              <w:gridCol w:w="2167"/>
            </w:tblGrid>
            <w:tr w14:paraId="257A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pct"/>
                  <w:tcBorders>
                    <w:tl2br w:val="nil"/>
                    <w:tr2bl w:val="nil"/>
                  </w:tcBorders>
                  <w:vAlign w:val="center"/>
                </w:tcPr>
                <w:p w14:paraId="3319F4FC">
                  <w:pPr>
                    <w:keepNext w:val="0"/>
                    <w:keepLines w:val="0"/>
                    <w:pageBreakBefore w:val="0"/>
                    <w:widowControl w:val="0"/>
                    <w:kinsoku w:val="0"/>
                    <w:wordWrap/>
                    <w:overflowPunct w:val="0"/>
                    <w:topLinePunct w:val="0"/>
                    <w:autoSpaceDE w:val="0"/>
                    <w:autoSpaceDN w:val="0"/>
                    <w:bidi w:val="0"/>
                    <w:adjustRightInd/>
                    <w:snapToGrid/>
                    <w:spacing w:line="240" w:lineRule="auto"/>
                    <w:jc w:val="center"/>
                    <w:textAlignment w:val="auto"/>
                    <w:rPr>
                      <w:rFonts w:hint="default" w:ascii="Times New Roman" w:hAnsi="Times New Roman" w:cs="Times New Roman"/>
                      <w:b w:val="0"/>
                      <w:bCs/>
                      <w:color w:val="auto"/>
                      <w:spacing w:val="0"/>
                      <w:kern w:val="0"/>
                      <w:sz w:val="21"/>
                      <w:szCs w:val="21"/>
                      <w:u w:val="none" w:color="auto"/>
                      <w:vertAlign w:val="baseline"/>
                      <w:lang w:val="en-US" w:eastAsia="zh-CN"/>
                    </w:rPr>
                  </w:pPr>
                  <w:r>
                    <w:rPr>
                      <w:rFonts w:hint="default" w:ascii="Times New Roman" w:hAnsi="Times New Roman" w:eastAsia="宋体" w:cs="Times New Roman"/>
                      <w:b w:val="0"/>
                      <w:bCs/>
                      <w:color w:val="auto"/>
                      <w:sz w:val="21"/>
                      <w:szCs w:val="21"/>
                      <w:highlight w:val="none"/>
                      <w:u w:val="none" w:color="auto"/>
                    </w:rPr>
                    <w:t>排放口编号</w:t>
                  </w:r>
                </w:p>
              </w:tc>
              <w:tc>
                <w:tcPr>
                  <w:tcW w:w="619" w:type="pct"/>
                  <w:tcBorders>
                    <w:tl2br w:val="nil"/>
                    <w:tr2bl w:val="nil"/>
                  </w:tcBorders>
                  <w:vAlign w:val="center"/>
                </w:tcPr>
                <w:p w14:paraId="7D200EC4">
                  <w:pPr>
                    <w:keepNext w:val="0"/>
                    <w:keepLines w:val="0"/>
                    <w:pageBreakBefore w:val="0"/>
                    <w:widowControl w:val="0"/>
                    <w:kinsoku w:val="0"/>
                    <w:wordWrap/>
                    <w:overflowPunct w:val="0"/>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u w:val="none" w:color="auto"/>
                      <w:lang w:val="en-US" w:eastAsia="zh-CN"/>
                    </w:rPr>
                  </w:pPr>
                  <w:r>
                    <w:rPr>
                      <w:rFonts w:hint="eastAsia" w:cs="Times New Roman"/>
                      <w:b w:val="0"/>
                      <w:bCs/>
                      <w:color w:val="auto"/>
                      <w:sz w:val="21"/>
                      <w:szCs w:val="21"/>
                      <w:highlight w:val="none"/>
                      <w:u w:val="none" w:color="auto"/>
                      <w:lang w:val="en-US" w:eastAsia="zh-CN"/>
                    </w:rPr>
                    <w:t>排放口类型</w:t>
                  </w:r>
                </w:p>
              </w:tc>
              <w:tc>
                <w:tcPr>
                  <w:tcW w:w="1701" w:type="pct"/>
                  <w:tcBorders>
                    <w:tl2br w:val="nil"/>
                    <w:tr2bl w:val="nil"/>
                  </w:tcBorders>
                  <w:vAlign w:val="center"/>
                </w:tcPr>
                <w:p w14:paraId="4A780F95">
                  <w:pPr>
                    <w:keepNext w:val="0"/>
                    <w:keepLines w:val="0"/>
                    <w:pageBreakBefore w:val="0"/>
                    <w:widowControl w:val="0"/>
                    <w:kinsoku w:val="0"/>
                    <w:wordWrap/>
                    <w:overflowPunct w:val="0"/>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color w:val="auto"/>
                      <w:spacing w:val="0"/>
                      <w:kern w:val="0"/>
                      <w:sz w:val="21"/>
                      <w:szCs w:val="21"/>
                      <w:u w:val="none" w:color="auto"/>
                      <w:vertAlign w:val="baseline"/>
                      <w:lang w:val="en-US" w:eastAsia="zh-CN"/>
                    </w:rPr>
                  </w:pPr>
                  <w:r>
                    <w:rPr>
                      <w:rFonts w:hint="default" w:ascii="Times New Roman" w:hAnsi="Times New Roman" w:eastAsia="宋体" w:cs="Times New Roman"/>
                      <w:b w:val="0"/>
                      <w:bCs/>
                      <w:color w:val="auto"/>
                      <w:sz w:val="21"/>
                      <w:szCs w:val="21"/>
                      <w:highlight w:val="none"/>
                      <w:u w:val="none" w:color="auto"/>
                      <w:lang w:val="en-US" w:eastAsia="zh-CN"/>
                    </w:rPr>
                    <w:t>监测因子</w:t>
                  </w:r>
                </w:p>
              </w:tc>
              <w:tc>
                <w:tcPr>
                  <w:tcW w:w="626" w:type="pct"/>
                  <w:tcBorders>
                    <w:tl2br w:val="nil"/>
                    <w:tr2bl w:val="nil"/>
                  </w:tcBorders>
                  <w:vAlign w:val="center"/>
                </w:tcPr>
                <w:p w14:paraId="3FA43874">
                  <w:pPr>
                    <w:keepNext w:val="0"/>
                    <w:keepLines w:val="0"/>
                    <w:pageBreakBefore w:val="0"/>
                    <w:widowControl w:val="0"/>
                    <w:wordWrap/>
                    <w:topLinePunct w:val="0"/>
                    <w:bidi w:val="0"/>
                    <w:adjustRightInd/>
                    <w:snapToGrid/>
                    <w:spacing w:line="240" w:lineRule="auto"/>
                    <w:jc w:val="center"/>
                    <w:textAlignment w:val="auto"/>
                    <w:rPr>
                      <w:rFonts w:hint="default" w:ascii="Times New Roman" w:hAnsi="Times New Roman" w:cs="Times New Roman"/>
                      <w:b w:val="0"/>
                      <w:bCs/>
                      <w:color w:val="auto"/>
                      <w:spacing w:val="0"/>
                      <w:kern w:val="0"/>
                      <w:sz w:val="21"/>
                      <w:szCs w:val="21"/>
                      <w:u w:val="none" w:color="auto"/>
                      <w:vertAlign w:val="baseline"/>
                      <w:lang w:val="en-US" w:eastAsia="zh-CN"/>
                    </w:rPr>
                  </w:pPr>
                  <w:r>
                    <w:rPr>
                      <w:rFonts w:hint="default" w:ascii="Times New Roman" w:hAnsi="Times New Roman" w:cs="Times New Roman"/>
                      <w:b w:val="0"/>
                      <w:bCs/>
                      <w:color w:val="auto"/>
                      <w:spacing w:val="0"/>
                      <w:kern w:val="0"/>
                      <w:sz w:val="21"/>
                      <w:szCs w:val="21"/>
                      <w:u w:val="none" w:color="auto"/>
                      <w:vertAlign w:val="baseline"/>
                      <w:lang w:val="en-US" w:eastAsia="zh-CN"/>
                    </w:rPr>
                    <w:t>监测频次</w:t>
                  </w:r>
                </w:p>
              </w:tc>
              <w:tc>
                <w:tcPr>
                  <w:tcW w:w="1358" w:type="pct"/>
                  <w:tcBorders>
                    <w:tl2br w:val="nil"/>
                    <w:tr2bl w:val="nil"/>
                  </w:tcBorders>
                  <w:vAlign w:val="center"/>
                </w:tcPr>
                <w:p w14:paraId="1F998A74">
                  <w:pPr>
                    <w:keepNext w:val="0"/>
                    <w:keepLines w:val="0"/>
                    <w:pageBreakBefore w:val="0"/>
                    <w:widowControl w:val="0"/>
                    <w:wordWrap/>
                    <w:topLinePunct w:val="0"/>
                    <w:bidi w:val="0"/>
                    <w:adjustRightInd/>
                    <w:snapToGrid/>
                    <w:spacing w:line="240" w:lineRule="auto"/>
                    <w:jc w:val="center"/>
                    <w:textAlignment w:val="auto"/>
                    <w:rPr>
                      <w:rFonts w:hint="default" w:ascii="Times New Roman" w:hAnsi="Times New Roman" w:cs="Times New Roman"/>
                      <w:b w:val="0"/>
                      <w:bCs/>
                      <w:color w:val="auto"/>
                      <w:spacing w:val="0"/>
                      <w:kern w:val="0"/>
                      <w:sz w:val="21"/>
                      <w:szCs w:val="21"/>
                      <w:u w:val="none" w:color="auto"/>
                      <w:vertAlign w:val="baseline"/>
                      <w:lang w:val="en-US" w:eastAsia="zh-CN"/>
                    </w:rPr>
                  </w:pPr>
                  <w:r>
                    <w:rPr>
                      <w:rFonts w:hint="default" w:ascii="Times New Roman" w:hAnsi="Times New Roman" w:cs="Times New Roman"/>
                      <w:b w:val="0"/>
                      <w:bCs/>
                      <w:color w:val="auto"/>
                      <w:spacing w:val="0"/>
                      <w:kern w:val="0"/>
                      <w:sz w:val="21"/>
                      <w:szCs w:val="21"/>
                      <w:u w:val="none" w:color="auto"/>
                      <w:vertAlign w:val="baseline"/>
                      <w:lang w:val="en-US" w:eastAsia="zh-CN"/>
                    </w:rPr>
                    <w:t>备注</w:t>
                  </w:r>
                </w:p>
              </w:tc>
            </w:tr>
            <w:tr w14:paraId="2768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3" w:type="pct"/>
                  <w:tcBorders>
                    <w:tl2br w:val="nil"/>
                    <w:tr2bl w:val="nil"/>
                  </w:tcBorders>
                  <w:vAlign w:val="center"/>
                </w:tcPr>
                <w:p w14:paraId="2AC39A91">
                  <w:pPr>
                    <w:keepNext w:val="0"/>
                    <w:keepLines w:val="0"/>
                    <w:pageBreakBefore w:val="0"/>
                    <w:widowControl w:val="0"/>
                    <w:wordWrap/>
                    <w:topLinePunct w:val="0"/>
                    <w:bidi w:val="0"/>
                    <w:adjustRightInd/>
                    <w:snapToGrid/>
                    <w:spacing w:line="240" w:lineRule="auto"/>
                    <w:jc w:val="center"/>
                    <w:textAlignment w:val="auto"/>
                    <w:rPr>
                      <w:rFonts w:hint="default" w:ascii="Times New Roman" w:hAnsi="Times New Roman" w:cs="Times New Roman"/>
                      <w:color w:val="auto"/>
                      <w:spacing w:val="0"/>
                      <w:kern w:val="0"/>
                      <w:sz w:val="21"/>
                      <w:szCs w:val="21"/>
                      <w:u w:val="none" w:color="auto"/>
                      <w:vertAlign w:val="baseline"/>
                      <w:lang w:val="en-US" w:eastAsia="zh-CN"/>
                    </w:rPr>
                  </w:pPr>
                  <w:r>
                    <w:rPr>
                      <w:rFonts w:hint="default" w:ascii="Times New Roman" w:hAnsi="Times New Roman" w:cs="Times New Roman"/>
                      <w:color w:val="auto"/>
                      <w:spacing w:val="0"/>
                      <w:kern w:val="0"/>
                      <w:sz w:val="21"/>
                      <w:szCs w:val="21"/>
                      <w:u w:val="none" w:color="auto"/>
                      <w:vertAlign w:val="baseline"/>
                      <w:lang w:val="en-US" w:eastAsia="zh-CN"/>
                    </w:rPr>
                    <w:t>DW001</w:t>
                  </w:r>
                </w:p>
              </w:tc>
              <w:tc>
                <w:tcPr>
                  <w:tcW w:w="619" w:type="pct"/>
                  <w:tcBorders>
                    <w:tl2br w:val="nil"/>
                    <w:tr2bl w:val="nil"/>
                  </w:tcBorders>
                  <w:vAlign w:val="center"/>
                </w:tcPr>
                <w:p w14:paraId="2BE61433">
                  <w:pPr>
                    <w:keepNext w:val="0"/>
                    <w:keepLines w:val="0"/>
                    <w:pageBreakBefore w:val="0"/>
                    <w:widowControl w:val="0"/>
                    <w:wordWrap/>
                    <w:topLinePunct w:val="0"/>
                    <w:bidi w:val="0"/>
                    <w:adjustRightInd/>
                    <w:snapToGrid/>
                    <w:spacing w:line="240" w:lineRule="auto"/>
                    <w:jc w:val="center"/>
                    <w:textAlignment w:val="auto"/>
                    <w:rPr>
                      <w:rFonts w:hint="default" w:ascii="Times New Roman" w:hAnsi="Times New Roman" w:cs="Times New Roman"/>
                      <w:color w:val="auto"/>
                      <w:spacing w:val="0"/>
                      <w:kern w:val="0"/>
                      <w:sz w:val="21"/>
                      <w:szCs w:val="21"/>
                      <w:u w:val="none" w:color="auto"/>
                      <w:vertAlign w:val="baseline"/>
                      <w:lang w:val="en-US" w:eastAsia="zh-CN"/>
                    </w:rPr>
                  </w:pPr>
                  <w:r>
                    <w:rPr>
                      <w:rFonts w:hint="eastAsia" w:cs="Times New Roman"/>
                      <w:color w:val="auto"/>
                      <w:spacing w:val="0"/>
                      <w:kern w:val="0"/>
                      <w:sz w:val="21"/>
                      <w:szCs w:val="21"/>
                      <w:u w:val="none" w:color="auto"/>
                      <w:vertAlign w:val="baseline"/>
                      <w:lang w:val="en-US" w:eastAsia="zh-CN"/>
                    </w:rPr>
                    <w:t>一般排放口</w:t>
                  </w:r>
                </w:p>
              </w:tc>
              <w:tc>
                <w:tcPr>
                  <w:tcW w:w="1701" w:type="pct"/>
                  <w:tcBorders>
                    <w:tl2br w:val="nil"/>
                    <w:tr2bl w:val="nil"/>
                  </w:tcBorders>
                  <w:vAlign w:val="center"/>
                </w:tcPr>
                <w:p w14:paraId="2A2C2A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0"/>
                      <w:kern w:val="0"/>
                      <w:sz w:val="21"/>
                      <w:szCs w:val="21"/>
                      <w:u w:val="none" w:color="auto"/>
                      <w:vertAlign w:val="baseline"/>
                      <w:lang w:val="en-US" w:eastAsia="zh-CN"/>
                    </w:rPr>
                  </w:pPr>
                  <w:r>
                    <w:rPr>
                      <w:rFonts w:hint="default" w:ascii="Times New Roman" w:hAnsi="Times New Roman" w:cs="Times New Roman"/>
                      <w:color w:val="auto"/>
                      <w:spacing w:val="0"/>
                      <w:kern w:val="0"/>
                      <w:sz w:val="21"/>
                      <w:szCs w:val="21"/>
                      <w:u w:val="none" w:color="auto"/>
                      <w:vertAlign w:val="baseline"/>
                      <w:lang w:val="en-US" w:eastAsia="zh-CN"/>
                    </w:rPr>
                    <w:t>pH值、化学需氧量、氨氮、悬浮物、总磷、总氮</w:t>
                  </w:r>
                  <w:r>
                    <w:rPr>
                      <w:rFonts w:hint="eastAsia" w:cs="Times New Roman"/>
                      <w:color w:val="auto"/>
                      <w:spacing w:val="0"/>
                      <w:kern w:val="0"/>
                      <w:sz w:val="21"/>
                      <w:szCs w:val="21"/>
                      <w:u w:val="none" w:color="auto"/>
                      <w:vertAlign w:val="baseline"/>
                      <w:lang w:val="en-US" w:eastAsia="zh-CN"/>
                    </w:rPr>
                    <w:t>等</w:t>
                  </w:r>
                </w:p>
              </w:tc>
              <w:tc>
                <w:tcPr>
                  <w:tcW w:w="626" w:type="pct"/>
                  <w:tcBorders>
                    <w:tl2br w:val="nil"/>
                    <w:tr2bl w:val="nil"/>
                  </w:tcBorders>
                  <w:vAlign w:val="center"/>
                </w:tcPr>
                <w:p w14:paraId="73C7687E">
                  <w:pPr>
                    <w:keepNext w:val="0"/>
                    <w:keepLines w:val="0"/>
                    <w:pageBreakBefore w:val="0"/>
                    <w:widowControl w:val="0"/>
                    <w:wordWrap/>
                    <w:topLinePunct w:val="0"/>
                    <w:bidi w:val="0"/>
                    <w:adjustRightInd/>
                    <w:snapToGrid/>
                    <w:spacing w:line="240" w:lineRule="auto"/>
                    <w:jc w:val="center"/>
                    <w:textAlignment w:val="auto"/>
                    <w:rPr>
                      <w:rFonts w:hint="default" w:ascii="Times New Roman" w:hAnsi="Times New Roman" w:cs="Times New Roman"/>
                      <w:color w:val="auto"/>
                      <w:spacing w:val="0"/>
                      <w:kern w:val="0"/>
                      <w:sz w:val="21"/>
                      <w:szCs w:val="21"/>
                      <w:u w:val="none" w:color="auto"/>
                      <w:vertAlign w:val="baseline"/>
                      <w:lang w:val="en-US" w:eastAsia="zh-CN"/>
                    </w:rPr>
                  </w:pPr>
                  <w:r>
                    <w:rPr>
                      <w:rFonts w:hint="default" w:ascii="Times New Roman" w:hAnsi="Times New Roman" w:cs="Times New Roman"/>
                      <w:color w:val="auto"/>
                      <w:spacing w:val="0"/>
                      <w:kern w:val="0"/>
                      <w:sz w:val="21"/>
                      <w:szCs w:val="21"/>
                      <w:u w:val="none" w:color="auto"/>
                      <w:vertAlign w:val="baseline"/>
                      <w:lang w:val="en-US" w:eastAsia="zh-CN"/>
                    </w:rPr>
                    <w:t>1次/年</w:t>
                  </w:r>
                </w:p>
              </w:tc>
              <w:tc>
                <w:tcPr>
                  <w:tcW w:w="1358" w:type="pct"/>
                  <w:tcBorders>
                    <w:tl2br w:val="nil"/>
                    <w:tr2bl w:val="nil"/>
                  </w:tcBorders>
                  <w:vAlign w:val="center"/>
                </w:tcPr>
                <w:p w14:paraId="7ECEB18F">
                  <w:pPr>
                    <w:keepNext w:val="0"/>
                    <w:keepLines w:val="0"/>
                    <w:pageBreakBefore w:val="0"/>
                    <w:widowControl w:val="0"/>
                    <w:wordWrap/>
                    <w:topLinePunct w:val="0"/>
                    <w:bidi w:val="0"/>
                    <w:adjustRightInd/>
                    <w:snapToGrid/>
                    <w:spacing w:line="240" w:lineRule="auto"/>
                    <w:jc w:val="center"/>
                    <w:textAlignment w:val="auto"/>
                    <w:rPr>
                      <w:rFonts w:hint="default" w:ascii="Times New Roman" w:hAnsi="Times New Roman" w:cs="Times New Roman"/>
                      <w:color w:val="auto"/>
                      <w:spacing w:val="0"/>
                      <w:kern w:val="0"/>
                      <w:sz w:val="21"/>
                      <w:szCs w:val="21"/>
                      <w:u w:val="none" w:color="auto"/>
                      <w:vertAlign w:val="baseline"/>
                      <w:lang w:val="en-US" w:eastAsia="zh-CN"/>
                    </w:rPr>
                  </w:pPr>
                  <w:r>
                    <w:rPr>
                      <w:rFonts w:hint="eastAsia" w:cs="Times New Roman"/>
                      <w:color w:val="auto"/>
                      <w:spacing w:val="0"/>
                      <w:kern w:val="0"/>
                      <w:sz w:val="21"/>
                      <w:szCs w:val="21"/>
                      <w:u w:val="none" w:color="auto"/>
                      <w:vertAlign w:val="baseline"/>
                      <w:lang w:val="en-US" w:eastAsia="zh-CN"/>
                    </w:rPr>
                    <w:t>达到GB8978-1996中表4三级及马壕水质净化中心进水要求</w:t>
                  </w:r>
                </w:p>
              </w:tc>
            </w:tr>
          </w:tbl>
          <w:p w14:paraId="304D4779">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三、营运期噪声环境影响分析</w:t>
            </w:r>
          </w:p>
          <w:p w14:paraId="458A34D0">
            <w:pPr>
              <w:pStyle w:val="20"/>
              <w:ind w:firstLine="482"/>
              <w:rPr>
                <w:rFonts w:hint="eastAsia" w:ascii="Times New Roman" w:hAnsi="Times New Roman" w:eastAsia="宋体" w:cs="Times New Roman"/>
                <w:b/>
                <w:bCs/>
                <w:color w:val="000000"/>
                <w:highlight w:val="none"/>
                <w:u w:val="none" w:color="auto"/>
                <w:lang w:val="en-US" w:eastAsia="zh-CN"/>
              </w:rPr>
            </w:pPr>
            <w:r>
              <w:rPr>
                <w:rFonts w:hint="eastAsia" w:ascii="Times New Roman" w:hAnsi="Times New Roman" w:eastAsia="宋体" w:cs="Times New Roman"/>
                <w:b/>
                <w:bCs/>
                <w:color w:val="000000"/>
                <w:highlight w:val="none"/>
                <w:u w:val="none" w:color="auto"/>
                <w:lang w:val="en-US" w:eastAsia="zh-CN"/>
              </w:rPr>
              <w:t>1、噪声源强分析</w:t>
            </w:r>
          </w:p>
          <w:p w14:paraId="7C01C52F">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根据现场调查及业主提供资料可知，项目主要噪声源为水泵、空压机、污泥处理车间内的浓缩机、离心脱水机等设备运行过程中产生的噪声，噪声源强见如下内容。</w:t>
            </w:r>
          </w:p>
          <w:p w14:paraId="3F2288D7">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根据《环境影响评价技术导则声环境》（HJ2.4-2021）中有关要求，结合厂区现状实际调查情况，厂区内室内声源情况如下：</w:t>
            </w:r>
          </w:p>
          <w:p w14:paraId="2F041837">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bCs w:val="0"/>
                <w:sz w:val="24"/>
                <w:szCs w:val="21"/>
                <w:lang w:val="en-US" w:eastAsia="zh-CN"/>
              </w:rPr>
            </w:pPr>
            <w:r>
              <w:rPr>
                <w:rFonts w:hint="eastAsia" w:ascii="Times New Roman" w:hAnsi="Times New Roman" w:cs="Times New Roman"/>
                <w:b/>
                <w:bCs w:val="0"/>
                <w:sz w:val="24"/>
                <w:szCs w:val="21"/>
                <w:lang w:val="en-US" w:eastAsia="zh-CN"/>
              </w:rPr>
              <w:t>表4-6  项目</w:t>
            </w:r>
            <w:r>
              <w:rPr>
                <w:rFonts w:hint="eastAsia" w:ascii="Times New Roman" w:hAnsi="Times New Roman" w:eastAsia="宋体" w:cs="Times New Roman"/>
                <w:b/>
                <w:bCs w:val="0"/>
                <w:sz w:val="24"/>
                <w:szCs w:val="21"/>
                <w:lang w:val="en-US" w:eastAsia="zh-CN"/>
              </w:rPr>
              <w:t>设备噪声源强一览表</w:t>
            </w:r>
            <w:r>
              <w:rPr>
                <w:rFonts w:hint="eastAsia" w:ascii="Times New Roman" w:hAnsi="Times New Roman" w:eastAsia="宋体" w:cs="Times New Roman"/>
                <w:b w:val="0"/>
                <w:bCs/>
                <w:sz w:val="24"/>
                <w:szCs w:val="21"/>
                <w:lang w:val="en-US" w:eastAsia="zh-CN"/>
              </w:rPr>
              <w:t>（室外声源）</w:t>
            </w:r>
          </w:p>
          <w:tbl>
            <w:tblPr>
              <w:tblStyle w:val="24"/>
              <w:tblW w:w="7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96"/>
              <w:gridCol w:w="982"/>
              <w:gridCol w:w="1408"/>
              <w:gridCol w:w="1376"/>
              <w:gridCol w:w="1566"/>
              <w:gridCol w:w="1152"/>
            </w:tblGrid>
            <w:tr w14:paraId="0F8B4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37" w:type="pct"/>
                  <w:vMerge w:val="restart"/>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180940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名称</w:t>
                  </w:r>
                </w:p>
              </w:tc>
              <w:tc>
                <w:tcPr>
                  <w:tcW w:w="615" w:type="pct"/>
                  <w:vMerge w:val="restart"/>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068D62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设备数量</w:t>
                  </w:r>
                </w:p>
              </w:tc>
              <w:tc>
                <w:tcPr>
                  <w:tcW w:w="1744" w:type="pct"/>
                  <w:gridSpan w:val="2"/>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331467A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声源源强</w:t>
                  </w:r>
                </w:p>
              </w:tc>
              <w:tc>
                <w:tcPr>
                  <w:tcW w:w="981" w:type="pct"/>
                  <w:vMerge w:val="restart"/>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0820D5B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声源控制措施</w:t>
                  </w:r>
                </w:p>
              </w:tc>
              <w:tc>
                <w:tcPr>
                  <w:tcW w:w="721" w:type="pct"/>
                  <w:vMerge w:val="restart"/>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058DC4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运行时段</w:t>
                  </w:r>
                </w:p>
              </w:tc>
            </w:tr>
            <w:tr w14:paraId="26110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7" w:type="pct"/>
                  <w:vMerge w:val="continue"/>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4FBFD5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615" w:type="pct"/>
                  <w:vMerge w:val="continue"/>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1FB04B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8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288A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声压级/dB(A)</w:t>
                  </w:r>
                </w:p>
              </w:tc>
              <w:tc>
                <w:tcPr>
                  <w:tcW w:w="8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559B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距声源距离/m</w:t>
                  </w:r>
                </w:p>
              </w:tc>
              <w:tc>
                <w:tcPr>
                  <w:tcW w:w="981" w:type="pct"/>
                  <w:vMerge w:val="continue"/>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3BCD20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21" w:type="pct"/>
                  <w:vMerge w:val="continue"/>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0FA7EF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r>
            <w:tr w14:paraId="303B8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93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537E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流量井水泵</w:t>
                  </w:r>
                </w:p>
              </w:tc>
              <w:tc>
                <w:tcPr>
                  <w:tcW w:w="61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2B2C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4</w:t>
                  </w:r>
                </w:p>
              </w:tc>
              <w:tc>
                <w:tcPr>
                  <w:tcW w:w="8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21D37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75</w:t>
                  </w:r>
                </w:p>
              </w:tc>
              <w:tc>
                <w:tcPr>
                  <w:tcW w:w="8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6F5C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98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C567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衰减、减震措施</w:t>
                  </w:r>
                </w:p>
              </w:tc>
              <w:tc>
                <w:tcPr>
                  <w:tcW w:w="72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1256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昼间+夜间</w:t>
                  </w:r>
                </w:p>
              </w:tc>
            </w:tr>
            <w:tr w14:paraId="2A3D9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292A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反应池水泵</w:t>
                  </w:r>
                </w:p>
              </w:tc>
              <w:tc>
                <w:tcPr>
                  <w:tcW w:w="61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CB9C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4</w:t>
                  </w:r>
                </w:p>
              </w:tc>
              <w:tc>
                <w:tcPr>
                  <w:tcW w:w="8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E65B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75</w:t>
                  </w:r>
                </w:p>
              </w:tc>
              <w:tc>
                <w:tcPr>
                  <w:tcW w:w="8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A4E5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w:t>
                  </w:r>
                </w:p>
              </w:tc>
              <w:tc>
                <w:tcPr>
                  <w:tcW w:w="98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C29D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衰减、减震措施</w:t>
                  </w:r>
                </w:p>
              </w:tc>
              <w:tc>
                <w:tcPr>
                  <w:tcW w:w="72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7307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昼间+夜间</w:t>
                  </w:r>
                </w:p>
              </w:tc>
            </w:tr>
            <w:tr w14:paraId="63AB0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43053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滤池水泵</w:t>
                  </w:r>
                </w:p>
              </w:tc>
              <w:tc>
                <w:tcPr>
                  <w:tcW w:w="61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C46B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4</w:t>
                  </w:r>
                </w:p>
              </w:tc>
              <w:tc>
                <w:tcPr>
                  <w:tcW w:w="8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14FF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70</w:t>
                  </w:r>
                </w:p>
              </w:tc>
              <w:tc>
                <w:tcPr>
                  <w:tcW w:w="8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1A39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w:t>
                  </w:r>
                </w:p>
              </w:tc>
              <w:tc>
                <w:tcPr>
                  <w:tcW w:w="98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6627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衰减、减震措施</w:t>
                  </w:r>
                </w:p>
              </w:tc>
              <w:tc>
                <w:tcPr>
                  <w:tcW w:w="72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E3C8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昼间+夜间</w:t>
                  </w:r>
                </w:p>
              </w:tc>
            </w:tr>
            <w:tr w14:paraId="07C65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245D0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回收水池潜水泵</w:t>
                  </w:r>
                </w:p>
              </w:tc>
              <w:tc>
                <w:tcPr>
                  <w:tcW w:w="61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6027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w:t>
                  </w:r>
                </w:p>
              </w:tc>
              <w:tc>
                <w:tcPr>
                  <w:tcW w:w="8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A976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75</w:t>
                  </w:r>
                </w:p>
              </w:tc>
              <w:tc>
                <w:tcPr>
                  <w:tcW w:w="8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80B0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w:t>
                  </w:r>
                </w:p>
              </w:tc>
              <w:tc>
                <w:tcPr>
                  <w:tcW w:w="98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477C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衰减、减震措施</w:t>
                  </w:r>
                </w:p>
              </w:tc>
              <w:tc>
                <w:tcPr>
                  <w:tcW w:w="72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57C8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昼间+夜间</w:t>
                  </w:r>
                </w:p>
              </w:tc>
            </w:tr>
            <w:tr w14:paraId="22FF3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EB1DB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排泥水池水泵</w:t>
                  </w:r>
                </w:p>
              </w:tc>
              <w:tc>
                <w:tcPr>
                  <w:tcW w:w="61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B4C6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w:t>
                  </w:r>
                </w:p>
              </w:tc>
              <w:tc>
                <w:tcPr>
                  <w:tcW w:w="8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B133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85</w:t>
                  </w:r>
                </w:p>
              </w:tc>
              <w:tc>
                <w:tcPr>
                  <w:tcW w:w="8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8B31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w:t>
                  </w:r>
                </w:p>
              </w:tc>
              <w:tc>
                <w:tcPr>
                  <w:tcW w:w="98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4F50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衰减、减震措施</w:t>
                  </w:r>
                </w:p>
              </w:tc>
              <w:tc>
                <w:tcPr>
                  <w:tcW w:w="72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B511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昼间+夜间</w:t>
                  </w:r>
                </w:p>
              </w:tc>
            </w:tr>
            <w:tr w14:paraId="15ACD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3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F4C0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空压机</w:t>
                  </w:r>
                </w:p>
              </w:tc>
              <w:tc>
                <w:tcPr>
                  <w:tcW w:w="61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8AD809">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2</w:t>
                  </w:r>
                </w:p>
              </w:tc>
              <w:tc>
                <w:tcPr>
                  <w:tcW w:w="8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D1BDED">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90</w:t>
                  </w:r>
                </w:p>
              </w:tc>
              <w:tc>
                <w:tcPr>
                  <w:tcW w:w="8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8C0D6C">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w:t>
                  </w:r>
                </w:p>
              </w:tc>
              <w:tc>
                <w:tcPr>
                  <w:tcW w:w="98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5544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衰减、减震措施</w:t>
                  </w:r>
                </w:p>
              </w:tc>
              <w:tc>
                <w:tcPr>
                  <w:tcW w:w="72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AB7D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昼间+夜间</w:t>
                  </w:r>
                </w:p>
              </w:tc>
            </w:tr>
          </w:tbl>
          <w:p w14:paraId="00CC2E5F">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bCs w:val="0"/>
                <w:sz w:val="24"/>
                <w:szCs w:val="21"/>
                <w:lang w:val="en-US" w:eastAsia="zh-CN"/>
              </w:rPr>
            </w:pPr>
            <w:r>
              <w:rPr>
                <w:rFonts w:hint="eastAsia" w:ascii="Times New Roman" w:hAnsi="Times New Roman" w:cs="Times New Roman"/>
                <w:b/>
                <w:bCs w:val="0"/>
                <w:sz w:val="24"/>
                <w:szCs w:val="21"/>
                <w:lang w:val="en-US" w:eastAsia="zh-CN"/>
              </w:rPr>
              <w:t>续表4-6  项目</w:t>
            </w:r>
            <w:r>
              <w:rPr>
                <w:rFonts w:hint="eastAsia" w:ascii="Times New Roman" w:hAnsi="Times New Roman" w:eastAsia="宋体" w:cs="Times New Roman"/>
                <w:b/>
                <w:bCs w:val="0"/>
                <w:sz w:val="24"/>
                <w:szCs w:val="21"/>
                <w:lang w:val="en-US" w:eastAsia="zh-CN"/>
              </w:rPr>
              <w:t>设备噪声源强一览表</w:t>
            </w:r>
            <w:r>
              <w:rPr>
                <w:rFonts w:hint="eastAsia" w:ascii="Times New Roman" w:hAnsi="Times New Roman" w:eastAsia="宋体" w:cs="Times New Roman"/>
                <w:b w:val="0"/>
                <w:bCs/>
                <w:sz w:val="24"/>
                <w:szCs w:val="21"/>
                <w:lang w:val="en-US" w:eastAsia="zh-CN"/>
              </w:rPr>
              <w:t>（室内声源）</w:t>
            </w:r>
          </w:p>
          <w:tbl>
            <w:tblPr>
              <w:tblStyle w:val="24"/>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3"/>
              <w:gridCol w:w="824"/>
              <w:gridCol w:w="1120"/>
              <w:gridCol w:w="1182"/>
              <w:gridCol w:w="768"/>
              <w:gridCol w:w="838"/>
              <w:gridCol w:w="913"/>
              <w:gridCol w:w="1227"/>
            </w:tblGrid>
            <w:tr w14:paraId="46B23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1F6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设备名称</w:t>
                  </w:r>
                </w:p>
              </w:tc>
              <w:tc>
                <w:tcPr>
                  <w:tcW w:w="82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54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设备数量（台）</w:t>
                  </w:r>
                </w:p>
              </w:tc>
              <w:tc>
                <w:tcPr>
                  <w:tcW w:w="11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6D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噪声源强dB(A)</w:t>
                  </w:r>
                </w:p>
              </w:tc>
              <w:tc>
                <w:tcPr>
                  <w:tcW w:w="11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3E7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声源控制措施</w:t>
                  </w: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FBA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室内边界距离（m）</w:t>
                  </w:r>
                </w:p>
              </w:tc>
              <w:tc>
                <w:tcPr>
                  <w:tcW w:w="175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7F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建筑物外噪声</w:t>
                  </w:r>
                </w:p>
              </w:tc>
              <w:tc>
                <w:tcPr>
                  <w:tcW w:w="122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51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备注</w:t>
                  </w:r>
                </w:p>
              </w:tc>
            </w:tr>
            <w:tr w14:paraId="2BC95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FE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b w:val="0"/>
                      <w:bCs w:val="0"/>
                      <w:i w:val="0"/>
                      <w:iCs w:val="0"/>
                      <w:color w:val="000000"/>
                      <w:sz w:val="18"/>
                      <w:szCs w:val="18"/>
                      <w:u w:val="none"/>
                    </w:rPr>
                  </w:pPr>
                </w:p>
              </w:tc>
              <w:tc>
                <w:tcPr>
                  <w:tcW w:w="8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B0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b w:val="0"/>
                      <w:bCs w:val="0"/>
                      <w:i w:val="0"/>
                      <w:iCs w:val="0"/>
                      <w:color w:val="000000"/>
                      <w:sz w:val="18"/>
                      <w:szCs w:val="18"/>
                      <w:u w:val="none"/>
                    </w:rPr>
                  </w:pPr>
                </w:p>
              </w:tc>
              <w:tc>
                <w:tcPr>
                  <w:tcW w:w="11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EA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b w:val="0"/>
                      <w:bCs w:val="0"/>
                      <w:i w:val="0"/>
                      <w:iCs w:val="0"/>
                      <w:color w:val="000000"/>
                      <w:sz w:val="18"/>
                      <w:szCs w:val="18"/>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7D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b w:val="0"/>
                      <w:bCs w:val="0"/>
                      <w:i w:val="0"/>
                      <w:iCs w:val="0"/>
                      <w:color w:val="000000"/>
                      <w:sz w:val="18"/>
                      <w:szCs w:val="18"/>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884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b w:val="0"/>
                      <w:bCs w:val="0"/>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0F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声压级</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91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b w:val="0"/>
                      <w:bCs w:val="0"/>
                      <w:i w:val="0"/>
                      <w:iCs w:val="0"/>
                      <w:color w:val="000000"/>
                      <w:sz w:val="18"/>
                      <w:szCs w:val="18"/>
                      <w:u w:val="none"/>
                    </w:rPr>
                  </w:pPr>
                  <w:r>
                    <w:rPr>
                      <w:rFonts w:hint="default" w:ascii="Times New Roman" w:hAnsi="Times New Roman" w:cs="Times New Roman" w:eastAsiaTheme="minorEastAsia"/>
                      <w:b w:val="0"/>
                      <w:bCs w:val="0"/>
                      <w:i w:val="0"/>
                      <w:iCs w:val="0"/>
                      <w:color w:val="000000"/>
                      <w:kern w:val="0"/>
                      <w:sz w:val="18"/>
                      <w:szCs w:val="18"/>
                      <w:u w:val="none"/>
                      <w:lang w:val="en-US" w:eastAsia="zh-CN" w:bidi="ar"/>
                    </w:rPr>
                    <w:t>建筑物外距离</w:t>
                  </w:r>
                </w:p>
              </w:tc>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F2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b w:val="0"/>
                      <w:bCs w:val="0"/>
                      <w:i w:val="0"/>
                      <w:iCs w:val="0"/>
                      <w:color w:val="000000"/>
                      <w:sz w:val="18"/>
                      <w:szCs w:val="18"/>
                      <w:u w:val="none"/>
                    </w:rPr>
                  </w:pPr>
                </w:p>
              </w:tc>
            </w:tr>
            <w:tr w14:paraId="3948C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FF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双吸离心水泵</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381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4</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43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80</w:t>
                  </w:r>
                </w:p>
              </w:tc>
              <w:tc>
                <w:tcPr>
                  <w:tcW w:w="1182" w:type="dxa"/>
                  <w:vMerge w:val="restart"/>
                  <w:tcBorders>
                    <w:top w:val="single" w:color="000000" w:sz="4" w:space="0"/>
                    <w:left w:val="single" w:color="000000" w:sz="4" w:space="0"/>
                    <w:right w:val="single" w:color="000000" w:sz="4" w:space="0"/>
                  </w:tcBorders>
                  <w:shd w:val="clear" w:color="auto" w:fill="auto"/>
                  <w:vAlign w:val="center"/>
                </w:tcPr>
                <w:p w14:paraId="5F8611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选用低噪声设备，基础减震</w:t>
                  </w:r>
                </w:p>
              </w:tc>
              <w:tc>
                <w:tcPr>
                  <w:tcW w:w="768" w:type="dxa"/>
                  <w:vMerge w:val="restart"/>
                  <w:tcBorders>
                    <w:top w:val="single" w:color="000000" w:sz="4" w:space="0"/>
                    <w:left w:val="single" w:color="000000" w:sz="4" w:space="0"/>
                    <w:right w:val="single" w:color="000000" w:sz="4" w:space="0"/>
                  </w:tcBorders>
                  <w:shd w:val="clear" w:color="auto" w:fill="auto"/>
                  <w:vAlign w:val="center"/>
                </w:tcPr>
                <w:p w14:paraId="3E8D60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各建、构筑物内空间相对狭小</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EE0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6</w:t>
                  </w:r>
                  <w:r>
                    <w:rPr>
                      <w:rFonts w:hint="eastAsia" w:ascii="Times New Roman" w:hAnsi="Times New Roman" w:cs="Times New Roman" w:eastAsiaTheme="minorEastAsia"/>
                      <w:i w:val="0"/>
                      <w:iCs w:val="0"/>
                      <w:color w:val="000000"/>
                      <w:kern w:val="0"/>
                      <w:sz w:val="18"/>
                      <w:szCs w:val="18"/>
                      <w:u w:val="none"/>
                      <w:lang w:val="en-US" w:eastAsia="zh-CN" w:bidi="ar"/>
                    </w:rPr>
                    <w:t>0</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7B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966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sz w:val="18"/>
                      <w:szCs w:val="18"/>
                      <w:u w:val="none"/>
                    </w:rPr>
                    <w:t>取水泵房</w:t>
                  </w:r>
                </w:p>
              </w:tc>
            </w:tr>
            <w:tr w14:paraId="19DAC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C2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双吸离心水泵</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2C5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9</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822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80</w:t>
                  </w:r>
                </w:p>
              </w:tc>
              <w:tc>
                <w:tcPr>
                  <w:tcW w:w="1182" w:type="dxa"/>
                  <w:vMerge w:val="continue"/>
                  <w:tcBorders>
                    <w:left w:val="single" w:color="000000" w:sz="4" w:space="0"/>
                    <w:right w:val="single" w:color="000000" w:sz="4" w:space="0"/>
                  </w:tcBorders>
                  <w:shd w:val="clear" w:color="auto" w:fill="auto"/>
                  <w:vAlign w:val="center"/>
                </w:tcPr>
                <w:p w14:paraId="250285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768" w:type="dxa"/>
                  <w:vMerge w:val="continue"/>
                  <w:tcBorders>
                    <w:left w:val="single" w:color="000000" w:sz="4" w:space="0"/>
                    <w:right w:val="single" w:color="000000" w:sz="4" w:space="0"/>
                  </w:tcBorders>
                  <w:shd w:val="clear" w:color="auto" w:fill="auto"/>
                  <w:vAlign w:val="center"/>
                </w:tcPr>
                <w:p w14:paraId="710AAB7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6D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6</w:t>
                  </w:r>
                  <w:r>
                    <w:rPr>
                      <w:rFonts w:hint="default" w:ascii="Times New Roman" w:hAnsi="Times New Roman" w:cs="Times New Roman" w:eastAsiaTheme="minorEastAsia"/>
                      <w:i w:val="0"/>
                      <w:iCs w:val="0"/>
                      <w:color w:val="000000"/>
                      <w:kern w:val="0"/>
                      <w:sz w:val="18"/>
                      <w:szCs w:val="18"/>
                      <w:u w:val="none"/>
                      <w:lang w:val="en-US" w:eastAsia="zh-CN" w:bidi="ar"/>
                    </w:rPr>
                    <w:t>0</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22B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2D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sz w:val="18"/>
                      <w:szCs w:val="18"/>
                      <w:u w:val="none"/>
                    </w:rPr>
                    <w:t>送水泵房</w:t>
                  </w:r>
                </w:p>
              </w:tc>
            </w:tr>
            <w:tr w14:paraId="7DC21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6A9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sz w:val="18"/>
                      <w:szCs w:val="18"/>
                      <w:u w:val="none"/>
                    </w:rPr>
                    <w:t>空气压缩机</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6A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14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90</w:t>
                  </w:r>
                </w:p>
              </w:tc>
              <w:tc>
                <w:tcPr>
                  <w:tcW w:w="1182" w:type="dxa"/>
                  <w:vMerge w:val="continue"/>
                  <w:tcBorders>
                    <w:left w:val="single" w:color="000000" w:sz="4" w:space="0"/>
                    <w:right w:val="single" w:color="000000" w:sz="4" w:space="0"/>
                  </w:tcBorders>
                  <w:shd w:val="clear" w:color="auto" w:fill="auto"/>
                  <w:vAlign w:val="center"/>
                </w:tcPr>
                <w:p w14:paraId="3BD88A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768" w:type="dxa"/>
                  <w:vMerge w:val="continue"/>
                  <w:tcBorders>
                    <w:left w:val="single" w:color="000000" w:sz="4" w:space="0"/>
                    <w:right w:val="single" w:color="000000" w:sz="4" w:space="0"/>
                  </w:tcBorders>
                  <w:shd w:val="clear" w:color="auto" w:fill="auto"/>
                  <w:vAlign w:val="center"/>
                </w:tcPr>
                <w:p w14:paraId="5BBAE1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52D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70</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CC4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21A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sz w:val="18"/>
                      <w:szCs w:val="18"/>
                      <w:u w:val="none"/>
                    </w:rPr>
                    <w:t>送水泵房</w:t>
                  </w:r>
                </w:p>
              </w:tc>
            </w:tr>
            <w:tr w14:paraId="10559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DA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罗茨风机</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9F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2</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437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95</w:t>
                  </w:r>
                </w:p>
              </w:tc>
              <w:tc>
                <w:tcPr>
                  <w:tcW w:w="1182" w:type="dxa"/>
                  <w:vMerge w:val="continue"/>
                  <w:tcBorders>
                    <w:left w:val="single" w:color="000000" w:sz="4" w:space="0"/>
                    <w:right w:val="single" w:color="000000" w:sz="4" w:space="0"/>
                  </w:tcBorders>
                  <w:shd w:val="clear" w:color="auto" w:fill="auto"/>
                  <w:vAlign w:val="center"/>
                </w:tcPr>
                <w:p w14:paraId="0730D5E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768" w:type="dxa"/>
                  <w:vMerge w:val="continue"/>
                  <w:tcBorders>
                    <w:left w:val="single" w:color="000000" w:sz="4" w:space="0"/>
                    <w:right w:val="single" w:color="000000" w:sz="4" w:space="0"/>
                  </w:tcBorders>
                  <w:shd w:val="clear" w:color="auto" w:fill="auto"/>
                  <w:vAlign w:val="center"/>
                </w:tcPr>
                <w:p w14:paraId="68D264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D53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75</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CD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EFC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辅助间</w:t>
                  </w:r>
                </w:p>
              </w:tc>
            </w:tr>
            <w:tr w14:paraId="0D732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5D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计量</w:t>
                  </w:r>
                  <w:r>
                    <w:rPr>
                      <w:rFonts w:hint="default" w:ascii="Times New Roman" w:hAnsi="Times New Roman" w:cs="Times New Roman" w:eastAsiaTheme="minorEastAsia"/>
                      <w:i w:val="0"/>
                      <w:iCs w:val="0"/>
                      <w:color w:val="000000"/>
                      <w:kern w:val="0"/>
                      <w:sz w:val="18"/>
                      <w:szCs w:val="18"/>
                      <w:u w:val="none"/>
                      <w:lang w:val="en-US" w:eastAsia="zh-CN" w:bidi="ar"/>
                    </w:rPr>
                    <w:t>泵</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837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5</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7B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65</w:t>
                  </w:r>
                </w:p>
              </w:tc>
              <w:tc>
                <w:tcPr>
                  <w:tcW w:w="1182" w:type="dxa"/>
                  <w:vMerge w:val="continue"/>
                  <w:tcBorders>
                    <w:left w:val="single" w:color="000000" w:sz="4" w:space="0"/>
                    <w:right w:val="single" w:color="000000" w:sz="4" w:space="0"/>
                  </w:tcBorders>
                  <w:shd w:val="clear" w:color="auto" w:fill="auto"/>
                  <w:vAlign w:val="center"/>
                </w:tcPr>
                <w:p w14:paraId="424FAF4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768" w:type="dxa"/>
                  <w:vMerge w:val="continue"/>
                  <w:tcBorders>
                    <w:left w:val="single" w:color="000000" w:sz="4" w:space="0"/>
                    <w:right w:val="single" w:color="000000" w:sz="4" w:space="0"/>
                  </w:tcBorders>
                  <w:shd w:val="clear" w:color="auto" w:fill="auto"/>
                  <w:vAlign w:val="center"/>
                </w:tcPr>
                <w:p w14:paraId="123BA74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D3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5</w:t>
                  </w:r>
                  <w:r>
                    <w:rPr>
                      <w:rFonts w:hint="eastAsia" w:ascii="Times New Roman" w:hAnsi="Times New Roman" w:cs="Times New Roman" w:eastAsiaTheme="minorEastAsia"/>
                      <w:i w:val="0"/>
                      <w:iCs w:val="0"/>
                      <w:color w:val="000000"/>
                      <w:kern w:val="0"/>
                      <w:sz w:val="18"/>
                      <w:szCs w:val="18"/>
                      <w:u w:val="none"/>
                      <w:lang w:val="en-US" w:eastAsia="zh-CN" w:bidi="ar"/>
                    </w:rPr>
                    <w:t>0</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A81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051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加药间</w:t>
                  </w:r>
                </w:p>
              </w:tc>
            </w:tr>
            <w:tr w14:paraId="56611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F2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sz w:val="18"/>
                      <w:szCs w:val="18"/>
                      <w:lang w:val="en-US" w:eastAsia="zh-CN"/>
                    </w:rPr>
                    <w:t>浓缩机</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8E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eastAsia" w:ascii="Times New Roman" w:hAnsi="Times New Roman" w:cs="Times New Roman" w:eastAsiaTheme="minorEastAsia"/>
                      <w:i w:val="0"/>
                      <w:iCs w:val="0"/>
                      <w:color w:val="000000"/>
                      <w:kern w:val="0"/>
                      <w:sz w:val="18"/>
                      <w:szCs w:val="18"/>
                      <w:u w:val="none"/>
                      <w:lang w:val="en-US" w:eastAsia="zh-CN" w:bidi="ar"/>
                    </w:rPr>
                    <w:t>2</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97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70</w:t>
                  </w:r>
                </w:p>
              </w:tc>
              <w:tc>
                <w:tcPr>
                  <w:tcW w:w="1182" w:type="dxa"/>
                  <w:vMerge w:val="continue"/>
                  <w:tcBorders>
                    <w:left w:val="single" w:color="000000" w:sz="4" w:space="0"/>
                    <w:right w:val="single" w:color="000000" w:sz="4" w:space="0"/>
                  </w:tcBorders>
                  <w:shd w:val="clear" w:color="auto" w:fill="auto"/>
                  <w:vAlign w:val="center"/>
                </w:tcPr>
                <w:p w14:paraId="32489D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768" w:type="dxa"/>
                  <w:vMerge w:val="continue"/>
                  <w:tcBorders>
                    <w:left w:val="single" w:color="000000" w:sz="4" w:space="0"/>
                    <w:right w:val="single" w:color="000000" w:sz="4" w:space="0"/>
                  </w:tcBorders>
                  <w:shd w:val="clear" w:color="auto" w:fill="auto"/>
                  <w:vAlign w:val="center"/>
                </w:tcPr>
                <w:p w14:paraId="4DBED17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AD7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55</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84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rPr>
                  </w:pPr>
                  <w:r>
                    <w:rPr>
                      <w:rFonts w:hint="default" w:ascii="Times New Roman" w:hAnsi="Times New Roman" w:cs="Times New Roman" w:eastAsiaTheme="minorEastAsia"/>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2D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sz w:val="18"/>
                      <w:szCs w:val="18"/>
                      <w:u w:val="none"/>
                      <w:lang w:val="en-US"/>
                    </w:rPr>
                  </w:pPr>
                  <w:r>
                    <w:rPr>
                      <w:rFonts w:hint="eastAsia" w:ascii="Times New Roman" w:hAnsi="Times New Roman" w:cs="Times New Roman" w:eastAsiaTheme="minorEastAsia"/>
                      <w:i w:val="0"/>
                      <w:iCs w:val="0"/>
                      <w:color w:val="000000"/>
                      <w:kern w:val="0"/>
                      <w:sz w:val="18"/>
                      <w:szCs w:val="18"/>
                      <w:u w:val="none"/>
                      <w:lang w:val="en-US" w:eastAsia="zh-CN" w:bidi="ar"/>
                    </w:rPr>
                    <w:t>污泥处理间</w:t>
                  </w:r>
                </w:p>
              </w:tc>
            </w:tr>
            <w:tr w14:paraId="66333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61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eastAsia"/>
                      <w:sz w:val="18"/>
                      <w:szCs w:val="18"/>
                      <w:lang w:val="en-US" w:eastAsia="zh-CN"/>
                    </w:rPr>
                    <w:t>离心机</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6F3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eastAsia" w:ascii="Times New Roman" w:hAnsi="Times New Roman" w:cs="Times New Roman" w:eastAsiaTheme="minorEastAsia"/>
                      <w:i w:val="0"/>
                      <w:iCs w:val="0"/>
                      <w:color w:val="000000"/>
                      <w:kern w:val="0"/>
                      <w:sz w:val="18"/>
                      <w:szCs w:val="18"/>
                      <w:u w:val="none"/>
                      <w:lang w:val="en-US" w:eastAsia="zh-CN" w:bidi="ar"/>
                    </w:rPr>
                    <w:t>2</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4A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eastAsia" w:ascii="Times New Roman" w:hAnsi="Times New Roman" w:cs="Times New Roman" w:eastAsiaTheme="minorEastAsia"/>
                      <w:i w:val="0"/>
                      <w:iCs w:val="0"/>
                      <w:color w:val="000000"/>
                      <w:kern w:val="0"/>
                      <w:sz w:val="18"/>
                      <w:szCs w:val="18"/>
                      <w:u w:val="none"/>
                      <w:lang w:val="en-US" w:eastAsia="zh-CN" w:bidi="ar"/>
                    </w:rPr>
                    <w:t>75</w:t>
                  </w:r>
                </w:p>
              </w:tc>
              <w:tc>
                <w:tcPr>
                  <w:tcW w:w="1182" w:type="dxa"/>
                  <w:vMerge w:val="continue"/>
                  <w:tcBorders>
                    <w:left w:val="single" w:color="000000" w:sz="4" w:space="0"/>
                    <w:bottom w:val="single" w:color="000000" w:sz="4" w:space="0"/>
                    <w:right w:val="single" w:color="000000" w:sz="4" w:space="0"/>
                  </w:tcBorders>
                  <w:shd w:val="clear" w:color="auto" w:fill="auto"/>
                  <w:vAlign w:val="center"/>
                </w:tcPr>
                <w:p w14:paraId="7E9EC8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768" w:type="dxa"/>
                  <w:vMerge w:val="continue"/>
                  <w:tcBorders>
                    <w:left w:val="single" w:color="000000" w:sz="4" w:space="0"/>
                    <w:bottom w:val="single" w:color="000000" w:sz="4" w:space="0"/>
                    <w:right w:val="single" w:color="000000" w:sz="4" w:space="0"/>
                  </w:tcBorders>
                  <w:shd w:val="clear" w:color="auto" w:fill="auto"/>
                  <w:vAlign w:val="center"/>
                </w:tcPr>
                <w:p w14:paraId="70E2C7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eastAsiaTheme="minorEastAsia"/>
                      <w:i w:val="0"/>
                      <w:iCs w:val="0"/>
                      <w:color w:val="000000"/>
                      <w:sz w:val="18"/>
                      <w:szCs w:val="18"/>
                      <w:u w:val="none"/>
                    </w:rPr>
                  </w:pP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659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eastAsia" w:ascii="Times New Roman" w:hAnsi="Times New Roman" w:cs="Times New Roman" w:eastAsiaTheme="minorEastAsia"/>
                      <w:i w:val="0"/>
                      <w:iCs w:val="0"/>
                      <w:color w:val="000000"/>
                      <w:kern w:val="0"/>
                      <w:sz w:val="18"/>
                      <w:szCs w:val="18"/>
                      <w:u w:val="none"/>
                      <w:lang w:val="en-US" w:eastAsia="zh-CN" w:bidi="ar"/>
                    </w:rPr>
                    <w:t>60</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81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eastAsia" w:ascii="Times New Roman" w:hAnsi="Times New Roman" w:cs="Times New Roman" w:eastAsiaTheme="minorEastAsia"/>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04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eastAsia" w:ascii="Times New Roman" w:hAnsi="Times New Roman" w:cs="Times New Roman" w:eastAsiaTheme="minorEastAsia"/>
                      <w:i w:val="0"/>
                      <w:iCs w:val="0"/>
                      <w:color w:val="000000"/>
                      <w:kern w:val="0"/>
                      <w:sz w:val="18"/>
                      <w:szCs w:val="18"/>
                      <w:u w:val="none"/>
                      <w:lang w:val="en-US" w:eastAsia="zh-CN" w:bidi="ar"/>
                    </w:rPr>
                    <w:t>污泥处理间</w:t>
                  </w:r>
                </w:p>
              </w:tc>
            </w:tr>
          </w:tbl>
          <w:p w14:paraId="5843ACDF">
            <w:pPr>
              <w:pStyle w:val="20"/>
              <w:ind w:firstLine="482"/>
              <w:rPr>
                <w:rFonts w:hint="eastAsia" w:ascii="Times New Roman" w:hAnsi="Times New Roman" w:eastAsia="宋体" w:cs="Times New Roman"/>
                <w:b/>
                <w:bCs/>
                <w:color w:val="000000"/>
                <w:highlight w:val="none"/>
                <w:u w:val="none" w:color="auto"/>
                <w:lang w:val="en-US" w:eastAsia="zh-CN"/>
              </w:rPr>
            </w:pPr>
            <w:r>
              <w:rPr>
                <w:rFonts w:hint="eastAsia" w:ascii="Times New Roman" w:hAnsi="Times New Roman" w:eastAsia="宋体" w:cs="Times New Roman"/>
                <w:b/>
                <w:bCs/>
                <w:color w:val="000000"/>
                <w:highlight w:val="none"/>
                <w:u w:val="none" w:color="auto"/>
                <w:lang w:val="en-US" w:eastAsia="zh-CN"/>
              </w:rPr>
              <w:t>2、噪声环境影响分析</w:t>
            </w:r>
          </w:p>
          <w:p w14:paraId="2B9B4B3F">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本次评价属于补办环评，现状工程已建成，本次环评无新增噪声声源。周边环境保护目标除西侧东洞庭湖管理局隔洞庭北路相邻外，其他东、南、北侧保护目标均在项目厂界1~10m范围内相邻，因此在声环境保护目标现状监测期间，厂区正常生产运行，实地噪声监测情况能反映项目运行期间对周边声环境保护目标的影响。</w:t>
            </w:r>
          </w:p>
          <w:p w14:paraId="24985238">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single"/>
                <w:lang w:val="en-US" w:eastAsia="zh-CN"/>
              </w:rPr>
            </w:pPr>
            <w:r>
              <w:rPr>
                <w:rFonts w:hint="eastAsia" w:ascii="Times New Roman" w:hAnsi="Times New Roman" w:eastAsia="宋体" w:cs="Times New Roman"/>
                <w:color w:val="auto"/>
                <w:sz w:val="24"/>
                <w:szCs w:val="24"/>
                <w:u w:val="none"/>
                <w:lang w:val="en-US" w:eastAsia="zh-CN"/>
              </w:rPr>
              <w:t>由环评期间对项目周边临近的声环境保护目标实地检测结果可知，本项目运行期间东部原3517家属区昼间声级值为55dB(A)、夜间声级值为45dB(A)，</w:t>
            </w:r>
            <w:r>
              <w:rPr>
                <w:rFonts w:hint="default" w:ascii="Times New Roman" w:hAnsi="Times New Roman" w:eastAsia="宋体" w:cs="Times New Roman"/>
                <w:color w:val="auto"/>
                <w:sz w:val="24"/>
                <w:szCs w:val="24"/>
                <w:u w:val="none"/>
                <w:lang w:val="en-US" w:eastAsia="zh-CN"/>
              </w:rPr>
              <w:t>南侧岳阳市第一中学</w:t>
            </w:r>
            <w:r>
              <w:rPr>
                <w:rFonts w:hint="eastAsia" w:ascii="Times New Roman" w:hAnsi="Times New Roman" w:eastAsia="宋体" w:cs="Times New Roman"/>
                <w:color w:val="auto"/>
                <w:sz w:val="24"/>
                <w:szCs w:val="24"/>
                <w:u w:val="none"/>
                <w:lang w:val="en-US" w:eastAsia="zh-CN"/>
              </w:rPr>
              <w:t>昼间声级值为58dB(A)、夜间声级值为47dB(A)，西侧东洞庭湖管理局昼间声级值为58dB(A)、夜间声级值为48dB(A)，北侧洞庭书香苑昼间声级值为53dB(A)、夜间声级值为44dB(A)，可见，项目周边较近声环境保护目标处声环境质量可达到《声环境质量标准》（GB3096-2008）2 类，对周边声环境影响较小，厂区现有声环境防治措施可行。</w:t>
            </w:r>
            <w:r>
              <w:rPr>
                <w:rFonts w:hint="eastAsia" w:ascii="Times New Roman" w:hAnsi="Times New Roman" w:eastAsia="宋体" w:cs="Times New Roman"/>
                <w:color w:val="auto"/>
                <w:sz w:val="24"/>
                <w:szCs w:val="24"/>
                <w:u w:val="single"/>
                <w:lang w:val="en-US" w:eastAsia="zh-CN"/>
              </w:rPr>
              <w:t>同时，可知项目四周厂界噪声</w:t>
            </w:r>
            <w:r>
              <w:rPr>
                <w:rFonts w:hint="eastAsia" w:ascii="Times New Roman" w:hAnsi="Times New Roman" w:cs="Times New Roman"/>
                <w:color w:val="auto"/>
                <w:sz w:val="24"/>
                <w:szCs w:val="24"/>
                <w:u w:val="single"/>
                <w:lang w:val="en-US" w:eastAsia="zh-CN"/>
              </w:rPr>
              <w:t>（临近保护目标在北、东和南侧均相邻位置，监测噪声可反映厂界噪声现状值）</w:t>
            </w:r>
            <w:r>
              <w:rPr>
                <w:rFonts w:hint="eastAsia" w:ascii="Times New Roman" w:hAnsi="Times New Roman" w:eastAsia="宋体" w:cs="Times New Roman"/>
                <w:color w:val="auto"/>
                <w:sz w:val="24"/>
                <w:szCs w:val="24"/>
                <w:u w:val="single"/>
                <w:lang w:val="en-US" w:eastAsia="zh-CN"/>
              </w:rPr>
              <w:t>均能满足《工业企业厂界环境噪声排放标准》（</w:t>
            </w:r>
            <w:r>
              <w:rPr>
                <w:rFonts w:hint="default" w:ascii="Times New Roman" w:hAnsi="Times New Roman" w:eastAsia="宋体" w:cs="Times New Roman"/>
                <w:color w:val="auto"/>
                <w:sz w:val="24"/>
                <w:szCs w:val="24"/>
                <w:u w:val="single"/>
                <w:lang w:val="en-US" w:eastAsia="zh-CN"/>
              </w:rPr>
              <w:t>GB12348-2008</w:t>
            </w:r>
            <w:r>
              <w:rPr>
                <w:rFonts w:hint="eastAsia" w:ascii="Times New Roman" w:hAnsi="Times New Roman" w:eastAsia="宋体" w:cs="Times New Roman"/>
                <w:color w:val="auto"/>
                <w:sz w:val="24"/>
                <w:szCs w:val="24"/>
                <w:u w:val="single"/>
                <w:lang w:val="en-US" w:eastAsia="zh-CN"/>
              </w:rPr>
              <w:t>）中2类要求。</w:t>
            </w:r>
          </w:p>
          <w:p w14:paraId="1C07A465">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 xml:space="preserve">为了减小噪声对环境的影响，环评建议项目进一步续采用的减震降噪措施有： </w:t>
            </w:r>
          </w:p>
          <w:p w14:paraId="1FE0F28A">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①高噪声设备应定期检查、维修、不符合要求的要及时更换，防止机械噪声的升高。在噪声大的车间，其墙面采用吸声材料。</w:t>
            </w:r>
          </w:p>
          <w:p w14:paraId="1A5C7696">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②在厂区主车间、办公生活区和厂区周围，种植绿化隔离带，林带应乔、灌木合理搭配，并选择分枝多，树冠大、枝叶茂盛的树种，选择吸声能力及吸收废气能力强的树种，以减少噪声和其它污染物对周围环境的影响。</w:t>
            </w:r>
          </w:p>
          <w:p w14:paraId="67B930E9">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③项目运营期间，运输物料的运输车辆进出厂区时鸣笛、启动都会对周围环境造成一定的影响。因此，车辆进出厂区应禁止鸣笛，并限速行驶。</w:t>
            </w:r>
          </w:p>
          <w:p w14:paraId="42466717">
            <w:pPr>
              <w:pStyle w:val="20"/>
              <w:ind w:firstLine="482"/>
              <w:rPr>
                <w:rFonts w:hint="eastAsia"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3、声环境监测计划</w:t>
            </w:r>
          </w:p>
          <w:p w14:paraId="167675CD">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default" w:ascii="Times New Roman" w:hAnsi="Times New Roman" w:eastAsia="宋体" w:cs="Times New Roman"/>
                <w:color w:val="auto"/>
                <w:sz w:val="24"/>
                <w:szCs w:val="24"/>
                <w:u w:val="none"/>
                <w:lang w:val="en-US" w:eastAsia="zh-CN"/>
              </w:rPr>
              <w:t>根据</w:t>
            </w:r>
            <w:r>
              <w:rPr>
                <w:rFonts w:hint="eastAsia" w:ascii="Times New Roman" w:hAnsi="Times New Roman" w:eastAsia="宋体" w:cs="Times New Roman"/>
                <w:color w:val="auto"/>
                <w:sz w:val="24"/>
                <w:szCs w:val="24"/>
                <w:u w:val="none"/>
                <w:lang w:val="en-US" w:eastAsia="zh-CN"/>
              </w:rPr>
              <w:t>《排污单位自行监测技术指南 总则》（HJ819-2017）的相关要求，该项目营运期间需定期对环境噪声进行监测，以确保厂界噪声达标，监测数据采集与处理及采样分析方法按国家标准执行。本项目噪声自行监测计划如下表所示。</w:t>
            </w:r>
          </w:p>
          <w:p w14:paraId="5EADDC9D">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val="0"/>
                <w:sz w:val="24"/>
                <w:szCs w:val="21"/>
                <w:lang w:val="en-US" w:eastAsia="zh-CN"/>
              </w:rPr>
            </w:pPr>
            <w:r>
              <w:rPr>
                <w:rFonts w:hint="eastAsia" w:ascii="Times New Roman" w:hAnsi="Times New Roman" w:cs="Times New Roman"/>
                <w:b/>
                <w:bCs w:val="0"/>
                <w:sz w:val="24"/>
                <w:szCs w:val="21"/>
                <w:lang w:val="en-US" w:eastAsia="zh-CN"/>
              </w:rPr>
              <w:t>表4-7  项目</w:t>
            </w:r>
            <w:r>
              <w:rPr>
                <w:rFonts w:hint="eastAsia" w:ascii="Times New Roman" w:hAnsi="Times New Roman" w:eastAsia="宋体" w:cs="Times New Roman"/>
                <w:b/>
                <w:bCs w:val="0"/>
                <w:sz w:val="24"/>
                <w:szCs w:val="21"/>
                <w:lang w:val="en-US" w:eastAsia="zh-CN"/>
              </w:rPr>
              <w:t>噪声监测计划表</w:t>
            </w:r>
          </w:p>
          <w:tbl>
            <w:tblPr>
              <w:tblStyle w:val="25"/>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1"/>
              <w:gridCol w:w="2095"/>
              <w:gridCol w:w="1212"/>
              <w:gridCol w:w="2010"/>
            </w:tblGrid>
            <w:tr w14:paraId="7694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6" w:type="pct"/>
                  <w:tcBorders>
                    <w:tl2br w:val="nil"/>
                    <w:tr2bl w:val="nil"/>
                  </w:tcBorders>
                  <w:vAlign w:val="center"/>
                </w:tcPr>
                <w:p w14:paraId="7487F884">
                  <w:pPr>
                    <w:widowControl/>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监测点位</w:t>
                  </w:r>
                  <w:r>
                    <w:rPr>
                      <w:rFonts w:hint="default" w:ascii="Times New Roman" w:hAnsi="Times New Roman" w:cs="Times New Roman"/>
                      <w:color w:val="auto"/>
                      <w:sz w:val="21"/>
                      <w:szCs w:val="21"/>
                      <w:lang w:val="en-US" w:eastAsia="zh-CN"/>
                    </w:rPr>
                    <w:t>位置</w:t>
                  </w:r>
                </w:p>
              </w:tc>
              <w:tc>
                <w:tcPr>
                  <w:tcW w:w="1321" w:type="pct"/>
                  <w:tcBorders>
                    <w:tl2br w:val="nil"/>
                    <w:tr2bl w:val="nil"/>
                  </w:tcBorders>
                  <w:vAlign w:val="center"/>
                </w:tcPr>
                <w:p w14:paraId="1DC7E58F">
                  <w:pPr>
                    <w:pStyle w:val="38"/>
                    <w:spacing w:before="0"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监测因子</w:t>
                  </w:r>
                </w:p>
              </w:tc>
              <w:tc>
                <w:tcPr>
                  <w:tcW w:w="764" w:type="pct"/>
                  <w:tcBorders>
                    <w:tl2br w:val="nil"/>
                    <w:tr2bl w:val="nil"/>
                  </w:tcBorders>
                  <w:vAlign w:val="center"/>
                </w:tcPr>
                <w:p w14:paraId="5E7ECC5E">
                  <w:pPr>
                    <w:pStyle w:val="38"/>
                    <w:spacing w:before="0"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监测点位</w:t>
                  </w:r>
                </w:p>
              </w:tc>
              <w:tc>
                <w:tcPr>
                  <w:tcW w:w="1267" w:type="pct"/>
                  <w:tcBorders>
                    <w:tl2br w:val="nil"/>
                    <w:tr2bl w:val="nil"/>
                  </w:tcBorders>
                  <w:vAlign w:val="center"/>
                </w:tcPr>
                <w:p w14:paraId="22F4170A">
                  <w:pPr>
                    <w:pStyle w:val="38"/>
                    <w:spacing w:before="0"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监测频次</w:t>
                  </w:r>
                </w:p>
              </w:tc>
            </w:tr>
            <w:tr w14:paraId="25B4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6" w:type="pct"/>
                  <w:tcBorders>
                    <w:tl2br w:val="nil"/>
                    <w:tr2bl w:val="nil"/>
                  </w:tcBorders>
                  <w:vAlign w:val="center"/>
                </w:tcPr>
                <w:p w14:paraId="73914AB2">
                  <w:pPr>
                    <w:widowControl/>
                    <w:adjustRightInd w:val="0"/>
                    <w:snapToGrid w:val="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pacing w:val="0"/>
                      <w:sz w:val="21"/>
                      <w:szCs w:val="21"/>
                      <w:u w:val="none" w:color="auto"/>
                      <w:lang w:val="en-US" w:eastAsia="zh-CN"/>
                    </w:rPr>
                    <w:t>厂界四周</w:t>
                  </w:r>
                </w:p>
              </w:tc>
              <w:tc>
                <w:tcPr>
                  <w:tcW w:w="1321" w:type="pct"/>
                  <w:tcBorders>
                    <w:tl2br w:val="nil"/>
                    <w:tr2bl w:val="nil"/>
                  </w:tcBorders>
                  <w:vAlign w:val="center"/>
                </w:tcPr>
                <w:p w14:paraId="18979DB0">
                  <w:pPr>
                    <w:pStyle w:val="38"/>
                    <w:spacing w:before="0"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等效连续A声级</w:t>
                  </w:r>
                </w:p>
              </w:tc>
              <w:tc>
                <w:tcPr>
                  <w:tcW w:w="764" w:type="pct"/>
                  <w:tcBorders>
                    <w:tl2br w:val="nil"/>
                    <w:tr2bl w:val="nil"/>
                  </w:tcBorders>
                  <w:vAlign w:val="center"/>
                </w:tcPr>
                <w:p w14:paraId="0D04876E">
                  <w:pPr>
                    <w:pStyle w:val="38"/>
                    <w:spacing w:before="0"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pacing w:val="0"/>
                      <w:sz w:val="21"/>
                      <w:szCs w:val="21"/>
                      <w:u w:val="none" w:color="auto"/>
                    </w:rPr>
                    <w:t>厂界</w:t>
                  </w:r>
                </w:p>
              </w:tc>
              <w:tc>
                <w:tcPr>
                  <w:tcW w:w="1267" w:type="pct"/>
                  <w:tcBorders>
                    <w:tl2br w:val="nil"/>
                    <w:tr2bl w:val="nil"/>
                  </w:tcBorders>
                  <w:vAlign w:val="center"/>
                </w:tcPr>
                <w:p w14:paraId="1254A4C5">
                  <w:pPr>
                    <w:pStyle w:val="38"/>
                    <w:spacing w:before="0"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1次/季度</w:t>
                  </w:r>
                </w:p>
              </w:tc>
            </w:tr>
          </w:tbl>
          <w:p w14:paraId="0A64DD62">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b/>
                <w:bCs w:val="0"/>
                <w:sz w:val="24"/>
                <w:szCs w:val="24"/>
                <w:lang w:val="en-US" w:eastAsia="zh-CN"/>
              </w:rPr>
            </w:pPr>
            <w:r>
              <w:rPr>
                <w:rFonts w:hint="eastAsia"/>
                <w:b/>
                <w:bCs w:val="0"/>
                <w:sz w:val="24"/>
                <w:szCs w:val="24"/>
                <w:lang w:val="en-US" w:eastAsia="zh-CN"/>
              </w:rPr>
              <w:t>四、营运期固体废物影响分析</w:t>
            </w:r>
          </w:p>
          <w:p w14:paraId="73C63EF1">
            <w:pPr>
              <w:pStyle w:val="20"/>
              <w:ind w:firstLine="482"/>
              <w:rPr>
                <w:rFonts w:hint="default" w:cs="Times New Roman"/>
                <w:b/>
                <w:bCs/>
                <w:color w:val="000000"/>
                <w:highlight w:val="none"/>
                <w:u w:val="none" w:color="auto"/>
                <w:lang w:val="en-US" w:eastAsia="zh-CN"/>
              </w:rPr>
            </w:pPr>
            <w:r>
              <w:rPr>
                <w:rFonts w:hint="eastAsia" w:cs="Times New Roman"/>
                <w:b/>
                <w:bCs/>
                <w:color w:val="000000"/>
                <w:highlight w:val="none"/>
                <w:u w:val="none" w:color="auto"/>
                <w:lang w:val="en-US" w:eastAsia="zh-CN"/>
              </w:rPr>
              <w:t>1、项目固体废物源强分析</w:t>
            </w:r>
          </w:p>
          <w:p w14:paraId="269916ED">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运营期全厂产生的固体废弃物主要包括职工生活垃圾、污泥处理车间产生的脱水污泥、机械设备维护维修产生的废机油、含油抹布手套，厂区分析化验室产生的废弃试剂废液等。</w:t>
            </w:r>
          </w:p>
          <w:p w14:paraId="5A175115">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default" w:ascii="Times New Roman" w:hAnsi="Times New Roman" w:eastAsia="宋体" w:cs="Times New Roman"/>
                <w:color w:val="auto"/>
                <w:sz w:val="24"/>
                <w:szCs w:val="24"/>
                <w:u w:val="none"/>
                <w:lang w:val="en-US" w:eastAsia="zh-CN"/>
              </w:rPr>
              <w:t>生活垃圾</w:t>
            </w:r>
            <w:r>
              <w:rPr>
                <w:rFonts w:hint="eastAsia" w:ascii="Times New Roman" w:hAnsi="Times New Roman" w:eastAsia="宋体"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全厂职工人数为72人，生活垃圾为</w:t>
            </w:r>
            <w:r>
              <w:rPr>
                <w:rFonts w:hint="eastAsia" w:ascii="Times New Roman" w:hAnsi="Times New Roman" w:eastAsia="宋体" w:cs="Times New Roman"/>
                <w:color w:val="auto"/>
                <w:sz w:val="24"/>
                <w:szCs w:val="24"/>
                <w:u w:val="none"/>
                <w:lang w:val="en-US" w:eastAsia="zh-CN"/>
              </w:rPr>
              <w:t>现有工程</w:t>
            </w:r>
            <w:r>
              <w:rPr>
                <w:rFonts w:hint="default" w:ascii="Times New Roman" w:hAnsi="Times New Roman" w:eastAsia="宋体" w:cs="Times New Roman"/>
                <w:color w:val="auto"/>
                <w:sz w:val="24"/>
                <w:szCs w:val="24"/>
                <w:u w:val="none"/>
                <w:lang w:val="en-US" w:eastAsia="zh-CN"/>
              </w:rPr>
              <w:t>产生，</w:t>
            </w:r>
            <w:r>
              <w:rPr>
                <w:rFonts w:hint="eastAsia" w:ascii="Times New Roman" w:hAnsi="Times New Roman" w:eastAsia="宋体" w:cs="Times New Roman"/>
                <w:color w:val="auto"/>
                <w:sz w:val="24"/>
                <w:szCs w:val="24"/>
                <w:u w:val="none"/>
                <w:lang w:val="en-US" w:eastAsia="zh-CN"/>
              </w:rPr>
              <w:t>本次环评无新增劳动定员，</w:t>
            </w:r>
            <w:r>
              <w:rPr>
                <w:rFonts w:hint="default" w:ascii="Times New Roman" w:hAnsi="Times New Roman" w:eastAsia="宋体" w:cs="Times New Roman"/>
                <w:color w:val="auto"/>
                <w:sz w:val="24"/>
                <w:szCs w:val="24"/>
                <w:u w:val="none"/>
                <w:lang w:val="en-US" w:eastAsia="zh-CN"/>
              </w:rPr>
              <w:t>产生量为</w:t>
            </w:r>
            <w:r>
              <w:rPr>
                <w:rFonts w:hint="eastAsia" w:ascii="Times New Roman" w:hAnsi="Times New Roman" w:eastAsia="宋体" w:cs="Times New Roman"/>
                <w:color w:val="auto"/>
                <w:sz w:val="24"/>
                <w:szCs w:val="24"/>
                <w:u w:val="none"/>
                <w:lang w:val="en-US" w:eastAsia="zh-CN"/>
              </w:rPr>
              <w:t>13.14t</w:t>
            </w:r>
            <w:r>
              <w:rPr>
                <w:rFonts w:hint="default" w:ascii="Times New Roman" w:hAnsi="Times New Roman" w:eastAsia="宋体" w:cs="Times New Roman"/>
                <w:color w:val="auto"/>
                <w:sz w:val="24"/>
                <w:szCs w:val="24"/>
                <w:u w:val="none"/>
                <w:lang w:val="en-US" w:eastAsia="zh-CN"/>
              </w:rPr>
              <w:t>/a，</w:t>
            </w:r>
            <w:r>
              <w:rPr>
                <w:rFonts w:hint="eastAsia" w:ascii="Times New Roman" w:hAnsi="Times New Roman" w:eastAsia="宋体" w:cs="Times New Roman"/>
                <w:color w:val="auto"/>
                <w:sz w:val="24"/>
                <w:szCs w:val="24"/>
                <w:u w:val="none"/>
                <w:lang w:val="en-US" w:eastAsia="zh-CN"/>
              </w:rPr>
              <w:t>在厂区内设置分类收集生活垃圾设施，</w:t>
            </w:r>
            <w:r>
              <w:rPr>
                <w:rFonts w:hint="default" w:ascii="Times New Roman" w:hAnsi="Times New Roman" w:eastAsia="宋体" w:cs="Times New Roman"/>
                <w:color w:val="auto"/>
                <w:sz w:val="24"/>
                <w:szCs w:val="24"/>
                <w:u w:val="none"/>
                <w:lang w:val="en-US" w:eastAsia="zh-CN"/>
              </w:rPr>
              <w:t>定期由</w:t>
            </w:r>
            <w:r>
              <w:rPr>
                <w:rFonts w:hint="eastAsia" w:ascii="Times New Roman" w:hAnsi="Times New Roman" w:eastAsia="宋体" w:cs="Times New Roman"/>
                <w:color w:val="auto"/>
                <w:sz w:val="24"/>
                <w:szCs w:val="24"/>
                <w:u w:val="none"/>
                <w:lang w:val="en-US" w:eastAsia="zh-CN"/>
              </w:rPr>
              <w:t>当地</w:t>
            </w:r>
            <w:r>
              <w:rPr>
                <w:rFonts w:hint="default" w:ascii="Times New Roman" w:hAnsi="Times New Roman" w:eastAsia="宋体" w:cs="Times New Roman"/>
                <w:color w:val="auto"/>
                <w:sz w:val="24"/>
                <w:szCs w:val="24"/>
                <w:u w:val="none"/>
                <w:lang w:val="en-US" w:eastAsia="zh-CN"/>
              </w:rPr>
              <w:t xml:space="preserve">环卫部门清运。 </w:t>
            </w:r>
          </w:p>
          <w:p w14:paraId="284C8E8A">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single"/>
                <w:lang w:val="en-US" w:eastAsia="zh-CN"/>
              </w:rPr>
            </w:pPr>
            <w:r>
              <w:rPr>
                <w:rFonts w:hint="default" w:ascii="Times New Roman" w:hAnsi="Times New Roman" w:eastAsia="宋体" w:cs="Times New Roman"/>
                <w:color w:val="auto"/>
                <w:sz w:val="24"/>
                <w:szCs w:val="24"/>
                <w:u w:val="none"/>
                <w:lang w:val="en-US" w:eastAsia="zh-CN"/>
              </w:rPr>
              <w:t>脱水污泥</w:t>
            </w:r>
            <w:r>
              <w:rPr>
                <w:rFonts w:hint="eastAsia" w:ascii="Times New Roman" w:hAnsi="Times New Roman" w:eastAsia="宋体"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根据</w:t>
            </w:r>
            <w:r>
              <w:rPr>
                <w:rFonts w:hint="eastAsia" w:ascii="Times New Roman" w:hAnsi="Times New Roman" w:eastAsia="宋体" w:cs="Times New Roman"/>
                <w:color w:val="auto"/>
                <w:sz w:val="24"/>
                <w:szCs w:val="24"/>
                <w:u w:val="none"/>
                <w:lang w:val="en-US" w:eastAsia="zh-CN"/>
              </w:rPr>
              <w:t>产污系数计算</w:t>
            </w:r>
            <w:r>
              <w:rPr>
                <w:rFonts w:hint="default" w:ascii="Times New Roman" w:hAnsi="Times New Roman" w:eastAsia="宋体" w:cs="Times New Roman"/>
                <w:color w:val="auto"/>
                <w:sz w:val="24"/>
                <w:szCs w:val="24"/>
                <w:u w:val="none"/>
                <w:lang w:val="en-US" w:eastAsia="zh-CN"/>
              </w:rPr>
              <w:t>，项目</w:t>
            </w:r>
            <w:r>
              <w:rPr>
                <w:rFonts w:hint="eastAsia" w:ascii="Times New Roman" w:hAnsi="Times New Roman" w:eastAsia="宋体" w:cs="Times New Roman"/>
                <w:color w:val="auto"/>
                <w:sz w:val="24"/>
                <w:szCs w:val="24"/>
                <w:u w:val="none"/>
                <w:lang w:val="en-US" w:eastAsia="zh-CN"/>
              </w:rPr>
              <w:t>设计净水生产能力为19万m</w:t>
            </w:r>
            <w:r>
              <w:rPr>
                <w:rFonts w:hint="eastAsia" w:ascii="Times New Roman" w:hAnsi="Times New Roman" w:eastAsia="宋体" w:cs="Times New Roman"/>
                <w:color w:val="auto"/>
                <w:sz w:val="24"/>
                <w:szCs w:val="24"/>
                <w:u w:val="none"/>
                <w:vertAlign w:val="superscript"/>
                <w:lang w:val="en-US" w:eastAsia="zh-CN"/>
              </w:rPr>
              <w:t>3</w:t>
            </w:r>
            <w:r>
              <w:rPr>
                <w:rFonts w:hint="eastAsia" w:ascii="Times New Roman" w:hAnsi="Times New Roman" w:eastAsia="宋体" w:cs="Times New Roman"/>
                <w:color w:val="auto"/>
                <w:sz w:val="24"/>
                <w:szCs w:val="24"/>
                <w:u w:val="none"/>
                <w:lang w:val="en-US" w:eastAsia="zh-CN"/>
              </w:rPr>
              <w:t>/d，生产过程</w:t>
            </w:r>
            <w:r>
              <w:rPr>
                <w:rFonts w:hint="default" w:ascii="Times New Roman" w:hAnsi="Times New Roman" w:eastAsia="宋体" w:cs="Times New Roman"/>
                <w:color w:val="auto"/>
                <w:sz w:val="24"/>
                <w:szCs w:val="24"/>
                <w:u w:val="none"/>
                <w:lang w:val="en-US" w:eastAsia="zh-CN"/>
              </w:rPr>
              <w:t>排泥渣废水经</w:t>
            </w:r>
            <w:r>
              <w:rPr>
                <w:rFonts w:hint="eastAsia" w:ascii="Times New Roman" w:hAnsi="Times New Roman" w:eastAsia="宋体" w:cs="Times New Roman"/>
                <w:color w:val="auto"/>
                <w:sz w:val="24"/>
                <w:szCs w:val="24"/>
                <w:u w:val="none"/>
                <w:lang w:val="en-US" w:eastAsia="zh-CN"/>
              </w:rPr>
              <w:t>污泥处理车间</w:t>
            </w:r>
            <w:r>
              <w:rPr>
                <w:rFonts w:hint="default" w:ascii="Times New Roman" w:hAnsi="Times New Roman" w:eastAsia="宋体" w:cs="Times New Roman"/>
                <w:color w:val="auto"/>
                <w:sz w:val="24"/>
                <w:szCs w:val="24"/>
                <w:u w:val="none"/>
                <w:lang w:val="en-US" w:eastAsia="zh-CN"/>
              </w:rPr>
              <w:t>浓缩脱水后，产生含水率约</w:t>
            </w:r>
            <w:r>
              <w:rPr>
                <w:rFonts w:hint="eastAsia" w:ascii="Times New Roman" w:hAnsi="Times New Roman" w:eastAsia="宋体" w:cs="Times New Roman"/>
                <w:color w:val="auto"/>
                <w:sz w:val="24"/>
                <w:szCs w:val="24"/>
                <w:u w:val="none"/>
                <w:lang w:val="en-US" w:eastAsia="zh-CN"/>
              </w:rPr>
              <w:t>8</w:t>
            </w:r>
            <w:r>
              <w:rPr>
                <w:rFonts w:hint="default" w:ascii="Times New Roman" w:hAnsi="Times New Roman" w:eastAsia="宋体" w:cs="Times New Roman"/>
                <w:color w:val="auto"/>
                <w:sz w:val="24"/>
                <w:szCs w:val="24"/>
                <w:u w:val="none"/>
                <w:lang w:val="en-US" w:eastAsia="zh-CN"/>
              </w:rPr>
              <w:t>0%的脱水污泥，脱水污泥</w:t>
            </w:r>
            <w:r>
              <w:rPr>
                <w:rFonts w:hint="eastAsia" w:ascii="Times New Roman" w:hAnsi="Times New Roman" w:eastAsia="宋体" w:cs="Times New Roman"/>
                <w:color w:val="auto"/>
                <w:sz w:val="24"/>
                <w:szCs w:val="24"/>
                <w:u w:val="none"/>
                <w:lang w:val="en-US" w:eastAsia="zh-CN"/>
              </w:rPr>
              <w:t>产生</w:t>
            </w:r>
            <w:r>
              <w:rPr>
                <w:rFonts w:hint="default" w:ascii="Times New Roman" w:hAnsi="Times New Roman" w:eastAsia="宋体" w:cs="Times New Roman"/>
                <w:color w:val="auto"/>
                <w:sz w:val="24"/>
                <w:szCs w:val="24"/>
                <w:u w:val="none"/>
                <w:lang w:val="en-US" w:eastAsia="zh-CN"/>
              </w:rPr>
              <w:t>量为</w:t>
            </w:r>
            <w:r>
              <w:rPr>
                <w:rFonts w:hint="eastAsia" w:ascii="Times New Roman" w:hAnsi="Times New Roman" w:eastAsia="宋体" w:cs="Times New Roman"/>
                <w:color w:val="auto"/>
                <w:sz w:val="24"/>
                <w:szCs w:val="24"/>
                <w:u w:val="none"/>
                <w:lang w:val="en-US" w:eastAsia="zh-CN"/>
              </w:rPr>
              <w:t>112.1</w:t>
            </w:r>
            <w:r>
              <w:rPr>
                <w:rFonts w:hint="default" w:ascii="Times New Roman" w:hAnsi="Times New Roman" w:eastAsia="宋体" w:cs="Times New Roman"/>
                <w:color w:val="auto"/>
                <w:sz w:val="24"/>
                <w:szCs w:val="24"/>
                <w:u w:val="none"/>
                <w:lang w:val="en-US" w:eastAsia="zh-CN"/>
              </w:rPr>
              <w:t>t/d（40916.5‬t/a），</w:t>
            </w:r>
            <w:r>
              <w:rPr>
                <w:rFonts w:hint="eastAsia" w:ascii="Times New Roman" w:hAnsi="Times New Roman" w:eastAsia="宋体" w:cs="Times New Roman"/>
                <w:color w:val="auto"/>
                <w:sz w:val="24"/>
                <w:szCs w:val="24"/>
                <w:u w:val="single"/>
                <w:lang w:val="en-US" w:eastAsia="zh-CN"/>
              </w:rPr>
              <w:t>在</w:t>
            </w:r>
            <w:r>
              <w:rPr>
                <w:rFonts w:hint="eastAsia" w:ascii="Times New Roman" w:hAnsi="Times New Roman" w:cs="Times New Roman"/>
                <w:color w:val="auto"/>
                <w:sz w:val="24"/>
                <w:szCs w:val="24"/>
                <w:u w:val="single"/>
                <w:lang w:val="en-US" w:eastAsia="zh-CN"/>
              </w:rPr>
              <w:t>污泥处置</w:t>
            </w:r>
            <w:r>
              <w:rPr>
                <w:rFonts w:hint="eastAsia" w:ascii="Times New Roman" w:hAnsi="Times New Roman" w:eastAsia="宋体" w:cs="Times New Roman"/>
                <w:color w:val="auto"/>
                <w:sz w:val="24"/>
                <w:szCs w:val="24"/>
                <w:u w:val="single"/>
                <w:lang w:val="en-US" w:eastAsia="zh-CN"/>
              </w:rPr>
              <w:t>车间内专用污泥堆放区自然</w:t>
            </w:r>
            <w:r>
              <w:rPr>
                <w:rFonts w:hint="eastAsia" w:ascii="Times New Roman" w:hAnsi="Times New Roman" w:cs="Times New Roman"/>
                <w:color w:val="auto"/>
                <w:sz w:val="24"/>
                <w:szCs w:val="24"/>
                <w:u w:val="single"/>
                <w:lang w:val="en-US" w:eastAsia="zh-CN"/>
              </w:rPr>
              <w:t>晾干</w:t>
            </w:r>
            <w:r>
              <w:rPr>
                <w:rFonts w:hint="default" w:ascii="Times New Roman" w:hAnsi="Times New Roman" w:eastAsia="宋体" w:cs="Times New Roman"/>
                <w:color w:val="auto"/>
                <w:sz w:val="24"/>
                <w:szCs w:val="24"/>
                <w:u w:val="single"/>
                <w:lang w:val="en-US" w:eastAsia="zh-CN"/>
              </w:rPr>
              <w:t>后污泥由</w:t>
            </w:r>
            <w:r>
              <w:rPr>
                <w:rFonts w:hint="eastAsia" w:ascii="Times New Roman" w:hAnsi="Times New Roman" w:eastAsia="宋体" w:cs="Times New Roman"/>
                <w:color w:val="auto"/>
                <w:sz w:val="24"/>
                <w:szCs w:val="24"/>
                <w:u w:val="single"/>
                <w:lang w:val="en-US" w:eastAsia="zh-CN"/>
              </w:rPr>
              <w:t>环卫部门统一</w:t>
            </w:r>
            <w:r>
              <w:rPr>
                <w:rFonts w:hint="default" w:ascii="Times New Roman" w:hAnsi="Times New Roman" w:eastAsia="宋体" w:cs="Times New Roman"/>
                <w:color w:val="auto"/>
                <w:sz w:val="24"/>
                <w:szCs w:val="24"/>
                <w:u w:val="single"/>
                <w:lang w:val="en-US" w:eastAsia="zh-CN"/>
              </w:rPr>
              <w:t>清运处置</w:t>
            </w:r>
            <w:r>
              <w:rPr>
                <w:rFonts w:hint="eastAsia" w:ascii="Times New Roman" w:hAnsi="Times New Roman" w:eastAsia="宋体" w:cs="Times New Roman"/>
                <w:color w:val="auto"/>
                <w:sz w:val="24"/>
                <w:szCs w:val="24"/>
                <w:u w:val="single"/>
                <w:lang w:val="en-US" w:eastAsia="zh-CN"/>
              </w:rPr>
              <w:t>。</w:t>
            </w:r>
          </w:p>
          <w:p w14:paraId="2360A03D">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default" w:ascii="Times New Roman" w:hAnsi="Times New Roman" w:eastAsia="宋体" w:cs="Times New Roman"/>
                <w:color w:val="auto"/>
                <w:sz w:val="24"/>
                <w:szCs w:val="24"/>
                <w:u w:val="none"/>
                <w:lang w:val="en-US" w:eastAsia="zh-CN"/>
              </w:rPr>
              <w:t>废</w:t>
            </w:r>
            <w:r>
              <w:rPr>
                <w:rFonts w:hint="eastAsia" w:ascii="Times New Roman" w:hAnsi="Times New Roman" w:cs="Times New Roman"/>
                <w:color w:val="auto"/>
                <w:sz w:val="24"/>
                <w:szCs w:val="24"/>
                <w:u w:val="none"/>
                <w:lang w:val="en-US" w:eastAsia="zh-CN"/>
              </w:rPr>
              <w:t>矿物油/</w:t>
            </w:r>
            <w:r>
              <w:rPr>
                <w:rFonts w:hint="eastAsia" w:ascii="Times New Roman" w:hAnsi="Times New Roman" w:eastAsia="宋体" w:cs="Times New Roman"/>
                <w:color w:val="auto"/>
                <w:sz w:val="24"/>
                <w:szCs w:val="24"/>
                <w:u w:val="none"/>
                <w:lang w:val="en-US" w:eastAsia="zh-CN"/>
              </w:rPr>
              <w:t>油桶：运行期间</w:t>
            </w:r>
            <w:r>
              <w:rPr>
                <w:rFonts w:hint="default" w:ascii="Times New Roman" w:hAnsi="Times New Roman" w:eastAsia="宋体" w:cs="Times New Roman"/>
                <w:color w:val="auto"/>
                <w:sz w:val="24"/>
                <w:szCs w:val="24"/>
                <w:u w:val="none"/>
                <w:lang w:val="en-US" w:eastAsia="zh-CN"/>
              </w:rPr>
              <w:t>按需对生产设备进行简单的维修处理，一些维修工艺复杂及大型的设备维修外委。设备维修过程中会产生少量的废机油</w:t>
            </w:r>
            <w:r>
              <w:rPr>
                <w:rFonts w:hint="eastAsia" w:ascii="Times New Roman" w:hAnsi="Times New Roman"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润滑油</w:t>
            </w:r>
            <w:r>
              <w:rPr>
                <w:rFonts w:hint="eastAsia" w:ascii="Times New Roman" w:hAnsi="Times New Roman" w:cs="Times New Roman"/>
                <w:color w:val="auto"/>
                <w:sz w:val="24"/>
                <w:szCs w:val="24"/>
                <w:u w:val="none"/>
                <w:lang w:val="en-US" w:eastAsia="zh-CN"/>
              </w:rPr>
              <w:t>、废矿物油桶</w:t>
            </w:r>
            <w:r>
              <w:rPr>
                <w:rFonts w:hint="default" w:ascii="Times New Roman" w:hAnsi="Times New Roman" w:eastAsia="宋体" w:cs="Times New Roman"/>
                <w:color w:val="auto"/>
                <w:sz w:val="24"/>
                <w:szCs w:val="24"/>
                <w:u w:val="none"/>
                <w:lang w:val="en-US" w:eastAsia="zh-CN"/>
              </w:rPr>
              <w:t>等</w:t>
            </w:r>
            <w:r>
              <w:rPr>
                <w:rFonts w:hint="default" w:ascii="Times New Roman" w:hAnsi="Times New Roman" w:eastAsia="宋体" w:cs="Times New Roman"/>
                <w:color w:val="auto"/>
                <w:sz w:val="24"/>
                <w:szCs w:val="24"/>
                <w:highlight w:val="none"/>
                <w:u w:val="none"/>
                <w:lang w:val="en-US" w:eastAsia="zh-CN"/>
              </w:rPr>
              <w:t>，项目</w:t>
            </w:r>
            <w:r>
              <w:rPr>
                <w:rFonts w:hint="eastAsia" w:ascii="Times New Roman" w:hAnsi="Times New Roman" w:eastAsia="宋体" w:cs="Times New Roman"/>
                <w:color w:val="auto"/>
                <w:sz w:val="24"/>
                <w:szCs w:val="24"/>
                <w:highlight w:val="none"/>
                <w:u w:val="none"/>
                <w:lang w:val="en-US" w:eastAsia="zh-CN"/>
              </w:rPr>
              <w:t>产生</w:t>
            </w:r>
            <w:r>
              <w:rPr>
                <w:rFonts w:hint="default" w:ascii="Times New Roman" w:hAnsi="Times New Roman" w:eastAsia="宋体" w:cs="Times New Roman"/>
                <w:color w:val="auto"/>
                <w:sz w:val="24"/>
                <w:szCs w:val="24"/>
                <w:highlight w:val="none"/>
                <w:u w:val="none"/>
                <w:lang w:val="en-US" w:eastAsia="zh-CN"/>
              </w:rPr>
              <w:t>废</w:t>
            </w:r>
            <w:r>
              <w:rPr>
                <w:rFonts w:hint="eastAsia" w:ascii="Times New Roman" w:hAnsi="Times New Roman" w:cs="Times New Roman"/>
                <w:color w:val="auto"/>
                <w:sz w:val="24"/>
                <w:szCs w:val="24"/>
                <w:highlight w:val="none"/>
                <w:u w:val="none"/>
                <w:lang w:val="en-US" w:eastAsia="zh-CN"/>
              </w:rPr>
              <w:t>矿物</w:t>
            </w:r>
            <w:r>
              <w:rPr>
                <w:rFonts w:hint="default" w:ascii="Times New Roman" w:hAnsi="Times New Roman" w:eastAsia="宋体" w:cs="Times New Roman"/>
                <w:color w:val="auto"/>
                <w:sz w:val="24"/>
                <w:szCs w:val="24"/>
                <w:highlight w:val="none"/>
                <w:u w:val="none"/>
                <w:lang w:val="en-US" w:eastAsia="zh-CN"/>
              </w:rPr>
              <w:t>油</w:t>
            </w:r>
            <w:r>
              <w:rPr>
                <w:rFonts w:hint="eastAsia" w:ascii="Times New Roman" w:hAnsi="Times New Roman" w:eastAsia="宋体" w:cs="Times New Roman"/>
                <w:color w:val="auto"/>
                <w:sz w:val="24"/>
                <w:szCs w:val="24"/>
                <w:highlight w:val="none"/>
                <w:u w:val="none"/>
                <w:lang w:val="en-US" w:eastAsia="zh-CN"/>
              </w:rPr>
              <w:t>/油桶</w:t>
            </w:r>
            <w:r>
              <w:rPr>
                <w:rFonts w:hint="default" w:ascii="Times New Roman" w:hAnsi="Times New Roman" w:eastAsia="宋体" w:cs="Times New Roman"/>
                <w:color w:val="auto"/>
                <w:sz w:val="24"/>
                <w:szCs w:val="24"/>
                <w:highlight w:val="none"/>
                <w:u w:val="none"/>
                <w:lang w:val="en-US" w:eastAsia="zh-CN"/>
              </w:rPr>
              <w:t>产生量约0.</w:t>
            </w:r>
            <w:r>
              <w:rPr>
                <w:rFonts w:hint="eastAsia" w:ascii="Times New Roman" w:hAnsi="Times New Roman" w:eastAsia="宋体" w:cs="Times New Roman"/>
                <w:color w:val="auto"/>
                <w:sz w:val="24"/>
                <w:szCs w:val="24"/>
                <w:highlight w:val="none"/>
                <w:u w:val="none"/>
                <w:lang w:val="en-US" w:eastAsia="zh-CN"/>
              </w:rPr>
              <w:t>1</w:t>
            </w:r>
            <w:r>
              <w:rPr>
                <w:rFonts w:hint="default" w:ascii="Times New Roman" w:hAnsi="Times New Roman" w:eastAsia="宋体" w:cs="Times New Roman"/>
                <w:color w:val="auto"/>
                <w:sz w:val="24"/>
                <w:szCs w:val="24"/>
                <w:highlight w:val="none"/>
                <w:u w:val="none"/>
                <w:lang w:val="en-US" w:eastAsia="zh-CN"/>
              </w:rPr>
              <w:t>1t/a，根据</w:t>
            </w:r>
            <w:r>
              <w:rPr>
                <w:rFonts w:hint="default" w:ascii="Times New Roman" w:hAnsi="Times New Roman" w:eastAsia="宋体" w:cs="Times New Roman"/>
                <w:color w:val="auto"/>
                <w:sz w:val="24"/>
                <w:szCs w:val="24"/>
                <w:u w:val="none"/>
                <w:lang w:val="en-US" w:eastAsia="zh-CN"/>
              </w:rPr>
              <w:t>《国家危险废物名录（2025年版）》，废机油及废油桶属于HW08废矿物油与含矿物油废物，废物代码：900-249-08（其他生产、销售、使用过程中产生的废矿物油及</w:t>
            </w:r>
            <w:r>
              <w:rPr>
                <w:rFonts w:hint="eastAsia" w:ascii="Times New Roman" w:hAnsi="Times New Roman" w:eastAsia="宋体" w:cs="Times New Roman"/>
                <w:color w:val="auto"/>
                <w:sz w:val="24"/>
                <w:szCs w:val="24"/>
                <w:u w:val="none"/>
                <w:lang w:val="en-US" w:eastAsia="zh-CN"/>
              </w:rPr>
              <w:t>沾染</w:t>
            </w:r>
            <w:r>
              <w:rPr>
                <w:rFonts w:hint="default" w:ascii="Times New Roman" w:hAnsi="Times New Roman" w:eastAsia="宋体" w:cs="Times New Roman"/>
                <w:color w:val="auto"/>
                <w:sz w:val="24"/>
                <w:szCs w:val="24"/>
                <w:u w:val="none"/>
                <w:lang w:val="en-US" w:eastAsia="zh-CN"/>
              </w:rPr>
              <w:t>矿物油</w:t>
            </w:r>
            <w:r>
              <w:rPr>
                <w:rFonts w:hint="eastAsia" w:ascii="Times New Roman" w:hAnsi="Times New Roman" w:eastAsia="宋体" w:cs="Times New Roman"/>
                <w:color w:val="auto"/>
                <w:sz w:val="24"/>
                <w:szCs w:val="24"/>
                <w:u w:val="none"/>
                <w:lang w:val="en-US" w:eastAsia="zh-CN"/>
              </w:rPr>
              <w:t>的废弃包装</w:t>
            </w:r>
            <w:r>
              <w:rPr>
                <w:rFonts w:hint="default" w:ascii="Times New Roman" w:hAnsi="Times New Roman" w:eastAsia="宋体" w:cs="Times New Roman"/>
                <w:color w:val="auto"/>
                <w:sz w:val="24"/>
                <w:szCs w:val="24"/>
                <w:u w:val="none"/>
                <w:lang w:val="en-US" w:eastAsia="zh-CN"/>
              </w:rPr>
              <w:t>物）</w:t>
            </w:r>
            <w:r>
              <w:rPr>
                <w:rFonts w:hint="eastAsia" w:ascii="Times New Roman" w:hAnsi="Times New Roman"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按相关规定</w:t>
            </w:r>
            <w:r>
              <w:rPr>
                <w:rFonts w:hint="eastAsia" w:ascii="Times New Roman" w:hAnsi="Times New Roman" w:eastAsia="宋体" w:cs="Times New Roman"/>
                <w:color w:val="auto"/>
                <w:sz w:val="24"/>
                <w:szCs w:val="24"/>
                <w:u w:val="none"/>
                <w:lang w:val="en-US" w:eastAsia="zh-CN"/>
              </w:rPr>
              <w:t>将维修产生的危险废物</w:t>
            </w:r>
            <w:r>
              <w:rPr>
                <w:rFonts w:hint="default" w:ascii="Times New Roman" w:hAnsi="Times New Roman" w:eastAsia="宋体" w:cs="Times New Roman"/>
                <w:color w:val="auto"/>
                <w:sz w:val="24"/>
                <w:szCs w:val="24"/>
                <w:u w:val="none"/>
                <w:lang w:val="en-US" w:eastAsia="zh-CN"/>
              </w:rPr>
              <w:t>收集</w:t>
            </w:r>
            <w:r>
              <w:rPr>
                <w:rFonts w:hint="eastAsia" w:ascii="Times New Roman" w:hAnsi="Times New Roman" w:eastAsia="宋体" w:cs="Times New Roman"/>
                <w:color w:val="auto"/>
                <w:sz w:val="24"/>
                <w:szCs w:val="24"/>
                <w:u w:val="none"/>
                <w:lang w:val="en-US" w:eastAsia="zh-CN"/>
              </w:rPr>
              <w:t>至厂区危废暂存间分区暂存，定期交由有资质单位进行转移安全处置。</w:t>
            </w:r>
          </w:p>
          <w:p w14:paraId="08317E62">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废弃</w:t>
            </w:r>
            <w:r>
              <w:rPr>
                <w:rFonts w:hint="eastAsia" w:ascii="Times New Roman" w:hAnsi="Times New Roman" w:eastAsia="宋体" w:cs="Times New Roman"/>
                <w:color w:val="auto"/>
                <w:sz w:val="24"/>
                <w:szCs w:val="24"/>
                <w:u w:val="none"/>
                <w:lang w:val="en-US" w:eastAsia="zh-CN"/>
              </w:rPr>
              <w:t>含油抹布手套</w:t>
            </w:r>
            <w:r>
              <w:rPr>
                <w:rFonts w:hint="eastAsia" w:ascii="Times New Roman" w:hAnsi="Times New Roman" w:cs="Times New Roman"/>
                <w:color w:val="auto"/>
                <w:sz w:val="24"/>
                <w:szCs w:val="24"/>
                <w:u w:val="none"/>
                <w:lang w:val="en-US" w:eastAsia="zh-CN"/>
              </w:rPr>
              <w:t>：在设备</w:t>
            </w:r>
            <w:r>
              <w:rPr>
                <w:rFonts w:hint="eastAsia" w:ascii="Times New Roman" w:hAnsi="Times New Roman" w:eastAsia="宋体" w:cs="Times New Roman"/>
                <w:color w:val="auto"/>
                <w:sz w:val="24"/>
                <w:szCs w:val="24"/>
                <w:u w:val="none"/>
                <w:lang w:val="en-US" w:eastAsia="zh-CN"/>
              </w:rPr>
              <w:t>维护维修产生的含油抹布/手套等劳保用品量约为0.005t/a，</w:t>
            </w:r>
            <w:r>
              <w:rPr>
                <w:rFonts w:hint="default" w:ascii="Times New Roman" w:hAnsi="Times New Roman" w:eastAsia="宋体" w:cs="Times New Roman"/>
                <w:color w:val="auto"/>
                <w:sz w:val="24"/>
                <w:szCs w:val="24"/>
                <w:u w:val="none"/>
                <w:lang w:val="en-US" w:eastAsia="zh-CN"/>
              </w:rPr>
              <w:t>根据《国家危险废物名录（2025年版）》，</w:t>
            </w:r>
            <w:r>
              <w:rPr>
                <w:rFonts w:hint="eastAsia" w:ascii="Times New Roman" w:hAnsi="Times New Roman" w:eastAsia="宋体" w:cs="Times New Roman"/>
                <w:color w:val="auto"/>
                <w:sz w:val="24"/>
                <w:szCs w:val="24"/>
                <w:u w:val="none"/>
                <w:lang w:val="en-US" w:eastAsia="zh-CN"/>
              </w:rPr>
              <w:t>含油抹布/手套</w:t>
            </w:r>
            <w:r>
              <w:rPr>
                <w:rFonts w:hint="default" w:ascii="Times New Roman" w:hAnsi="Times New Roman" w:eastAsia="宋体" w:cs="Times New Roman"/>
                <w:color w:val="auto"/>
                <w:sz w:val="24"/>
                <w:szCs w:val="24"/>
                <w:u w:val="none"/>
                <w:lang w:val="en-US" w:eastAsia="zh-CN"/>
              </w:rPr>
              <w:t>属于HW</w:t>
            </w:r>
            <w:r>
              <w:rPr>
                <w:rFonts w:hint="eastAsia" w:ascii="Times New Roman" w:hAnsi="Times New Roman" w:eastAsia="宋体" w:cs="Times New Roman"/>
                <w:color w:val="auto"/>
                <w:sz w:val="24"/>
                <w:szCs w:val="24"/>
                <w:u w:val="none"/>
                <w:lang w:val="en-US" w:eastAsia="zh-CN"/>
              </w:rPr>
              <w:t>49其他</w:t>
            </w:r>
            <w:r>
              <w:rPr>
                <w:rFonts w:hint="default" w:ascii="Times New Roman" w:hAnsi="Times New Roman" w:eastAsia="宋体" w:cs="Times New Roman"/>
                <w:color w:val="auto"/>
                <w:sz w:val="24"/>
                <w:szCs w:val="24"/>
                <w:u w:val="none"/>
                <w:lang w:val="en-US" w:eastAsia="zh-CN"/>
              </w:rPr>
              <w:t>废物，废物代码：900-</w:t>
            </w:r>
            <w:r>
              <w:rPr>
                <w:rFonts w:hint="eastAsia" w:ascii="Times New Roman" w:hAnsi="Times New Roman" w:eastAsia="宋体" w:cs="Times New Roman"/>
                <w:color w:val="auto"/>
                <w:sz w:val="24"/>
                <w:szCs w:val="24"/>
                <w:u w:val="none"/>
                <w:lang w:val="en-US" w:eastAsia="zh-CN"/>
              </w:rPr>
              <w:t>041</w:t>
            </w:r>
            <w:r>
              <w:rPr>
                <w:rFonts w:hint="default" w:ascii="Times New Roman" w:hAnsi="Times New Roman" w:eastAsia="宋体"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49</w:t>
            </w:r>
            <w:r>
              <w:rPr>
                <w:rFonts w:hint="default" w:ascii="Times New Roman" w:hAnsi="Times New Roman" w:eastAsia="宋体" w:cs="Times New Roman"/>
                <w:color w:val="auto"/>
                <w:sz w:val="24"/>
                <w:szCs w:val="24"/>
                <w:u w:val="none"/>
                <w:lang w:val="en-US" w:eastAsia="zh-CN"/>
              </w:rPr>
              <w:t>（含有或者沾染毒性、感染性危险废物的废弃的包装物、容器、过滤吸附介质）</w:t>
            </w:r>
            <w:r>
              <w:rPr>
                <w:rFonts w:hint="eastAsia" w:ascii="Times New Roman" w:hAnsi="Times New Roman" w:eastAsia="宋体" w:cs="Times New Roman"/>
                <w:color w:val="auto"/>
                <w:sz w:val="24"/>
                <w:szCs w:val="24"/>
                <w:u w:val="none"/>
                <w:lang w:val="en-US" w:eastAsia="zh-CN"/>
              </w:rPr>
              <w:t>。</w:t>
            </w:r>
            <w:r>
              <w:rPr>
                <w:rFonts w:hint="default" w:ascii="Times New Roman" w:hAnsi="Times New Roman" w:eastAsia="宋体" w:cs="Times New Roman"/>
                <w:color w:val="auto"/>
                <w:sz w:val="24"/>
                <w:szCs w:val="24"/>
                <w:u w:val="none"/>
                <w:lang w:val="en-US" w:eastAsia="zh-CN"/>
              </w:rPr>
              <w:t>按相关规定</w:t>
            </w:r>
            <w:r>
              <w:rPr>
                <w:rFonts w:hint="eastAsia" w:ascii="Times New Roman" w:hAnsi="Times New Roman" w:eastAsia="宋体" w:cs="Times New Roman"/>
                <w:color w:val="auto"/>
                <w:sz w:val="24"/>
                <w:szCs w:val="24"/>
                <w:u w:val="none"/>
                <w:lang w:val="en-US" w:eastAsia="zh-CN"/>
              </w:rPr>
              <w:t>将维修产生的危险废物</w:t>
            </w:r>
            <w:r>
              <w:rPr>
                <w:rFonts w:hint="default" w:ascii="Times New Roman" w:hAnsi="Times New Roman" w:eastAsia="宋体" w:cs="Times New Roman"/>
                <w:color w:val="auto"/>
                <w:sz w:val="24"/>
                <w:szCs w:val="24"/>
                <w:u w:val="none"/>
                <w:lang w:val="en-US" w:eastAsia="zh-CN"/>
              </w:rPr>
              <w:t>收集</w:t>
            </w:r>
            <w:r>
              <w:rPr>
                <w:rFonts w:hint="eastAsia" w:ascii="Times New Roman" w:hAnsi="Times New Roman" w:eastAsia="宋体" w:cs="Times New Roman"/>
                <w:color w:val="auto"/>
                <w:sz w:val="24"/>
                <w:szCs w:val="24"/>
                <w:u w:val="none"/>
                <w:lang w:val="en-US" w:eastAsia="zh-CN"/>
              </w:rPr>
              <w:t>至厂区危废暂存间分区暂存，定期交由有资质单位进行转移安全处置。</w:t>
            </w:r>
          </w:p>
          <w:p w14:paraId="08897C86">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实验室</w:t>
            </w:r>
            <w:r>
              <w:rPr>
                <w:rFonts w:hint="default" w:ascii="Times New Roman" w:hAnsi="Times New Roman" w:eastAsia="宋体" w:cs="Times New Roman"/>
                <w:color w:val="auto"/>
                <w:sz w:val="24"/>
                <w:szCs w:val="24"/>
                <w:u w:val="none"/>
                <w:lang w:val="en-US" w:eastAsia="zh-CN"/>
              </w:rPr>
              <w:t>废液</w:t>
            </w:r>
            <w:r>
              <w:rPr>
                <w:rFonts w:hint="eastAsia" w:ascii="Times New Roman" w:hAnsi="Times New Roman" w:eastAsia="宋体" w:cs="Times New Roman"/>
                <w:color w:val="auto"/>
                <w:sz w:val="24"/>
                <w:szCs w:val="24"/>
                <w:u w:val="none"/>
                <w:lang w:val="en-US" w:eastAsia="zh-CN"/>
              </w:rPr>
              <w:t>：实验室废弃试剂</w:t>
            </w:r>
            <w:r>
              <w:rPr>
                <w:rFonts w:hint="default" w:ascii="Times New Roman" w:hAnsi="Times New Roman" w:eastAsia="宋体" w:cs="Times New Roman"/>
                <w:color w:val="auto"/>
                <w:sz w:val="24"/>
                <w:szCs w:val="24"/>
                <w:u w:val="none"/>
                <w:lang w:val="en-US" w:eastAsia="zh-CN"/>
              </w:rPr>
              <w:t>废液为自来水厂在进行水质检测中产生，</w:t>
            </w:r>
            <w:r>
              <w:rPr>
                <w:rFonts w:hint="eastAsia" w:ascii="Times New Roman" w:hAnsi="Times New Roman" w:eastAsia="宋体" w:cs="Times New Roman"/>
                <w:color w:val="auto"/>
                <w:sz w:val="24"/>
                <w:szCs w:val="24"/>
                <w:u w:val="none"/>
                <w:lang w:val="en-US" w:eastAsia="zh-CN"/>
              </w:rPr>
              <w:t>实验室废弃</w:t>
            </w:r>
            <w:r>
              <w:rPr>
                <w:rFonts w:hint="default" w:ascii="Times New Roman" w:hAnsi="Times New Roman" w:eastAsia="宋体" w:cs="Times New Roman"/>
                <w:color w:val="auto"/>
                <w:sz w:val="24"/>
                <w:szCs w:val="24"/>
                <w:u w:val="none"/>
                <w:lang w:val="en-US" w:eastAsia="zh-CN"/>
              </w:rPr>
              <w:t>检测废液产生量约为0.01t/a，根据《国家危险废物名录(2025年版)属于HW49其他废物，废物代码：900-047-49，按相关规定</w:t>
            </w:r>
            <w:r>
              <w:rPr>
                <w:rFonts w:hint="eastAsia" w:ascii="Times New Roman" w:hAnsi="Times New Roman" w:eastAsia="宋体" w:cs="Times New Roman"/>
                <w:color w:val="auto"/>
                <w:sz w:val="24"/>
                <w:szCs w:val="24"/>
                <w:u w:val="none"/>
                <w:lang w:val="en-US" w:eastAsia="zh-CN"/>
              </w:rPr>
              <w:t>将维修产生的危险废物</w:t>
            </w:r>
            <w:r>
              <w:rPr>
                <w:rFonts w:hint="default" w:ascii="Times New Roman" w:hAnsi="Times New Roman" w:eastAsia="宋体" w:cs="Times New Roman"/>
                <w:color w:val="auto"/>
                <w:sz w:val="24"/>
                <w:szCs w:val="24"/>
                <w:u w:val="none"/>
                <w:lang w:val="en-US" w:eastAsia="zh-CN"/>
              </w:rPr>
              <w:t>收集</w:t>
            </w:r>
            <w:r>
              <w:rPr>
                <w:rFonts w:hint="eastAsia" w:ascii="Times New Roman" w:hAnsi="Times New Roman" w:eastAsia="宋体" w:cs="Times New Roman"/>
                <w:color w:val="auto"/>
                <w:sz w:val="24"/>
                <w:szCs w:val="24"/>
                <w:u w:val="none"/>
                <w:lang w:val="en-US" w:eastAsia="zh-CN"/>
              </w:rPr>
              <w:t>至厂区危废暂存间分区暂存，定期交由有资质单位进行转移安全处置。</w:t>
            </w:r>
          </w:p>
          <w:p w14:paraId="08D5073F">
            <w:pPr>
              <w:pStyle w:val="38"/>
              <w:keepNext w:val="0"/>
              <w:keepLines w:val="0"/>
              <w:pageBreakBefore w:val="0"/>
              <w:numPr>
                <w:ilvl w:val="0"/>
                <w:numId w:val="0"/>
              </w:numPr>
              <w:kinsoku/>
              <w:wordWrap/>
              <w:overflowPunct/>
              <w:topLinePunct w:val="0"/>
              <w:autoSpaceDE/>
              <w:autoSpaceDN/>
              <w:bidi w:val="0"/>
              <w:adjustRightInd/>
              <w:snapToGrid/>
              <w:spacing w:before="0"/>
              <w:ind w:right="0" w:rightChars="0" w:firstLine="480" w:firstLineChars="200"/>
              <w:textAlignment w:val="auto"/>
              <w:rPr>
                <w:rFonts w:hint="eastAsia" w:cs="Times New Roman"/>
                <w:color w:val="auto"/>
                <w:sz w:val="24"/>
                <w:u w:val="none" w:color="auto"/>
                <w:lang w:val="en-US" w:eastAsia="zh-CN"/>
              </w:rPr>
            </w:pPr>
            <w:r>
              <w:rPr>
                <w:rFonts w:hint="eastAsia" w:cs="Times New Roman"/>
                <w:color w:val="auto"/>
                <w:sz w:val="24"/>
                <w:u w:val="none" w:color="auto"/>
                <w:lang w:val="en-US" w:eastAsia="zh-CN"/>
              </w:rPr>
              <w:t>根据上述分析后，项目固废情况如下表所示：</w:t>
            </w:r>
          </w:p>
          <w:p w14:paraId="75CD70E9">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bCs w:val="0"/>
                <w:sz w:val="24"/>
                <w:szCs w:val="21"/>
                <w:lang w:val="en-US" w:eastAsia="zh-CN"/>
              </w:rPr>
            </w:pPr>
            <w:r>
              <w:rPr>
                <w:rFonts w:hint="eastAsia" w:ascii="Times New Roman" w:hAnsi="Times New Roman" w:cs="Times New Roman"/>
                <w:b/>
                <w:bCs w:val="0"/>
                <w:sz w:val="24"/>
                <w:szCs w:val="21"/>
                <w:lang w:val="en-US" w:eastAsia="zh-CN"/>
              </w:rPr>
              <w:t>表4-8  项目</w:t>
            </w:r>
            <w:r>
              <w:rPr>
                <w:rFonts w:hint="eastAsia" w:ascii="Times New Roman" w:hAnsi="Times New Roman" w:eastAsia="宋体" w:cs="Times New Roman"/>
                <w:b/>
                <w:bCs w:val="0"/>
                <w:sz w:val="24"/>
                <w:szCs w:val="21"/>
                <w:lang w:val="en-US" w:eastAsia="zh-CN"/>
              </w:rPr>
              <w:t>固体废物分析结果汇总一览表</w:t>
            </w:r>
          </w:p>
          <w:tbl>
            <w:tblPr>
              <w:tblStyle w:val="25"/>
              <w:tblW w:w="48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945"/>
              <w:gridCol w:w="887"/>
              <w:gridCol w:w="2370"/>
              <w:gridCol w:w="998"/>
              <w:gridCol w:w="2098"/>
            </w:tblGrid>
            <w:tr w14:paraId="1BBE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vAlign w:val="center"/>
                </w:tcPr>
                <w:p w14:paraId="3943E65F">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序号</w:t>
                  </w:r>
                </w:p>
              </w:tc>
              <w:tc>
                <w:tcPr>
                  <w:tcW w:w="1015" w:type="dxa"/>
                  <w:vAlign w:val="center"/>
                </w:tcPr>
                <w:p w14:paraId="54CDEA64">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固废名称</w:t>
                  </w:r>
                </w:p>
              </w:tc>
              <w:tc>
                <w:tcPr>
                  <w:tcW w:w="952" w:type="dxa"/>
                  <w:vAlign w:val="center"/>
                </w:tcPr>
                <w:p w14:paraId="79ED78B7">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产生工序</w:t>
                  </w:r>
                </w:p>
              </w:tc>
              <w:tc>
                <w:tcPr>
                  <w:tcW w:w="2579" w:type="dxa"/>
                  <w:vAlign w:val="center"/>
                </w:tcPr>
                <w:p w14:paraId="613777C8">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固废属性</w:t>
                  </w:r>
                </w:p>
              </w:tc>
              <w:tc>
                <w:tcPr>
                  <w:tcW w:w="1073" w:type="dxa"/>
                  <w:vAlign w:val="center"/>
                </w:tcPr>
                <w:p w14:paraId="4AC5FFCB">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产生量（t/a）</w:t>
                  </w:r>
                </w:p>
              </w:tc>
              <w:tc>
                <w:tcPr>
                  <w:tcW w:w="2280" w:type="dxa"/>
                  <w:vAlign w:val="center"/>
                </w:tcPr>
                <w:p w14:paraId="2417022B">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去向</w:t>
                  </w:r>
                </w:p>
              </w:tc>
            </w:tr>
            <w:tr w14:paraId="6765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vAlign w:val="center"/>
                </w:tcPr>
                <w:p w14:paraId="7535FE9C">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1</w:t>
                  </w:r>
                </w:p>
              </w:tc>
              <w:tc>
                <w:tcPr>
                  <w:tcW w:w="1015" w:type="dxa"/>
                  <w:vAlign w:val="center"/>
                </w:tcPr>
                <w:p w14:paraId="298F7EEC">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生活垃圾</w:t>
                  </w:r>
                </w:p>
              </w:tc>
              <w:tc>
                <w:tcPr>
                  <w:tcW w:w="952" w:type="dxa"/>
                  <w:vAlign w:val="center"/>
                </w:tcPr>
                <w:p w14:paraId="7C7BB2BE">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职工办公、生活</w:t>
                  </w:r>
                </w:p>
              </w:tc>
              <w:tc>
                <w:tcPr>
                  <w:tcW w:w="2579" w:type="dxa"/>
                  <w:vAlign w:val="center"/>
                </w:tcPr>
                <w:p w14:paraId="61501938">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城市垃圾</w:t>
                  </w:r>
                </w:p>
              </w:tc>
              <w:tc>
                <w:tcPr>
                  <w:tcW w:w="1073" w:type="dxa"/>
                  <w:vAlign w:val="center"/>
                </w:tcPr>
                <w:p w14:paraId="1D889AF1">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1</w:t>
                  </w:r>
                  <w:r>
                    <w:rPr>
                      <w:rFonts w:hint="eastAsia" w:ascii="Times New Roman" w:hAnsi="Times New Roman" w:cs="Times New Roman" w:eastAsiaTheme="minorEastAsia"/>
                      <w:color w:val="auto"/>
                      <w:sz w:val="21"/>
                      <w:szCs w:val="21"/>
                      <w:u w:val="none" w:color="auto"/>
                      <w:lang w:val="en-US" w:eastAsia="zh-CN"/>
                    </w:rPr>
                    <w:t>3.14</w:t>
                  </w:r>
                </w:p>
              </w:tc>
              <w:tc>
                <w:tcPr>
                  <w:tcW w:w="2280" w:type="dxa"/>
                  <w:vAlign w:val="center"/>
                </w:tcPr>
                <w:p w14:paraId="656E3C93">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rPr>
                  </w:pPr>
                  <w:r>
                    <w:rPr>
                      <w:rFonts w:hint="default" w:ascii="Times New Roman" w:hAnsi="Times New Roman" w:cs="Times New Roman" w:eastAsiaTheme="minorEastAsia"/>
                      <w:color w:val="auto"/>
                      <w:sz w:val="21"/>
                      <w:szCs w:val="21"/>
                      <w:u w:val="none" w:color="auto"/>
                    </w:rPr>
                    <w:t>集中后交由环卫部门处置</w:t>
                  </w:r>
                </w:p>
              </w:tc>
            </w:tr>
            <w:tr w14:paraId="2867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vAlign w:val="center"/>
                </w:tcPr>
                <w:p w14:paraId="3AA73D2F">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2</w:t>
                  </w:r>
                </w:p>
              </w:tc>
              <w:tc>
                <w:tcPr>
                  <w:tcW w:w="1015" w:type="dxa"/>
                  <w:shd w:val="clear" w:color="auto" w:fill="auto"/>
                  <w:vAlign w:val="center"/>
                </w:tcPr>
                <w:p w14:paraId="4527092B">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eastAsia" w:ascii="Times New Roman" w:hAnsi="Times New Roman" w:cs="Times New Roman" w:eastAsiaTheme="minorEastAsia"/>
                      <w:color w:val="auto"/>
                      <w:sz w:val="21"/>
                      <w:szCs w:val="21"/>
                      <w:u w:val="none" w:color="auto"/>
                      <w:lang w:val="en-US" w:eastAsia="zh-CN"/>
                    </w:rPr>
                    <w:t>脱水污泥</w:t>
                  </w:r>
                </w:p>
              </w:tc>
              <w:tc>
                <w:tcPr>
                  <w:tcW w:w="952" w:type="dxa"/>
                  <w:shd w:val="clear" w:color="auto" w:fill="auto"/>
                  <w:vAlign w:val="center"/>
                </w:tcPr>
                <w:p w14:paraId="0C178641">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eastAsia" w:ascii="Times New Roman" w:hAnsi="Times New Roman" w:cs="Times New Roman" w:eastAsiaTheme="minorEastAsia"/>
                      <w:color w:val="auto"/>
                      <w:sz w:val="21"/>
                      <w:szCs w:val="21"/>
                      <w:u w:val="none" w:color="auto"/>
                      <w:lang w:val="en-US" w:eastAsia="zh-CN"/>
                    </w:rPr>
                    <w:t>污泥处理车间</w:t>
                  </w:r>
                </w:p>
              </w:tc>
              <w:tc>
                <w:tcPr>
                  <w:tcW w:w="2579" w:type="dxa"/>
                  <w:shd w:val="clear" w:color="auto" w:fill="auto"/>
                  <w:vAlign w:val="center"/>
                </w:tcPr>
                <w:p w14:paraId="3BCDD4B6">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一般固废，SW90城镇污水污泥：461-001-S90</w:t>
                  </w:r>
                </w:p>
              </w:tc>
              <w:tc>
                <w:tcPr>
                  <w:tcW w:w="1073" w:type="dxa"/>
                  <w:vAlign w:val="center"/>
                </w:tcPr>
                <w:p w14:paraId="5DDF1FE4">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eastAsia" w:ascii="Times New Roman" w:hAnsi="Times New Roman" w:cs="Times New Roman" w:eastAsiaTheme="minorEastAsia"/>
                      <w:color w:val="auto"/>
                      <w:sz w:val="21"/>
                      <w:szCs w:val="21"/>
                      <w:u w:val="none" w:color="auto"/>
                      <w:lang w:val="en-US" w:eastAsia="zh-CN"/>
                    </w:rPr>
                    <w:t>40916.5</w:t>
                  </w:r>
                </w:p>
              </w:tc>
              <w:tc>
                <w:tcPr>
                  <w:tcW w:w="2280" w:type="dxa"/>
                  <w:vAlign w:val="center"/>
                </w:tcPr>
                <w:p w14:paraId="5608B0FB">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lang w:val="en-US"/>
                    </w:rPr>
                  </w:pPr>
                  <w:r>
                    <w:rPr>
                      <w:rFonts w:hint="eastAsia" w:ascii="Times New Roman" w:hAnsi="Times New Roman" w:cs="Times New Roman" w:eastAsiaTheme="minorEastAsia"/>
                      <w:bCs/>
                      <w:color w:val="auto"/>
                      <w:sz w:val="21"/>
                      <w:szCs w:val="21"/>
                      <w:u w:val="none" w:color="auto"/>
                      <w:lang w:val="en-US" w:eastAsia="zh-CN"/>
                    </w:rPr>
                    <w:t>在堆放区晾干后由环卫部门</w:t>
                  </w:r>
                  <w:r>
                    <w:rPr>
                      <w:rFonts w:hint="default" w:ascii="Times New Roman" w:hAnsi="Times New Roman" w:cs="Times New Roman" w:eastAsiaTheme="minorEastAsia"/>
                      <w:color w:val="auto"/>
                      <w:sz w:val="21"/>
                      <w:szCs w:val="21"/>
                      <w:u w:val="none" w:color="auto"/>
                      <w:lang w:val="en-US" w:eastAsia="zh-CN"/>
                    </w:rPr>
                    <w:t>外</w:t>
                  </w:r>
                  <w:r>
                    <w:rPr>
                      <w:rFonts w:hint="eastAsia" w:ascii="Times New Roman" w:hAnsi="Times New Roman" w:cs="Times New Roman" w:eastAsiaTheme="minorEastAsia"/>
                      <w:color w:val="auto"/>
                      <w:sz w:val="21"/>
                      <w:szCs w:val="21"/>
                      <w:u w:val="none" w:color="auto"/>
                      <w:lang w:val="en-US" w:eastAsia="zh-CN"/>
                    </w:rPr>
                    <w:t>运</w:t>
                  </w:r>
                </w:p>
              </w:tc>
            </w:tr>
            <w:tr w14:paraId="17A2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shd w:val="clear" w:color="auto" w:fill="auto"/>
                  <w:vAlign w:val="center"/>
                </w:tcPr>
                <w:p w14:paraId="6D11BF2F">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eastAsia" w:ascii="Times New Roman" w:hAnsi="Times New Roman" w:cs="Times New Roman" w:eastAsiaTheme="minorEastAsia"/>
                      <w:bCs/>
                      <w:color w:val="auto"/>
                      <w:kern w:val="0"/>
                      <w:sz w:val="21"/>
                      <w:szCs w:val="21"/>
                      <w:u w:val="none" w:color="auto"/>
                      <w:lang w:val="en-US" w:eastAsia="zh-CN" w:bidi="ar-SA"/>
                    </w:rPr>
                    <w:t>3</w:t>
                  </w:r>
                </w:p>
              </w:tc>
              <w:tc>
                <w:tcPr>
                  <w:tcW w:w="1015" w:type="dxa"/>
                  <w:vAlign w:val="center"/>
                </w:tcPr>
                <w:p w14:paraId="6CC692B0">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lang w:val="en-US"/>
                    </w:rPr>
                  </w:pPr>
                  <w:r>
                    <w:rPr>
                      <w:rFonts w:hint="default" w:ascii="Times New Roman" w:hAnsi="Times New Roman" w:cs="Times New Roman" w:eastAsiaTheme="minorEastAsia"/>
                      <w:color w:val="auto"/>
                      <w:sz w:val="21"/>
                      <w:szCs w:val="21"/>
                      <w:u w:val="none" w:color="auto"/>
                      <w:lang w:val="en-US" w:eastAsia="zh-CN"/>
                    </w:rPr>
                    <w:t>废矿物油</w:t>
                  </w:r>
                  <w:r>
                    <w:rPr>
                      <w:rFonts w:hint="eastAsia" w:ascii="Times New Roman" w:hAnsi="Times New Roman" w:cs="Times New Roman" w:eastAsiaTheme="minorEastAsia"/>
                      <w:color w:val="auto"/>
                      <w:sz w:val="21"/>
                      <w:szCs w:val="21"/>
                      <w:u w:val="none" w:color="auto"/>
                      <w:lang w:val="en-US" w:eastAsia="zh-CN"/>
                    </w:rPr>
                    <w:t>/油桶</w:t>
                  </w:r>
                </w:p>
              </w:tc>
              <w:tc>
                <w:tcPr>
                  <w:tcW w:w="952" w:type="dxa"/>
                  <w:vAlign w:val="center"/>
                </w:tcPr>
                <w:p w14:paraId="111E4217">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lang w:eastAsia="zh-CN"/>
                    </w:rPr>
                  </w:pPr>
                  <w:r>
                    <w:rPr>
                      <w:rFonts w:hint="default" w:ascii="Times New Roman" w:hAnsi="Times New Roman" w:cs="Times New Roman" w:eastAsiaTheme="minorEastAsia"/>
                      <w:color w:val="auto"/>
                      <w:sz w:val="21"/>
                      <w:szCs w:val="21"/>
                      <w:u w:val="none" w:color="auto"/>
                      <w:lang w:val="en-US" w:eastAsia="zh-CN"/>
                    </w:rPr>
                    <w:t>设备</w:t>
                  </w:r>
                  <w:r>
                    <w:rPr>
                      <w:rFonts w:hint="eastAsia" w:ascii="Times New Roman" w:hAnsi="Times New Roman" w:cs="Times New Roman" w:eastAsiaTheme="minorEastAsia"/>
                      <w:color w:val="auto"/>
                      <w:sz w:val="21"/>
                      <w:szCs w:val="21"/>
                      <w:u w:val="none" w:color="auto"/>
                      <w:lang w:val="en-US" w:eastAsia="zh-CN"/>
                    </w:rPr>
                    <w:t>修理/</w:t>
                  </w:r>
                  <w:r>
                    <w:rPr>
                      <w:rFonts w:hint="default" w:ascii="Times New Roman" w:hAnsi="Times New Roman" w:cs="Times New Roman" w:eastAsiaTheme="minorEastAsia"/>
                      <w:color w:val="auto"/>
                      <w:sz w:val="21"/>
                      <w:szCs w:val="21"/>
                      <w:u w:val="none" w:color="auto"/>
                      <w:lang w:val="en-US" w:eastAsia="zh-CN"/>
                    </w:rPr>
                    <w:t>维护</w:t>
                  </w:r>
                </w:p>
              </w:tc>
              <w:tc>
                <w:tcPr>
                  <w:tcW w:w="2579" w:type="dxa"/>
                  <w:vAlign w:val="center"/>
                </w:tcPr>
                <w:p w14:paraId="6F6E6112">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rPr>
                  </w:pPr>
                  <w:r>
                    <w:rPr>
                      <w:rFonts w:hint="default" w:ascii="Times New Roman" w:hAnsi="Times New Roman" w:cs="Times New Roman" w:eastAsiaTheme="minorEastAsia"/>
                      <w:color w:val="auto"/>
                      <w:sz w:val="21"/>
                      <w:szCs w:val="21"/>
                      <w:u w:val="none" w:color="auto"/>
                      <w:lang w:val="en-US" w:eastAsia="zh-CN"/>
                    </w:rPr>
                    <w:t>危险废物，类别为HW08，废物代码为“900-249-08”</w:t>
                  </w:r>
                </w:p>
              </w:tc>
              <w:tc>
                <w:tcPr>
                  <w:tcW w:w="1073" w:type="dxa"/>
                  <w:vAlign w:val="center"/>
                </w:tcPr>
                <w:p w14:paraId="5954D2D1">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0.</w:t>
                  </w:r>
                  <w:r>
                    <w:rPr>
                      <w:rFonts w:hint="eastAsia" w:ascii="Times New Roman" w:hAnsi="Times New Roman" w:cs="Times New Roman" w:eastAsiaTheme="minorEastAsia"/>
                      <w:color w:val="auto"/>
                      <w:sz w:val="21"/>
                      <w:szCs w:val="21"/>
                      <w:u w:val="none" w:color="auto"/>
                      <w:lang w:val="en-US" w:eastAsia="zh-CN"/>
                    </w:rPr>
                    <w:t>11</w:t>
                  </w:r>
                </w:p>
              </w:tc>
              <w:tc>
                <w:tcPr>
                  <w:tcW w:w="2280" w:type="dxa"/>
                  <w:vMerge w:val="restart"/>
                  <w:vAlign w:val="center"/>
                </w:tcPr>
                <w:p w14:paraId="272DAFA9">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危险废物暂存间内分区存放，定期委托有资质单位进行安全处置</w:t>
                  </w:r>
                </w:p>
              </w:tc>
            </w:tr>
            <w:tr w14:paraId="7CFE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shd w:val="clear" w:color="auto" w:fill="auto"/>
                  <w:vAlign w:val="center"/>
                </w:tcPr>
                <w:p w14:paraId="68EC1635">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eastAsia" w:ascii="Times New Roman" w:hAnsi="Times New Roman" w:cs="Times New Roman" w:eastAsiaTheme="minorEastAsia"/>
                      <w:bCs/>
                      <w:color w:val="auto"/>
                      <w:kern w:val="0"/>
                      <w:sz w:val="21"/>
                      <w:szCs w:val="21"/>
                      <w:u w:val="none" w:color="auto"/>
                      <w:lang w:val="en-US" w:eastAsia="zh-CN" w:bidi="ar-SA"/>
                    </w:rPr>
                    <w:t>4</w:t>
                  </w:r>
                </w:p>
              </w:tc>
              <w:tc>
                <w:tcPr>
                  <w:tcW w:w="1015" w:type="dxa"/>
                  <w:vAlign w:val="center"/>
                </w:tcPr>
                <w:p w14:paraId="736A35BC">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含油抹布、手套等</w:t>
                  </w:r>
                </w:p>
              </w:tc>
              <w:tc>
                <w:tcPr>
                  <w:tcW w:w="952" w:type="dxa"/>
                  <w:vAlign w:val="center"/>
                </w:tcPr>
                <w:p w14:paraId="620D1675">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lang w:val="en-US"/>
                    </w:rPr>
                  </w:pPr>
                  <w:r>
                    <w:rPr>
                      <w:rFonts w:hint="default" w:ascii="Times New Roman" w:hAnsi="Times New Roman" w:cs="Times New Roman" w:eastAsiaTheme="minorEastAsia"/>
                      <w:color w:val="auto"/>
                      <w:sz w:val="21"/>
                      <w:szCs w:val="21"/>
                      <w:u w:val="none" w:color="auto"/>
                      <w:lang w:val="en-US" w:eastAsia="zh-CN"/>
                    </w:rPr>
                    <w:t>设备维护</w:t>
                  </w:r>
                </w:p>
              </w:tc>
              <w:tc>
                <w:tcPr>
                  <w:tcW w:w="2579" w:type="dxa"/>
                  <w:vAlign w:val="center"/>
                </w:tcPr>
                <w:p w14:paraId="3EA0D1D8">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危险废物，废物类别为HW49，废物代码为“900-041-49”</w:t>
                  </w:r>
                </w:p>
              </w:tc>
              <w:tc>
                <w:tcPr>
                  <w:tcW w:w="1073" w:type="dxa"/>
                  <w:vAlign w:val="center"/>
                </w:tcPr>
                <w:p w14:paraId="7E842409">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color w:val="auto"/>
                      <w:sz w:val="21"/>
                      <w:szCs w:val="21"/>
                      <w:u w:val="none" w:color="auto"/>
                      <w:lang w:val="en-US" w:eastAsia="zh-CN"/>
                    </w:rPr>
                  </w:pPr>
                  <w:r>
                    <w:rPr>
                      <w:rFonts w:hint="default" w:ascii="Times New Roman" w:hAnsi="Times New Roman" w:cs="Times New Roman" w:eastAsiaTheme="minorEastAsia"/>
                      <w:color w:val="auto"/>
                      <w:sz w:val="21"/>
                      <w:szCs w:val="21"/>
                      <w:u w:val="none" w:color="auto"/>
                      <w:lang w:val="en-US" w:eastAsia="zh-CN"/>
                    </w:rPr>
                    <w:t>0.</w:t>
                  </w:r>
                  <w:r>
                    <w:rPr>
                      <w:rFonts w:hint="eastAsia" w:ascii="Times New Roman" w:hAnsi="Times New Roman" w:cs="Times New Roman" w:eastAsiaTheme="minorEastAsia"/>
                      <w:color w:val="auto"/>
                      <w:sz w:val="21"/>
                      <w:szCs w:val="21"/>
                      <w:u w:val="none" w:color="auto"/>
                      <w:lang w:val="en-US" w:eastAsia="zh-CN"/>
                    </w:rPr>
                    <w:t>00</w:t>
                  </w:r>
                  <w:r>
                    <w:rPr>
                      <w:rFonts w:hint="default" w:ascii="Times New Roman" w:hAnsi="Times New Roman" w:cs="Times New Roman" w:eastAsiaTheme="minorEastAsia"/>
                      <w:color w:val="auto"/>
                      <w:sz w:val="21"/>
                      <w:szCs w:val="21"/>
                      <w:u w:val="none" w:color="auto"/>
                      <w:lang w:val="en-US" w:eastAsia="zh-CN"/>
                    </w:rPr>
                    <w:t>5</w:t>
                  </w:r>
                </w:p>
              </w:tc>
              <w:tc>
                <w:tcPr>
                  <w:tcW w:w="2280" w:type="dxa"/>
                  <w:vMerge w:val="continue"/>
                  <w:vAlign w:val="center"/>
                </w:tcPr>
                <w:p w14:paraId="2CF8F826">
                  <w:pPr>
                    <w:pStyle w:val="38"/>
                    <w:keepNext w:val="0"/>
                    <w:keepLines w:val="0"/>
                    <w:pageBreakBefore w:val="0"/>
                    <w:widowControl/>
                    <w:kinsoku/>
                    <w:wordWrap/>
                    <w:overflowPunct/>
                    <w:topLinePunct w:val="0"/>
                    <w:autoSpaceDE/>
                    <w:autoSpaceDN/>
                    <w:bidi w:val="0"/>
                    <w:adjustRightInd/>
                    <w:snapToGrid/>
                    <w:spacing w:before="0" w:line="240" w:lineRule="auto"/>
                    <w:ind w:firstLine="0" w:firstLineChars="0"/>
                    <w:jc w:val="center"/>
                    <w:textAlignment w:val="auto"/>
                    <w:rPr>
                      <w:rFonts w:hint="default" w:ascii="Times New Roman" w:hAnsi="Times New Roman" w:cs="Times New Roman" w:eastAsiaTheme="minorEastAsia"/>
                      <w:color w:val="auto"/>
                      <w:sz w:val="21"/>
                      <w:szCs w:val="21"/>
                      <w:u w:val="none" w:color="auto"/>
                    </w:rPr>
                  </w:pPr>
                </w:p>
              </w:tc>
            </w:tr>
            <w:tr w14:paraId="074D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dxa"/>
                  <w:shd w:val="clear" w:color="auto" w:fill="auto"/>
                  <w:vAlign w:val="center"/>
                </w:tcPr>
                <w:p w14:paraId="2AEC64D8">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eastAsia" w:ascii="Times New Roman" w:hAnsi="Times New Roman" w:cs="Times New Roman" w:eastAsiaTheme="minorEastAsia"/>
                      <w:bCs/>
                      <w:color w:val="auto"/>
                      <w:kern w:val="0"/>
                      <w:sz w:val="21"/>
                      <w:szCs w:val="21"/>
                      <w:u w:val="none" w:color="auto"/>
                      <w:lang w:val="en-US" w:eastAsia="zh-CN" w:bidi="ar-SA"/>
                    </w:rPr>
                    <w:t>5</w:t>
                  </w:r>
                </w:p>
              </w:tc>
              <w:tc>
                <w:tcPr>
                  <w:tcW w:w="1015" w:type="dxa"/>
                  <w:shd w:val="clear" w:color="auto" w:fill="auto"/>
                  <w:vAlign w:val="center"/>
                </w:tcPr>
                <w:p w14:paraId="061660E9">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eastAsia" w:ascii="Times New Roman" w:hAnsi="Times New Roman" w:cs="Times New Roman" w:eastAsiaTheme="minorEastAsia"/>
                      <w:color w:val="000000" w:themeColor="text1"/>
                      <w:sz w:val="21"/>
                      <w:szCs w:val="21"/>
                      <w:u w:val="none" w:color="auto"/>
                      <w:lang w:val="en-US" w:eastAsia="zh-CN"/>
                      <w14:textFill>
                        <w14:solidFill>
                          <w14:schemeClr w14:val="tx1"/>
                        </w14:solidFill>
                      </w14:textFill>
                    </w:rPr>
                    <w:t>实验室废液</w:t>
                  </w:r>
                </w:p>
              </w:tc>
              <w:tc>
                <w:tcPr>
                  <w:tcW w:w="952" w:type="dxa"/>
                  <w:shd w:val="clear" w:color="auto" w:fill="auto"/>
                  <w:vAlign w:val="center"/>
                </w:tcPr>
                <w:p w14:paraId="329AF5B5">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eastAsia" w:ascii="Times New Roman" w:hAnsi="Times New Roman" w:cs="Times New Roman" w:eastAsiaTheme="minorEastAsia"/>
                      <w:color w:val="auto"/>
                      <w:sz w:val="21"/>
                      <w:szCs w:val="21"/>
                      <w:u w:val="none" w:color="auto"/>
                      <w:lang w:val="en-US" w:eastAsia="zh-CN"/>
                    </w:rPr>
                    <w:t>检测化验分析</w:t>
                  </w:r>
                </w:p>
              </w:tc>
              <w:tc>
                <w:tcPr>
                  <w:tcW w:w="2579" w:type="dxa"/>
                  <w:shd w:val="clear" w:color="auto" w:fill="auto"/>
                  <w:vAlign w:val="center"/>
                </w:tcPr>
                <w:p w14:paraId="3B27082C">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危险废物，类别为HW</w:t>
                  </w:r>
                  <w:r>
                    <w:rPr>
                      <w:rFonts w:hint="eastAsia" w:ascii="Times New Roman" w:hAnsi="Times New Roman" w:cs="Times New Roman" w:eastAsiaTheme="minorEastAsia"/>
                      <w:color w:val="auto"/>
                      <w:sz w:val="21"/>
                      <w:szCs w:val="21"/>
                      <w:u w:val="none" w:color="auto"/>
                      <w:lang w:val="en-US" w:eastAsia="zh-CN"/>
                    </w:rPr>
                    <w:t>49</w:t>
                  </w:r>
                  <w:r>
                    <w:rPr>
                      <w:rFonts w:hint="default" w:ascii="Times New Roman" w:hAnsi="Times New Roman" w:cs="Times New Roman" w:eastAsiaTheme="minorEastAsia"/>
                      <w:color w:val="auto"/>
                      <w:sz w:val="21"/>
                      <w:szCs w:val="21"/>
                      <w:u w:val="none" w:color="auto"/>
                      <w:lang w:val="en-US" w:eastAsia="zh-CN"/>
                    </w:rPr>
                    <w:t>，废物代码为“900-047-49”</w:t>
                  </w:r>
                </w:p>
              </w:tc>
              <w:tc>
                <w:tcPr>
                  <w:tcW w:w="1073" w:type="dxa"/>
                  <w:shd w:val="clear" w:color="auto" w:fill="auto"/>
                  <w:vAlign w:val="center"/>
                </w:tcPr>
                <w:p w14:paraId="5BC24AB1">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0.</w:t>
                  </w:r>
                  <w:r>
                    <w:rPr>
                      <w:rFonts w:hint="eastAsia" w:ascii="Times New Roman" w:hAnsi="Times New Roman" w:cs="Times New Roman" w:eastAsiaTheme="minorEastAsia"/>
                      <w:color w:val="auto"/>
                      <w:sz w:val="21"/>
                      <w:szCs w:val="21"/>
                      <w:u w:val="none" w:color="auto"/>
                      <w:lang w:val="en-US" w:eastAsia="zh-CN"/>
                    </w:rPr>
                    <w:t>01</w:t>
                  </w:r>
                </w:p>
              </w:tc>
              <w:tc>
                <w:tcPr>
                  <w:tcW w:w="2280" w:type="dxa"/>
                  <w:vMerge w:val="continue"/>
                  <w:shd w:val="clear" w:color="auto" w:fill="auto"/>
                  <w:vAlign w:val="center"/>
                </w:tcPr>
                <w:p w14:paraId="540D1F37">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eastAsiaTheme="minorEastAsia"/>
                      <w:bCs/>
                      <w:color w:val="auto"/>
                      <w:kern w:val="0"/>
                      <w:sz w:val="21"/>
                      <w:szCs w:val="21"/>
                      <w:u w:val="none" w:color="auto"/>
                      <w:lang w:val="en-US" w:eastAsia="zh-CN" w:bidi="ar-SA"/>
                    </w:rPr>
                  </w:pPr>
                </w:p>
              </w:tc>
            </w:tr>
          </w:tbl>
          <w:p w14:paraId="08AE2A5E">
            <w:pPr>
              <w:pStyle w:val="20"/>
              <w:ind w:firstLine="482"/>
              <w:rPr>
                <w:rFonts w:hint="default" w:ascii="Times New Roman" w:hAnsi="Times New Roman" w:eastAsia="宋体" w:cs="Times New Roman"/>
                <w:b/>
                <w:bCs/>
                <w:color w:val="000000"/>
                <w:highlight w:val="none"/>
                <w:u w:val="none" w:color="auto"/>
                <w:lang w:val="en-US" w:eastAsia="zh-CN"/>
              </w:rPr>
            </w:pPr>
            <w:r>
              <w:rPr>
                <w:rFonts w:hint="eastAsia" w:ascii="Times New Roman" w:hAnsi="Times New Roman" w:eastAsia="宋体" w:cs="Times New Roman"/>
                <w:b/>
                <w:bCs/>
                <w:color w:val="000000"/>
                <w:highlight w:val="none"/>
                <w:u w:val="none" w:color="auto"/>
                <w:lang w:val="en-US" w:eastAsia="zh-CN"/>
              </w:rPr>
              <w:t>2、固体废物环境管理</w:t>
            </w:r>
          </w:p>
          <w:p w14:paraId="2B00D1DE">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一般固体废物环境管理措施如下：</w:t>
            </w:r>
          </w:p>
          <w:p w14:paraId="0CEBFCF3">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一般工业固体废物收集后定点堆放在生产区域指定的一般固体废物存放区域，贮存过程应满足防渗漏、防雨淋、防扬尘等环境保护要求。厂区内职工日常生活产生的生活垃圾，分类收集后交由环卫部门统一清运处理。生活垃圾应采取袋装收集，分类处理的方式处理。</w:t>
            </w:r>
          </w:p>
          <w:p w14:paraId="3A4E653E">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危险废物环境管理措施如下：</w:t>
            </w:r>
          </w:p>
          <w:p w14:paraId="64A90E48">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本项目运营期产生的危险废物以委托有资质单位处置的方式处理，在处置前企业应将危废暂存在危废专用场所内，做好防渗、防漏等控制。目前厂区内无符合规范要求的危险废物暂存场所，本次评价要求建设单位在库房区域的机修区设立一处占地5m</w:t>
            </w:r>
            <w:r>
              <w:rPr>
                <w:rFonts w:hint="eastAsia" w:ascii="Times New Roman" w:hAnsi="Times New Roman" w:eastAsia="宋体" w:cs="Times New Roman"/>
                <w:color w:val="auto"/>
                <w:sz w:val="24"/>
                <w:szCs w:val="24"/>
                <w:u w:val="none"/>
                <w:vertAlign w:val="superscript"/>
                <w:lang w:val="en-US" w:eastAsia="zh-CN"/>
              </w:rPr>
              <w:t>2</w:t>
            </w:r>
            <w:r>
              <w:rPr>
                <w:rFonts w:hint="eastAsia" w:ascii="Times New Roman" w:hAnsi="Times New Roman" w:eastAsia="宋体" w:cs="Times New Roman"/>
                <w:color w:val="auto"/>
                <w:sz w:val="24"/>
                <w:szCs w:val="24"/>
                <w:u w:val="none"/>
                <w:lang w:val="en-US" w:eastAsia="zh-CN"/>
              </w:rPr>
              <w:t>的危险废物暂存区，具体危险固废的暂存处置须按照《危险废物贮存污染控制标准》（GB18597-2023）等有关国家标准进行，项目危险废物情况如下表所示：</w:t>
            </w:r>
          </w:p>
          <w:p w14:paraId="70882012">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bCs w:val="0"/>
                <w:sz w:val="24"/>
                <w:szCs w:val="21"/>
                <w:lang w:val="en-US" w:eastAsia="zh-CN"/>
              </w:rPr>
            </w:pPr>
            <w:r>
              <w:rPr>
                <w:rFonts w:hint="eastAsia" w:ascii="Times New Roman" w:hAnsi="Times New Roman" w:cs="Times New Roman"/>
                <w:b/>
                <w:bCs w:val="0"/>
                <w:sz w:val="24"/>
                <w:szCs w:val="21"/>
                <w:lang w:val="en-US" w:eastAsia="zh-CN"/>
              </w:rPr>
              <w:t>表4-9  项目</w:t>
            </w:r>
            <w:r>
              <w:rPr>
                <w:rFonts w:hint="eastAsia" w:ascii="Times New Roman" w:hAnsi="Times New Roman" w:eastAsia="宋体" w:cs="Times New Roman"/>
                <w:b/>
                <w:bCs w:val="0"/>
                <w:sz w:val="24"/>
                <w:szCs w:val="21"/>
                <w:lang w:val="en-US" w:eastAsia="zh-CN"/>
              </w:rPr>
              <w:t>危险废物汇总一览表</w:t>
            </w:r>
          </w:p>
          <w:tbl>
            <w:tblPr>
              <w:tblStyle w:val="25"/>
              <w:tblW w:w="8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886"/>
              <w:gridCol w:w="780"/>
              <w:gridCol w:w="978"/>
              <w:gridCol w:w="773"/>
              <w:gridCol w:w="791"/>
              <w:gridCol w:w="594"/>
              <w:gridCol w:w="585"/>
              <w:gridCol w:w="605"/>
              <w:gridCol w:w="739"/>
              <w:gridCol w:w="804"/>
            </w:tblGrid>
            <w:tr w14:paraId="7D2F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 w:type="pct"/>
                  <w:vAlign w:val="center"/>
                </w:tcPr>
                <w:p w14:paraId="5AE6FC25">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lang w:val="en-US" w:eastAsia="zh-CN"/>
                    </w:rPr>
                  </w:pPr>
                  <w:r>
                    <w:rPr>
                      <w:rFonts w:hint="default" w:ascii="Times New Roman" w:hAnsi="Times New Roman" w:cs="Times New Roman" w:eastAsiaTheme="minorEastAsia"/>
                      <w:color w:val="auto"/>
                      <w:sz w:val="18"/>
                      <w:szCs w:val="18"/>
                      <w:u w:val="none"/>
                      <w:lang w:val="en-US" w:eastAsia="zh-CN"/>
                    </w:rPr>
                    <w:t>序号</w:t>
                  </w:r>
                </w:p>
              </w:tc>
              <w:tc>
                <w:tcPr>
                  <w:tcW w:w="552" w:type="pct"/>
                  <w:vAlign w:val="center"/>
                </w:tcPr>
                <w:p w14:paraId="7DD1597B">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危险废物名称</w:t>
                  </w:r>
                </w:p>
              </w:tc>
              <w:tc>
                <w:tcPr>
                  <w:tcW w:w="486" w:type="pct"/>
                  <w:vAlign w:val="center"/>
                </w:tcPr>
                <w:p w14:paraId="0D999FBE">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危险废 物类别</w:t>
                  </w:r>
                </w:p>
              </w:tc>
              <w:tc>
                <w:tcPr>
                  <w:tcW w:w="609" w:type="pct"/>
                  <w:vAlign w:val="center"/>
                </w:tcPr>
                <w:p w14:paraId="09E94C1D">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危险废物代码</w:t>
                  </w:r>
                </w:p>
              </w:tc>
              <w:tc>
                <w:tcPr>
                  <w:tcW w:w="482" w:type="pct"/>
                  <w:vAlign w:val="center"/>
                </w:tcPr>
                <w:p w14:paraId="587A9CE9">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产生量（t/a）</w:t>
                  </w:r>
                </w:p>
              </w:tc>
              <w:tc>
                <w:tcPr>
                  <w:tcW w:w="493" w:type="pct"/>
                  <w:vAlign w:val="center"/>
                </w:tcPr>
                <w:p w14:paraId="2A52D339">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产生工序</w:t>
                  </w:r>
                </w:p>
              </w:tc>
              <w:tc>
                <w:tcPr>
                  <w:tcW w:w="370" w:type="pct"/>
                  <w:vAlign w:val="center"/>
                </w:tcPr>
                <w:p w14:paraId="6F671B34">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形 态</w:t>
                  </w:r>
                </w:p>
              </w:tc>
              <w:tc>
                <w:tcPr>
                  <w:tcW w:w="364" w:type="pct"/>
                  <w:vAlign w:val="center"/>
                </w:tcPr>
                <w:p w14:paraId="05EB41CE">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主要 成分</w:t>
                  </w:r>
                </w:p>
              </w:tc>
              <w:tc>
                <w:tcPr>
                  <w:tcW w:w="377" w:type="pct"/>
                  <w:vAlign w:val="center"/>
                </w:tcPr>
                <w:p w14:paraId="006B4DAF">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有害 成分</w:t>
                  </w:r>
                </w:p>
              </w:tc>
              <w:tc>
                <w:tcPr>
                  <w:tcW w:w="460" w:type="pct"/>
                  <w:vAlign w:val="center"/>
                </w:tcPr>
                <w:p w14:paraId="4E0BC702">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危险特性</w:t>
                  </w:r>
                </w:p>
              </w:tc>
              <w:tc>
                <w:tcPr>
                  <w:tcW w:w="501" w:type="pct"/>
                  <w:vAlign w:val="center"/>
                </w:tcPr>
                <w:p w14:paraId="18950B2E">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污染防治措施</w:t>
                  </w:r>
                </w:p>
              </w:tc>
            </w:tr>
            <w:tr w14:paraId="2BF1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 w:type="pct"/>
                  <w:vMerge w:val="restart"/>
                  <w:vAlign w:val="center"/>
                </w:tcPr>
                <w:p w14:paraId="3A28F62D">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color="auto"/>
                      <w:lang w:val="en-US" w:eastAsia="zh-CN"/>
                    </w:rPr>
                  </w:pPr>
                  <w:r>
                    <w:rPr>
                      <w:rFonts w:hint="default" w:ascii="Times New Roman" w:hAnsi="Times New Roman" w:cs="Times New Roman" w:eastAsiaTheme="minorEastAsia"/>
                      <w:color w:val="auto"/>
                      <w:sz w:val="18"/>
                      <w:szCs w:val="18"/>
                      <w:u w:val="none" w:color="auto"/>
                      <w:lang w:val="en-US" w:eastAsia="zh-CN"/>
                    </w:rPr>
                    <w:t>1</w:t>
                  </w:r>
                </w:p>
              </w:tc>
              <w:tc>
                <w:tcPr>
                  <w:tcW w:w="552" w:type="pct"/>
                  <w:shd w:val="clear" w:color="auto" w:fill="auto"/>
                  <w:vAlign w:val="center"/>
                </w:tcPr>
                <w:p w14:paraId="43808CF1">
                  <w:pPr>
                    <w:pStyle w:val="38"/>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color="auto"/>
                      <w:lang w:val="en-US" w:eastAsia="zh-CN" w:bidi="ar-SA"/>
                    </w:rPr>
                  </w:pPr>
                  <w:r>
                    <w:rPr>
                      <w:rFonts w:hint="default" w:ascii="Times New Roman" w:hAnsi="Times New Roman" w:cs="Times New Roman" w:eastAsiaTheme="minorEastAsia"/>
                      <w:color w:val="auto"/>
                      <w:sz w:val="18"/>
                      <w:szCs w:val="18"/>
                      <w:u w:val="none" w:color="auto"/>
                      <w:lang w:val="en-US" w:eastAsia="zh-CN"/>
                    </w:rPr>
                    <w:t>废矿物油/油桶</w:t>
                  </w:r>
                </w:p>
              </w:tc>
              <w:tc>
                <w:tcPr>
                  <w:tcW w:w="486" w:type="pct"/>
                  <w:shd w:val="clear" w:color="auto" w:fill="auto"/>
                  <w:vAlign w:val="center"/>
                </w:tcPr>
                <w:p w14:paraId="256F2573">
                  <w:pPr>
                    <w:pStyle w:val="38"/>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color="auto"/>
                      <w:lang w:val="en-US" w:eastAsia="zh-CN" w:bidi="ar-SA"/>
                    </w:rPr>
                  </w:pPr>
                  <w:r>
                    <w:rPr>
                      <w:rFonts w:hint="default" w:ascii="Times New Roman" w:hAnsi="Times New Roman" w:cs="Times New Roman" w:eastAsiaTheme="minorEastAsia"/>
                      <w:color w:val="auto"/>
                      <w:sz w:val="18"/>
                      <w:szCs w:val="18"/>
                      <w:u w:val="none"/>
                      <w:lang w:val="en-US" w:eastAsia="zh-CN"/>
                    </w:rPr>
                    <w:t>HW08</w:t>
                  </w:r>
                </w:p>
              </w:tc>
              <w:tc>
                <w:tcPr>
                  <w:tcW w:w="609" w:type="pct"/>
                  <w:shd w:val="clear" w:color="auto" w:fill="auto"/>
                  <w:vAlign w:val="center"/>
                </w:tcPr>
                <w:p w14:paraId="4324E3BE">
                  <w:pPr>
                    <w:pStyle w:val="38"/>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color w:val="auto"/>
                      <w:sz w:val="18"/>
                      <w:szCs w:val="18"/>
                      <w:u w:val="none"/>
                      <w:lang w:val="en-US" w:eastAsia="zh-CN"/>
                    </w:rPr>
                    <w:t>900-249-08</w:t>
                  </w:r>
                </w:p>
              </w:tc>
              <w:tc>
                <w:tcPr>
                  <w:tcW w:w="482" w:type="pct"/>
                  <w:shd w:val="clear" w:color="auto" w:fill="auto"/>
                  <w:vAlign w:val="center"/>
                </w:tcPr>
                <w:p w14:paraId="7073A761">
                  <w:pPr>
                    <w:pStyle w:val="38"/>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b w:val="0"/>
                      <w:bCs/>
                      <w:color w:val="auto"/>
                      <w:spacing w:val="0"/>
                      <w:sz w:val="18"/>
                      <w:szCs w:val="18"/>
                      <w:highlight w:val="none"/>
                      <w:u w:val="none" w:color="auto"/>
                      <w:lang w:val="en-US" w:eastAsia="zh-CN"/>
                    </w:rPr>
                    <w:t>0.11</w:t>
                  </w:r>
                </w:p>
              </w:tc>
              <w:tc>
                <w:tcPr>
                  <w:tcW w:w="493" w:type="pct"/>
                  <w:shd w:val="clear" w:color="auto" w:fill="auto"/>
                  <w:vAlign w:val="center"/>
                </w:tcPr>
                <w:p w14:paraId="6ECBC15C">
                  <w:pPr>
                    <w:pStyle w:val="38"/>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b w:val="0"/>
                      <w:bCs/>
                      <w:color w:val="auto"/>
                      <w:spacing w:val="0"/>
                      <w:sz w:val="18"/>
                      <w:szCs w:val="18"/>
                      <w:highlight w:val="none"/>
                      <w:u w:val="none" w:color="auto"/>
                      <w:lang w:val="en-US" w:eastAsia="zh-CN"/>
                    </w:rPr>
                    <w:t>设备维护</w:t>
                  </w:r>
                </w:p>
              </w:tc>
              <w:tc>
                <w:tcPr>
                  <w:tcW w:w="370" w:type="pct"/>
                  <w:shd w:val="clear" w:color="auto" w:fill="auto"/>
                  <w:vAlign w:val="center"/>
                </w:tcPr>
                <w:p w14:paraId="296693AC">
                  <w:pPr>
                    <w:pStyle w:val="38"/>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color w:val="auto"/>
                      <w:sz w:val="18"/>
                      <w:szCs w:val="18"/>
                      <w:u w:val="none"/>
                      <w:lang w:val="en-US" w:eastAsia="zh-CN"/>
                    </w:rPr>
                    <w:t>液态/</w:t>
                  </w:r>
                  <w:r>
                    <w:rPr>
                      <w:rFonts w:hint="default" w:ascii="Times New Roman" w:hAnsi="Times New Roman" w:cs="Times New Roman" w:eastAsiaTheme="minorEastAsia"/>
                      <w:color w:val="auto"/>
                      <w:sz w:val="18"/>
                      <w:szCs w:val="18"/>
                      <w:u w:val="none"/>
                    </w:rPr>
                    <w:t>固 态</w:t>
                  </w:r>
                </w:p>
              </w:tc>
              <w:tc>
                <w:tcPr>
                  <w:tcW w:w="364" w:type="pct"/>
                  <w:shd w:val="clear" w:color="auto" w:fill="auto"/>
                  <w:vAlign w:val="center"/>
                </w:tcPr>
                <w:p w14:paraId="098EF901">
                  <w:pPr>
                    <w:pStyle w:val="38"/>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color w:val="auto"/>
                      <w:sz w:val="18"/>
                      <w:szCs w:val="18"/>
                      <w:u w:val="none"/>
                    </w:rPr>
                    <w:t>有机 物</w:t>
                  </w:r>
                </w:p>
              </w:tc>
              <w:tc>
                <w:tcPr>
                  <w:tcW w:w="377" w:type="pct"/>
                  <w:shd w:val="clear" w:color="auto" w:fill="auto"/>
                  <w:vAlign w:val="center"/>
                </w:tcPr>
                <w:p w14:paraId="2B1714B2">
                  <w:pPr>
                    <w:pStyle w:val="38"/>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color w:val="auto"/>
                      <w:sz w:val="18"/>
                      <w:szCs w:val="18"/>
                      <w:u w:val="none"/>
                    </w:rPr>
                    <w:t>有机物</w:t>
                  </w:r>
                </w:p>
              </w:tc>
              <w:tc>
                <w:tcPr>
                  <w:tcW w:w="460" w:type="pct"/>
                  <w:shd w:val="clear" w:color="auto" w:fill="auto"/>
                  <w:vAlign w:val="center"/>
                </w:tcPr>
                <w:p w14:paraId="1FB6848F">
                  <w:pPr>
                    <w:pStyle w:val="38"/>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color w:val="auto"/>
                      <w:sz w:val="18"/>
                      <w:szCs w:val="18"/>
                      <w:u w:val="none"/>
                    </w:rPr>
                    <w:t>T</w:t>
                  </w:r>
                  <w:r>
                    <w:rPr>
                      <w:rFonts w:hint="default" w:ascii="Times New Roman" w:hAnsi="Times New Roman" w:cs="Times New Roman" w:eastAsiaTheme="minorEastAsia"/>
                      <w:color w:val="auto"/>
                      <w:sz w:val="18"/>
                      <w:szCs w:val="18"/>
                      <w:u w:val="none"/>
                      <w:lang w:eastAsia="zh-CN"/>
                    </w:rPr>
                    <w:t>，</w:t>
                  </w:r>
                  <w:r>
                    <w:rPr>
                      <w:rFonts w:hint="default" w:ascii="Times New Roman" w:hAnsi="Times New Roman" w:cs="Times New Roman" w:eastAsiaTheme="minorEastAsia"/>
                      <w:color w:val="auto"/>
                      <w:sz w:val="18"/>
                      <w:szCs w:val="18"/>
                      <w:u w:val="none"/>
                    </w:rPr>
                    <w:t>In</w:t>
                  </w:r>
                </w:p>
              </w:tc>
              <w:tc>
                <w:tcPr>
                  <w:tcW w:w="501" w:type="pct"/>
                  <w:vMerge w:val="restart"/>
                  <w:vAlign w:val="center"/>
                </w:tcPr>
                <w:p w14:paraId="09492D5C">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暂存于</w:t>
                  </w:r>
                  <w:r>
                    <w:rPr>
                      <w:rFonts w:hint="default" w:ascii="Times New Roman" w:hAnsi="Times New Roman" w:cs="Times New Roman" w:eastAsiaTheme="minorEastAsia"/>
                      <w:color w:val="auto"/>
                      <w:sz w:val="18"/>
                      <w:szCs w:val="18"/>
                      <w:u w:val="none"/>
                      <w:lang w:val="en-US" w:eastAsia="zh-CN"/>
                    </w:rPr>
                    <w:t>厂区</w:t>
                  </w:r>
                  <w:r>
                    <w:rPr>
                      <w:rFonts w:hint="default" w:ascii="Times New Roman" w:hAnsi="Times New Roman" w:cs="Times New Roman" w:eastAsiaTheme="minorEastAsia"/>
                      <w:color w:val="auto"/>
                      <w:sz w:val="18"/>
                      <w:szCs w:val="18"/>
                      <w:u w:val="none"/>
                    </w:rPr>
                    <w:t>危废间</w:t>
                  </w:r>
                  <w:r>
                    <w:rPr>
                      <w:rFonts w:hint="default" w:ascii="Times New Roman" w:hAnsi="Times New Roman" w:cs="Times New Roman" w:eastAsiaTheme="minorEastAsia"/>
                      <w:color w:val="auto"/>
                      <w:sz w:val="18"/>
                      <w:szCs w:val="18"/>
                      <w:u w:val="none"/>
                      <w:lang w:val="en-US" w:eastAsia="zh-CN"/>
                    </w:rPr>
                    <w:t>TS001</w:t>
                  </w:r>
                  <w:r>
                    <w:rPr>
                      <w:rFonts w:hint="default" w:ascii="Times New Roman" w:hAnsi="Times New Roman" w:cs="Times New Roman" w:eastAsiaTheme="minorEastAsia"/>
                      <w:color w:val="auto"/>
                      <w:sz w:val="18"/>
                      <w:szCs w:val="18"/>
                      <w:u w:val="none"/>
                    </w:rPr>
                    <w:t>，</w:t>
                  </w:r>
                  <w:r>
                    <w:rPr>
                      <w:rFonts w:hint="default" w:ascii="Times New Roman" w:hAnsi="Times New Roman" w:cs="Times New Roman" w:eastAsiaTheme="minorEastAsia"/>
                      <w:color w:val="auto"/>
                      <w:sz w:val="18"/>
                      <w:szCs w:val="18"/>
                      <w:u w:val="none"/>
                      <w:lang w:val="en-US" w:eastAsia="zh-CN"/>
                    </w:rPr>
                    <w:t>交由</w:t>
                  </w:r>
                  <w:r>
                    <w:rPr>
                      <w:rFonts w:hint="default" w:ascii="Times New Roman" w:hAnsi="Times New Roman" w:cs="Times New Roman" w:eastAsiaTheme="minorEastAsia"/>
                      <w:color w:val="auto"/>
                      <w:sz w:val="18"/>
                      <w:szCs w:val="18"/>
                      <w:u w:val="none"/>
                    </w:rPr>
                    <w:t>有资质单位处理</w:t>
                  </w:r>
                </w:p>
              </w:tc>
            </w:tr>
            <w:tr w14:paraId="1043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 w:type="pct"/>
                  <w:vMerge w:val="continue"/>
                  <w:vAlign w:val="center"/>
                </w:tcPr>
                <w:p w14:paraId="7D09C20D">
                  <w:pPr>
                    <w:pStyle w:val="38"/>
                    <w:spacing w:before="0" w:line="240" w:lineRule="auto"/>
                    <w:ind w:firstLine="0" w:firstLineChars="0"/>
                    <w:jc w:val="center"/>
                    <w:rPr>
                      <w:rFonts w:hint="default" w:ascii="Times New Roman" w:hAnsi="Times New Roman" w:cs="Times New Roman" w:eastAsiaTheme="minorEastAsia"/>
                      <w:color w:val="auto"/>
                      <w:sz w:val="18"/>
                      <w:szCs w:val="18"/>
                      <w:lang w:val="en-US" w:eastAsia="zh-CN"/>
                    </w:rPr>
                  </w:pPr>
                </w:p>
              </w:tc>
              <w:tc>
                <w:tcPr>
                  <w:tcW w:w="552" w:type="pct"/>
                  <w:shd w:val="clear" w:color="auto" w:fill="auto"/>
                  <w:vAlign w:val="center"/>
                </w:tcPr>
                <w:p w14:paraId="661F5C9E">
                  <w:pPr>
                    <w:pStyle w:val="38"/>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color="auto"/>
                      <w:lang w:val="en-US" w:eastAsia="zh-CN" w:bidi="ar-SA"/>
                    </w:rPr>
                  </w:pPr>
                  <w:r>
                    <w:rPr>
                      <w:rFonts w:hint="default" w:ascii="Times New Roman" w:hAnsi="Times New Roman" w:cs="Times New Roman" w:eastAsiaTheme="minorEastAsia"/>
                      <w:color w:val="auto"/>
                      <w:sz w:val="18"/>
                      <w:szCs w:val="18"/>
                      <w:u w:val="none" w:color="auto"/>
                      <w:lang w:val="en-US" w:eastAsia="zh-CN"/>
                    </w:rPr>
                    <w:t>含油抹布、手套等</w:t>
                  </w:r>
                </w:p>
              </w:tc>
              <w:tc>
                <w:tcPr>
                  <w:tcW w:w="486" w:type="pct"/>
                  <w:vAlign w:val="center"/>
                </w:tcPr>
                <w:p w14:paraId="32CA9360">
                  <w:pPr>
                    <w:pStyle w:val="38"/>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lang w:val="en-US"/>
                    </w:rPr>
                  </w:pPr>
                  <w:r>
                    <w:rPr>
                      <w:rFonts w:hint="default" w:ascii="Times New Roman" w:hAnsi="Times New Roman" w:cs="Times New Roman" w:eastAsiaTheme="minorEastAsia"/>
                      <w:color w:val="auto"/>
                      <w:sz w:val="18"/>
                      <w:szCs w:val="18"/>
                      <w:u w:val="none"/>
                      <w:lang w:val="en-US" w:eastAsia="zh-CN"/>
                    </w:rPr>
                    <w:t>HW49</w:t>
                  </w:r>
                </w:p>
              </w:tc>
              <w:tc>
                <w:tcPr>
                  <w:tcW w:w="609" w:type="pct"/>
                  <w:vAlign w:val="center"/>
                </w:tcPr>
                <w:p w14:paraId="7583A833">
                  <w:pPr>
                    <w:pStyle w:val="38"/>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lang w:val="en-US" w:eastAsia="zh-CN"/>
                    </w:rPr>
                    <w:t>900-041-49</w:t>
                  </w:r>
                </w:p>
              </w:tc>
              <w:tc>
                <w:tcPr>
                  <w:tcW w:w="482" w:type="pct"/>
                  <w:vAlign w:val="center"/>
                </w:tcPr>
                <w:p w14:paraId="221F89D0">
                  <w:pPr>
                    <w:pStyle w:val="38"/>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lang w:val="en-US"/>
                    </w:rPr>
                  </w:pPr>
                  <w:r>
                    <w:rPr>
                      <w:rFonts w:hint="default" w:ascii="Times New Roman" w:hAnsi="Times New Roman" w:cs="Times New Roman" w:eastAsiaTheme="minorEastAsia"/>
                      <w:b w:val="0"/>
                      <w:bCs w:val="0"/>
                      <w:color w:val="auto"/>
                      <w:spacing w:val="0"/>
                      <w:sz w:val="18"/>
                      <w:szCs w:val="18"/>
                      <w:highlight w:val="none"/>
                      <w:u w:val="none" w:color="auto"/>
                      <w:lang w:val="en-US" w:eastAsia="zh-CN"/>
                    </w:rPr>
                    <w:t>0.005</w:t>
                  </w:r>
                </w:p>
              </w:tc>
              <w:tc>
                <w:tcPr>
                  <w:tcW w:w="493" w:type="pct"/>
                  <w:vAlign w:val="center"/>
                </w:tcPr>
                <w:p w14:paraId="5C6DCEEA">
                  <w:pPr>
                    <w:pStyle w:val="38"/>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b w:val="0"/>
                      <w:bCs/>
                      <w:color w:val="auto"/>
                      <w:spacing w:val="0"/>
                      <w:sz w:val="18"/>
                      <w:szCs w:val="18"/>
                      <w:highlight w:val="none"/>
                      <w:u w:val="none" w:color="auto"/>
                      <w:lang w:val="en-US" w:eastAsia="zh-CN"/>
                    </w:rPr>
                    <w:t>设备维护</w:t>
                  </w:r>
                </w:p>
              </w:tc>
              <w:tc>
                <w:tcPr>
                  <w:tcW w:w="370" w:type="pct"/>
                  <w:vAlign w:val="center"/>
                </w:tcPr>
                <w:p w14:paraId="1FB1A6EC">
                  <w:pPr>
                    <w:pStyle w:val="38"/>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固 态</w:t>
                  </w:r>
                </w:p>
              </w:tc>
              <w:tc>
                <w:tcPr>
                  <w:tcW w:w="364" w:type="pct"/>
                  <w:vAlign w:val="center"/>
                </w:tcPr>
                <w:p w14:paraId="734E3E10">
                  <w:pPr>
                    <w:pStyle w:val="38"/>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lang w:val="en-US" w:eastAsia="zh-CN"/>
                    </w:rPr>
                    <w:t>棉织物</w:t>
                  </w:r>
                </w:p>
              </w:tc>
              <w:tc>
                <w:tcPr>
                  <w:tcW w:w="377" w:type="pct"/>
                  <w:vAlign w:val="center"/>
                </w:tcPr>
                <w:p w14:paraId="14C94033">
                  <w:pPr>
                    <w:pStyle w:val="38"/>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有机物</w:t>
                  </w:r>
                </w:p>
              </w:tc>
              <w:tc>
                <w:tcPr>
                  <w:tcW w:w="460" w:type="pct"/>
                  <w:vAlign w:val="center"/>
                </w:tcPr>
                <w:p w14:paraId="6B009D01">
                  <w:pPr>
                    <w:pStyle w:val="38"/>
                    <w:spacing w:before="0" w:line="240" w:lineRule="auto"/>
                    <w:ind w:right="0" w:rightChars="0" w:firstLine="0" w:firstLineChars="0"/>
                    <w:jc w:val="center"/>
                    <w:rPr>
                      <w:rFonts w:hint="default" w:ascii="Times New Roman" w:hAnsi="Times New Roman" w:cs="Times New Roman" w:eastAsiaTheme="minorEastAsia"/>
                      <w:color w:val="auto"/>
                      <w:sz w:val="18"/>
                      <w:szCs w:val="18"/>
                      <w:u w:val="none"/>
                      <w:lang w:eastAsia="zh-CN"/>
                    </w:rPr>
                  </w:pPr>
                  <w:r>
                    <w:rPr>
                      <w:rFonts w:hint="default" w:ascii="Times New Roman" w:hAnsi="Times New Roman" w:cs="Times New Roman" w:eastAsiaTheme="minorEastAsia"/>
                      <w:color w:val="auto"/>
                      <w:sz w:val="18"/>
                      <w:szCs w:val="18"/>
                      <w:u w:val="none"/>
                    </w:rPr>
                    <w:t>T</w:t>
                  </w:r>
                  <w:r>
                    <w:rPr>
                      <w:rFonts w:hint="default" w:ascii="Times New Roman" w:hAnsi="Times New Roman" w:cs="Times New Roman" w:eastAsiaTheme="minorEastAsia"/>
                      <w:color w:val="auto"/>
                      <w:sz w:val="18"/>
                      <w:szCs w:val="18"/>
                      <w:u w:val="none"/>
                      <w:lang w:eastAsia="zh-CN"/>
                    </w:rPr>
                    <w:t>，</w:t>
                  </w:r>
                  <w:r>
                    <w:rPr>
                      <w:rFonts w:hint="default" w:ascii="Times New Roman" w:hAnsi="Times New Roman" w:cs="Times New Roman" w:eastAsiaTheme="minorEastAsia"/>
                      <w:color w:val="auto"/>
                      <w:sz w:val="18"/>
                      <w:szCs w:val="18"/>
                      <w:u w:val="none"/>
                    </w:rPr>
                    <w:t>I</w:t>
                  </w:r>
                  <w:r>
                    <w:rPr>
                      <w:rFonts w:hint="default" w:ascii="Times New Roman" w:hAnsi="Times New Roman" w:cs="Times New Roman" w:eastAsiaTheme="minorEastAsia"/>
                      <w:color w:val="auto"/>
                      <w:sz w:val="18"/>
                      <w:szCs w:val="18"/>
                      <w:u w:val="none"/>
                      <w:lang w:eastAsia="zh-CN"/>
                    </w:rPr>
                    <w:t>，</w:t>
                  </w:r>
                  <w:r>
                    <w:rPr>
                      <w:rFonts w:hint="default" w:ascii="Times New Roman" w:hAnsi="Times New Roman" w:cs="Times New Roman" w:eastAsiaTheme="minorEastAsia"/>
                      <w:color w:val="auto"/>
                      <w:sz w:val="18"/>
                      <w:szCs w:val="18"/>
                      <w:u w:val="none"/>
                      <w:lang w:val="en-US" w:eastAsia="zh-CN"/>
                    </w:rPr>
                    <w:t>R</w:t>
                  </w:r>
                </w:p>
              </w:tc>
              <w:tc>
                <w:tcPr>
                  <w:tcW w:w="501" w:type="pct"/>
                  <w:vMerge w:val="continue"/>
                  <w:vAlign w:val="center"/>
                </w:tcPr>
                <w:p w14:paraId="5D670C23">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p>
              </w:tc>
            </w:tr>
            <w:tr w14:paraId="371E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0" w:type="pct"/>
                  <w:vMerge w:val="continue"/>
                  <w:vAlign w:val="center"/>
                </w:tcPr>
                <w:p w14:paraId="5E8439AB">
                  <w:pPr>
                    <w:pStyle w:val="38"/>
                    <w:spacing w:before="0" w:line="240" w:lineRule="auto"/>
                    <w:ind w:firstLine="0" w:firstLineChars="0"/>
                    <w:jc w:val="center"/>
                    <w:rPr>
                      <w:rFonts w:hint="default" w:ascii="Times New Roman" w:hAnsi="Times New Roman" w:cs="Times New Roman" w:eastAsiaTheme="minorEastAsia"/>
                      <w:color w:val="auto"/>
                      <w:sz w:val="18"/>
                      <w:szCs w:val="18"/>
                      <w:lang w:val="en-US" w:eastAsia="zh-CN"/>
                    </w:rPr>
                  </w:pPr>
                </w:p>
              </w:tc>
              <w:tc>
                <w:tcPr>
                  <w:tcW w:w="552" w:type="pct"/>
                  <w:shd w:val="clear" w:color="auto" w:fill="auto"/>
                  <w:vAlign w:val="center"/>
                </w:tcPr>
                <w:p w14:paraId="2BC9EBAB">
                  <w:pPr>
                    <w:pStyle w:val="38"/>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color="auto"/>
                      <w:lang w:val="en-US" w:eastAsia="zh-CN" w:bidi="ar-SA"/>
                    </w:rPr>
                  </w:pPr>
                  <w:r>
                    <w:rPr>
                      <w:rFonts w:hint="default" w:ascii="Times New Roman" w:hAnsi="Times New Roman" w:cs="Times New Roman" w:eastAsiaTheme="minorEastAsia"/>
                      <w:color w:val="000000" w:themeColor="text1"/>
                      <w:sz w:val="18"/>
                      <w:szCs w:val="18"/>
                      <w:u w:val="none" w:color="auto"/>
                      <w:lang w:val="en-US" w:eastAsia="zh-CN"/>
                      <w14:textFill>
                        <w14:solidFill>
                          <w14:schemeClr w14:val="tx1"/>
                        </w14:solidFill>
                      </w14:textFill>
                    </w:rPr>
                    <w:t>实验室废液</w:t>
                  </w:r>
                </w:p>
              </w:tc>
              <w:tc>
                <w:tcPr>
                  <w:tcW w:w="486" w:type="pct"/>
                  <w:shd w:val="clear" w:color="auto" w:fill="auto"/>
                  <w:vAlign w:val="center"/>
                </w:tcPr>
                <w:p w14:paraId="0BBACA81">
                  <w:pPr>
                    <w:pStyle w:val="38"/>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color w:val="auto"/>
                      <w:sz w:val="18"/>
                      <w:szCs w:val="18"/>
                      <w:u w:val="none"/>
                      <w:lang w:val="en-US" w:eastAsia="zh-CN"/>
                    </w:rPr>
                    <w:t>HW49</w:t>
                  </w:r>
                </w:p>
              </w:tc>
              <w:tc>
                <w:tcPr>
                  <w:tcW w:w="609" w:type="pct"/>
                  <w:shd w:val="clear" w:color="auto" w:fill="auto"/>
                  <w:vAlign w:val="center"/>
                </w:tcPr>
                <w:p w14:paraId="60DD0482">
                  <w:pPr>
                    <w:pStyle w:val="38"/>
                    <w:spacing w:before="0" w:line="240" w:lineRule="auto"/>
                    <w:ind w:right="0" w:rightChars="0" w:firstLine="0" w:firstLineChars="0"/>
                    <w:jc w:val="center"/>
                    <w:rPr>
                      <w:rFonts w:hint="default" w:ascii="Times New Roman" w:hAnsi="Times New Roman" w:cs="Times New Roman" w:eastAsiaTheme="minorEastAsia"/>
                      <w:bCs/>
                      <w:color w:val="auto"/>
                      <w:kern w:val="0"/>
                      <w:sz w:val="18"/>
                      <w:szCs w:val="18"/>
                      <w:u w:val="none"/>
                      <w:lang w:val="en-US" w:eastAsia="zh-CN" w:bidi="ar-SA"/>
                    </w:rPr>
                  </w:pPr>
                  <w:r>
                    <w:rPr>
                      <w:rFonts w:hint="default" w:ascii="Times New Roman" w:hAnsi="Times New Roman" w:cs="Times New Roman" w:eastAsiaTheme="minorEastAsia"/>
                      <w:color w:val="auto"/>
                      <w:sz w:val="18"/>
                      <w:szCs w:val="18"/>
                      <w:u w:val="none"/>
                      <w:lang w:val="en-US" w:eastAsia="zh-CN"/>
                    </w:rPr>
                    <w:t>900-047-49</w:t>
                  </w:r>
                </w:p>
              </w:tc>
              <w:tc>
                <w:tcPr>
                  <w:tcW w:w="482" w:type="pct"/>
                  <w:vAlign w:val="center"/>
                </w:tcPr>
                <w:p w14:paraId="2A889C0C">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lang w:val="en-US" w:eastAsia="zh-CN"/>
                    </w:rPr>
                  </w:pPr>
                  <w:r>
                    <w:rPr>
                      <w:rFonts w:hint="default" w:ascii="Times New Roman" w:hAnsi="Times New Roman" w:cs="Times New Roman" w:eastAsiaTheme="minorEastAsia"/>
                      <w:color w:val="auto"/>
                      <w:sz w:val="18"/>
                      <w:szCs w:val="18"/>
                      <w:u w:val="none"/>
                      <w:lang w:val="en-US" w:eastAsia="zh-CN"/>
                    </w:rPr>
                    <w:t>0.01</w:t>
                  </w:r>
                </w:p>
              </w:tc>
              <w:tc>
                <w:tcPr>
                  <w:tcW w:w="493" w:type="pct"/>
                  <w:vAlign w:val="center"/>
                </w:tcPr>
                <w:p w14:paraId="657015B8">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color="auto"/>
                      <w:lang w:val="en-US" w:eastAsia="zh-CN"/>
                    </w:rPr>
                    <w:t>检测化验分析</w:t>
                  </w:r>
                </w:p>
              </w:tc>
              <w:tc>
                <w:tcPr>
                  <w:tcW w:w="370" w:type="pct"/>
                  <w:vAlign w:val="center"/>
                </w:tcPr>
                <w:p w14:paraId="662B6EB5">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lang w:val="en-US" w:eastAsia="zh-CN"/>
                    </w:rPr>
                  </w:pPr>
                  <w:r>
                    <w:rPr>
                      <w:rFonts w:hint="default" w:ascii="Times New Roman" w:hAnsi="Times New Roman" w:cs="Times New Roman" w:eastAsiaTheme="minorEastAsia"/>
                      <w:color w:val="auto"/>
                      <w:sz w:val="18"/>
                      <w:szCs w:val="18"/>
                      <w:u w:val="none"/>
                      <w:lang w:val="en-US" w:eastAsia="zh-CN"/>
                    </w:rPr>
                    <w:t>液态</w:t>
                  </w:r>
                </w:p>
              </w:tc>
              <w:tc>
                <w:tcPr>
                  <w:tcW w:w="364" w:type="pct"/>
                  <w:vAlign w:val="center"/>
                </w:tcPr>
                <w:p w14:paraId="2A17E7C5">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lang w:val="en-US" w:eastAsia="zh-CN"/>
                    </w:rPr>
                  </w:pPr>
                  <w:r>
                    <w:rPr>
                      <w:rFonts w:hint="default" w:ascii="Times New Roman" w:hAnsi="Times New Roman" w:cs="Times New Roman" w:eastAsiaTheme="minorEastAsia"/>
                      <w:color w:val="auto"/>
                      <w:sz w:val="18"/>
                      <w:szCs w:val="18"/>
                      <w:u w:val="none"/>
                      <w:lang w:val="en-US" w:eastAsia="zh-CN"/>
                    </w:rPr>
                    <w:t>酸碱/有机物等</w:t>
                  </w:r>
                </w:p>
              </w:tc>
              <w:tc>
                <w:tcPr>
                  <w:tcW w:w="377" w:type="pct"/>
                  <w:vAlign w:val="center"/>
                </w:tcPr>
                <w:p w14:paraId="64B4CC00">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lang w:val="en-US" w:eastAsia="zh-CN"/>
                    </w:rPr>
                    <w:t>酸碱/有</w:t>
                  </w:r>
                </w:p>
              </w:tc>
              <w:tc>
                <w:tcPr>
                  <w:tcW w:w="460" w:type="pct"/>
                  <w:vAlign w:val="center"/>
                </w:tcPr>
                <w:p w14:paraId="731A38FB">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r>
                    <w:rPr>
                      <w:rFonts w:hint="default" w:ascii="Times New Roman" w:hAnsi="Times New Roman" w:cs="Times New Roman" w:eastAsiaTheme="minorEastAsia"/>
                      <w:color w:val="auto"/>
                      <w:sz w:val="18"/>
                      <w:szCs w:val="18"/>
                      <w:u w:val="none"/>
                    </w:rPr>
                    <w:t>T</w:t>
                  </w:r>
                  <w:r>
                    <w:rPr>
                      <w:rFonts w:hint="default" w:ascii="Times New Roman" w:hAnsi="Times New Roman" w:cs="Times New Roman" w:eastAsiaTheme="minorEastAsia"/>
                      <w:color w:val="auto"/>
                      <w:sz w:val="18"/>
                      <w:szCs w:val="18"/>
                      <w:u w:val="none"/>
                      <w:lang w:eastAsia="zh-CN"/>
                    </w:rPr>
                    <w:t>，</w:t>
                  </w:r>
                  <w:r>
                    <w:rPr>
                      <w:rFonts w:hint="default" w:ascii="Times New Roman" w:hAnsi="Times New Roman" w:cs="Times New Roman" w:eastAsiaTheme="minorEastAsia"/>
                      <w:color w:val="auto"/>
                      <w:sz w:val="18"/>
                      <w:szCs w:val="18"/>
                      <w:u w:val="none"/>
                    </w:rPr>
                    <w:t>C</w:t>
                  </w:r>
                  <w:r>
                    <w:rPr>
                      <w:rFonts w:hint="default" w:ascii="Times New Roman" w:hAnsi="Times New Roman" w:cs="Times New Roman" w:eastAsiaTheme="minorEastAsia"/>
                      <w:color w:val="auto"/>
                      <w:sz w:val="18"/>
                      <w:szCs w:val="18"/>
                      <w:u w:val="none"/>
                      <w:lang w:eastAsia="zh-CN"/>
                    </w:rPr>
                    <w:t>，</w:t>
                  </w:r>
                  <w:r>
                    <w:rPr>
                      <w:rFonts w:hint="default" w:ascii="Times New Roman" w:hAnsi="Times New Roman" w:cs="Times New Roman" w:eastAsiaTheme="minorEastAsia"/>
                      <w:color w:val="auto"/>
                      <w:sz w:val="18"/>
                      <w:szCs w:val="18"/>
                      <w:u w:val="none"/>
                    </w:rPr>
                    <w:t>I</w:t>
                  </w:r>
                  <w:r>
                    <w:rPr>
                      <w:rFonts w:hint="default" w:ascii="Times New Roman" w:hAnsi="Times New Roman" w:cs="Times New Roman" w:eastAsiaTheme="minorEastAsia"/>
                      <w:color w:val="auto"/>
                      <w:sz w:val="18"/>
                      <w:szCs w:val="18"/>
                      <w:u w:val="none"/>
                      <w:lang w:eastAsia="zh-CN"/>
                    </w:rPr>
                    <w:t>，</w:t>
                  </w:r>
                  <w:r>
                    <w:rPr>
                      <w:rFonts w:hint="default" w:ascii="Times New Roman" w:hAnsi="Times New Roman" w:cs="Times New Roman" w:eastAsiaTheme="minorEastAsia"/>
                      <w:color w:val="auto"/>
                      <w:sz w:val="18"/>
                      <w:szCs w:val="18"/>
                      <w:u w:val="none"/>
                    </w:rPr>
                    <w:t>R</w:t>
                  </w:r>
                </w:p>
              </w:tc>
              <w:tc>
                <w:tcPr>
                  <w:tcW w:w="501" w:type="pct"/>
                  <w:vMerge w:val="continue"/>
                  <w:vAlign w:val="center"/>
                </w:tcPr>
                <w:p w14:paraId="23716CAE">
                  <w:pPr>
                    <w:pStyle w:val="38"/>
                    <w:spacing w:before="0" w:line="240" w:lineRule="auto"/>
                    <w:ind w:firstLine="0" w:firstLineChars="0"/>
                    <w:jc w:val="center"/>
                    <w:rPr>
                      <w:rFonts w:hint="default" w:ascii="Times New Roman" w:hAnsi="Times New Roman" w:cs="Times New Roman" w:eastAsiaTheme="minorEastAsia"/>
                      <w:color w:val="auto"/>
                      <w:sz w:val="18"/>
                      <w:szCs w:val="18"/>
                      <w:u w:val="none"/>
                    </w:rPr>
                  </w:pPr>
                </w:p>
              </w:tc>
            </w:tr>
          </w:tbl>
          <w:p w14:paraId="68FF8C07">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同时，建设单位应与有处理资质的单位签订委托处理协议，委托资质单位处理后，项目产生的危险废物将对周边环境不会产生影响。</w:t>
            </w:r>
          </w:p>
          <w:p w14:paraId="3AA3DEAE">
            <w:pPr>
              <w:pStyle w:val="38"/>
              <w:keepNext w:val="0"/>
              <w:keepLines w:val="0"/>
              <w:pageBreakBefore w:val="0"/>
              <w:kinsoku/>
              <w:wordWrap/>
              <w:overflowPunct/>
              <w:topLinePunct w:val="0"/>
              <w:autoSpaceDE/>
              <w:autoSpaceDN/>
              <w:bidi w:val="0"/>
              <w:adjustRightInd/>
              <w:snapToGrid/>
              <w:spacing w:before="0"/>
              <w:ind w:left="0" w:firstLine="480" w:firstLineChars="200"/>
              <w:textAlignment w:val="auto"/>
              <w:rPr>
                <w:rFonts w:hint="default" w:ascii="Times New Roman" w:hAnsi="Times New Roman" w:cs="Times New Roman"/>
                <w:color w:val="auto"/>
                <w:szCs w:val="24"/>
                <w:u w:val="none" w:color="auto"/>
              </w:rPr>
            </w:pPr>
            <w:r>
              <w:rPr>
                <w:rFonts w:hint="default" w:ascii="Times New Roman" w:hAnsi="Times New Roman" w:cs="Times New Roman"/>
                <w:color w:val="auto"/>
                <w:szCs w:val="24"/>
                <w:u w:val="none" w:color="auto"/>
              </w:rPr>
              <w:t xml:space="preserve">根据《建设项目危险废物环境影响评价指南》及《危险废物贮存污染控制标准》（GB18597-2023）要求，对危险废物的暂存、运输等提出如下要求： </w:t>
            </w:r>
          </w:p>
          <w:p w14:paraId="38E06420">
            <w:pPr>
              <w:pStyle w:val="38"/>
              <w:keepNext w:val="0"/>
              <w:keepLines w:val="0"/>
              <w:pageBreakBefore w:val="0"/>
              <w:numPr>
                <w:ilvl w:val="0"/>
                <w:numId w:val="6"/>
              </w:numPr>
              <w:kinsoku/>
              <w:wordWrap/>
              <w:overflowPunct/>
              <w:topLinePunct w:val="0"/>
              <w:autoSpaceDE/>
              <w:autoSpaceDN/>
              <w:bidi w:val="0"/>
              <w:adjustRightInd/>
              <w:snapToGrid/>
              <w:spacing w:before="0"/>
              <w:ind w:left="0" w:firstLine="480" w:firstLineChars="200"/>
              <w:textAlignment w:val="auto"/>
              <w:rPr>
                <w:rFonts w:hint="default" w:ascii="Times New Roman" w:hAnsi="Times New Roman" w:cs="Times New Roman"/>
                <w:color w:val="auto"/>
                <w:szCs w:val="24"/>
                <w:u w:val="none" w:color="auto"/>
              </w:rPr>
            </w:pPr>
            <w:r>
              <w:rPr>
                <w:rFonts w:hint="default" w:ascii="Times New Roman" w:hAnsi="Times New Roman" w:cs="Times New Roman"/>
                <w:color w:val="auto"/>
                <w:szCs w:val="24"/>
                <w:u w:val="none" w:color="auto"/>
                <w:lang w:val="en-US" w:eastAsia="zh-CN"/>
              </w:rPr>
              <w:t>危险废物储存要求</w:t>
            </w:r>
          </w:p>
          <w:p w14:paraId="698C044C">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auto"/>
                <w:spacing w:val="0"/>
                <w:kern w:val="0"/>
                <w:sz w:val="24"/>
                <w:u w:val="none" w:color="auto"/>
              </w:rPr>
            </w:pPr>
            <w:r>
              <w:rPr>
                <w:rFonts w:hint="default" w:ascii="Times New Roman" w:hAnsi="Times New Roman" w:eastAsia="宋体" w:cs="Times New Roman"/>
                <w:color w:val="auto"/>
                <w:spacing w:val="0"/>
                <w:kern w:val="0"/>
                <w:sz w:val="24"/>
                <w:u w:val="none" w:color="auto"/>
              </w:rPr>
              <w:t>①危废暂存间应贴有危废标志，按《危险废物贮存污染控制标准》要求，用以存放装载固体危险废物容器的地方，必须有耐腐蚀的硬化地面，做好防腐防渗防漏处置。危险废物要用不易破损、变形、老化、能有效地防止渗透、扩散的容器贮存，装有危险废物的容器必须贴有标签，在标签上详细标明危险废物的名称、重量、成分、特性及发生泄漏的处理方法等。</w:t>
            </w:r>
          </w:p>
          <w:p w14:paraId="5D455665">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auto"/>
                <w:spacing w:val="0"/>
                <w:kern w:val="0"/>
                <w:sz w:val="24"/>
                <w:u w:val="none" w:color="auto"/>
              </w:rPr>
            </w:pPr>
            <w:r>
              <w:rPr>
                <w:rFonts w:hint="default" w:ascii="Times New Roman" w:hAnsi="Times New Roman" w:eastAsia="宋体" w:cs="Times New Roman"/>
                <w:color w:val="auto"/>
                <w:spacing w:val="0"/>
                <w:kern w:val="0"/>
                <w:sz w:val="24"/>
                <w:u w:val="none" w:color="auto"/>
              </w:rPr>
              <w:t>②危险固废储存于阴凉、通风、隔离的库房。库房温度不超过35℃，相对湿度不超过85%，保持储存容器密封。应与禁配物分开存放，切忌混储。库房备有泄漏应急处理设备和合适的收容材料。起运时包装要完整，装载应稳妥。</w:t>
            </w:r>
          </w:p>
          <w:p w14:paraId="29C06C22">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auto"/>
                <w:spacing w:val="0"/>
                <w:kern w:val="0"/>
                <w:sz w:val="24"/>
                <w:u w:val="none" w:color="auto"/>
              </w:rPr>
            </w:pPr>
            <w:r>
              <w:rPr>
                <w:rFonts w:hint="default" w:ascii="Times New Roman" w:hAnsi="Times New Roman" w:eastAsia="宋体" w:cs="Times New Roman"/>
                <w:color w:val="auto"/>
                <w:spacing w:val="0"/>
                <w:kern w:val="0"/>
                <w:sz w:val="24"/>
                <w:u w:val="none" w:color="auto"/>
              </w:rPr>
              <w:t>（2）危废暂存间的</w:t>
            </w:r>
            <w:r>
              <w:rPr>
                <w:rFonts w:hint="default" w:ascii="Times New Roman" w:hAnsi="Times New Roman" w:eastAsia="宋体" w:cs="Times New Roman"/>
                <w:color w:val="auto"/>
                <w:spacing w:val="0"/>
                <w:kern w:val="0"/>
                <w:sz w:val="24"/>
                <w:u w:val="none" w:color="auto"/>
                <w:lang w:val="en-US" w:eastAsia="zh-CN"/>
              </w:rPr>
              <w:t>建设</w:t>
            </w:r>
            <w:r>
              <w:rPr>
                <w:rFonts w:hint="default" w:ascii="Times New Roman" w:hAnsi="Times New Roman" w:eastAsia="宋体" w:cs="Times New Roman"/>
                <w:color w:val="auto"/>
                <w:spacing w:val="0"/>
                <w:kern w:val="0"/>
                <w:sz w:val="24"/>
                <w:u w:val="none" w:color="auto"/>
              </w:rPr>
              <w:t>要求</w:t>
            </w:r>
          </w:p>
          <w:p w14:paraId="23D6DA38">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auto"/>
                <w:spacing w:val="0"/>
                <w:kern w:val="0"/>
                <w:sz w:val="24"/>
                <w:u w:val="none" w:color="auto"/>
                <w:lang w:val="en-US" w:eastAsia="zh-CN"/>
              </w:rPr>
            </w:pPr>
            <w:r>
              <w:rPr>
                <w:rFonts w:hint="default" w:ascii="Times New Roman" w:hAnsi="Times New Roman" w:eastAsia="宋体" w:cs="Times New Roman"/>
                <w:color w:val="auto"/>
                <w:spacing w:val="0"/>
                <w:kern w:val="0"/>
                <w:sz w:val="24"/>
                <w:u w:val="none" w:color="auto"/>
              </w:rPr>
              <w:t>项目危险废物暂存间应妥善分类用指定容器收集，区分存放，同时贴上专用标识：标志标识、防渗、污水和废气导排、包装容器等情况。同时，根据</w:t>
            </w:r>
            <w:r>
              <w:rPr>
                <w:rFonts w:hint="default" w:ascii="Times New Roman" w:hAnsi="Times New Roman" w:eastAsia="宋体" w:cs="Times New Roman"/>
                <w:color w:val="auto"/>
                <w:spacing w:val="0"/>
                <w:kern w:val="0"/>
                <w:sz w:val="24"/>
                <w:u w:val="none" w:color="auto"/>
                <w:lang w:eastAsia="zh-CN"/>
              </w:rPr>
              <w:t>《危险废物贮存污染控制标准》（GB18597-2023）</w:t>
            </w:r>
            <w:r>
              <w:rPr>
                <w:rFonts w:hint="default" w:ascii="Times New Roman" w:hAnsi="Times New Roman" w:eastAsia="宋体" w:cs="Times New Roman"/>
                <w:color w:val="auto"/>
                <w:spacing w:val="0"/>
                <w:kern w:val="0"/>
                <w:sz w:val="24"/>
                <w:u w:val="none" w:color="auto"/>
              </w:rPr>
              <w:t>要求，危险废物暂存场地</w:t>
            </w:r>
            <w:r>
              <w:rPr>
                <w:rFonts w:hint="eastAsia" w:cs="Times New Roman"/>
                <w:color w:val="auto"/>
                <w:spacing w:val="0"/>
                <w:kern w:val="0"/>
                <w:sz w:val="24"/>
                <w:u w:val="none" w:color="auto"/>
                <w:lang w:val="en-US" w:eastAsia="zh-CN"/>
              </w:rPr>
              <w:t>建设</w:t>
            </w:r>
            <w:r>
              <w:rPr>
                <w:rFonts w:hint="default" w:ascii="Times New Roman" w:hAnsi="Times New Roman" w:eastAsia="宋体" w:cs="Times New Roman"/>
                <w:color w:val="auto"/>
                <w:spacing w:val="0"/>
                <w:kern w:val="0"/>
                <w:sz w:val="24"/>
                <w:u w:val="none" w:color="auto"/>
              </w:rPr>
              <w:t>相关要求如下：①基础必须防渗，防渗层为至少1米厚粘土层（渗透系数≤10</w:t>
            </w:r>
            <w:r>
              <w:rPr>
                <w:rFonts w:hint="default" w:ascii="Times New Roman" w:hAnsi="Times New Roman" w:eastAsia="宋体" w:cs="Times New Roman"/>
                <w:color w:val="auto"/>
                <w:spacing w:val="0"/>
                <w:kern w:val="0"/>
                <w:sz w:val="24"/>
                <w:u w:val="none" w:color="auto"/>
                <w:vertAlign w:val="superscript"/>
              </w:rPr>
              <w:t>-7</w:t>
            </w:r>
            <w:r>
              <w:rPr>
                <w:rFonts w:hint="default" w:ascii="Times New Roman" w:hAnsi="Times New Roman" w:eastAsia="宋体" w:cs="Times New Roman"/>
                <w:color w:val="auto"/>
                <w:spacing w:val="0"/>
                <w:kern w:val="0"/>
                <w:sz w:val="24"/>
                <w:u w:val="none" w:color="auto"/>
              </w:rPr>
              <w:t>厘米/秒），或2毫米厚高密度聚乙烯，或至少2毫米厚的其它人工材料，渗透系数≤10</w:t>
            </w:r>
            <w:r>
              <w:rPr>
                <w:rFonts w:hint="default" w:ascii="Times New Roman" w:hAnsi="Times New Roman" w:eastAsia="宋体" w:cs="Times New Roman"/>
                <w:color w:val="auto"/>
                <w:spacing w:val="0"/>
                <w:kern w:val="0"/>
                <w:sz w:val="24"/>
                <w:u w:val="none" w:color="auto"/>
                <w:vertAlign w:val="superscript"/>
              </w:rPr>
              <w:t>-10</w:t>
            </w:r>
            <w:r>
              <w:rPr>
                <w:rFonts w:hint="default" w:ascii="Times New Roman" w:hAnsi="Times New Roman" w:eastAsia="宋体" w:cs="Times New Roman"/>
                <w:color w:val="auto"/>
                <w:spacing w:val="0"/>
                <w:kern w:val="0"/>
                <w:sz w:val="24"/>
                <w:u w:val="none" w:color="auto"/>
              </w:rPr>
              <w:t>厘米/秒。②堆放危险废物的高度应根据地面承载能力确定。③衬里放在一个基础或底座上。④衬里要能够覆盖危险废物或其溶出物可能</w:t>
            </w:r>
            <w:r>
              <w:rPr>
                <w:rFonts w:hint="eastAsia" w:cs="Times New Roman"/>
                <w:color w:val="auto"/>
                <w:spacing w:val="0"/>
                <w:kern w:val="0"/>
                <w:sz w:val="24"/>
                <w:u w:val="none" w:color="auto"/>
                <w:lang w:val="en-US" w:eastAsia="zh-CN"/>
              </w:rPr>
              <w:t>波及</w:t>
            </w:r>
            <w:r>
              <w:rPr>
                <w:rFonts w:hint="default" w:ascii="Times New Roman" w:hAnsi="Times New Roman" w:eastAsia="宋体" w:cs="Times New Roman"/>
                <w:color w:val="auto"/>
                <w:spacing w:val="0"/>
                <w:kern w:val="0"/>
                <w:sz w:val="24"/>
                <w:u w:val="none" w:color="auto"/>
              </w:rPr>
              <w:t>到的范围。⑤衬里材料与堆放危险废物相容。⑥不相容的危险废物不能堆放在一起。</w:t>
            </w:r>
            <w:r>
              <w:rPr>
                <w:rFonts w:hint="default" w:ascii="Times New Roman" w:hAnsi="Times New Roman" w:eastAsia="宋体" w:cs="Times New Roman"/>
                <w:color w:val="auto"/>
                <w:spacing w:val="0"/>
                <w:kern w:val="0"/>
                <w:sz w:val="24"/>
                <w:u w:val="none" w:color="auto"/>
                <w:lang w:val="en-US" w:eastAsia="zh-CN"/>
              </w:rPr>
              <w:t>⑦</w:t>
            </w:r>
            <w:r>
              <w:rPr>
                <w:rFonts w:hint="default" w:ascii="Times New Roman" w:hAnsi="Times New Roman" w:eastAsia="宋体" w:cs="Times New Roman"/>
                <w:color w:val="auto"/>
                <w:spacing w:val="0"/>
                <w:kern w:val="0"/>
                <w:sz w:val="24"/>
                <w:u w:val="none" w:color="auto"/>
              </w:rPr>
              <w:t>标识和记录：危废暂存间应设置明显的标识牌，标明暂存间的名称、编号、负责人等信息，以便管理和监督。危废暂存间应建立完整的台账记录，包括危险废物的来源、种类、性质、数量、处理方式等信息，以备查验和管理。危废暂存间应设置相应的环保宣传栏，及时发布环保信息，</w:t>
            </w:r>
            <w:r>
              <w:rPr>
                <w:rFonts w:hint="default" w:ascii="Times New Roman" w:hAnsi="Times New Roman" w:eastAsia="宋体" w:cs="Times New Roman"/>
                <w:color w:val="auto"/>
                <w:spacing w:val="0"/>
                <w:kern w:val="0"/>
                <w:sz w:val="24"/>
                <w:u w:val="none" w:color="auto"/>
                <w:lang w:eastAsia="zh-CN"/>
              </w:rPr>
              <w:t>增强</w:t>
            </w:r>
            <w:r>
              <w:rPr>
                <w:rFonts w:hint="default" w:ascii="Times New Roman" w:hAnsi="Times New Roman" w:eastAsia="宋体" w:cs="Times New Roman"/>
                <w:color w:val="auto"/>
                <w:spacing w:val="0"/>
                <w:kern w:val="0"/>
                <w:sz w:val="24"/>
                <w:u w:val="none" w:color="auto"/>
              </w:rPr>
              <w:t>公众的环保意识和参与度。</w:t>
            </w:r>
            <w:r>
              <w:rPr>
                <w:rFonts w:hint="default" w:ascii="Times New Roman" w:hAnsi="Times New Roman" w:eastAsia="宋体" w:cs="Times New Roman"/>
                <w:color w:val="auto"/>
                <w:spacing w:val="0"/>
                <w:kern w:val="0"/>
                <w:sz w:val="24"/>
                <w:u w:val="none" w:color="auto"/>
                <w:lang w:val="en-US" w:eastAsia="zh-CN"/>
              </w:rPr>
              <w:t>⑧危废暂存间应按照危险废物种类、性质、形态等进行合理布局。不同种类的危险废物应分别存放于不同的暂存间内，并做好标识和分类管理。</w:t>
            </w:r>
          </w:p>
          <w:p w14:paraId="332C8F7B">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auto"/>
                <w:spacing w:val="0"/>
                <w:kern w:val="0"/>
                <w:sz w:val="24"/>
                <w:u w:val="none" w:color="auto"/>
              </w:rPr>
            </w:pPr>
            <w:r>
              <w:rPr>
                <w:rFonts w:hint="default" w:ascii="Times New Roman" w:hAnsi="Times New Roman" w:eastAsia="宋体" w:cs="Times New Roman"/>
                <w:color w:val="auto"/>
                <w:spacing w:val="0"/>
                <w:kern w:val="0"/>
                <w:sz w:val="24"/>
                <w:u w:val="none" w:color="auto"/>
              </w:rPr>
              <w:t>本</w:t>
            </w:r>
            <w:r>
              <w:rPr>
                <w:rFonts w:hint="eastAsia" w:cs="Times New Roman"/>
                <w:color w:val="auto"/>
                <w:spacing w:val="0"/>
                <w:kern w:val="0"/>
                <w:sz w:val="24"/>
                <w:u w:val="none" w:color="auto"/>
                <w:lang w:val="en-US" w:eastAsia="zh-CN"/>
              </w:rPr>
              <w:t>项目运营期间</w:t>
            </w:r>
            <w:r>
              <w:rPr>
                <w:rFonts w:hint="default" w:ascii="Times New Roman" w:hAnsi="Times New Roman" w:eastAsia="宋体" w:cs="Times New Roman"/>
                <w:color w:val="auto"/>
                <w:spacing w:val="0"/>
                <w:kern w:val="0"/>
                <w:sz w:val="24"/>
                <w:u w:val="none" w:color="auto"/>
              </w:rPr>
              <w:t>固体废物可得到妥善地处理，不会对外环境产生二次污染，对区域环境影响较小。</w:t>
            </w:r>
          </w:p>
          <w:p w14:paraId="7CE8D924">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五、</w:t>
            </w:r>
            <w:r>
              <w:rPr>
                <w:rFonts w:hint="default" w:ascii="宋体" w:hAnsi="宋体" w:eastAsia="宋体" w:cs="宋体"/>
                <w:b/>
                <w:bCs w:val="0"/>
                <w:sz w:val="24"/>
                <w:szCs w:val="24"/>
                <w:lang w:val="en-US" w:eastAsia="zh-CN"/>
              </w:rPr>
              <w:t>地下水、土壤环境影响</w:t>
            </w:r>
            <w:r>
              <w:rPr>
                <w:rFonts w:hint="eastAsia" w:ascii="宋体" w:hAnsi="宋体" w:eastAsia="宋体" w:cs="宋体"/>
                <w:b/>
                <w:bCs w:val="0"/>
                <w:sz w:val="24"/>
                <w:szCs w:val="24"/>
                <w:lang w:val="en-US" w:eastAsia="zh-CN"/>
              </w:rPr>
              <w:t>分析</w:t>
            </w:r>
          </w:p>
          <w:p w14:paraId="0413A1B4">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bookmarkStart w:id="18" w:name="_Toc22079"/>
            <w:r>
              <w:rPr>
                <w:rFonts w:hint="default" w:ascii="Times New Roman" w:hAnsi="Times New Roman" w:eastAsia="宋体" w:cs="Times New Roman"/>
                <w:color w:val="auto"/>
                <w:sz w:val="24"/>
                <w:szCs w:val="24"/>
                <w:u w:val="none"/>
                <w:lang w:val="en-US" w:eastAsia="zh-CN"/>
              </w:rPr>
              <w:t>根结合现场调查及工艺分析，本项目</w:t>
            </w:r>
            <w:r>
              <w:rPr>
                <w:rFonts w:hint="eastAsia" w:ascii="Times New Roman" w:hAnsi="Times New Roman" w:eastAsia="宋体" w:cs="Times New Roman"/>
                <w:color w:val="auto"/>
                <w:sz w:val="24"/>
                <w:szCs w:val="24"/>
                <w:u w:val="none"/>
                <w:lang w:val="en-US" w:eastAsia="zh-CN"/>
              </w:rPr>
              <w:t>主要环境风险源单位</w:t>
            </w:r>
            <w:r>
              <w:rPr>
                <w:rFonts w:hint="default" w:ascii="Times New Roman" w:hAnsi="Times New Roman" w:eastAsia="宋体" w:cs="Times New Roman"/>
                <w:color w:val="auto"/>
                <w:sz w:val="24"/>
                <w:szCs w:val="24"/>
                <w:u w:val="none"/>
                <w:lang w:val="en-US" w:eastAsia="zh-CN"/>
              </w:rPr>
              <w:t>按要求进行地面硬化并做好“三防”措施（防扬散、防流失、防渗漏），对项目危险废物暂存间和</w:t>
            </w:r>
            <w:r>
              <w:rPr>
                <w:rFonts w:hint="eastAsia" w:ascii="Times New Roman" w:hAnsi="Times New Roman" w:eastAsia="宋体" w:cs="Times New Roman"/>
                <w:color w:val="auto"/>
                <w:sz w:val="24"/>
                <w:szCs w:val="24"/>
                <w:u w:val="none"/>
                <w:lang w:val="en-US" w:eastAsia="zh-CN"/>
              </w:rPr>
              <w:t>原辅料液态化学品储存</w:t>
            </w:r>
            <w:r>
              <w:rPr>
                <w:rFonts w:hint="default" w:ascii="Times New Roman" w:hAnsi="Times New Roman" w:eastAsia="宋体" w:cs="Times New Roman"/>
                <w:color w:val="auto"/>
                <w:sz w:val="24"/>
                <w:szCs w:val="24"/>
                <w:u w:val="none"/>
                <w:lang w:val="en-US" w:eastAsia="zh-CN"/>
              </w:rPr>
              <w:t>区域进行防渗，因此项目不存在地下水、土壤环境污染途径，不会对项目周边地下水产生影响。</w:t>
            </w:r>
          </w:p>
          <w:bookmarkEnd w:id="18"/>
          <w:p w14:paraId="0531D1F3">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宋体" w:hAnsi="宋体" w:eastAsia="宋体" w:cs="宋体"/>
                <w:b/>
                <w:bCs w:val="0"/>
                <w:sz w:val="24"/>
                <w:szCs w:val="24"/>
                <w:lang w:val="en-US" w:eastAsia="zh-CN"/>
              </w:rPr>
            </w:pPr>
            <w:bookmarkStart w:id="19" w:name="_Toc21722"/>
            <w:r>
              <w:rPr>
                <w:rFonts w:hint="eastAsia" w:ascii="宋体" w:hAnsi="宋体" w:eastAsia="宋体" w:cs="宋体"/>
                <w:b/>
                <w:bCs w:val="0"/>
                <w:sz w:val="24"/>
                <w:szCs w:val="24"/>
                <w:lang w:val="en-US" w:eastAsia="zh-CN"/>
              </w:rPr>
              <w:t>六、</w:t>
            </w:r>
            <w:r>
              <w:rPr>
                <w:rFonts w:hint="default" w:ascii="宋体" w:hAnsi="宋体" w:eastAsia="宋体" w:cs="宋体"/>
                <w:b/>
                <w:bCs w:val="0"/>
                <w:sz w:val="24"/>
                <w:szCs w:val="24"/>
                <w:lang w:val="en-US" w:eastAsia="zh-CN"/>
              </w:rPr>
              <w:t>生态环境影响分析</w:t>
            </w:r>
          </w:p>
          <w:p w14:paraId="16BC7491">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single"/>
                <w:lang w:val="en-US" w:eastAsia="zh-CN"/>
              </w:rPr>
            </w:pPr>
            <w:r>
              <w:rPr>
                <w:rFonts w:hint="default" w:ascii="Times New Roman" w:hAnsi="Times New Roman" w:eastAsia="宋体" w:cs="Times New Roman"/>
                <w:color w:val="auto"/>
                <w:sz w:val="24"/>
                <w:szCs w:val="24"/>
                <w:u w:val="single"/>
                <w:lang w:val="en-US" w:eastAsia="zh-CN"/>
              </w:rPr>
              <w:t>本项目位于</w:t>
            </w:r>
            <w:r>
              <w:rPr>
                <w:rFonts w:hint="eastAsia" w:ascii="Times New Roman" w:hAnsi="Times New Roman" w:eastAsia="宋体" w:cs="Times New Roman"/>
                <w:color w:val="auto"/>
                <w:sz w:val="24"/>
                <w:szCs w:val="24"/>
                <w:u w:val="single"/>
                <w:lang w:val="en-US" w:eastAsia="zh-CN"/>
              </w:rPr>
              <w:t>岳阳楼区岳阳楼街道老城区片区</w:t>
            </w:r>
            <w:r>
              <w:rPr>
                <w:rFonts w:hint="default" w:ascii="Times New Roman" w:hAnsi="Times New Roman" w:eastAsia="宋体" w:cs="Times New Roman"/>
                <w:color w:val="auto"/>
                <w:sz w:val="24"/>
                <w:szCs w:val="24"/>
                <w:u w:val="single"/>
                <w:lang w:val="en-US" w:eastAsia="zh-CN"/>
              </w:rPr>
              <w:t>内，</w:t>
            </w:r>
            <w:r>
              <w:rPr>
                <w:rFonts w:hint="eastAsia" w:ascii="Times New Roman" w:hAnsi="Times New Roman" w:cs="Times New Roman"/>
                <w:color w:val="auto"/>
                <w:sz w:val="24"/>
                <w:szCs w:val="24"/>
                <w:u w:val="single"/>
                <w:lang w:val="en-US" w:eastAsia="zh-CN"/>
              </w:rPr>
              <w:t>建设单位所在地涉及</w:t>
            </w:r>
            <w:r>
              <w:rPr>
                <w:rFonts w:hint="eastAsia" w:ascii="Times New Roman" w:hAnsi="Times New Roman" w:eastAsia="宋体" w:cs="Times New Roman"/>
                <w:color w:val="auto"/>
                <w:sz w:val="24"/>
                <w:szCs w:val="24"/>
                <w:u w:val="single"/>
                <w:lang w:val="en-US" w:eastAsia="zh-CN"/>
              </w:rPr>
              <w:t>岳阳楼景区、备用水源取水口涉及种质资源保护区外，</w:t>
            </w:r>
            <w:r>
              <w:rPr>
                <w:rFonts w:hint="default" w:ascii="Times New Roman" w:hAnsi="Times New Roman" w:eastAsia="宋体" w:cs="Times New Roman"/>
                <w:color w:val="auto"/>
                <w:sz w:val="24"/>
                <w:szCs w:val="24"/>
                <w:u w:val="single"/>
                <w:lang w:val="en-US" w:eastAsia="zh-CN"/>
              </w:rPr>
              <w:t>不涉及</w:t>
            </w:r>
            <w:r>
              <w:rPr>
                <w:rFonts w:hint="eastAsia" w:ascii="Times New Roman" w:hAnsi="Times New Roman" w:eastAsia="宋体" w:cs="Times New Roman"/>
                <w:color w:val="auto"/>
                <w:sz w:val="24"/>
                <w:szCs w:val="24"/>
                <w:u w:val="single"/>
                <w:lang w:val="en-US" w:eastAsia="zh-CN"/>
              </w:rPr>
              <w:t>其他</w:t>
            </w:r>
            <w:r>
              <w:rPr>
                <w:rFonts w:hint="default" w:ascii="Times New Roman" w:hAnsi="Times New Roman" w:eastAsia="宋体" w:cs="Times New Roman"/>
                <w:color w:val="auto"/>
                <w:sz w:val="24"/>
                <w:szCs w:val="24"/>
                <w:u w:val="single"/>
                <w:lang w:val="en-US" w:eastAsia="zh-CN"/>
              </w:rPr>
              <w:t>生态敏感区</w:t>
            </w:r>
            <w:r>
              <w:rPr>
                <w:rFonts w:hint="eastAsia" w:ascii="Times New Roman" w:hAnsi="Times New Roman" w:cs="Times New Roman"/>
                <w:color w:val="auto"/>
                <w:sz w:val="24"/>
                <w:szCs w:val="24"/>
                <w:u w:val="single"/>
                <w:lang w:val="en-US" w:eastAsia="zh-CN"/>
              </w:rPr>
              <w:t>。</w:t>
            </w:r>
            <w:r>
              <w:rPr>
                <w:rFonts w:hint="default" w:ascii="Times New Roman" w:hAnsi="Times New Roman" w:eastAsia="宋体" w:cs="Times New Roman"/>
                <w:color w:val="auto"/>
                <w:sz w:val="24"/>
                <w:szCs w:val="24"/>
                <w:u w:val="single"/>
                <w:lang w:val="en-US" w:eastAsia="zh-CN"/>
              </w:rPr>
              <w:t>建设单位</w:t>
            </w:r>
            <w:r>
              <w:rPr>
                <w:rFonts w:hint="eastAsia" w:ascii="Times New Roman" w:hAnsi="Times New Roman" w:cs="Times New Roman"/>
                <w:color w:val="auto"/>
                <w:sz w:val="24"/>
                <w:szCs w:val="24"/>
                <w:u w:val="single"/>
                <w:lang w:val="en-US" w:eastAsia="zh-CN"/>
              </w:rPr>
              <w:t>净水厂</w:t>
            </w:r>
            <w:r>
              <w:rPr>
                <w:rFonts w:hint="eastAsia" w:ascii="Times New Roman" w:hAnsi="Times New Roman" w:eastAsia="宋体" w:cs="Times New Roman"/>
                <w:color w:val="auto"/>
                <w:sz w:val="24"/>
                <w:szCs w:val="24"/>
                <w:u w:val="single"/>
                <w:lang w:val="en-US" w:eastAsia="zh-CN"/>
              </w:rPr>
              <w:t>用地</w:t>
            </w:r>
            <w:r>
              <w:rPr>
                <w:rFonts w:hint="eastAsia" w:ascii="Times New Roman" w:hAnsi="Times New Roman" w:cs="Times New Roman"/>
                <w:color w:val="auto"/>
                <w:sz w:val="24"/>
                <w:szCs w:val="24"/>
                <w:u w:val="single"/>
                <w:lang w:val="en-US" w:eastAsia="zh-CN"/>
              </w:rPr>
              <w:t>区域不属于</w:t>
            </w:r>
            <w:r>
              <w:rPr>
                <w:rFonts w:hint="eastAsia" w:ascii="Times New Roman" w:hAnsi="Times New Roman" w:eastAsia="宋体" w:cs="Times New Roman"/>
                <w:color w:val="auto"/>
                <w:sz w:val="24"/>
                <w:szCs w:val="24"/>
                <w:u w:val="single"/>
                <w:lang w:val="en-US" w:eastAsia="zh-CN"/>
              </w:rPr>
              <w:t>岳阳楼景区</w:t>
            </w:r>
            <w:r>
              <w:rPr>
                <w:rFonts w:hint="eastAsia" w:ascii="Times New Roman" w:hAnsi="Times New Roman" w:cs="Times New Roman"/>
                <w:color w:val="auto"/>
                <w:sz w:val="24"/>
                <w:szCs w:val="24"/>
                <w:u w:val="single"/>
                <w:lang w:val="en-US" w:eastAsia="zh-CN"/>
              </w:rPr>
              <w:t>景区范围（位于外围保护地带）、东洞庭湖鲤鲫黄颡鱼</w:t>
            </w:r>
            <w:r>
              <w:rPr>
                <w:rFonts w:hint="eastAsia" w:ascii="Times New Roman" w:hAnsi="Times New Roman" w:eastAsia="宋体" w:cs="Times New Roman"/>
                <w:color w:val="auto"/>
                <w:sz w:val="24"/>
                <w:szCs w:val="24"/>
                <w:u w:val="single"/>
                <w:lang w:val="en-US" w:eastAsia="zh-CN"/>
              </w:rPr>
              <w:t>种质资源保护区</w:t>
            </w:r>
            <w:r>
              <w:rPr>
                <w:rFonts w:hint="eastAsia" w:ascii="Times New Roman" w:hAnsi="Times New Roman" w:cs="Times New Roman"/>
                <w:color w:val="auto"/>
                <w:sz w:val="24"/>
                <w:szCs w:val="24"/>
                <w:u w:val="single"/>
                <w:lang w:val="en-US" w:eastAsia="zh-CN"/>
              </w:rPr>
              <w:t>范围，仅备用水源地取水口、取水泵房等设施位于岳阳楼景区保护范围和东洞庭湖鲤鲫黄颡鱼</w:t>
            </w:r>
            <w:r>
              <w:rPr>
                <w:rFonts w:hint="eastAsia" w:ascii="Times New Roman" w:hAnsi="Times New Roman" w:eastAsia="宋体" w:cs="Times New Roman"/>
                <w:color w:val="auto"/>
                <w:sz w:val="24"/>
                <w:szCs w:val="24"/>
                <w:u w:val="single"/>
                <w:lang w:val="en-US" w:eastAsia="zh-CN"/>
              </w:rPr>
              <w:t>种质资源保护区</w:t>
            </w:r>
            <w:r>
              <w:rPr>
                <w:rFonts w:hint="eastAsia" w:ascii="Times New Roman" w:hAnsi="Times New Roman" w:cs="Times New Roman"/>
                <w:color w:val="auto"/>
                <w:sz w:val="24"/>
                <w:szCs w:val="24"/>
                <w:u w:val="single"/>
                <w:lang w:val="en-US" w:eastAsia="zh-CN"/>
              </w:rPr>
              <w:t>核心区保护范围内。</w:t>
            </w:r>
          </w:p>
          <w:p w14:paraId="412C0FB7">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auto"/>
                <w:sz w:val="24"/>
                <w:szCs w:val="24"/>
                <w:u w:val="single"/>
                <w:lang w:val="en-US" w:eastAsia="zh-CN"/>
              </w:rPr>
            </w:pPr>
            <w:r>
              <w:rPr>
                <w:rFonts w:hint="eastAsia" w:ascii="Times New Roman" w:hAnsi="Times New Roman" w:cs="Times New Roman"/>
                <w:color w:val="auto"/>
                <w:sz w:val="24"/>
                <w:szCs w:val="24"/>
                <w:u w:val="single"/>
                <w:lang w:val="en-US" w:eastAsia="zh-CN"/>
              </w:rPr>
              <w:t>项目位于</w:t>
            </w:r>
            <w:r>
              <w:rPr>
                <w:rFonts w:hint="eastAsia" w:ascii="Times New Roman" w:hAnsi="Times New Roman" w:eastAsia="宋体" w:cs="Times New Roman"/>
                <w:color w:val="auto"/>
                <w:sz w:val="24"/>
                <w:szCs w:val="24"/>
                <w:u w:val="single"/>
                <w:lang w:val="en-US" w:eastAsia="zh-CN"/>
              </w:rPr>
              <w:t>备用水源取水</w:t>
            </w:r>
            <w:r>
              <w:rPr>
                <w:rFonts w:hint="eastAsia" w:ascii="Times New Roman" w:hAnsi="Times New Roman" w:cs="Times New Roman"/>
                <w:color w:val="auto"/>
                <w:sz w:val="24"/>
                <w:szCs w:val="24"/>
                <w:u w:val="single"/>
                <w:lang w:val="en-US" w:eastAsia="zh-CN"/>
              </w:rPr>
              <w:t>设施已于1970年建成投产运行，1988年国务院正式批复岳阳楼洞庭湖国家级风景名胜区（含岳阳楼景区），‌2007年经农业部批准东洞庭湖鲤鲫黄颡鱼种质资源保护区，相关保护区的建立加强对水源地生态环境的环境污染治理与控制，并且有效实施“长江禁渔”、“总磷污染控制方案”等生态防护和治污工程方案政策，有效保证水源地水质的改善，起到良好的生态正效应。具体措施方案如：安排城乡排水与污水收集处理管网建设、改造和运行，确保生产生活污水全面收集，达标排放；建设生活废弃物分类投放、收集、中转和运输设施，完善城乡垃圾收集转运体系，推进城乡垃圾一体化处理，兼顾上、下游用水需求，科学制定水量分配方案，优先满足城乡居民生活用水，保障基本生态用水，统筹农业、工业以及航运等需要。</w:t>
            </w:r>
          </w:p>
          <w:p w14:paraId="732E14D3">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由于本次</w:t>
            </w:r>
            <w:r>
              <w:rPr>
                <w:rFonts w:hint="eastAsia" w:ascii="Times New Roman" w:hAnsi="Times New Roman" w:eastAsia="宋体" w:cs="Times New Roman"/>
                <w:color w:val="auto"/>
                <w:sz w:val="24"/>
                <w:szCs w:val="24"/>
                <w:u w:val="none"/>
                <w:lang w:val="en-US" w:eastAsia="zh-CN"/>
              </w:rPr>
              <w:t>评价属于补办环评，项目存在厂区在上述生态敏感区成立之前已建成</w:t>
            </w:r>
            <w:r>
              <w:rPr>
                <w:rFonts w:hint="default" w:ascii="Times New Roman" w:hAnsi="Times New Roman" w:eastAsia="宋体" w:cs="Times New Roman"/>
                <w:color w:val="auto"/>
                <w:sz w:val="24"/>
                <w:szCs w:val="24"/>
                <w:u w:val="none"/>
                <w:lang w:val="en-US" w:eastAsia="zh-CN"/>
              </w:rPr>
              <w:t>，</w:t>
            </w:r>
            <w:r>
              <w:rPr>
                <w:rFonts w:hint="eastAsia" w:ascii="Times New Roman" w:hAnsi="Times New Roman" w:eastAsia="宋体" w:cs="Times New Roman"/>
                <w:color w:val="auto"/>
                <w:sz w:val="24"/>
                <w:szCs w:val="24"/>
                <w:u w:val="none"/>
                <w:lang w:val="en-US" w:eastAsia="zh-CN"/>
              </w:rPr>
              <w:t>本次</w:t>
            </w:r>
            <w:r>
              <w:rPr>
                <w:rFonts w:hint="default" w:ascii="Times New Roman" w:hAnsi="Times New Roman" w:eastAsia="宋体" w:cs="Times New Roman"/>
                <w:color w:val="auto"/>
                <w:sz w:val="24"/>
                <w:szCs w:val="24"/>
                <w:u w:val="none"/>
                <w:lang w:val="en-US" w:eastAsia="zh-CN"/>
              </w:rPr>
              <w:t>无新增用地，项目</w:t>
            </w:r>
            <w:r>
              <w:rPr>
                <w:rFonts w:hint="eastAsia" w:ascii="Times New Roman" w:hAnsi="Times New Roman" w:cs="Times New Roman"/>
                <w:color w:val="auto"/>
                <w:sz w:val="24"/>
                <w:szCs w:val="24"/>
                <w:u w:val="none"/>
                <w:lang w:val="en-US" w:eastAsia="zh-CN"/>
              </w:rPr>
              <w:t>对区域现状</w:t>
            </w:r>
            <w:r>
              <w:rPr>
                <w:rFonts w:hint="default" w:ascii="Times New Roman" w:hAnsi="Times New Roman" w:eastAsia="宋体" w:cs="Times New Roman"/>
                <w:color w:val="auto"/>
                <w:sz w:val="24"/>
                <w:szCs w:val="24"/>
                <w:u w:val="none"/>
                <w:lang w:val="en-US" w:eastAsia="zh-CN"/>
              </w:rPr>
              <w:t>生态</w:t>
            </w:r>
            <w:r>
              <w:rPr>
                <w:rFonts w:hint="eastAsia" w:ascii="Times New Roman" w:hAnsi="Times New Roman" w:cs="Times New Roman"/>
                <w:color w:val="auto"/>
                <w:sz w:val="24"/>
                <w:szCs w:val="24"/>
                <w:u w:val="none"/>
                <w:lang w:val="en-US" w:eastAsia="zh-CN"/>
              </w:rPr>
              <w:t>环境</w:t>
            </w:r>
            <w:r>
              <w:rPr>
                <w:rFonts w:hint="default" w:ascii="Times New Roman" w:hAnsi="Times New Roman" w:eastAsia="宋体" w:cs="Times New Roman"/>
                <w:color w:val="auto"/>
                <w:sz w:val="24"/>
                <w:szCs w:val="24"/>
                <w:u w:val="none"/>
                <w:lang w:val="en-US" w:eastAsia="zh-CN"/>
              </w:rPr>
              <w:t>敏感目标</w:t>
            </w:r>
            <w:r>
              <w:rPr>
                <w:rFonts w:hint="eastAsia" w:ascii="Times New Roman" w:hAnsi="Times New Roman" w:cs="Times New Roman"/>
                <w:color w:val="auto"/>
                <w:sz w:val="24"/>
                <w:szCs w:val="24"/>
                <w:u w:val="none"/>
                <w:lang w:val="en-US" w:eastAsia="zh-CN"/>
              </w:rPr>
              <w:t>无新增生态</w:t>
            </w:r>
            <w:r>
              <w:rPr>
                <w:rFonts w:hint="default" w:ascii="Times New Roman" w:hAnsi="Times New Roman" w:eastAsia="宋体" w:cs="Times New Roman"/>
                <w:color w:val="auto"/>
                <w:sz w:val="24"/>
                <w:szCs w:val="24"/>
                <w:u w:val="none"/>
                <w:lang w:val="en-US" w:eastAsia="zh-CN"/>
              </w:rPr>
              <w:t>态环境影响。</w:t>
            </w:r>
          </w:p>
          <w:p w14:paraId="709ADA01">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七、</w:t>
            </w:r>
            <w:r>
              <w:rPr>
                <w:rFonts w:hint="default" w:ascii="宋体" w:hAnsi="宋体" w:eastAsia="宋体" w:cs="宋体"/>
                <w:b/>
                <w:bCs w:val="0"/>
                <w:sz w:val="24"/>
                <w:szCs w:val="24"/>
                <w:lang w:val="en-US" w:eastAsia="zh-CN"/>
              </w:rPr>
              <w:t>环境风险</w:t>
            </w:r>
            <w:bookmarkEnd w:id="19"/>
            <w:r>
              <w:rPr>
                <w:rFonts w:hint="default" w:ascii="宋体" w:hAnsi="宋体" w:eastAsia="宋体" w:cs="宋体"/>
                <w:b/>
                <w:bCs w:val="0"/>
                <w:sz w:val="24"/>
                <w:szCs w:val="24"/>
                <w:lang w:val="en-US" w:eastAsia="zh-CN"/>
              </w:rPr>
              <w:t>分析</w:t>
            </w:r>
          </w:p>
          <w:p w14:paraId="52801655">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default" w:ascii="Times New Roman" w:hAnsi="Times New Roman" w:eastAsia="宋体" w:cs="Times New Roman"/>
                <w:color w:val="auto"/>
                <w:sz w:val="24"/>
                <w:szCs w:val="24"/>
                <w:u w:val="none"/>
                <w:lang w:val="en-US" w:eastAsia="zh-CN"/>
              </w:rPr>
              <w:t>根据《建设项目环境风险评价技术导则》（HJ169-2018）可知，环境风险评价的目的是分析和预测建设项目存在的潜在危险、有害因素、建设项目的建设和运行期间可能发生的突发性事件或事故（一般不包括人为破坏及自然灾害）引起有毒有害和易燃易爆等物质泄漏所造成的人身安全与环境影响和损害程度，并提出合理可行的防范、应急与减缓措施，以使建设项目事故率、损失和环境影响达到可接受的水平。</w:t>
            </w:r>
          </w:p>
          <w:p w14:paraId="710F1101">
            <w:pPr>
              <w:pStyle w:val="40"/>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cs="Times New Roman"/>
                <w:color w:val="auto"/>
                <w:sz w:val="24"/>
                <w:szCs w:val="24"/>
                <w:lang w:val="en-US" w:eastAsia="zh-CN"/>
              </w:rPr>
              <w:t>项目涉及氯气、废润滑油等多种有毒有害、易燃物质，危险因素主要为泄漏和火灾爆炸，主要环境影响途径为大气。项目实施后严格按照环境风险防范措施对风险源进行防范，加强环境风险管理和监控，及时制定和修订突发环境事件应急预案，并与地方政府突发环境事件应急预案相衔接。在严格落实报告提出的环境风险防范和应急措施前提下，项目环境风险可防控。当发生事故时，建设单位应严格按照应急预案要求采取必要的风险防范和应急措施，降低对外环境的影响程度；必要时，应按照应急预案要求对事故影响范围内下风向的人群进行疏散和撤离，避免人员伤亡。</w:t>
            </w:r>
          </w:p>
          <w:p w14:paraId="70568562">
            <w:pPr>
              <w:pStyle w:val="40"/>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项目具体环境风险影响见附录专项评价内容。</w:t>
            </w:r>
          </w:p>
          <w:p w14:paraId="663242A0">
            <w:pPr>
              <w:pStyle w:val="40"/>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八、环保投资及竣工环保验收</w:t>
            </w:r>
          </w:p>
          <w:p w14:paraId="427483B2">
            <w:pPr>
              <w:spacing w:line="360" w:lineRule="auto"/>
              <w:ind w:firstLine="480" w:firstLineChars="200"/>
              <w:rPr>
                <w:rFonts w:hint="default" w:ascii="Times New Roman" w:hAnsi="Times New Roman" w:cs="Times New Roman"/>
                <w:color w:val="auto"/>
                <w:spacing w:val="0"/>
                <w:sz w:val="24"/>
                <w:u w:val="none" w:color="auto"/>
              </w:rPr>
            </w:pPr>
            <w:r>
              <w:rPr>
                <w:rFonts w:hint="default" w:ascii="Times New Roman" w:hAnsi="Times New Roman" w:cs="Times New Roman"/>
                <w:color w:val="auto"/>
                <w:spacing w:val="0"/>
                <w:sz w:val="24"/>
                <w:u w:val="none" w:color="auto"/>
              </w:rPr>
              <w:t>建设单位应确保环保设施建成并有效治理运营期产生的各项污染源，满足现行环保管理要求。同时建设单位应按相关竣工环保验收管理要求，及时开展项目竣工环境保护验收工作。具体验收清单和环保投资估算见下表：</w:t>
            </w:r>
          </w:p>
          <w:p w14:paraId="70588669">
            <w:pPr>
              <w:pStyle w:val="40"/>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bCs w:val="0"/>
                <w:sz w:val="24"/>
                <w:szCs w:val="21"/>
                <w:lang w:val="en-US" w:eastAsia="zh-CN"/>
              </w:rPr>
            </w:pPr>
            <w:r>
              <w:rPr>
                <w:rFonts w:hint="eastAsia" w:ascii="Times New Roman" w:hAnsi="Times New Roman" w:cs="Times New Roman"/>
                <w:b/>
                <w:bCs w:val="0"/>
                <w:sz w:val="24"/>
                <w:szCs w:val="21"/>
                <w:lang w:val="en-US" w:eastAsia="zh-CN"/>
              </w:rPr>
              <w:t xml:space="preserve">表4-10  </w:t>
            </w:r>
            <w:r>
              <w:rPr>
                <w:rFonts w:hint="eastAsia" w:ascii="Times New Roman" w:hAnsi="Times New Roman" w:eastAsia="宋体" w:cs="Times New Roman"/>
                <w:b/>
                <w:bCs w:val="0"/>
                <w:sz w:val="24"/>
                <w:szCs w:val="21"/>
                <w:lang w:val="en-US" w:eastAsia="zh-CN"/>
              </w:rPr>
              <w:t>项目环保投资及竣工环境保护验收</w:t>
            </w:r>
            <w:r>
              <w:rPr>
                <w:rFonts w:hint="eastAsia" w:ascii="Times New Roman" w:hAnsi="Times New Roman" w:cs="Times New Roman"/>
                <w:b/>
                <w:bCs w:val="0"/>
                <w:sz w:val="24"/>
                <w:szCs w:val="21"/>
                <w:lang w:val="en-US" w:eastAsia="zh-CN"/>
              </w:rPr>
              <w:t>清单</w:t>
            </w:r>
            <w:r>
              <w:rPr>
                <w:rFonts w:hint="eastAsia" w:ascii="Times New Roman" w:hAnsi="Times New Roman" w:eastAsia="宋体" w:cs="Times New Roman"/>
                <w:b/>
                <w:bCs w:val="0"/>
                <w:sz w:val="24"/>
                <w:szCs w:val="21"/>
                <w:lang w:val="en-US" w:eastAsia="zh-CN"/>
              </w:rPr>
              <w:t>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50"/>
              <w:gridCol w:w="3779"/>
              <w:gridCol w:w="1904"/>
            </w:tblGrid>
            <w:tr w14:paraId="3632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26" w:type="pct"/>
                  <w:tcBorders>
                    <w:right w:val="single" w:color="000000" w:sz="4" w:space="0"/>
                    <w:tl2br w:val="nil"/>
                    <w:tr2bl w:val="nil"/>
                  </w:tcBorders>
                  <w:noWrap w:val="0"/>
                  <w:vAlign w:val="center"/>
                </w:tcPr>
                <w:p w14:paraId="37EE301E">
                  <w:pPr>
                    <w:jc w:val="center"/>
                    <w:rPr>
                      <w:rFonts w:hint="default" w:ascii="Times New Roman" w:hAnsi="Times New Roman" w:cs="Times New Roman"/>
                      <w:color w:val="auto"/>
                      <w:spacing w:val="0"/>
                      <w:szCs w:val="21"/>
                      <w:highlight w:val="none"/>
                      <w:u w:val="none" w:color="auto"/>
                    </w:rPr>
                  </w:pPr>
                  <w:r>
                    <w:rPr>
                      <w:rFonts w:hint="default" w:ascii="Times New Roman" w:hAnsi="Times New Roman" w:cs="Times New Roman"/>
                      <w:b w:val="0"/>
                      <w:bCs w:val="0"/>
                      <w:color w:val="auto"/>
                      <w:spacing w:val="0"/>
                      <w:szCs w:val="21"/>
                      <w:highlight w:val="none"/>
                      <w:u w:val="none" w:color="auto"/>
                    </w:rPr>
                    <w:t>类别</w:t>
                  </w:r>
                </w:p>
              </w:tc>
              <w:tc>
                <w:tcPr>
                  <w:tcW w:w="909" w:type="pct"/>
                  <w:tcBorders>
                    <w:left w:val="single" w:color="000000" w:sz="4" w:space="0"/>
                    <w:right w:val="single" w:color="000000" w:sz="4" w:space="0"/>
                    <w:tl2br w:val="nil"/>
                    <w:tr2bl w:val="nil"/>
                  </w:tcBorders>
                  <w:noWrap w:val="0"/>
                  <w:vAlign w:val="center"/>
                </w:tcPr>
                <w:p w14:paraId="75A1D075">
                  <w:pPr>
                    <w:jc w:val="center"/>
                    <w:rPr>
                      <w:rFonts w:hint="default" w:ascii="Times New Roman" w:hAnsi="Times New Roman" w:eastAsia="宋体" w:cs="Times New Roman"/>
                      <w:color w:val="auto"/>
                      <w:spacing w:val="0"/>
                      <w:kern w:val="2"/>
                      <w:sz w:val="21"/>
                      <w:szCs w:val="21"/>
                      <w:highlight w:val="none"/>
                      <w:u w:val="none" w:color="auto"/>
                      <w:lang w:val="en-US" w:eastAsia="zh-CN" w:bidi="ar-SA"/>
                    </w:rPr>
                  </w:pPr>
                  <w:r>
                    <w:rPr>
                      <w:rFonts w:hint="default" w:ascii="Times New Roman" w:hAnsi="Times New Roman" w:cs="Times New Roman"/>
                      <w:b w:val="0"/>
                      <w:bCs w:val="0"/>
                      <w:color w:val="auto"/>
                      <w:spacing w:val="0"/>
                      <w:szCs w:val="21"/>
                      <w:highlight w:val="none"/>
                      <w:u w:val="none" w:color="auto"/>
                    </w:rPr>
                    <w:t>措施或设施</w:t>
                  </w:r>
                </w:p>
              </w:tc>
              <w:tc>
                <w:tcPr>
                  <w:tcW w:w="2369" w:type="pct"/>
                  <w:tcBorders>
                    <w:left w:val="single" w:color="000000" w:sz="4" w:space="0"/>
                    <w:right w:val="single" w:color="000000" w:sz="4" w:space="0"/>
                    <w:tl2br w:val="nil"/>
                    <w:tr2bl w:val="nil"/>
                  </w:tcBorders>
                  <w:noWrap w:val="0"/>
                  <w:vAlign w:val="center"/>
                </w:tcPr>
                <w:p w14:paraId="062CBD7B">
                  <w:pPr>
                    <w:jc w:val="center"/>
                    <w:rPr>
                      <w:rFonts w:hint="default" w:ascii="Times New Roman" w:hAnsi="Times New Roman" w:cs="Times New Roman"/>
                      <w:b w:val="0"/>
                      <w:bCs w:val="0"/>
                      <w:color w:val="auto"/>
                      <w:spacing w:val="0"/>
                      <w:szCs w:val="21"/>
                      <w:highlight w:val="none"/>
                      <w:u w:val="none" w:color="auto"/>
                      <w:lang w:val="en-US" w:eastAsia="zh-CN"/>
                    </w:rPr>
                  </w:pPr>
                  <w:r>
                    <w:rPr>
                      <w:rFonts w:hint="default" w:ascii="Times New Roman" w:hAnsi="Times New Roman" w:cs="Times New Roman"/>
                      <w:b w:val="0"/>
                      <w:bCs w:val="0"/>
                      <w:color w:val="auto"/>
                      <w:spacing w:val="0"/>
                      <w:szCs w:val="21"/>
                      <w:highlight w:val="none"/>
                      <w:u w:val="none" w:color="auto"/>
                    </w:rPr>
                    <w:t>达到效果</w:t>
                  </w:r>
                </w:p>
              </w:tc>
              <w:tc>
                <w:tcPr>
                  <w:tcW w:w="1194" w:type="pct"/>
                  <w:tcBorders>
                    <w:left w:val="single" w:color="000000" w:sz="4" w:space="0"/>
                    <w:tl2br w:val="nil"/>
                    <w:tr2bl w:val="nil"/>
                  </w:tcBorders>
                  <w:noWrap w:val="0"/>
                  <w:vAlign w:val="center"/>
                </w:tcPr>
                <w:p w14:paraId="50F8BB58">
                  <w:pPr>
                    <w:jc w:val="center"/>
                    <w:rPr>
                      <w:rFonts w:hint="default" w:ascii="Times New Roman" w:hAnsi="Times New Roman" w:eastAsia="宋体" w:cs="Times New Roman"/>
                      <w:color w:val="auto"/>
                      <w:spacing w:val="0"/>
                      <w:kern w:val="2"/>
                      <w:sz w:val="21"/>
                      <w:szCs w:val="24"/>
                      <w:highlight w:val="none"/>
                      <w:u w:val="none" w:color="auto"/>
                      <w:lang w:val="en-US" w:eastAsia="zh-CN" w:bidi="ar-SA"/>
                    </w:rPr>
                  </w:pPr>
                  <w:r>
                    <w:rPr>
                      <w:rFonts w:hint="default" w:ascii="Times New Roman" w:hAnsi="Times New Roman" w:cs="Times New Roman"/>
                      <w:b w:val="0"/>
                      <w:bCs w:val="0"/>
                      <w:color w:val="auto"/>
                      <w:spacing w:val="0"/>
                      <w:szCs w:val="21"/>
                      <w:highlight w:val="none"/>
                      <w:u w:val="none" w:color="auto"/>
                    </w:rPr>
                    <w:t>投资（万元）</w:t>
                  </w:r>
                </w:p>
              </w:tc>
            </w:tr>
            <w:tr w14:paraId="5856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6" w:type="pct"/>
                  <w:vMerge w:val="restart"/>
                  <w:tcBorders>
                    <w:tl2br w:val="nil"/>
                    <w:tr2bl w:val="nil"/>
                  </w:tcBorders>
                  <w:noWrap w:val="0"/>
                  <w:vAlign w:val="center"/>
                </w:tcPr>
                <w:p w14:paraId="78C1A327">
                  <w:pPr>
                    <w:jc w:val="center"/>
                    <w:rPr>
                      <w:rFonts w:hint="default" w:ascii="Times New Roman" w:hAnsi="Times New Roman" w:cs="Times New Roman"/>
                      <w:color w:val="auto"/>
                      <w:spacing w:val="0"/>
                      <w:szCs w:val="21"/>
                      <w:highlight w:val="none"/>
                      <w:u w:val="none" w:color="auto"/>
                    </w:rPr>
                  </w:pPr>
                  <w:r>
                    <w:rPr>
                      <w:rFonts w:hint="default" w:ascii="Times New Roman" w:hAnsi="Times New Roman" w:cs="Times New Roman"/>
                      <w:color w:val="auto"/>
                      <w:spacing w:val="0"/>
                      <w:szCs w:val="21"/>
                      <w:highlight w:val="none"/>
                      <w:u w:val="none" w:color="auto"/>
                    </w:rPr>
                    <w:t>废气</w:t>
                  </w:r>
                </w:p>
              </w:tc>
              <w:tc>
                <w:tcPr>
                  <w:tcW w:w="909" w:type="pct"/>
                  <w:tcBorders>
                    <w:tl2br w:val="nil"/>
                    <w:tr2bl w:val="nil"/>
                  </w:tcBorders>
                  <w:noWrap w:val="0"/>
                  <w:vAlign w:val="center"/>
                </w:tcPr>
                <w:p w14:paraId="7DAC5E16">
                  <w:pPr>
                    <w:jc w:val="center"/>
                    <w:rPr>
                      <w:rFonts w:hint="default" w:ascii="Times New Roman" w:hAnsi="Times New Roman" w:eastAsia="宋体" w:cs="Times New Roman"/>
                      <w:color w:val="auto"/>
                      <w:spacing w:val="0"/>
                      <w:kern w:val="2"/>
                      <w:sz w:val="21"/>
                      <w:szCs w:val="21"/>
                      <w:highlight w:val="none"/>
                      <w:u w:val="none" w:color="auto"/>
                      <w:lang w:val="en-US" w:eastAsia="zh-CN" w:bidi="ar-SA"/>
                    </w:rPr>
                  </w:pPr>
                  <w:r>
                    <w:rPr>
                      <w:rFonts w:hint="eastAsia"/>
                      <w:bCs/>
                      <w:color w:val="auto"/>
                      <w:sz w:val="21"/>
                      <w:szCs w:val="21"/>
                      <w:u w:val="none" w:color="auto"/>
                      <w:lang w:val="en-US" w:eastAsia="zh-CN"/>
                    </w:rPr>
                    <w:t>臭气废气</w:t>
                  </w:r>
                </w:p>
              </w:tc>
              <w:tc>
                <w:tcPr>
                  <w:tcW w:w="2369" w:type="pct"/>
                  <w:tcBorders>
                    <w:tl2br w:val="nil"/>
                    <w:tr2bl w:val="nil"/>
                  </w:tcBorders>
                  <w:noWrap w:val="0"/>
                  <w:vAlign w:val="center"/>
                </w:tcPr>
                <w:p w14:paraId="00633CBE">
                  <w:pPr>
                    <w:autoSpaceDE w:val="0"/>
                    <w:autoSpaceDN w:val="0"/>
                    <w:jc w:val="center"/>
                    <w:rPr>
                      <w:rFonts w:hint="default" w:ascii="Times New Roman" w:hAnsi="Times New Roman" w:eastAsia="宋体" w:cs="Times New Roman"/>
                      <w:color w:val="auto"/>
                      <w:spacing w:val="0"/>
                      <w:kern w:val="0"/>
                      <w:sz w:val="21"/>
                      <w:szCs w:val="21"/>
                      <w:highlight w:val="none"/>
                      <w:u w:val="none" w:color="auto"/>
                      <w:lang w:val="en-US" w:eastAsia="zh-CN"/>
                    </w:rPr>
                  </w:pPr>
                  <w:r>
                    <w:rPr>
                      <w:rFonts w:hint="eastAsia" w:cs="Times New Roman"/>
                      <w:color w:val="auto"/>
                      <w:sz w:val="21"/>
                      <w:szCs w:val="21"/>
                      <w:u w:val="none" w:color="auto"/>
                      <w:lang w:val="en-US" w:eastAsia="zh-CN"/>
                    </w:rPr>
                    <w:t>污泥处理间为密闭式</w:t>
                  </w:r>
                </w:p>
              </w:tc>
              <w:tc>
                <w:tcPr>
                  <w:tcW w:w="1194" w:type="pct"/>
                  <w:tcBorders>
                    <w:tl2br w:val="nil"/>
                    <w:tr2bl w:val="nil"/>
                  </w:tcBorders>
                  <w:noWrap w:val="0"/>
                  <w:vAlign w:val="center"/>
                </w:tcPr>
                <w:p w14:paraId="209A4D88">
                  <w:pPr>
                    <w:jc w:val="center"/>
                    <w:rPr>
                      <w:rFonts w:hint="default" w:ascii="Times New Roman" w:hAnsi="Times New Roman" w:eastAsia="宋体" w:cs="Times New Roman"/>
                      <w:color w:val="auto"/>
                      <w:spacing w:val="0"/>
                      <w:kern w:val="2"/>
                      <w:sz w:val="21"/>
                      <w:szCs w:val="24"/>
                      <w:highlight w:val="none"/>
                      <w:u w:val="none" w:color="auto"/>
                      <w:lang w:val="en-US" w:eastAsia="zh-CN" w:bidi="ar-SA"/>
                    </w:rPr>
                  </w:pPr>
                  <w:r>
                    <w:rPr>
                      <w:rFonts w:hint="eastAsia" w:cs="Times New Roman"/>
                      <w:color w:val="auto"/>
                      <w:spacing w:val="0"/>
                      <w:kern w:val="2"/>
                      <w:sz w:val="21"/>
                      <w:szCs w:val="24"/>
                      <w:highlight w:val="none"/>
                      <w:u w:val="none" w:color="auto"/>
                      <w:lang w:val="en-US" w:eastAsia="zh-CN" w:bidi="ar-SA"/>
                    </w:rPr>
                    <w:t>计入工程建设投资</w:t>
                  </w:r>
                </w:p>
              </w:tc>
            </w:tr>
            <w:tr w14:paraId="02A3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26" w:type="pct"/>
                  <w:vMerge w:val="continue"/>
                  <w:tcBorders>
                    <w:tl2br w:val="nil"/>
                    <w:tr2bl w:val="nil"/>
                  </w:tcBorders>
                  <w:noWrap w:val="0"/>
                  <w:vAlign w:val="center"/>
                </w:tcPr>
                <w:p w14:paraId="699B7DA3">
                  <w:pPr>
                    <w:jc w:val="center"/>
                    <w:rPr>
                      <w:rFonts w:hint="default" w:ascii="Times New Roman" w:hAnsi="Times New Roman" w:cs="Times New Roman"/>
                      <w:color w:val="auto"/>
                      <w:spacing w:val="0"/>
                      <w:szCs w:val="21"/>
                      <w:highlight w:val="none"/>
                      <w:u w:val="none" w:color="auto"/>
                    </w:rPr>
                  </w:pPr>
                </w:p>
              </w:tc>
              <w:tc>
                <w:tcPr>
                  <w:tcW w:w="909" w:type="pct"/>
                  <w:tcBorders>
                    <w:tl2br w:val="nil"/>
                    <w:tr2bl w:val="nil"/>
                  </w:tcBorders>
                  <w:noWrap w:val="0"/>
                  <w:vAlign w:val="center"/>
                </w:tcPr>
                <w:p w14:paraId="0105975B">
                  <w:pPr>
                    <w:jc w:val="center"/>
                    <w:rPr>
                      <w:rFonts w:hint="default"/>
                      <w:bCs/>
                      <w:color w:val="auto"/>
                      <w:sz w:val="21"/>
                      <w:szCs w:val="21"/>
                      <w:u w:val="none" w:color="auto"/>
                      <w:lang w:val="en-US" w:eastAsia="zh-CN"/>
                    </w:rPr>
                  </w:pPr>
                  <w:r>
                    <w:rPr>
                      <w:rFonts w:hint="eastAsia"/>
                      <w:bCs/>
                      <w:color w:val="auto"/>
                      <w:sz w:val="21"/>
                      <w:szCs w:val="21"/>
                      <w:u w:val="none" w:color="auto"/>
                      <w:lang w:val="en-US" w:eastAsia="zh-CN"/>
                    </w:rPr>
                    <w:t>刺激性异味</w:t>
                  </w:r>
                </w:p>
              </w:tc>
              <w:tc>
                <w:tcPr>
                  <w:tcW w:w="2369" w:type="pct"/>
                  <w:tcBorders>
                    <w:tl2br w:val="nil"/>
                    <w:tr2bl w:val="nil"/>
                  </w:tcBorders>
                  <w:noWrap w:val="0"/>
                  <w:vAlign w:val="center"/>
                </w:tcPr>
                <w:p w14:paraId="70FBB6E0">
                  <w:pPr>
                    <w:autoSpaceDE w:val="0"/>
                    <w:autoSpaceDN w:val="0"/>
                    <w:jc w:val="center"/>
                    <w:rPr>
                      <w:rFonts w:hint="eastAsia" w:cs="Times New Roman"/>
                      <w:color w:val="auto"/>
                      <w:sz w:val="21"/>
                      <w:szCs w:val="21"/>
                      <w:u w:val="none" w:color="auto"/>
                      <w:lang w:val="en-US" w:eastAsia="zh-CN"/>
                    </w:rPr>
                  </w:pPr>
                  <w:r>
                    <w:rPr>
                      <w:rFonts w:hint="eastAsia"/>
                      <w:lang w:val="en-US" w:eastAsia="zh-CN"/>
                    </w:rPr>
                    <w:t>加药间设置通风换气系统（强制排风换气系统），加氯间配套漏氯吸收安全装置（事故状态和更换氯气钢瓶时启用）</w:t>
                  </w:r>
                </w:p>
              </w:tc>
              <w:tc>
                <w:tcPr>
                  <w:tcW w:w="1194" w:type="pct"/>
                  <w:tcBorders>
                    <w:tl2br w:val="nil"/>
                    <w:tr2bl w:val="nil"/>
                  </w:tcBorders>
                  <w:noWrap w:val="0"/>
                  <w:vAlign w:val="center"/>
                </w:tcPr>
                <w:p w14:paraId="78B38873">
                  <w:pPr>
                    <w:jc w:val="center"/>
                    <w:rPr>
                      <w:rFonts w:hint="default" w:cs="Times New Roman"/>
                      <w:color w:val="auto"/>
                      <w:spacing w:val="0"/>
                      <w:kern w:val="2"/>
                      <w:sz w:val="21"/>
                      <w:szCs w:val="24"/>
                      <w:highlight w:val="none"/>
                      <w:u w:val="none" w:color="auto"/>
                      <w:lang w:val="en-US" w:eastAsia="zh-CN" w:bidi="ar-SA"/>
                    </w:rPr>
                  </w:pPr>
                  <w:r>
                    <w:rPr>
                      <w:rFonts w:hint="eastAsia" w:cs="Times New Roman"/>
                      <w:color w:val="auto"/>
                      <w:spacing w:val="0"/>
                      <w:kern w:val="2"/>
                      <w:sz w:val="21"/>
                      <w:szCs w:val="24"/>
                      <w:highlight w:val="none"/>
                      <w:u w:val="none" w:color="auto"/>
                      <w:lang w:val="en-US" w:eastAsia="zh-CN" w:bidi="ar-SA"/>
                    </w:rPr>
                    <w:t>15</w:t>
                  </w:r>
                </w:p>
              </w:tc>
            </w:tr>
            <w:tr w14:paraId="0D86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vMerge w:val="restart"/>
                  <w:tcBorders>
                    <w:tl2br w:val="nil"/>
                    <w:tr2bl w:val="nil"/>
                  </w:tcBorders>
                  <w:noWrap w:val="0"/>
                  <w:vAlign w:val="center"/>
                </w:tcPr>
                <w:p w14:paraId="2ADD30E1">
                  <w:pPr>
                    <w:jc w:val="center"/>
                    <w:rPr>
                      <w:rFonts w:hint="default" w:ascii="Times New Roman" w:hAnsi="Times New Roman" w:cs="Times New Roman"/>
                      <w:color w:val="auto"/>
                      <w:spacing w:val="0"/>
                      <w:szCs w:val="21"/>
                      <w:highlight w:val="none"/>
                      <w:u w:val="none" w:color="auto"/>
                      <w:lang w:val="en-US" w:eastAsia="zh-CN"/>
                    </w:rPr>
                  </w:pPr>
                  <w:r>
                    <w:rPr>
                      <w:rFonts w:hint="eastAsia" w:cs="Times New Roman"/>
                      <w:color w:val="auto"/>
                      <w:spacing w:val="0"/>
                      <w:szCs w:val="21"/>
                      <w:highlight w:val="none"/>
                      <w:u w:val="none" w:color="auto"/>
                      <w:lang w:val="en-US" w:eastAsia="zh-CN"/>
                    </w:rPr>
                    <w:t>废水</w:t>
                  </w:r>
                </w:p>
              </w:tc>
              <w:tc>
                <w:tcPr>
                  <w:tcW w:w="909" w:type="pct"/>
                  <w:tcBorders>
                    <w:tl2br w:val="nil"/>
                    <w:tr2bl w:val="nil"/>
                  </w:tcBorders>
                  <w:noWrap w:val="0"/>
                  <w:vAlign w:val="center"/>
                </w:tcPr>
                <w:p w14:paraId="5A7DFBB4">
                  <w:pPr>
                    <w:jc w:val="center"/>
                    <w:rPr>
                      <w:rFonts w:hint="default" w:ascii="Times New Roman" w:hAnsi="Times New Roman" w:eastAsia="宋体" w:cs="Times New Roman"/>
                      <w:bCs/>
                      <w:color w:val="auto"/>
                      <w:spacing w:val="0"/>
                      <w:szCs w:val="21"/>
                      <w:highlight w:val="none"/>
                      <w:u w:val="none" w:color="auto"/>
                      <w:lang w:val="en-US" w:eastAsia="zh-CN"/>
                    </w:rPr>
                  </w:pPr>
                  <w:r>
                    <w:rPr>
                      <w:rFonts w:hint="eastAsia" w:cs="Times New Roman"/>
                      <w:bCs/>
                      <w:color w:val="auto"/>
                      <w:spacing w:val="0"/>
                      <w:szCs w:val="21"/>
                      <w:highlight w:val="none"/>
                      <w:u w:val="none" w:color="auto"/>
                      <w:lang w:val="en-US" w:eastAsia="zh-CN"/>
                    </w:rPr>
                    <w:t>生产废水（排泥废水）</w:t>
                  </w:r>
                </w:p>
              </w:tc>
              <w:tc>
                <w:tcPr>
                  <w:tcW w:w="2369" w:type="pct"/>
                  <w:tcBorders>
                    <w:tl2br w:val="nil"/>
                    <w:tr2bl w:val="nil"/>
                  </w:tcBorders>
                  <w:noWrap w:val="0"/>
                  <w:vAlign w:val="center"/>
                </w:tcPr>
                <w:p w14:paraId="1E93AD26">
                  <w:pPr>
                    <w:jc w:val="center"/>
                    <w:rPr>
                      <w:rFonts w:hint="default" w:ascii="Times New Roman" w:hAnsi="Times New Roman" w:cs="Times New Roman"/>
                      <w:color w:val="auto"/>
                      <w:spacing w:val="0"/>
                      <w:szCs w:val="21"/>
                      <w:highlight w:val="none"/>
                      <w:u w:val="none" w:color="auto"/>
                      <w:lang w:val="en-US" w:eastAsia="zh-CN"/>
                    </w:rPr>
                  </w:pPr>
                  <w:r>
                    <w:rPr>
                      <w:rFonts w:hint="eastAsia" w:ascii="Times New Roman" w:cs="Times New Roman"/>
                      <w:b w:val="0"/>
                      <w:bCs/>
                      <w:color w:val="auto"/>
                      <w:sz w:val="21"/>
                      <w:szCs w:val="21"/>
                      <w:u w:val="none"/>
                      <w:lang w:val="en-US" w:eastAsia="zh-CN"/>
                    </w:rPr>
                    <w:t>排泥池（收集净水生产线排泥水）+污泥脱水处理（设置污泥浓缩、离心脱水设备，污泥贮存池，泥饼堆放区）+清水回用（污泥浓缩上清液进回收水池），预留一座容积1000立方米回收水池（目前有一座300立方米回收水池）</w:t>
                  </w:r>
                </w:p>
              </w:tc>
              <w:tc>
                <w:tcPr>
                  <w:tcW w:w="1194" w:type="pct"/>
                  <w:tcBorders>
                    <w:tl2br w:val="nil"/>
                    <w:tr2bl w:val="nil"/>
                  </w:tcBorders>
                  <w:noWrap w:val="0"/>
                  <w:vAlign w:val="center"/>
                </w:tcPr>
                <w:p w14:paraId="5B59A8D4">
                  <w:pPr>
                    <w:jc w:val="center"/>
                    <w:rPr>
                      <w:rFonts w:hint="default" w:ascii="Times New Roman" w:hAnsi="Times New Roman" w:cs="Times New Roman"/>
                      <w:color w:val="auto"/>
                      <w:spacing w:val="0"/>
                      <w:highlight w:val="none"/>
                      <w:u w:val="none" w:color="auto"/>
                      <w:lang w:val="en-US" w:eastAsia="zh-CN"/>
                    </w:rPr>
                  </w:pPr>
                  <w:r>
                    <w:rPr>
                      <w:rFonts w:hint="eastAsia" w:cs="Times New Roman"/>
                      <w:color w:val="auto"/>
                      <w:spacing w:val="0"/>
                      <w:highlight w:val="none"/>
                      <w:u w:val="none" w:color="auto"/>
                      <w:lang w:val="en-US" w:eastAsia="zh-CN"/>
                    </w:rPr>
                    <w:t>600</w:t>
                  </w:r>
                </w:p>
              </w:tc>
            </w:tr>
            <w:tr w14:paraId="4622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vMerge w:val="continue"/>
                  <w:tcBorders>
                    <w:tl2br w:val="nil"/>
                    <w:tr2bl w:val="nil"/>
                  </w:tcBorders>
                  <w:noWrap w:val="0"/>
                  <w:vAlign w:val="center"/>
                </w:tcPr>
                <w:p w14:paraId="016E2073">
                  <w:pPr>
                    <w:jc w:val="center"/>
                    <w:rPr>
                      <w:rFonts w:hint="eastAsia" w:cs="Times New Roman"/>
                      <w:color w:val="auto"/>
                      <w:spacing w:val="0"/>
                      <w:szCs w:val="21"/>
                      <w:highlight w:val="none"/>
                      <w:u w:val="none" w:color="auto"/>
                      <w:lang w:val="en-US" w:eastAsia="zh-CN"/>
                    </w:rPr>
                  </w:pPr>
                </w:p>
              </w:tc>
              <w:tc>
                <w:tcPr>
                  <w:tcW w:w="909" w:type="pct"/>
                  <w:tcBorders>
                    <w:tl2br w:val="nil"/>
                    <w:tr2bl w:val="nil"/>
                  </w:tcBorders>
                  <w:noWrap w:val="0"/>
                  <w:vAlign w:val="center"/>
                </w:tcPr>
                <w:p w14:paraId="21C8D904">
                  <w:pPr>
                    <w:jc w:val="center"/>
                    <w:rPr>
                      <w:rFonts w:hint="default" w:cs="Times New Roman"/>
                      <w:bCs/>
                      <w:color w:val="auto"/>
                      <w:spacing w:val="0"/>
                      <w:szCs w:val="21"/>
                      <w:highlight w:val="none"/>
                      <w:u w:val="none" w:color="auto"/>
                      <w:lang w:val="en-US" w:eastAsia="zh-CN"/>
                    </w:rPr>
                  </w:pPr>
                  <w:r>
                    <w:rPr>
                      <w:rFonts w:hint="eastAsia" w:cs="Times New Roman"/>
                      <w:bCs/>
                      <w:color w:val="auto"/>
                      <w:spacing w:val="0"/>
                      <w:szCs w:val="21"/>
                      <w:highlight w:val="none"/>
                      <w:u w:val="none" w:color="auto"/>
                      <w:lang w:val="en-US" w:eastAsia="zh-CN"/>
                    </w:rPr>
                    <w:t>生活污水</w:t>
                  </w:r>
                </w:p>
              </w:tc>
              <w:tc>
                <w:tcPr>
                  <w:tcW w:w="2369" w:type="pct"/>
                  <w:tcBorders>
                    <w:tl2br w:val="nil"/>
                    <w:tr2bl w:val="nil"/>
                  </w:tcBorders>
                  <w:noWrap w:val="0"/>
                  <w:vAlign w:val="center"/>
                </w:tcPr>
                <w:p w14:paraId="4D97E058">
                  <w:pPr>
                    <w:jc w:val="center"/>
                    <w:rPr>
                      <w:rFonts w:hint="default"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办公区现有化粪池</w:t>
                  </w:r>
                </w:p>
              </w:tc>
              <w:tc>
                <w:tcPr>
                  <w:tcW w:w="1194" w:type="pct"/>
                  <w:tcBorders>
                    <w:tl2br w:val="nil"/>
                    <w:tr2bl w:val="nil"/>
                  </w:tcBorders>
                  <w:noWrap w:val="0"/>
                  <w:vAlign w:val="center"/>
                </w:tcPr>
                <w:p w14:paraId="114784D3">
                  <w:pPr>
                    <w:jc w:val="center"/>
                    <w:rPr>
                      <w:rFonts w:hint="default" w:cs="Times New Roman"/>
                      <w:color w:val="auto"/>
                      <w:spacing w:val="0"/>
                      <w:highlight w:val="none"/>
                      <w:u w:val="none" w:color="auto"/>
                      <w:lang w:val="en-US" w:eastAsia="zh-CN"/>
                    </w:rPr>
                  </w:pPr>
                  <w:r>
                    <w:rPr>
                      <w:rFonts w:hint="eastAsia" w:cs="Times New Roman"/>
                      <w:color w:val="auto"/>
                      <w:spacing w:val="0"/>
                      <w:kern w:val="2"/>
                      <w:sz w:val="21"/>
                      <w:szCs w:val="24"/>
                      <w:highlight w:val="none"/>
                      <w:u w:val="none" w:color="auto"/>
                      <w:lang w:val="en-US" w:eastAsia="zh-CN" w:bidi="ar-SA"/>
                    </w:rPr>
                    <w:t>计入工程建设投资</w:t>
                  </w:r>
                </w:p>
              </w:tc>
            </w:tr>
            <w:tr w14:paraId="16CB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tcBorders>
                    <w:tl2br w:val="nil"/>
                    <w:tr2bl w:val="nil"/>
                  </w:tcBorders>
                  <w:noWrap w:val="0"/>
                  <w:vAlign w:val="center"/>
                </w:tcPr>
                <w:p w14:paraId="2314D25E">
                  <w:pPr>
                    <w:jc w:val="center"/>
                    <w:rPr>
                      <w:rFonts w:hint="default" w:ascii="Times New Roman" w:hAnsi="Times New Roman" w:eastAsia="宋体" w:cs="Times New Roman"/>
                      <w:color w:val="auto"/>
                      <w:spacing w:val="0"/>
                      <w:szCs w:val="21"/>
                      <w:highlight w:val="none"/>
                      <w:u w:val="none" w:color="auto"/>
                      <w:lang w:val="en-US" w:eastAsia="zh-CN"/>
                    </w:rPr>
                  </w:pPr>
                  <w:r>
                    <w:rPr>
                      <w:rFonts w:hint="default" w:ascii="Times New Roman" w:hAnsi="Times New Roman" w:cs="Times New Roman"/>
                      <w:color w:val="auto"/>
                      <w:spacing w:val="0"/>
                      <w:szCs w:val="21"/>
                      <w:highlight w:val="none"/>
                      <w:u w:val="none" w:color="auto"/>
                      <w:lang w:val="en-US" w:eastAsia="zh-CN"/>
                    </w:rPr>
                    <w:t>噪声</w:t>
                  </w:r>
                </w:p>
              </w:tc>
              <w:tc>
                <w:tcPr>
                  <w:tcW w:w="909" w:type="pct"/>
                  <w:tcBorders>
                    <w:tl2br w:val="nil"/>
                    <w:tr2bl w:val="nil"/>
                  </w:tcBorders>
                  <w:noWrap w:val="0"/>
                  <w:vAlign w:val="center"/>
                </w:tcPr>
                <w:p w14:paraId="72810962">
                  <w:pPr>
                    <w:jc w:val="center"/>
                    <w:rPr>
                      <w:rFonts w:hint="default" w:ascii="Times New Roman" w:hAnsi="Times New Roman" w:eastAsia="宋体" w:cs="Times New Roman"/>
                      <w:color w:val="auto"/>
                      <w:spacing w:val="0"/>
                      <w:kern w:val="2"/>
                      <w:sz w:val="21"/>
                      <w:szCs w:val="21"/>
                      <w:highlight w:val="none"/>
                      <w:u w:val="none" w:color="auto"/>
                      <w:lang w:val="en-US" w:eastAsia="zh-CN" w:bidi="ar-SA"/>
                    </w:rPr>
                  </w:pPr>
                  <w:r>
                    <w:rPr>
                      <w:rFonts w:hint="eastAsia" w:ascii="Times New Roman" w:hAnsi="Times New Roman" w:eastAsia="宋体" w:cs="Times New Roman"/>
                      <w:color w:val="auto"/>
                      <w:spacing w:val="0"/>
                      <w:kern w:val="2"/>
                      <w:sz w:val="21"/>
                      <w:szCs w:val="21"/>
                      <w:highlight w:val="none"/>
                      <w:u w:val="none" w:color="auto"/>
                      <w:lang w:val="en-US" w:eastAsia="zh-CN" w:bidi="ar-SA"/>
                    </w:rPr>
                    <w:t>设备噪声</w:t>
                  </w:r>
                </w:p>
              </w:tc>
              <w:tc>
                <w:tcPr>
                  <w:tcW w:w="2369" w:type="pct"/>
                  <w:tcBorders>
                    <w:tl2br w:val="nil"/>
                    <w:tr2bl w:val="nil"/>
                  </w:tcBorders>
                  <w:noWrap w:val="0"/>
                  <w:vAlign w:val="center"/>
                </w:tcPr>
                <w:p w14:paraId="495095DE">
                  <w:pPr>
                    <w:jc w:val="center"/>
                    <w:rPr>
                      <w:rFonts w:hint="default" w:ascii="Times New Roman" w:hAnsi="Times New Roman" w:eastAsia="宋体" w:cs="Times New Roman"/>
                      <w:color w:val="auto"/>
                      <w:spacing w:val="0"/>
                      <w:kern w:val="2"/>
                      <w:sz w:val="21"/>
                      <w:szCs w:val="21"/>
                      <w:highlight w:val="none"/>
                      <w:u w:val="none" w:color="auto"/>
                      <w:lang w:val="en-US" w:eastAsia="zh-CN" w:bidi="ar-SA"/>
                    </w:rPr>
                  </w:pPr>
                  <w:r>
                    <w:rPr>
                      <w:rFonts w:hint="default" w:ascii="Times New Roman" w:hAnsi="Times New Roman" w:cs="Times New Roman"/>
                      <w:bCs/>
                      <w:color w:val="auto"/>
                      <w:spacing w:val="0"/>
                      <w:szCs w:val="21"/>
                      <w:highlight w:val="none"/>
                      <w:u w:val="none" w:color="auto"/>
                    </w:rPr>
                    <w:t>结构隔声、</w:t>
                  </w:r>
                  <w:r>
                    <w:rPr>
                      <w:rFonts w:hint="eastAsia" w:ascii="Times New Roman" w:hAnsi="Times New Roman" w:cs="Times New Roman"/>
                      <w:bCs/>
                      <w:color w:val="auto"/>
                      <w:spacing w:val="0"/>
                      <w:szCs w:val="21"/>
                      <w:highlight w:val="none"/>
                      <w:u w:val="none" w:color="auto"/>
                      <w:lang w:val="en-US" w:eastAsia="zh-CN"/>
                    </w:rPr>
                    <w:t>设备</w:t>
                  </w:r>
                  <w:r>
                    <w:rPr>
                      <w:rFonts w:hint="default" w:ascii="Times New Roman" w:hAnsi="Times New Roman" w:cs="Times New Roman"/>
                      <w:bCs/>
                      <w:color w:val="auto"/>
                      <w:spacing w:val="0"/>
                      <w:szCs w:val="21"/>
                      <w:highlight w:val="none"/>
                      <w:u w:val="none" w:color="auto"/>
                    </w:rPr>
                    <w:t>基础减振、消声等措施</w:t>
                  </w:r>
                </w:p>
              </w:tc>
              <w:tc>
                <w:tcPr>
                  <w:tcW w:w="1194" w:type="pct"/>
                  <w:tcBorders>
                    <w:tl2br w:val="nil"/>
                    <w:tr2bl w:val="nil"/>
                  </w:tcBorders>
                  <w:noWrap w:val="0"/>
                  <w:vAlign w:val="center"/>
                </w:tcPr>
                <w:p w14:paraId="1CC05959">
                  <w:pPr>
                    <w:jc w:val="center"/>
                    <w:rPr>
                      <w:rFonts w:hint="default" w:ascii="Times New Roman" w:hAnsi="Times New Roman" w:eastAsia="宋体" w:cs="Times New Roman"/>
                      <w:color w:val="auto"/>
                      <w:spacing w:val="0"/>
                      <w:highlight w:val="none"/>
                      <w:u w:val="none" w:color="auto"/>
                      <w:lang w:val="en-US" w:eastAsia="zh-CN"/>
                    </w:rPr>
                  </w:pPr>
                  <w:r>
                    <w:rPr>
                      <w:rFonts w:hint="eastAsia" w:cs="Times New Roman"/>
                      <w:color w:val="auto"/>
                      <w:spacing w:val="0"/>
                      <w:highlight w:val="none"/>
                      <w:u w:val="none" w:color="auto"/>
                      <w:lang w:val="en-US" w:eastAsia="zh-CN"/>
                    </w:rPr>
                    <w:t>50</w:t>
                  </w:r>
                </w:p>
              </w:tc>
            </w:tr>
            <w:tr w14:paraId="2464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tcBorders>
                    <w:tl2br w:val="nil"/>
                    <w:tr2bl w:val="nil"/>
                  </w:tcBorders>
                  <w:noWrap w:val="0"/>
                  <w:vAlign w:val="center"/>
                </w:tcPr>
                <w:p w14:paraId="2D9C8AF2">
                  <w:pPr>
                    <w:jc w:val="center"/>
                    <w:rPr>
                      <w:rFonts w:hint="default" w:ascii="Times New Roman" w:hAnsi="Times New Roman" w:cs="Times New Roman"/>
                      <w:color w:val="auto"/>
                      <w:spacing w:val="0"/>
                      <w:szCs w:val="21"/>
                      <w:highlight w:val="none"/>
                      <w:u w:val="none" w:color="auto"/>
                    </w:rPr>
                  </w:pPr>
                  <w:r>
                    <w:rPr>
                      <w:rFonts w:hint="default" w:ascii="Times New Roman" w:hAnsi="Times New Roman" w:cs="Times New Roman"/>
                      <w:color w:val="auto"/>
                      <w:spacing w:val="0"/>
                      <w:szCs w:val="21"/>
                      <w:highlight w:val="none"/>
                      <w:u w:val="none" w:color="auto"/>
                    </w:rPr>
                    <w:t>固废</w:t>
                  </w:r>
                </w:p>
              </w:tc>
              <w:tc>
                <w:tcPr>
                  <w:tcW w:w="909" w:type="pct"/>
                  <w:tcBorders>
                    <w:tl2br w:val="nil"/>
                    <w:tr2bl w:val="nil"/>
                  </w:tcBorders>
                  <w:noWrap w:val="0"/>
                  <w:vAlign w:val="center"/>
                </w:tcPr>
                <w:p w14:paraId="42EC5CCB">
                  <w:pPr>
                    <w:jc w:val="center"/>
                    <w:rPr>
                      <w:rFonts w:hint="default" w:ascii="Times New Roman" w:hAnsi="Times New Roman" w:eastAsia="宋体" w:cs="Times New Roman"/>
                      <w:color w:val="auto"/>
                      <w:spacing w:val="0"/>
                      <w:kern w:val="2"/>
                      <w:sz w:val="21"/>
                      <w:szCs w:val="21"/>
                      <w:highlight w:val="none"/>
                      <w:u w:val="none" w:color="auto"/>
                      <w:lang w:val="en-US" w:eastAsia="zh-CN" w:bidi="ar-SA"/>
                    </w:rPr>
                  </w:pPr>
                  <w:r>
                    <w:rPr>
                      <w:rFonts w:hint="eastAsia" w:cs="Times New Roman"/>
                      <w:color w:val="auto"/>
                      <w:spacing w:val="0"/>
                      <w:kern w:val="2"/>
                      <w:sz w:val="21"/>
                      <w:szCs w:val="21"/>
                      <w:highlight w:val="none"/>
                      <w:u w:val="none" w:color="auto"/>
                      <w:lang w:val="en-US" w:eastAsia="zh-CN" w:bidi="ar-SA"/>
                    </w:rPr>
                    <w:t>一般固废间</w:t>
                  </w:r>
                </w:p>
              </w:tc>
              <w:tc>
                <w:tcPr>
                  <w:tcW w:w="2369" w:type="pct"/>
                  <w:tcBorders>
                    <w:tl2br w:val="nil"/>
                    <w:tr2bl w:val="nil"/>
                  </w:tcBorders>
                  <w:noWrap w:val="0"/>
                  <w:vAlign w:val="center"/>
                </w:tcPr>
                <w:p w14:paraId="1D6F6D56">
                  <w:pPr>
                    <w:jc w:val="center"/>
                    <w:rPr>
                      <w:rFonts w:hint="default" w:ascii="Times New Roman" w:hAnsi="Times New Roman" w:cs="Times New Roman"/>
                      <w:color w:val="auto"/>
                      <w:spacing w:val="0"/>
                      <w:szCs w:val="21"/>
                      <w:highlight w:val="none"/>
                      <w:u w:val="none" w:color="auto"/>
                      <w:lang w:val="en-US"/>
                    </w:rPr>
                  </w:pPr>
                  <w:r>
                    <w:rPr>
                      <w:rFonts w:hint="eastAsia" w:ascii="Times New Roman" w:hAnsi="Times New Roman" w:cs="Times New Roman"/>
                      <w:color w:val="auto"/>
                      <w:spacing w:val="0"/>
                      <w:szCs w:val="21"/>
                      <w:highlight w:val="none"/>
                      <w:u w:val="none" w:color="auto"/>
                      <w:lang w:val="en-US" w:eastAsia="zh-CN"/>
                    </w:rPr>
                    <w:t>污泥处理间内设置专用干化污泥堆放区</w:t>
                  </w:r>
                  <w:r>
                    <w:rPr>
                      <w:rFonts w:hint="eastAsia" w:cs="Times New Roman"/>
                      <w:color w:val="auto"/>
                      <w:spacing w:val="0"/>
                      <w:szCs w:val="21"/>
                      <w:highlight w:val="none"/>
                      <w:u w:val="none" w:color="auto"/>
                      <w:lang w:val="en-US" w:eastAsia="zh-CN"/>
                    </w:rPr>
                    <w:t>；厂区内布设分类收集垃圾桶</w:t>
                  </w:r>
                </w:p>
              </w:tc>
              <w:tc>
                <w:tcPr>
                  <w:tcW w:w="1194" w:type="pct"/>
                  <w:tcBorders>
                    <w:tl2br w:val="nil"/>
                    <w:tr2bl w:val="nil"/>
                  </w:tcBorders>
                  <w:noWrap w:val="0"/>
                  <w:vAlign w:val="center"/>
                </w:tcPr>
                <w:p w14:paraId="5AE188BD">
                  <w:pPr>
                    <w:jc w:val="center"/>
                    <w:rPr>
                      <w:rFonts w:hint="default" w:ascii="Times New Roman" w:hAnsi="Times New Roman" w:eastAsia="宋体" w:cs="Times New Roman"/>
                      <w:color w:val="auto"/>
                      <w:spacing w:val="0"/>
                      <w:szCs w:val="21"/>
                      <w:highlight w:val="none"/>
                      <w:u w:val="none" w:color="auto"/>
                      <w:lang w:val="en-US" w:eastAsia="zh-CN"/>
                    </w:rPr>
                  </w:pPr>
                  <w:r>
                    <w:rPr>
                      <w:rFonts w:hint="eastAsia" w:cs="Times New Roman"/>
                      <w:color w:val="auto"/>
                      <w:spacing w:val="0"/>
                      <w:szCs w:val="21"/>
                      <w:highlight w:val="none"/>
                      <w:u w:val="none" w:color="auto"/>
                      <w:lang w:val="en-US" w:eastAsia="zh-CN"/>
                    </w:rPr>
                    <w:t>3</w:t>
                  </w:r>
                </w:p>
              </w:tc>
            </w:tr>
            <w:tr w14:paraId="6C9BE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tcBorders>
                    <w:tl2br w:val="nil"/>
                    <w:tr2bl w:val="nil"/>
                  </w:tcBorders>
                  <w:noWrap w:val="0"/>
                  <w:vAlign w:val="center"/>
                </w:tcPr>
                <w:p w14:paraId="7312F7C2">
                  <w:pPr>
                    <w:jc w:val="center"/>
                    <w:rPr>
                      <w:rFonts w:hint="default" w:ascii="Times New Roman" w:hAnsi="Times New Roman" w:eastAsia="宋体" w:cs="Times New Roman"/>
                      <w:color w:val="auto"/>
                      <w:spacing w:val="0"/>
                      <w:szCs w:val="21"/>
                      <w:highlight w:val="none"/>
                      <w:u w:val="none" w:color="auto"/>
                      <w:lang w:val="en-US" w:eastAsia="zh-CN"/>
                    </w:rPr>
                  </w:pPr>
                  <w:r>
                    <w:rPr>
                      <w:rFonts w:hint="eastAsia" w:ascii="Times New Roman" w:hAnsi="Times New Roman" w:cs="Times New Roman"/>
                      <w:color w:val="auto"/>
                      <w:spacing w:val="0"/>
                      <w:kern w:val="2"/>
                      <w:sz w:val="21"/>
                      <w:szCs w:val="21"/>
                      <w:highlight w:val="none"/>
                      <w:u w:val="none" w:color="auto"/>
                      <w:lang w:val="en-US" w:eastAsia="zh-CN" w:bidi="ar-SA"/>
                    </w:rPr>
                    <w:t>环境</w:t>
                  </w:r>
                  <w:r>
                    <w:rPr>
                      <w:rFonts w:hint="default" w:ascii="Times New Roman" w:hAnsi="Times New Roman" w:cs="Times New Roman"/>
                      <w:color w:val="auto"/>
                      <w:spacing w:val="0"/>
                      <w:szCs w:val="21"/>
                      <w:highlight w:val="none"/>
                      <w:u w:val="none" w:color="auto"/>
                      <w:lang w:val="en-US" w:eastAsia="zh-CN"/>
                    </w:rPr>
                    <w:t>风险</w:t>
                  </w:r>
                </w:p>
              </w:tc>
              <w:tc>
                <w:tcPr>
                  <w:tcW w:w="909" w:type="pct"/>
                  <w:tcBorders>
                    <w:tl2br w:val="nil"/>
                    <w:tr2bl w:val="nil"/>
                  </w:tcBorders>
                  <w:noWrap w:val="0"/>
                  <w:vAlign w:val="center"/>
                </w:tcPr>
                <w:p w14:paraId="2097906D">
                  <w:pPr>
                    <w:jc w:val="center"/>
                    <w:rPr>
                      <w:rFonts w:hint="default" w:ascii="Times New Roman" w:hAnsi="Times New Roman" w:cs="Times New Roman"/>
                      <w:color w:val="auto"/>
                      <w:spacing w:val="0"/>
                      <w:kern w:val="2"/>
                      <w:sz w:val="21"/>
                      <w:szCs w:val="21"/>
                      <w:highlight w:val="none"/>
                      <w:u w:val="none" w:color="auto"/>
                      <w:lang w:val="en-US" w:eastAsia="zh-CN" w:bidi="ar-SA"/>
                    </w:rPr>
                  </w:pPr>
                  <w:r>
                    <w:rPr>
                      <w:rFonts w:hint="eastAsia" w:ascii="Times New Roman" w:hAnsi="Times New Roman" w:cs="Times New Roman"/>
                      <w:color w:val="auto"/>
                      <w:spacing w:val="0"/>
                      <w:kern w:val="2"/>
                      <w:sz w:val="21"/>
                      <w:szCs w:val="21"/>
                      <w:highlight w:val="none"/>
                      <w:u w:val="none" w:color="auto"/>
                      <w:lang w:val="en-US" w:eastAsia="zh-CN" w:bidi="ar-SA"/>
                    </w:rPr>
                    <w:t>风险</w:t>
                  </w:r>
                  <w:r>
                    <w:rPr>
                      <w:rFonts w:hint="eastAsia" w:cs="Times New Roman"/>
                      <w:color w:val="auto"/>
                      <w:spacing w:val="0"/>
                      <w:kern w:val="2"/>
                      <w:sz w:val="21"/>
                      <w:szCs w:val="21"/>
                      <w:highlight w:val="none"/>
                      <w:u w:val="none" w:color="auto"/>
                      <w:lang w:val="en-US" w:eastAsia="zh-CN" w:bidi="ar-SA"/>
                    </w:rPr>
                    <w:t>防范措施</w:t>
                  </w:r>
                </w:p>
              </w:tc>
              <w:tc>
                <w:tcPr>
                  <w:tcW w:w="2369" w:type="pct"/>
                  <w:tcBorders>
                    <w:tl2br w:val="nil"/>
                    <w:tr2bl w:val="nil"/>
                  </w:tcBorders>
                  <w:shd w:val="clear" w:color="auto" w:fill="auto"/>
                  <w:noWrap w:val="0"/>
                  <w:vAlign w:val="center"/>
                </w:tcPr>
                <w:p w14:paraId="7E9CDB3D">
                  <w:pPr>
                    <w:jc w:val="left"/>
                    <w:rPr>
                      <w:rFonts w:hint="default" w:cs="Times New Roman"/>
                      <w:color w:val="auto"/>
                      <w:spacing w:val="0"/>
                      <w:kern w:val="2"/>
                      <w:sz w:val="21"/>
                      <w:szCs w:val="21"/>
                      <w:highlight w:val="none"/>
                      <w:u w:val="none" w:color="auto"/>
                      <w:lang w:val="en-US" w:eastAsia="zh-CN" w:bidi="ar-SA"/>
                    </w:rPr>
                  </w:pPr>
                  <w:r>
                    <w:rPr>
                      <w:rFonts w:hint="eastAsia" w:cs="Times New Roman"/>
                      <w:color w:val="auto"/>
                      <w:spacing w:val="0"/>
                      <w:kern w:val="2"/>
                      <w:sz w:val="21"/>
                      <w:szCs w:val="21"/>
                      <w:highlight w:val="none"/>
                      <w:u w:val="none" w:color="auto"/>
                      <w:lang w:val="en-US" w:eastAsia="zh-CN" w:bidi="ar-SA"/>
                    </w:rPr>
                    <w:t>加氯间设置有毒气体泄漏报警系统、并配套强制废气收集和事故连锁换气通风装置，废气接入漏氯安全吸收设施，氯气钢瓶区配套事故应急池（5×2×2.8m）；</w:t>
                  </w:r>
                </w:p>
                <w:p w14:paraId="5363397F">
                  <w:pPr>
                    <w:jc w:val="left"/>
                    <w:rPr>
                      <w:rFonts w:hint="eastAsia" w:cs="Times New Roman"/>
                      <w:color w:val="auto"/>
                      <w:spacing w:val="0"/>
                      <w:szCs w:val="21"/>
                      <w:highlight w:val="none"/>
                      <w:u w:val="none" w:color="auto"/>
                      <w:lang w:val="en-US" w:eastAsia="zh-CN"/>
                    </w:rPr>
                  </w:pPr>
                  <w:r>
                    <w:rPr>
                      <w:rFonts w:hint="eastAsia" w:cs="Times New Roman"/>
                      <w:color w:val="auto"/>
                      <w:spacing w:val="0"/>
                      <w:kern w:val="2"/>
                      <w:sz w:val="21"/>
                      <w:szCs w:val="21"/>
                      <w:highlight w:val="none"/>
                      <w:u w:val="none" w:color="auto"/>
                      <w:lang w:val="en-US" w:eastAsia="zh-CN" w:bidi="ar-SA"/>
                    </w:rPr>
                    <w:t>加氯间、加药间和危险废物暂存间按重点防渗区进行建设，厂区环境风险源处设立防火措施、</w:t>
                  </w:r>
                  <w:r>
                    <w:rPr>
                      <w:rFonts w:hint="default" w:ascii="Times New Roman" w:hAnsi="Times New Roman" w:cs="Times New Roman"/>
                      <w:color w:val="auto"/>
                      <w:spacing w:val="0"/>
                      <w:kern w:val="2"/>
                      <w:sz w:val="21"/>
                      <w:szCs w:val="21"/>
                      <w:highlight w:val="none"/>
                      <w:u w:val="none" w:color="auto"/>
                      <w:lang w:val="en-US" w:eastAsia="zh-CN" w:bidi="ar-SA"/>
                    </w:rPr>
                    <w:t>防泄漏</w:t>
                  </w:r>
                  <w:r>
                    <w:rPr>
                      <w:rFonts w:hint="default" w:ascii="Times New Roman" w:hAnsi="Times New Roman" w:cs="Times New Roman"/>
                      <w:color w:val="auto"/>
                      <w:spacing w:val="0"/>
                      <w:szCs w:val="21"/>
                      <w:highlight w:val="none"/>
                      <w:u w:val="none" w:color="auto"/>
                      <w:lang w:val="en-US" w:eastAsia="zh-CN"/>
                    </w:rPr>
                    <w:t>托盘、</w:t>
                  </w:r>
                  <w:r>
                    <w:rPr>
                      <w:rFonts w:hint="eastAsia" w:cs="Times New Roman"/>
                      <w:color w:val="auto"/>
                      <w:spacing w:val="0"/>
                      <w:szCs w:val="21"/>
                      <w:highlight w:val="none"/>
                      <w:u w:val="none" w:color="auto"/>
                      <w:lang w:val="en-US" w:eastAsia="zh-CN"/>
                    </w:rPr>
                    <w:t>事故水</w:t>
                  </w:r>
                  <w:r>
                    <w:rPr>
                      <w:rFonts w:hint="default" w:ascii="Times New Roman" w:hAnsi="Times New Roman" w:cs="Times New Roman"/>
                      <w:color w:val="auto"/>
                      <w:spacing w:val="0"/>
                      <w:szCs w:val="21"/>
                      <w:highlight w:val="none"/>
                      <w:u w:val="none" w:color="auto"/>
                      <w:lang w:val="en-US" w:eastAsia="zh-CN"/>
                    </w:rPr>
                    <w:t>拦截沟</w:t>
                  </w:r>
                  <w:r>
                    <w:rPr>
                      <w:rFonts w:hint="eastAsia" w:cs="Times New Roman"/>
                      <w:color w:val="auto"/>
                      <w:spacing w:val="0"/>
                      <w:szCs w:val="21"/>
                      <w:highlight w:val="none"/>
                      <w:u w:val="none" w:color="auto"/>
                      <w:lang w:val="en-US" w:eastAsia="zh-CN"/>
                    </w:rPr>
                    <w:t>和应急水收集</w:t>
                  </w:r>
                  <w:r>
                    <w:rPr>
                      <w:rFonts w:hint="default" w:ascii="Times New Roman" w:hAnsi="Times New Roman" w:cs="Times New Roman"/>
                      <w:color w:val="auto"/>
                      <w:spacing w:val="0"/>
                      <w:szCs w:val="21"/>
                      <w:highlight w:val="none"/>
                      <w:u w:val="none" w:color="auto"/>
                      <w:lang w:val="en-US" w:eastAsia="zh-CN"/>
                    </w:rPr>
                    <w:t>措施</w:t>
                  </w:r>
                  <w:r>
                    <w:rPr>
                      <w:rFonts w:hint="eastAsia" w:cs="Times New Roman"/>
                      <w:color w:val="auto"/>
                      <w:spacing w:val="0"/>
                      <w:szCs w:val="21"/>
                      <w:highlight w:val="none"/>
                      <w:u w:val="none" w:color="auto"/>
                      <w:lang w:val="en-US" w:eastAsia="zh-CN"/>
                    </w:rPr>
                    <w:t>，设置洗眼喷淋装置；</w:t>
                  </w:r>
                </w:p>
                <w:p w14:paraId="50A46287">
                  <w:pPr>
                    <w:jc w:val="left"/>
                    <w:rPr>
                      <w:rFonts w:hint="default" w:cs="Times New Roman"/>
                      <w:color w:val="auto"/>
                      <w:spacing w:val="0"/>
                      <w:szCs w:val="21"/>
                      <w:highlight w:val="none"/>
                      <w:u w:val="none" w:color="auto"/>
                      <w:lang w:val="en-US" w:eastAsia="zh-CN"/>
                    </w:rPr>
                  </w:pPr>
                  <w:r>
                    <w:rPr>
                      <w:rFonts w:hint="eastAsia" w:cs="Times New Roman"/>
                      <w:color w:val="auto"/>
                      <w:spacing w:val="0"/>
                      <w:szCs w:val="21"/>
                      <w:highlight w:val="none"/>
                      <w:u w:val="none" w:color="auto"/>
                      <w:lang w:val="en-US" w:eastAsia="zh-CN"/>
                    </w:rPr>
                    <w:t>厂区内各个建筑物布设干粉/泡沫灭火器，按照消防安全要求落实</w:t>
                  </w:r>
                </w:p>
              </w:tc>
              <w:tc>
                <w:tcPr>
                  <w:tcW w:w="1194" w:type="pct"/>
                  <w:tcBorders>
                    <w:tl2br w:val="nil"/>
                    <w:tr2bl w:val="nil"/>
                  </w:tcBorders>
                  <w:noWrap w:val="0"/>
                  <w:vAlign w:val="center"/>
                </w:tcPr>
                <w:p w14:paraId="39AD34E0">
                  <w:pPr>
                    <w:jc w:val="center"/>
                    <w:rPr>
                      <w:rFonts w:hint="default" w:ascii="Times New Roman" w:hAnsi="Times New Roman" w:cs="Times New Roman"/>
                      <w:color w:val="auto"/>
                      <w:spacing w:val="0"/>
                      <w:szCs w:val="21"/>
                      <w:highlight w:val="none"/>
                      <w:u w:val="none" w:color="auto"/>
                      <w:lang w:val="en-US" w:eastAsia="zh-CN"/>
                    </w:rPr>
                  </w:pPr>
                  <w:r>
                    <w:rPr>
                      <w:rFonts w:hint="eastAsia" w:cs="Times New Roman"/>
                      <w:color w:val="auto"/>
                      <w:spacing w:val="0"/>
                      <w:szCs w:val="21"/>
                      <w:highlight w:val="none"/>
                      <w:u w:val="none" w:color="auto"/>
                      <w:lang w:val="en-US" w:eastAsia="zh-CN"/>
                    </w:rPr>
                    <w:t>100</w:t>
                  </w:r>
                </w:p>
              </w:tc>
            </w:tr>
            <w:tr w14:paraId="4C03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5" w:type="pct"/>
                  <w:gridSpan w:val="3"/>
                  <w:tcBorders>
                    <w:tl2br w:val="nil"/>
                    <w:tr2bl w:val="nil"/>
                  </w:tcBorders>
                  <w:noWrap w:val="0"/>
                  <w:vAlign w:val="center"/>
                </w:tcPr>
                <w:p w14:paraId="6C1FC3F2">
                  <w:pPr>
                    <w:jc w:val="center"/>
                    <w:rPr>
                      <w:rFonts w:hint="default" w:cs="Times New Roman"/>
                      <w:color w:val="auto"/>
                      <w:spacing w:val="0"/>
                      <w:kern w:val="2"/>
                      <w:sz w:val="21"/>
                      <w:szCs w:val="21"/>
                      <w:highlight w:val="none"/>
                      <w:u w:val="none" w:color="auto"/>
                      <w:lang w:val="en-US" w:eastAsia="zh-CN" w:bidi="ar-SA"/>
                    </w:rPr>
                  </w:pPr>
                  <w:r>
                    <w:rPr>
                      <w:rFonts w:hint="eastAsia" w:cs="Times New Roman"/>
                      <w:color w:val="auto"/>
                      <w:spacing w:val="0"/>
                      <w:kern w:val="2"/>
                      <w:sz w:val="21"/>
                      <w:szCs w:val="21"/>
                      <w:highlight w:val="none"/>
                      <w:u w:val="none" w:color="auto"/>
                      <w:lang w:val="en-US" w:eastAsia="zh-CN" w:bidi="ar-SA"/>
                    </w:rPr>
                    <w:t>小计</w:t>
                  </w:r>
                </w:p>
              </w:tc>
              <w:tc>
                <w:tcPr>
                  <w:tcW w:w="1194" w:type="pct"/>
                  <w:tcBorders>
                    <w:tl2br w:val="nil"/>
                    <w:tr2bl w:val="nil"/>
                  </w:tcBorders>
                  <w:noWrap w:val="0"/>
                  <w:vAlign w:val="center"/>
                </w:tcPr>
                <w:p w14:paraId="655B7FD0">
                  <w:pPr>
                    <w:jc w:val="center"/>
                    <w:rPr>
                      <w:rFonts w:hint="default" w:cs="Times New Roman"/>
                      <w:color w:val="auto"/>
                      <w:spacing w:val="0"/>
                      <w:szCs w:val="21"/>
                      <w:highlight w:val="none"/>
                      <w:u w:val="none" w:color="auto"/>
                      <w:lang w:val="en-US" w:eastAsia="zh-CN"/>
                    </w:rPr>
                  </w:pPr>
                  <w:r>
                    <w:rPr>
                      <w:rFonts w:hint="eastAsia" w:cs="Times New Roman"/>
                      <w:color w:val="auto"/>
                      <w:spacing w:val="0"/>
                      <w:szCs w:val="21"/>
                      <w:highlight w:val="none"/>
                      <w:u w:val="none" w:color="auto"/>
                      <w:lang w:val="en-US" w:eastAsia="zh-CN"/>
                    </w:rPr>
                    <w:t>768</w:t>
                  </w:r>
                </w:p>
              </w:tc>
            </w:tr>
            <w:tr w14:paraId="43F2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vMerge w:val="restart"/>
                  <w:tcBorders>
                    <w:tl2br w:val="nil"/>
                    <w:tr2bl w:val="nil"/>
                  </w:tcBorders>
                  <w:noWrap w:val="0"/>
                  <w:vAlign w:val="center"/>
                </w:tcPr>
                <w:p w14:paraId="6E6EBCEA">
                  <w:pPr>
                    <w:jc w:val="center"/>
                    <w:rPr>
                      <w:rFonts w:hint="default" w:ascii="Times New Roman" w:hAnsi="Times New Roman" w:cs="Times New Roman"/>
                      <w:color w:val="auto"/>
                      <w:spacing w:val="0"/>
                      <w:szCs w:val="21"/>
                      <w:highlight w:val="none"/>
                      <w:u w:val="none" w:color="auto"/>
                      <w:lang w:val="en-US" w:eastAsia="zh-CN"/>
                    </w:rPr>
                  </w:pPr>
                  <w:r>
                    <w:rPr>
                      <w:rFonts w:hint="eastAsia" w:cs="Times New Roman"/>
                      <w:color w:val="auto"/>
                      <w:spacing w:val="0"/>
                      <w:szCs w:val="21"/>
                      <w:highlight w:val="none"/>
                      <w:u w:val="none" w:color="auto"/>
                      <w:lang w:val="en-US" w:eastAsia="zh-CN"/>
                    </w:rPr>
                    <w:t>整改措施</w:t>
                  </w:r>
                </w:p>
              </w:tc>
              <w:tc>
                <w:tcPr>
                  <w:tcW w:w="909" w:type="pct"/>
                  <w:tcBorders>
                    <w:tl2br w:val="nil"/>
                    <w:tr2bl w:val="nil"/>
                  </w:tcBorders>
                  <w:noWrap w:val="0"/>
                  <w:vAlign w:val="center"/>
                </w:tcPr>
                <w:p w14:paraId="307EA1C1">
                  <w:pPr>
                    <w:jc w:val="center"/>
                    <w:rPr>
                      <w:rFonts w:hint="eastAsia" w:ascii="Times New Roman" w:hAnsi="Times New Roman" w:cs="Times New Roman"/>
                      <w:color w:val="auto"/>
                      <w:spacing w:val="0"/>
                      <w:kern w:val="2"/>
                      <w:sz w:val="21"/>
                      <w:szCs w:val="21"/>
                      <w:highlight w:val="none"/>
                      <w:u w:val="none" w:color="auto"/>
                      <w:lang w:val="en-US" w:eastAsia="zh-CN" w:bidi="ar-SA"/>
                    </w:rPr>
                  </w:pPr>
                  <w:r>
                    <w:rPr>
                      <w:rFonts w:hint="default" w:ascii="Times New Roman" w:hAnsi="Times New Roman" w:cs="Times New Roman"/>
                      <w:color w:val="auto"/>
                      <w:spacing w:val="0"/>
                      <w:kern w:val="2"/>
                      <w:sz w:val="21"/>
                      <w:szCs w:val="21"/>
                      <w:highlight w:val="none"/>
                      <w:u w:val="none" w:color="auto"/>
                      <w:lang w:val="en-US" w:eastAsia="zh-CN" w:bidi="ar-SA"/>
                    </w:rPr>
                    <w:t>危废暂存库</w:t>
                  </w:r>
                </w:p>
              </w:tc>
              <w:tc>
                <w:tcPr>
                  <w:tcW w:w="2369" w:type="pct"/>
                  <w:tcBorders>
                    <w:tl2br w:val="nil"/>
                    <w:tr2bl w:val="nil"/>
                  </w:tcBorders>
                  <w:shd w:val="clear" w:color="auto" w:fill="auto"/>
                  <w:noWrap w:val="0"/>
                  <w:vAlign w:val="center"/>
                </w:tcPr>
                <w:p w14:paraId="334508E7">
                  <w:pPr>
                    <w:jc w:val="left"/>
                    <w:rPr>
                      <w:rFonts w:hint="eastAsia" w:cs="Times New Roman"/>
                      <w:color w:val="auto"/>
                      <w:spacing w:val="0"/>
                      <w:kern w:val="2"/>
                      <w:sz w:val="21"/>
                      <w:szCs w:val="21"/>
                      <w:highlight w:val="none"/>
                      <w:u w:val="none" w:color="auto"/>
                      <w:lang w:val="en-US" w:eastAsia="zh-CN" w:bidi="ar-SA"/>
                    </w:rPr>
                  </w:pPr>
                  <w:r>
                    <w:rPr>
                      <w:rFonts w:hint="eastAsia" w:cs="Times New Roman"/>
                      <w:color w:val="auto"/>
                      <w:spacing w:val="0"/>
                      <w:kern w:val="2"/>
                      <w:sz w:val="21"/>
                      <w:szCs w:val="21"/>
                      <w:highlight w:val="none"/>
                      <w:u w:val="none" w:color="auto"/>
                      <w:lang w:val="en-US" w:eastAsia="zh-CN" w:bidi="ar-SA"/>
                    </w:rPr>
                    <w:t>在库房内机修区设立1处占地5平方米危险废物暂存间，按照</w:t>
                  </w:r>
                  <w:r>
                    <w:rPr>
                      <w:rFonts w:hint="default" w:cs="Times New Roman"/>
                      <w:color w:val="auto"/>
                      <w:spacing w:val="0"/>
                      <w:kern w:val="2"/>
                      <w:sz w:val="21"/>
                      <w:szCs w:val="21"/>
                      <w:highlight w:val="none"/>
                      <w:u w:val="none" w:color="auto"/>
                      <w:lang w:val="en-US" w:eastAsia="zh-CN" w:bidi="ar-SA"/>
                    </w:rPr>
                    <w:t>GB18597-2023</w:t>
                  </w:r>
                  <w:r>
                    <w:rPr>
                      <w:rFonts w:hint="eastAsia" w:cs="Times New Roman"/>
                      <w:color w:val="auto"/>
                      <w:spacing w:val="0"/>
                      <w:kern w:val="2"/>
                      <w:sz w:val="21"/>
                      <w:szCs w:val="21"/>
                      <w:highlight w:val="none"/>
                      <w:u w:val="none" w:color="auto"/>
                      <w:lang w:val="en-US" w:eastAsia="zh-CN" w:bidi="ar-SA"/>
                    </w:rPr>
                    <w:t>中危险废物暂存间标准进行建设；</w:t>
                  </w:r>
                </w:p>
              </w:tc>
              <w:tc>
                <w:tcPr>
                  <w:tcW w:w="1194" w:type="pct"/>
                  <w:tcBorders>
                    <w:tl2br w:val="nil"/>
                    <w:tr2bl w:val="nil"/>
                  </w:tcBorders>
                  <w:noWrap w:val="0"/>
                  <w:vAlign w:val="center"/>
                </w:tcPr>
                <w:p w14:paraId="16FC8C21">
                  <w:pPr>
                    <w:jc w:val="center"/>
                    <w:rPr>
                      <w:rFonts w:hint="default" w:cs="Times New Roman"/>
                      <w:color w:val="auto"/>
                      <w:spacing w:val="0"/>
                      <w:szCs w:val="21"/>
                      <w:highlight w:val="none"/>
                      <w:u w:val="none" w:color="auto"/>
                      <w:lang w:val="en-US" w:eastAsia="zh-CN"/>
                    </w:rPr>
                  </w:pPr>
                  <w:r>
                    <w:rPr>
                      <w:rFonts w:hint="eastAsia" w:cs="Times New Roman"/>
                      <w:color w:val="auto"/>
                      <w:spacing w:val="0"/>
                      <w:szCs w:val="21"/>
                      <w:highlight w:val="none"/>
                      <w:u w:val="none" w:color="auto"/>
                      <w:lang w:val="en-US" w:eastAsia="zh-CN"/>
                    </w:rPr>
                    <w:t>5</w:t>
                  </w:r>
                </w:p>
              </w:tc>
            </w:tr>
            <w:tr w14:paraId="55D4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pct"/>
                  <w:vMerge w:val="continue"/>
                  <w:tcBorders>
                    <w:tl2br w:val="nil"/>
                    <w:tr2bl w:val="nil"/>
                  </w:tcBorders>
                  <w:noWrap w:val="0"/>
                  <w:vAlign w:val="center"/>
                </w:tcPr>
                <w:p w14:paraId="43AF468F">
                  <w:pPr>
                    <w:jc w:val="center"/>
                    <w:rPr>
                      <w:rFonts w:hint="eastAsia" w:cs="Times New Roman"/>
                      <w:color w:val="auto"/>
                      <w:spacing w:val="0"/>
                      <w:szCs w:val="21"/>
                      <w:highlight w:val="none"/>
                      <w:u w:val="none" w:color="auto"/>
                      <w:lang w:val="en-US" w:eastAsia="zh-CN"/>
                    </w:rPr>
                  </w:pPr>
                </w:p>
              </w:tc>
              <w:tc>
                <w:tcPr>
                  <w:tcW w:w="909" w:type="pct"/>
                  <w:tcBorders>
                    <w:tl2br w:val="nil"/>
                    <w:tr2bl w:val="nil"/>
                  </w:tcBorders>
                  <w:noWrap w:val="0"/>
                  <w:vAlign w:val="center"/>
                </w:tcPr>
                <w:p w14:paraId="05CDBA97">
                  <w:pPr>
                    <w:jc w:val="center"/>
                    <w:rPr>
                      <w:rFonts w:hint="default" w:ascii="Times New Roman" w:hAnsi="Times New Roman" w:cs="Times New Roman"/>
                      <w:color w:val="auto"/>
                      <w:spacing w:val="0"/>
                      <w:kern w:val="2"/>
                      <w:sz w:val="21"/>
                      <w:szCs w:val="21"/>
                      <w:highlight w:val="none"/>
                      <w:u w:val="none" w:color="auto"/>
                      <w:lang w:val="en-US" w:eastAsia="zh-CN" w:bidi="ar-SA"/>
                    </w:rPr>
                  </w:pPr>
                  <w:r>
                    <w:rPr>
                      <w:rFonts w:hint="eastAsia" w:cs="Times New Roman"/>
                      <w:color w:val="auto"/>
                      <w:spacing w:val="0"/>
                      <w:kern w:val="2"/>
                      <w:sz w:val="21"/>
                      <w:szCs w:val="21"/>
                      <w:highlight w:val="none"/>
                      <w:u w:val="none" w:color="auto"/>
                      <w:lang w:val="en-US" w:eastAsia="zh-CN" w:bidi="ar-SA"/>
                    </w:rPr>
                    <w:t>加氯间风险防范措施</w:t>
                  </w:r>
                </w:p>
              </w:tc>
              <w:tc>
                <w:tcPr>
                  <w:tcW w:w="2369" w:type="pct"/>
                  <w:tcBorders>
                    <w:tl2br w:val="nil"/>
                    <w:tr2bl w:val="nil"/>
                  </w:tcBorders>
                  <w:shd w:val="clear" w:color="auto" w:fill="auto"/>
                  <w:noWrap w:val="0"/>
                  <w:vAlign w:val="center"/>
                </w:tcPr>
                <w:p w14:paraId="073CA16D">
                  <w:pPr>
                    <w:jc w:val="left"/>
                    <w:rPr>
                      <w:rFonts w:hint="default" w:cs="Times New Roman"/>
                      <w:color w:val="auto"/>
                      <w:spacing w:val="0"/>
                      <w:kern w:val="2"/>
                      <w:sz w:val="21"/>
                      <w:szCs w:val="21"/>
                      <w:highlight w:val="none"/>
                      <w:u w:val="none" w:color="auto"/>
                      <w:lang w:val="en-US" w:eastAsia="zh-CN" w:bidi="ar-SA"/>
                    </w:rPr>
                  </w:pPr>
                  <w:r>
                    <w:rPr>
                      <w:rFonts w:hint="eastAsia" w:cs="Times New Roman"/>
                      <w:color w:val="auto"/>
                      <w:spacing w:val="0"/>
                      <w:kern w:val="2"/>
                      <w:sz w:val="21"/>
                      <w:szCs w:val="21"/>
                      <w:highlight w:val="none"/>
                      <w:u w:val="none" w:color="auto"/>
                      <w:lang w:val="en-US" w:eastAsia="zh-CN" w:bidi="ar-SA"/>
                    </w:rPr>
                    <w:t>加氯间门、窗等密封面设置雾状水喷淋装置，连接地面导流沟排入事故应急池</w:t>
                  </w:r>
                </w:p>
              </w:tc>
              <w:tc>
                <w:tcPr>
                  <w:tcW w:w="1194" w:type="pct"/>
                  <w:tcBorders>
                    <w:tl2br w:val="nil"/>
                    <w:tr2bl w:val="nil"/>
                  </w:tcBorders>
                  <w:noWrap w:val="0"/>
                  <w:vAlign w:val="center"/>
                </w:tcPr>
                <w:p w14:paraId="757F6C5E">
                  <w:pPr>
                    <w:jc w:val="center"/>
                    <w:rPr>
                      <w:rFonts w:hint="default" w:cs="Times New Roman"/>
                      <w:color w:val="auto"/>
                      <w:spacing w:val="0"/>
                      <w:szCs w:val="21"/>
                      <w:highlight w:val="none"/>
                      <w:u w:val="none" w:color="auto"/>
                      <w:lang w:val="en-US" w:eastAsia="zh-CN"/>
                    </w:rPr>
                  </w:pPr>
                  <w:r>
                    <w:rPr>
                      <w:rFonts w:hint="eastAsia" w:cs="Times New Roman"/>
                      <w:color w:val="auto"/>
                      <w:spacing w:val="0"/>
                      <w:szCs w:val="21"/>
                      <w:highlight w:val="none"/>
                      <w:u w:val="none" w:color="auto"/>
                      <w:lang w:val="en-US" w:eastAsia="zh-CN"/>
                    </w:rPr>
                    <w:t>3</w:t>
                  </w:r>
                </w:p>
              </w:tc>
            </w:tr>
            <w:tr w14:paraId="5D3C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805" w:type="pct"/>
                  <w:gridSpan w:val="3"/>
                  <w:tcBorders>
                    <w:tl2br w:val="nil"/>
                    <w:tr2bl w:val="nil"/>
                  </w:tcBorders>
                  <w:noWrap w:val="0"/>
                  <w:vAlign w:val="center"/>
                </w:tcPr>
                <w:p w14:paraId="2FF70F80">
                  <w:pPr>
                    <w:jc w:val="center"/>
                    <w:rPr>
                      <w:rFonts w:hint="eastAsia" w:ascii="Times New Roman" w:hAnsi="Times New Roman" w:eastAsia="宋体" w:cs="Times New Roman"/>
                      <w:b/>
                      <w:color w:val="auto"/>
                      <w:spacing w:val="0"/>
                      <w:szCs w:val="21"/>
                      <w:highlight w:val="none"/>
                      <w:u w:val="none" w:color="auto"/>
                      <w:lang w:eastAsia="zh-CN"/>
                    </w:rPr>
                  </w:pPr>
                  <w:r>
                    <w:rPr>
                      <w:rFonts w:hint="eastAsia" w:cs="Times New Roman"/>
                      <w:b/>
                      <w:color w:val="auto"/>
                      <w:spacing w:val="0"/>
                      <w:szCs w:val="21"/>
                      <w:highlight w:val="none"/>
                      <w:u w:val="none" w:color="auto"/>
                      <w:lang w:val="en-US" w:eastAsia="zh-CN"/>
                    </w:rPr>
                    <w:t>总计</w:t>
                  </w:r>
                </w:p>
              </w:tc>
              <w:tc>
                <w:tcPr>
                  <w:tcW w:w="1194" w:type="pct"/>
                  <w:tcBorders>
                    <w:tl2br w:val="nil"/>
                    <w:tr2bl w:val="nil"/>
                  </w:tcBorders>
                  <w:noWrap w:val="0"/>
                  <w:vAlign w:val="center"/>
                </w:tcPr>
                <w:p w14:paraId="30379888">
                  <w:pPr>
                    <w:jc w:val="center"/>
                    <w:rPr>
                      <w:rFonts w:hint="default" w:ascii="Times New Roman" w:hAnsi="Times New Roman" w:eastAsia="宋体" w:cs="Times New Roman"/>
                      <w:b/>
                      <w:bCs/>
                      <w:color w:val="auto"/>
                      <w:spacing w:val="0"/>
                      <w:szCs w:val="21"/>
                      <w:highlight w:val="none"/>
                      <w:u w:val="none" w:color="auto"/>
                      <w:lang w:val="en-US" w:eastAsia="zh-CN"/>
                    </w:rPr>
                  </w:pPr>
                  <w:r>
                    <w:rPr>
                      <w:rFonts w:hint="eastAsia" w:cs="Times New Roman"/>
                      <w:b/>
                      <w:bCs/>
                      <w:color w:val="auto"/>
                      <w:spacing w:val="0"/>
                      <w:szCs w:val="21"/>
                      <w:highlight w:val="none"/>
                      <w:u w:val="none" w:color="auto"/>
                      <w:lang w:val="en-US" w:eastAsia="zh-CN"/>
                    </w:rPr>
                    <w:t>776</w:t>
                  </w:r>
                </w:p>
              </w:tc>
            </w:tr>
          </w:tbl>
          <w:p w14:paraId="0DBC7056">
            <w:pPr>
              <w:spacing w:line="360" w:lineRule="auto"/>
              <w:ind w:firstLine="480" w:firstLineChars="200"/>
              <w:rPr>
                <w:rFonts w:hint="eastAsia"/>
                <w:lang w:eastAsia="zh-CN"/>
              </w:rPr>
            </w:pPr>
            <w:r>
              <w:rPr>
                <w:rFonts w:hint="eastAsia" w:ascii="Times New Roman" w:hAnsi="Times New Roman" w:cs="Times New Roman"/>
                <w:color w:val="auto"/>
                <w:spacing w:val="0"/>
                <w:sz w:val="24"/>
                <w:u w:val="single" w:color="auto"/>
                <w:lang w:val="en-US" w:eastAsia="zh-CN"/>
              </w:rPr>
              <w:t>本次评价估算已投入环保投资约</w:t>
            </w:r>
            <w:r>
              <w:rPr>
                <w:rFonts w:hint="eastAsia" w:cs="Times New Roman"/>
                <w:color w:val="auto"/>
                <w:spacing w:val="0"/>
                <w:sz w:val="24"/>
                <w:u w:val="single" w:color="auto"/>
                <w:lang w:val="en-US" w:eastAsia="zh-CN"/>
              </w:rPr>
              <w:t>776</w:t>
            </w:r>
            <w:r>
              <w:rPr>
                <w:rFonts w:hint="eastAsia" w:ascii="Times New Roman" w:hAnsi="Times New Roman" w:cs="Times New Roman"/>
                <w:color w:val="auto"/>
                <w:spacing w:val="0"/>
                <w:sz w:val="24"/>
                <w:u w:val="single" w:color="auto"/>
                <w:lang w:val="en-US" w:eastAsia="zh-CN"/>
              </w:rPr>
              <w:t>万元，本次固废间整改建设预计新增8万元投资，</w:t>
            </w:r>
            <w:r>
              <w:rPr>
                <w:rFonts w:hint="default" w:ascii="Times New Roman" w:hAnsi="Times New Roman" w:cs="Times New Roman"/>
                <w:color w:val="auto"/>
                <w:spacing w:val="0"/>
                <w:sz w:val="24"/>
                <w:u w:val="single" w:color="auto"/>
              </w:rPr>
              <w:t>建设单位应确保</w:t>
            </w:r>
            <w:r>
              <w:rPr>
                <w:rFonts w:hint="eastAsia" w:ascii="Times New Roman" w:hAnsi="Times New Roman" w:cs="Times New Roman"/>
                <w:color w:val="auto"/>
                <w:spacing w:val="0"/>
                <w:sz w:val="24"/>
                <w:u w:val="single" w:color="auto"/>
                <w:lang w:val="en-US" w:eastAsia="zh-CN"/>
              </w:rPr>
              <w:t>整改</w:t>
            </w:r>
            <w:r>
              <w:rPr>
                <w:rFonts w:hint="default" w:ascii="Times New Roman" w:hAnsi="Times New Roman" w:cs="Times New Roman"/>
                <w:color w:val="auto"/>
                <w:spacing w:val="0"/>
                <w:sz w:val="24"/>
                <w:u w:val="single" w:color="auto"/>
              </w:rPr>
              <w:t>环保设施</w:t>
            </w:r>
            <w:r>
              <w:rPr>
                <w:rFonts w:hint="eastAsia" w:ascii="Times New Roman" w:hAnsi="Times New Roman" w:cs="Times New Roman"/>
                <w:color w:val="auto"/>
                <w:spacing w:val="0"/>
                <w:sz w:val="24"/>
                <w:u w:val="single" w:color="auto"/>
                <w:lang w:val="en-US" w:eastAsia="zh-CN"/>
              </w:rPr>
              <w:t>按要求进行建设</w:t>
            </w:r>
            <w:r>
              <w:rPr>
                <w:rFonts w:hint="default" w:ascii="Times New Roman" w:hAnsi="Times New Roman" w:cs="Times New Roman"/>
                <w:color w:val="auto"/>
                <w:spacing w:val="0"/>
                <w:sz w:val="24"/>
                <w:u w:val="single" w:color="auto"/>
              </w:rPr>
              <w:t>，满足</w:t>
            </w:r>
            <w:r>
              <w:rPr>
                <w:rFonts w:hint="eastAsia" w:ascii="Times New Roman" w:hAnsi="Times New Roman" w:cs="Times New Roman"/>
                <w:color w:val="auto"/>
                <w:spacing w:val="0"/>
                <w:sz w:val="24"/>
                <w:u w:val="single" w:color="auto"/>
                <w:lang w:val="en-US" w:eastAsia="zh-CN"/>
              </w:rPr>
              <w:t>项目运行期</w:t>
            </w:r>
            <w:r>
              <w:rPr>
                <w:rFonts w:hint="default" w:ascii="Times New Roman" w:hAnsi="Times New Roman" w:cs="Times New Roman"/>
                <w:color w:val="auto"/>
                <w:spacing w:val="0"/>
                <w:sz w:val="24"/>
                <w:u w:val="single" w:color="auto"/>
              </w:rPr>
              <w:t>环保管理要求</w:t>
            </w:r>
            <w:r>
              <w:rPr>
                <w:rFonts w:hint="default" w:ascii="Times New Roman" w:hAnsi="Times New Roman" w:cs="Times New Roman"/>
                <w:color w:val="auto"/>
                <w:spacing w:val="0"/>
                <w:sz w:val="24"/>
                <w:u w:val="none" w:color="auto"/>
              </w:rPr>
              <w:t>。</w:t>
            </w:r>
          </w:p>
        </w:tc>
      </w:tr>
    </w:tbl>
    <w:p w14:paraId="1D716ABE">
      <w:pPr>
        <w:rPr>
          <w:rFonts w:ascii="Times New Roman" w:hAnsi="Times New Roman" w:eastAsia="宋体" w:cs="Times New Roman"/>
        </w:rPr>
      </w:pPr>
      <w:r>
        <w:rPr>
          <w:rFonts w:ascii="Times New Roman" w:hAnsi="Times New Roman" w:eastAsia="宋体" w:cs="Times New Roman"/>
        </w:rPr>
        <w:br w:type="page"/>
      </w:r>
    </w:p>
    <w:p w14:paraId="5DEB7C29">
      <w:pPr>
        <w:pStyle w:val="23"/>
        <w:jc w:val="center"/>
        <w:outlineLvl w:val="0"/>
        <w:rPr>
          <w:rFonts w:hint="eastAsia" w:ascii="黑体" w:hAnsi="黑体" w:eastAsia="黑体" w:cs="Times New Roman"/>
          <w:snapToGrid w:val="0"/>
          <w:sz w:val="30"/>
          <w:szCs w:val="30"/>
        </w:rPr>
      </w:pPr>
      <w:bookmarkStart w:id="20" w:name="_Toc6387"/>
      <w:bookmarkStart w:id="21" w:name="_Toc12259"/>
      <w:r>
        <w:rPr>
          <w:rFonts w:hint="eastAsia" w:ascii="黑体" w:hAnsi="黑体" w:eastAsia="黑体" w:cs="Times New Roman"/>
          <w:snapToGrid w:val="0"/>
          <w:sz w:val="30"/>
          <w:szCs w:val="30"/>
        </w:rPr>
        <w:t>五、</w:t>
      </w:r>
      <w:bookmarkStart w:id="22" w:name="_Hlk54167917"/>
      <w:r>
        <w:rPr>
          <w:rFonts w:hint="eastAsia" w:ascii="黑体" w:hAnsi="黑体" w:eastAsia="黑体" w:cs="Times New Roman"/>
          <w:snapToGrid w:val="0"/>
          <w:sz w:val="30"/>
          <w:szCs w:val="30"/>
        </w:rPr>
        <w:t>环境保护措施监督检查清单</w:t>
      </w:r>
      <w:bookmarkEnd w:id="20"/>
      <w:bookmarkEnd w:id="21"/>
      <w:bookmarkEnd w:id="22"/>
    </w:p>
    <w:tbl>
      <w:tblPr>
        <w:tblStyle w:val="24"/>
        <w:tblW w:w="50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883"/>
        <w:gridCol w:w="855"/>
        <w:gridCol w:w="1600"/>
        <w:gridCol w:w="2273"/>
        <w:gridCol w:w="2085"/>
      </w:tblGrid>
      <w:tr w14:paraId="0CD0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49" w:type="pct"/>
            <w:tcBorders>
              <w:tl2br w:val="single" w:color="auto" w:sz="4" w:space="0"/>
            </w:tcBorders>
          </w:tcPr>
          <w:p w14:paraId="0011E185">
            <w:pPr>
              <w:adjustRightInd w:val="0"/>
              <w:snapToGrid w:val="0"/>
              <w:ind w:firstLine="210" w:firstLineChars="100"/>
              <w:jc w:val="right"/>
              <w:rPr>
                <w:rFonts w:ascii="宋体" w:hAnsi="宋体" w:cs="宋体"/>
                <w:color w:val="auto"/>
                <w:sz w:val="21"/>
                <w:szCs w:val="21"/>
                <w:u w:val="none" w:color="auto"/>
              </w:rPr>
            </w:pPr>
            <w:r>
              <w:rPr>
                <w:rFonts w:hint="eastAsia" w:ascii="宋体" w:hAnsi="宋体" w:cs="宋体"/>
                <w:color w:val="auto"/>
                <w:sz w:val="21"/>
                <w:szCs w:val="21"/>
                <w:u w:val="none" w:color="auto"/>
              </w:rPr>
              <w:t>内容</w:t>
            </w:r>
          </w:p>
          <w:p w14:paraId="0658750C">
            <w:pPr>
              <w:adjustRightInd w:val="0"/>
              <w:snapToGrid w:val="0"/>
              <w:rPr>
                <w:rFonts w:ascii="宋体" w:hAnsi="宋体" w:cs="宋体"/>
                <w:color w:val="auto"/>
                <w:sz w:val="21"/>
                <w:szCs w:val="21"/>
                <w:u w:val="none" w:color="auto"/>
              </w:rPr>
            </w:pPr>
            <w:r>
              <w:rPr>
                <w:rFonts w:hint="eastAsia" w:ascii="宋体" w:hAnsi="宋体" w:cs="宋体"/>
                <w:color w:val="auto"/>
                <w:sz w:val="21"/>
                <w:szCs w:val="21"/>
                <w:u w:val="none" w:color="auto"/>
              </w:rPr>
              <w:t>要素</w:t>
            </w:r>
          </w:p>
        </w:tc>
        <w:tc>
          <w:tcPr>
            <w:tcW w:w="1005" w:type="pct"/>
            <w:gridSpan w:val="2"/>
            <w:tcBorders>
              <w:tl2br w:val="nil"/>
              <w:tr2bl w:val="nil"/>
            </w:tcBorders>
            <w:vAlign w:val="center"/>
          </w:tcPr>
          <w:p w14:paraId="47077D1C">
            <w:pPr>
              <w:adjustRightInd w:val="0"/>
              <w:snapToGrid w:val="0"/>
              <w:jc w:val="center"/>
              <w:rPr>
                <w:rFonts w:ascii="宋体" w:hAnsi="宋体" w:cs="宋体"/>
                <w:color w:val="auto"/>
                <w:sz w:val="21"/>
                <w:szCs w:val="21"/>
                <w:u w:val="none" w:color="auto"/>
              </w:rPr>
            </w:pPr>
            <w:r>
              <w:rPr>
                <w:rFonts w:hint="eastAsia" w:ascii="宋体" w:hAnsi="宋体" w:cs="宋体"/>
                <w:color w:val="auto"/>
                <w:sz w:val="21"/>
                <w:szCs w:val="21"/>
                <w:u w:val="none" w:color="auto"/>
              </w:rPr>
              <w:t>排放口(编号、名称)/污染源</w:t>
            </w:r>
          </w:p>
        </w:tc>
        <w:tc>
          <w:tcPr>
            <w:tcW w:w="925" w:type="pct"/>
            <w:tcBorders>
              <w:tl2br w:val="nil"/>
              <w:tr2bl w:val="nil"/>
            </w:tcBorders>
            <w:vAlign w:val="center"/>
          </w:tcPr>
          <w:p w14:paraId="5630AAB9">
            <w:pPr>
              <w:adjustRightInd w:val="0"/>
              <w:snapToGrid w:val="0"/>
              <w:jc w:val="center"/>
              <w:rPr>
                <w:rFonts w:ascii="宋体" w:hAnsi="宋体" w:cs="宋体"/>
                <w:color w:val="auto"/>
                <w:sz w:val="21"/>
                <w:szCs w:val="21"/>
                <w:u w:val="none" w:color="auto"/>
              </w:rPr>
            </w:pPr>
            <w:r>
              <w:rPr>
                <w:rFonts w:hint="eastAsia" w:ascii="宋体" w:hAnsi="宋体" w:cs="宋体"/>
                <w:color w:val="auto"/>
                <w:sz w:val="21"/>
                <w:szCs w:val="21"/>
                <w:u w:val="none" w:color="auto"/>
              </w:rPr>
              <w:t>污染物项目</w:t>
            </w:r>
          </w:p>
        </w:tc>
        <w:tc>
          <w:tcPr>
            <w:tcW w:w="1314" w:type="pct"/>
            <w:tcBorders>
              <w:tl2br w:val="nil"/>
              <w:tr2bl w:val="nil"/>
            </w:tcBorders>
            <w:vAlign w:val="center"/>
          </w:tcPr>
          <w:p w14:paraId="1690862F">
            <w:pPr>
              <w:adjustRightInd w:val="0"/>
              <w:snapToGrid w:val="0"/>
              <w:jc w:val="center"/>
              <w:rPr>
                <w:rFonts w:ascii="宋体" w:hAnsi="宋体" w:cs="宋体"/>
                <w:color w:val="auto"/>
                <w:sz w:val="21"/>
                <w:szCs w:val="21"/>
                <w:u w:val="none" w:color="auto"/>
              </w:rPr>
            </w:pPr>
            <w:r>
              <w:rPr>
                <w:rFonts w:hint="eastAsia" w:ascii="宋体" w:hAnsi="宋体" w:cs="宋体"/>
                <w:color w:val="auto"/>
                <w:sz w:val="21"/>
                <w:szCs w:val="21"/>
                <w:u w:val="none" w:color="auto"/>
              </w:rPr>
              <w:t>环境保护措施</w:t>
            </w:r>
          </w:p>
        </w:tc>
        <w:tc>
          <w:tcPr>
            <w:tcW w:w="1205" w:type="pct"/>
            <w:tcBorders>
              <w:tl2br w:val="nil"/>
              <w:tr2bl w:val="nil"/>
            </w:tcBorders>
            <w:vAlign w:val="center"/>
          </w:tcPr>
          <w:p w14:paraId="6E3C86CD">
            <w:pPr>
              <w:adjustRightInd w:val="0"/>
              <w:snapToGrid w:val="0"/>
              <w:jc w:val="center"/>
              <w:rPr>
                <w:rFonts w:ascii="宋体" w:hAnsi="宋体" w:cs="宋体"/>
                <w:color w:val="auto"/>
                <w:sz w:val="21"/>
                <w:szCs w:val="21"/>
                <w:u w:val="none" w:color="auto"/>
              </w:rPr>
            </w:pPr>
            <w:r>
              <w:rPr>
                <w:rFonts w:hint="eastAsia" w:ascii="宋体" w:hAnsi="宋体" w:cs="宋体"/>
                <w:color w:val="auto"/>
                <w:sz w:val="21"/>
                <w:szCs w:val="21"/>
                <w:u w:val="none" w:color="auto"/>
              </w:rPr>
              <w:t>执行标准</w:t>
            </w:r>
          </w:p>
        </w:tc>
      </w:tr>
      <w:tr w14:paraId="04B5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49" w:type="pct"/>
            <w:vMerge w:val="restart"/>
            <w:tcBorders>
              <w:tl2br w:val="nil"/>
              <w:tr2bl w:val="nil"/>
            </w:tcBorders>
            <w:vAlign w:val="center"/>
          </w:tcPr>
          <w:p w14:paraId="3F8877BD">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大气环境</w:t>
            </w:r>
          </w:p>
        </w:tc>
        <w:tc>
          <w:tcPr>
            <w:tcW w:w="1005" w:type="pct"/>
            <w:gridSpan w:val="2"/>
            <w:vMerge w:val="restart"/>
            <w:tcBorders>
              <w:top w:val="single" w:color="000000" w:sz="4" w:space="0"/>
              <w:tl2br w:val="nil"/>
              <w:tr2bl w:val="nil"/>
            </w:tcBorders>
            <w:vAlign w:val="center"/>
          </w:tcPr>
          <w:p w14:paraId="03A76349">
            <w:pPr>
              <w:adjustRightInd w:val="0"/>
              <w:snapToGrid w:val="0"/>
              <w:jc w:val="center"/>
              <w:rPr>
                <w:color w:val="auto"/>
                <w:sz w:val="21"/>
                <w:szCs w:val="21"/>
                <w:u w:val="none" w:color="auto"/>
              </w:rPr>
            </w:pPr>
            <w:r>
              <w:rPr>
                <w:rFonts w:hint="eastAsia"/>
                <w:color w:val="auto"/>
                <w:sz w:val="21"/>
                <w:szCs w:val="21"/>
                <w:u w:val="none" w:color="auto"/>
                <w:lang w:val="en-US" w:eastAsia="zh-CN"/>
              </w:rPr>
              <w:t>无组织废气</w:t>
            </w:r>
          </w:p>
        </w:tc>
        <w:tc>
          <w:tcPr>
            <w:tcW w:w="925" w:type="pct"/>
            <w:tcBorders>
              <w:top w:val="single" w:color="000000" w:sz="4" w:space="0"/>
              <w:tl2br w:val="nil"/>
              <w:tr2bl w:val="nil"/>
            </w:tcBorders>
            <w:vAlign w:val="center"/>
          </w:tcPr>
          <w:p w14:paraId="0249BEB0">
            <w:pPr>
              <w:adjustRightInd w:val="0"/>
              <w:snapToGrid w:val="0"/>
              <w:jc w:val="center"/>
              <w:rPr>
                <w:rFonts w:hint="eastAsia"/>
                <w:color w:val="auto"/>
                <w:sz w:val="21"/>
                <w:szCs w:val="21"/>
                <w:u w:val="none" w:color="auto"/>
                <w:lang w:val="en-US" w:eastAsia="zh-CN"/>
              </w:rPr>
            </w:pPr>
            <w:r>
              <w:rPr>
                <w:rFonts w:hint="eastAsia"/>
                <w:color w:val="auto"/>
                <w:sz w:val="21"/>
                <w:szCs w:val="21"/>
                <w:u w:val="none" w:color="auto"/>
                <w:lang w:val="en-US" w:eastAsia="zh-CN"/>
              </w:rPr>
              <w:t>臭气（氨、硫化氢、臭气浓度等表征）</w:t>
            </w:r>
          </w:p>
        </w:tc>
        <w:tc>
          <w:tcPr>
            <w:tcW w:w="1314" w:type="pct"/>
            <w:tcBorders>
              <w:top w:val="single" w:color="000000" w:sz="4" w:space="0"/>
              <w:tl2br w:val="nil"/>
              <w:tr2bl w:val="nil"/>
            </w:tcBorders>
            <w:vAlign w:val="center"/>
          </w:tcPr>
          <w:p w14:paraId="200F7C78">
            <w:pPr>
              <w:adjustRightInd w:val="0"/>
              <w:snapToGrid w:val="0"/>
              <w:jc w:val="center"/>
              <w:rPr>
                <w:rFonts w:hint="default"/>
                <w:color w:val="auto"/>
                <w:sz w:val="21"/>
                <w:szCs w:val="21"/>
                <w:u w:val="none" w:color="auto"/>
                <w:lang w:val="en-US" w:eastAsia="zh-CN"/>
              </w:rPr>
            </w:pPr>
            <w:r>
              <w:rPr>
                <w:rFonts w:hint="eastAsia"/>
                <w:color w:val="auto"/>
                <w:sz w:val="21"/>
                <w:szCs w:val="21"/>
                <w:u w:val="none" w:color="auto"/>
                <w:lang w:val="en-US" w:eastAsia="zh-CN"/>
              </w:rPr>
              <w:t>加强污泥处理间生产管理、设备密闭、车间密闭</w:t>
            </w:r>
          </w:p>
        </w:tc>
        <w:tc>
          <w:tcPr>
            <w:tcW w:w="1205" w:type="pct"/>
            <w:tcBorders>
              <w:top w:val="single" w:color="000000" w:sz="4" w:space="0"/>
              <w:tl2br w:val="nil"/>
              <w:tr2bl w:val="nil"/>
            </w:tcBorders>
            <w:shd w:val="clear" w:color="auto" w:fill="auto"/>
            <w:vAlign w:val="center"/>
          </w:tcPr>
          <w:p w14:paraId="2AD65BE2">
            <w:pPr>
              <w:adjustRightInd w:val="0"/>
              <w:snapToGrid w:val="0"/>
              <w:jc w:val="center"/>
              <w:rPr>
                <w:rFonts w:hint="default"/>
                <w:color w:val="auto"/>
                <w:sz w:val="21"/>
                <w:szCs w:val="21"/>
                <w:u w:val="none" w:color="auto"/>
                <w:lang w:val="en-US" w:eastAsia="zh-CN"/>
              </w:rPr>
            </w:pPr>
            <w:r>
              <w:rPr>
                <w:rFonts w:hint="default"/>
                <w:color w:val="auto"/>
                <w:sz w:val="21"/>
                <w:szCs w:val="21"/>
                <w:u w:val="none" w:color="auto"/>
                <w:lang w:val="en-US" w:eastAsia="zh-CN"/>
              </w:rPr>
              <w:t>《恶臭污染物排放标准》（GB14554-93）表1</w:t>
            </w:r>
          </w:p>
        </w:tc>
      </w:tr>
      <w:tr w14:paraId="67BE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9" w:type="pct"/>
            <w:vMerge w:val="continue"/>
            <w:tcBorders>
              <w:tl2br w:val="nil"/>
              <w:tr2bl w:val="nil"/>
            </w:tcBorders>
            <w:vAlign w:val="center"/>
          </w:tcPr>
          <w:p w14:paraId="120EC88F">
            <w:pPr>
              <w:adjustRightInd w:val="0"/>
              <w:snapToGrid w:val="0"/>
              <w:jc w:val="center"/>
              <w:rPr>
                <w:color w:val="auto"/>
                <w:sz w:val="21"/>
                <w:szCs w:val="21"/>
                <w:u w:val="none" w:color="auto"/>
              </w:rPr>
            </w:pPr>
          </w:p>
        </w:tc>
        <w:tc>
          <w:tcPr>
            <w:tcW w:w="1005" w:type="pct"/>
            <w:gridSpan w:val="2"/>
            <w:vMerge w:val="continue"/>
            <w:tcBorders>
              <w:tl2br w:val="nil"/>
              <w:tr2bl w:val="nil"/>
            </w:tcBorders>
            <w:vAlign w:val="center"/>
          </w:tcPr>
          <w:p w14:paraId="7F75D8C9">
            <w:pPr>
              <w:adjustRightInd w:val="0"/>
              <w:snapToGrid w:val="0"/>
              <w:jc w:val="center"/>
              <w:rPr>
                <w:color w:val="auto"/>
                <w:sz w:val="21"/>
                <w:szCs w:val="21"/>
                <w:u w:val="none" w:color="auto"/>
              </w:rPr>
            </w:pPr>
          </w:p>
        </w:tc>
        <w:tc>
          <w:tcPr>
            <w:tcW w:w="925" w:type="pct"/>
            <w:tcBorders>
              <w:tl2br w:val="nil"/>
              <w:tr2bl w:val="nil"/>
            </w:tcBorders>
            <w:vAlign w:val="center"/>
          </w:tcPr>
          <w:p w14:paraId="4D988277">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刺激性异味</w:t>
            </w:r>
          </w:p>
        </w:tc>
        <w:tc>
          <w:tcPr>
            <w:tcW w:w="1314" w:type="pct"/>
            <w:tcBorders>
              <w:tl2br w:val="nil"/>
              <w:tr2bl w:val="nil"/>
            </w:tcBorders>
            <w:vAlign w:val="center"/>
          </w:tcPr>
          <w:p w14:paraId="2FCAC4D7">
            <w:pPr>
              <w:adjustRightInd w:val="0"/>
              <w:snapToGrid w:val="0"/>
              <w:jc w:val="center"/>
              <w:rPr>
                <w:color w:val="auto"/>
                <w:sz w:val="21"/>
                <w:szCs w:val="21"/>
                <w:u w:val="none" w:color="auto"/>
              </w:rPr>
            </w:pPr>
            <w:r>
              <w:rPr>
                <w:rFonts w:hint="eastAsia"/>
                <w:color w:val="auto"/>
                <w:sz w:val="21"/>
                <w:szCs w:val="21"/>
                <w:highlight w:val="none"/>
                <w:u w:val="none" w:color="auto"/>
                <w:lang w:val="en-US" w:eastAsia="zh-CN"/>
              </w:rPr>
              <w:t>加氯间、加药间密闭、设置强制通风换气系统（配置洗眼喷淋设施）</w:t>
            </w:r>
            <w:r>
              <w:rPr>
                <w:rFonts w:hint="eastAsia" w:cs="Times New Roman"/>
                <w:color w:val="auto"/>
                <w:spacing w:val="0"/>
                <w:kern w:val="2"/>
                <w:sz w:val="21"/>
                <w:szCs w:val="21"/>
                <w:highlight w:val="none"/>
                <w:u w:val="none" w:color="auto"/>
                <w:lang w:val="en-US" w:eastAsia="zh-CN" w:bidi="ar-SA"/>
              </w:rPr>
              <w:t>和事故连锁换气通风装置，废气接入漏氯安全吸收设施，氯气钢瓶区配套事故应急池</w:t>
            </w:r>
          </w:p>
        </w:tc>
        <w:tc>
          <w:tcPr>
            <w:tcW w:w="1205" w:type="pct"/>
            <w:tcBorders>
              <w:tl2br w:val="nil"/>
              <w:tr2bl w:val="nil"/>
            </w:tcBorders>
            <w:vAlign w:val="center"/>
          </w:tcPr>
          <w:p w14:paraId="2FD0CFE3">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降低对周边环境影响</w:t>
            </w:r>
          </w:p>
        </w:tc>
      </w:tr>
      <w:tr w14:paraId="73B6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49" w:type="pct"/>
            <w:vMerge w:val="restart"/>
            <w:tcBorders>
              <w:tl2br w:val="nil"/>
              <w:tr2bl w:val="nil"/>
            </w:tcBorders>
            <w:vAlign w:val="center"/>
          </w:tcPr>
          <w:p w14:paraId="793481C1">
            <w:pPr>
              <w:adjustRightInd w:val="0"/>
              <w:snapToGrid w:val="0"/>
              <w:jc w:val="center"/>
              <w:rPr>
                <w:color w:val="auto"/>
                <w:sz w:val="21"/>
                <w:szCs w:val="21"/>
                <w:u w:val="none" w:color="auto"/>
              </w:rPr>
            </w:pPr>
            <w:r>
              <w:rPr>
                <w:color w:val="auto"/>
                <w:sz w:val="21"/>
                <w:szCs w:val="21"/>
                <w:u w:val="none" w:color="auto"/>
              </w:rPr>
              <w:t>地表水环境</w:t>
            </w:r>
          </w:p>
        </w:tc>
        <w:tc>
          <w:tcPr>
            <w:tcW w:w="510" w:type="pct"/>
            <w:tcBorders>
              <w:tl2br w:val="nil"/>
              <w:tr2bl w:val="nil"/>
            </w:tcBorders>
            <w:vAlign w:val="center"/>
          </w:tcPr>
          <w:p w14:paraId="47612828">
            <w:pPr>
              <w:adjustRightInd w:val="0"/>
              <w:snapToGrid w:val="0"/>
              <w:jc w:val="center"/>
              <w:rPr>
                <w:rFonts w:hint="default" w:eastAsia="宋体"/>
                <w:color w:val="auto"/>
                <w:sz w:val="21"/>
                <w:szCs w:val="21"/>
                <w:u w:val="none" w:color="auto"/>
                <w:lang w:val="en-US" w:eastAsia="zh-CN"/>
              </w:rPr>
            </w:pPr>
            <w:r>
              <w:rPr>
                <w:rFonts w:hint="default" w:eastAsia="宋体"/>
                <w:color w:val="auto"/>
                <w:sz w:val="21"/>
                <w:szCs w:val="21"/>
                <w:u w:val="none" w:color="auto"/>
                <w:lang w:val="en-US" w:eastAsia="zh-CN"/>
              </w:rPr>
              <w:t>生产废水（排泥水）</w:t>
            </w:r>
          </w:p>
        </w:tc>
        <w:tc>
          <w:tcPr>
            <w:tcW w:w="494" w:type="pct"/>
            <w:vMerge w:val="restart"/>
            <w:tcBorders>
              <w:tl2br w:val="nil"/>
              <w:tr2bl w:val="nil"/>
            </w:tcBorders>
            <w:vAlign w:val="center"/>
          </w:tcPr>
          <w:p w14:paraId="7C4A2C6B">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DW001</w:t>
            </w:r>
          </w:p>
        </w:tc>
        <w:tc>
          <w:tcPr>
            <w:tcW w:w="925" w:type="pct"/>
            <w:tcBorders>
              <w:tl2br w:val="nil"/>
              <w:tr2bl w:val="nil"/>
            </w:tcBorders>
            <w:vAlign w:val="center"/>
          </w:tcPr>
          <w:p w14:paraId="1B35BF11">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rPr>
              <w:t>COD、氨氮、SS、</w:t>
            </w:r>
            <w:r>
              <w:rPr>
                <w:rFonts w:hint="eastAsia"/>
                <w:color w:val="auto"/>
                <w:sz w:val="21"/>
                <w:szCs w:val="21"/>
                <w:u w:val="none" w:color="auto"/>
                <w:lang w:val="en-US" w:eastAsia="zh-CN"/>
              </w:rPr>
              <w:t>TN、TP、SS等</w:t>
            </w:r>
          </w:p>
        </w:tc>
        <w:tc>
          <w:tcPr>
            <w:tcW w:w="1314" w:type="pct"/>
            <w:tcBorders>
              <w:bottom w:val="single" w:color="000000" w:sz="4" w:space="0"/>
              <w:tl2br w:val="nil"/>
              <w:tr2bl w:val="nil"/>
            </w:tcBorders>
            <w:vAlign w:val="center"/>
          </w:tcPr>
          <w:p w14:paraId="3FFD83E1">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排泥水处理系统进行处理后排入市政污水管网，最终进岳阳马壕水质净化中心深度处理</w:t>
            </w:r>
          </w:p>
        </w:tc>
        <w:tc>
          <w:tcPr>
            <w:tcW w:w="1205" w:type="pct"/>
            <w:vMerge w:val="restart"/>
            <w:tcBorders>
              <w:tl2br w:val="nil"/>
              <w:tr2bl w:val="nil"/>
            </w:tcBorders>
            <w:vAlign w:val="center"/>
          </w:tcPr>
          <w:p w14:paraId="1D0EC438">
            <w:pPr>
              <w:tabs>
                <w:tab w:val="left" w:pos="577"/>
              </w:tabs>
              <w:adjustRightInd w:val="0"/>
              <w:snapToGrid w:val="0"/>
              <w:jc w:val="center"/>
              <w:rPr>
                <w:rFonts w:hint="default" w:eastAsia="宋体"/>
                <w:color w:val="auto"/>
                <w:sz w:val="21"/>
                <w:szCs w:val="21"/>
                <w:u w:val="none" w:color="auto"/>
                <w:lang w:val="en-US" w:eastAsia="zh-CN"/>
              </w:rPr>
            </w:pPr>
            <w:r>
              <w:rPr>
                <w:rFonts w:hint="eastAsia" w:eastAsia="宋体"/>
                <w:color w:val="auto"/>
                <w:sz w:val="21"/>
                <w:szCs w:val="21"/>
                <w:u w:val="none" w:color="auto"/>
                <w:lang w:val="en-US" w:eastAsia="zh-CN"/>
              </w:rPr>
              <w:t>《污水综合排放标准》（GB8978-1996）三级排放标准及岳阳马壕水质净化中心污水处理厂进水水质标准</w:t>
            </w:r>
          </w:p>
        </w:tc>
      </w:tr>
      <w:tr w14:paraId="342F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jc w:val="center"/>
        </w:trPr>
        <w:tc>
          <w:tcPr>
            <w:tcW w:w="549" w:type="pct"/>
            <w:vMerge w:val="continue"/>
            <w:tcBorders>
              <w:tl2br w:val="nil"/>
              <w:tr2bl w:val="nil"/>
            </w:tcBorders>
            <w:vAlign w:val="center"/>
          </w:tcPr>
          <w:p w14:paraId="44AA5221">
            <w:pPr>
              <w:adjustRightInd w:val="0"/>
              <w:snapToGrid w:val="0"/>
              <w:jc w:val="center"/>
              <w:rPr>
                <w:color w:val="auto"/>
                <w:sz w:val="21"/>
                <w:szCs w:val="21"/>
                <w:u w:val="none" w:color="auto"/>
              </w:rPr>
            </w:pPr>
          </w:p>
        </w:tc>
        <w:tc>
          <w:tcPr>
            <w:tcW w:w="510" w:type="pct"/>
            <w:tcBorders>
              <w:tl2br w:val="nil"/>
              <w:tr2bl w:val="nil"/>
            </w:tcBorders>
            <w:vAlign w:val="center"/>
          </w:tcPr>
          <w:p w14:paraId="4DC44678">
            <w:pPr>
              <w:adjustRightInd w:val="0"/>
              <w:snapToGrid w:val="0"/>
              <w:jc w:val="center"/>
              <w:rPr>
                <w:rFonts w:hint="default"/>
                <w:color w:val="auto"/>
                <w:sz w:val="21"/>
                <w:szCs w:val="21"/>
                <w:u w:val="none" w:color="auto"/>
                <w:lang w:val="en-US" w:eastAsia="zh-CN"/>
              </w:rPr>
            </w:pPr>
            <w:r>
              <w:rPr>
                <w:rFonts w:hint="eastAsia"/>
                <w:color w:val="auto"/>
                <w:sz w:val="21"/>
                <w:szCs w:val="21"/>
                <w:u w:val="none" w:color="auto"/>
                <w:lang w:val="en-US" w:eastAsia="zh-CN"/>
              </w:rPr>
              <w:t>生活污水</w:t>
            </w:r>
          </w:p>
        </w:tc>
        <w:tc>
          <w:tcPr>
            <w:tcW w:w="494" w:type="pct"/>
            <w:vMerge w:val="continue"/>
            <w:tcBorders>
              <w:tl2br w:val="nil"/>
              <w:tr2bl w:val="nil"/>
            </w:tcBorders>
            <w:vAlign w:val="center"/>
          </w:tcPr>
          <w:p w14:paraId="67B39C82">
            <w:pPr>
              <w:adjustRightInd w:val="0"/>
              <w:snapToGrid w:val="0"/>
              <w:jc w:val="center"/>
              <w:rPr>
                <w:color w:val="auto"/>
                <w:sz w:val="21"/>
                <w:szCs w:val="21"/>
                <w:u w:val="none" w:color="auto"/>
              </w:rPr>
            </w:pPr>
          </w:p>
        </w:tc>
        <w:tc>
          <w:tcPr>
            <w:tcW w:w="925" w:type="pct"/>
            <w:tcBorders>
              <w:tl2br w:val="nil"/>
              <w:tr2bl w:val="nil"/>
            </w:tcBorders>
            <w:vAlign w:val="center"/>
          </w:tcPr>
          <w:p w14:paraId="17BFB0A6">
            <w:pPr>
              <w:adjustRightInd w:val="0"/>
              <w:snapToGrid w:val="0"/>
              <w:jc w:val="center"/>
              <w:rPr>
                <w:rFonts w:hint="eastAsia" w:ascii="Times New Roman" w:hAnsi="Times New Roman" w:eastAsia="宋体" w:cs="Times New Roman"/>
                <w:color w:val="auto"/>
                <w:kern w:val="2"/>
                <w:sz w:val="21"/>
                <w:szCs w:val="21"/>
                <w:u w:val="none" w:color="auto"/>
                <w:lang w:val="en-US" w:eastAsia="zh-CN" w:bidi="ar-SA"/>
              </w:rPr>
            </w:pPr>
            <w:r>
              <w:rPr>
                <w:rFonts w:hint="eastAsia"/>
                <w:color w:val="auto"/>
                <w:sz w:val="21"/>
                <w:szCs w:val="21"/>
                <w:u w:val="none" w:color="auto"/>
              </w:rPr>
              <w:t>COD、BOD</w:t>
            </w:r>
            <w:r>
              <w:rPr>
                <w:rFonts w:hint="eastAsia"/>
                <w:color w:val="auto"/>
                <w:sz w:val="21"/>
                <w:szCs w:val="21"/>
                <w:u w:val="none" w:color="auto"/>
                <w:vertAlign w:val="subscript"/>
                <w:lang w:val="en-US" w:eastAsia="zh-CN"/>
              </w:rPr>
              <w:t>5</w:t>
            </w:r>
            <w:r>
              <w:rPr>
                <w:rFonts w:hint="eastAsia"/>
                <w:color w:val="auto"/>
                <w:sz w:val="21"/>
                <w:szCs w:val="21"/>
                <w:u w:val="none" w:color="auto"/>
              </w:rPr>
              <w:t>、SS、氨氮</w:t>
            </w:r>
            <w:r>
              <w:rPr>
                <w:rFonts w:hint="eastAsia"/>
                <w:color w:val="auto"/>
                <w:sz w:val="21"/>
                <w:szCs w:val="21"/>
                <w:u w:val="none" w:color="auto"/>
                <w:lang w:val="en-US" w:eastAsia="zh-CN"/>
              </w:rPr>
              <w:t>等</w:t>
            </w:r>
          </w:p>
        </w:tc>
        <w:tc>
          <w:tcPr>
            <w:tcW w:w="1314" w:type="pct"/>
            <w:tcBorders>
              <w:top w:val="single" w:color="000000" w:sz="4" w:space="0"/>
              <w:tl2br w:val="nil"/>
              <w:tr2bl w:val="nil"/>
            </w:tcBorders>
            <w:vAlign w:val="center"/>
          </w:tcPr>
          <w:p w14:paraId="039D577B">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化粪池预处理后，排入市政污水管网，最终进岳阳马壕水质净化中心深度处理</w:t>
            </w:r>
          </w:p>
        </w:tc>
        <w:tc>
          <w:tcPr>
            <w:tcW w:w="1205" w:type="pct"/>
            <w:vMerge w:val="continue"/>
            <w:tcBorders>
              <w:tl2br w:val="nil"/>
              <w:tr2bl w:val="nil"/>
            </w:tcBorders>
            <w:vAlign w:val="center"/>
          </w:tcPr>
          <w:p w14:paraId="11B8D942">
            <w:pPr>
              <w:tabs>
                <w:tab w:val="left" w:pos="577"/>
              </w:tabs>
              <w:adjustRightInd w:val="0"/>
              <w:snapToGrid w:val="0"/>
              <w:jc w:val="center"/>
              <w:rPr>
                <w:color w:val="auto"/>
                <w:sz w:val="21"/>
                <w:szCs w:val="21"/>
                <w:u w:val="none" w:color="auto"/>
              </w:rPr>
            </w:pPr>
          </w:p>
        </w:tc>
      </w:tr>
      <w:tr w14:paraId="540A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549" w:type="pct"/>
            <w:tcBorders>
              <w:tl2br w:val="nil"/>
              <w:tr2bl w:val="nil"/>
            </w:tcBorders>
            <w:vAlign w:val="center"/>
          </w:tcPr>
          <w:p w14:paraId="2FA4CDDB">
            <w:pPr>
              <w:adjustRightInd w:val="0"/>
              <w:snapToGrid w:val="0"/>
              <w:jc w:val="center"/>
              <w:rPr>
                <w:color w:val="auto"/>
                <w:sz w:val="21"/>
                <w:szCs w:val="21"/>
                <w:u w:val="none" w:color="auto"/>
              </w:rPr>
            </w:pPr>
            <w:r>
              <w:rPr>
                <w:color w:val="auto"/>
                <w:sz w:val="21"/>
                <w:szCs w:val="21"/>
                <w:u w:val="none" w:color="auto"/>
              </w:rPr>
              <w:t>声环境</w:t>
            </w:r>
          </w:p>
        </w:tc>
        <w:tc>
          <w:tcPr>
            <w:tcW w:w="1005" w:type="pct"/>
            <w:gridSpan w:val="2"/>
            <w:tcBorders>
              <w:tl2br w:val="nil"/>
              <w:tr2bl w:val="nil"/>
            </w:tcBorders>
            <w:vAlign w:val="center"/>
          </w:tcPr>
          <w:p w14:paraId="02785EF6">
            <w:pPr>
              <w:adjustRightInd w:val="0"/>
              <w:snapToGrid w:val="0"/>
              <w:jc w:val="center"/>
              <w:rPr>
                <w:color w:val="auto"/>
                <w:sz w:val="21"/>
                <w:szCs w:val="21"/>
                <w:u w:val="none" w:color="auto"/>
              </w:rPr>
            </w:pPr>
            <w:r>
              <w:rPr>
                <w:color w:val="auto"/>
                <w:sz w:val="21"/>
                <w:szCs w:val="21"/>
                <w:u w:val="none" w:color="auto"/>
              </w:rPr>
              <w:t>设备运行过程产生噪声</w:t>
            </w:r>
          </w:p>
        </w:tc>
        <w:tc>
          <w:tcPr>
            <w:tcW w:w="925" w:type="pct"/>
            <w:tcBorders>
              <w:tl2br w:val="nil"/>
              <w:tr2bl w:val="nil"/>
            </w:tcBorders>
            <w:vAlign w:val="center"/>
          </w:tcPr>
          <w:p w14:paraId="18D4D6FA">
            <w:pPr>
              <w:adjustRightInd w:val="0"/>
              <w:snapToGrid w:val="0"/>
              <w:jc w:val="center"/>
              <w:rPr>
                <w:color w:val="auto"/>
                <w:sz w:val="21"/>
                <w:szCs w:val="21"/>
                <w:u w:val="none" w:color="auto"/>
              </w:rPr>
            </w:pPr>
            <w:r>
              <w:rPr>
                <w:color w:val="auto"/>
                <w:sz w:val="21"/>
                <w:szCs w:val="21"/>
                <w:u w:val="none" w:color="auto"/>
              </w:rPr>
              <w:t>Leq（A）</w:t>
            </w:r>
          </w:p>
        </w:tc>
        <w:tc>
          <w:tcPr>
            <w:tcW w:w="1314" w:type="pct"/>
            <w:tcBorders>
              <w:tl2br w:val="nil"/>
              <w:tr2bl w:val="nil"/>
            </w:tcBorders>
            <w:vAlign w:val="center"/>
          </w:tcPr>
          <w:p w14:paraId="77D33FE8">
            <w:pPr>
              <w:adjustRightInd w:val="0"/>
              <w:snapToGrid w:val="0"/>
              <w:jc w:val="center"/>
              <w:rPr>
                <w:color w:val="auto"/>
                <w:sz w:val="21"/>
                <w:szCs w:val="21"/>
                <w:u w:val="none" w:color="auto"/>
              </w:rPr>
            </w:pPr>
            <w:r>
              <w:rPr>
                <w:color w:val="auto"/>
                <w:sz w:val="21"/>
                <w:szCs w:val="21"/>
                <w:u w:val="none" w:color="auto"/>
              </w:rPr>
              <w:t>隔声、减振</w:t>
            </w:r>
          </w:p>
        </w:tc>
        <w:tc>
          <w:tcPr>
            <w:tcW w:w="1205" w:type="pct"/>
            <w:tcBorders>
              <w:tl2br w:val="nil"/>
              <w:tr2bl w:val="nil"/>
            </w:tcBorders>
            <w:vAlign w:val="center"/>
          </w:tcPr>
          <w:p w14:paraId="10733C63">
            <w:pPr>
              <w:adjustRightInd w:val="0"/>
              <w:snapToGrid w:val="0"/>
              <w:jc w:val="center"/>
              <w:rPr>
                <w:color w:val="auto"/>
                <w:sz w:val="21"/>
                <w:szCs w:val="21"/>
                <w:u w:val="none" w:color="auto"/>
              </w:rPr>
            </w:pPr>
            <w:r>
              <w:rPr>
                <w:rFonts w:hint="default" w:ascii="Times New Roman" w:hAnsi="Times New Roman" w:cs="Times New Roman"/>
                <w:color w:val="auto"/>
                <w:sz w:val="21"/>
                <w:szCs w:val="21"/>
                <w:highlight w:val="none"/>
                <w:u w:val="none" w:color="auto"/>
              </w:rPr>
              <w:t>《工业企业厂界环境噪声排放标准》</w:t>
            </w:r>
            <w:r>
              <w:rPr>
                <w:rFonts w:hint="default" w:ascii="Times New Roman" w:hAnsi="Times New Roman" w:cs="Times New Roman"/>
                <w:color w:val="auto"/>
                <w:sz w:val="21"/>
                <w:szCs w:val="21"/>
                <w:highlight w:val="none"/>
                <w:u w:val="none" w:color="auto"/>
                <w:lang w:eastAsia="zh-CN"/>
              </w:rPr>
              <w:t>（</w:t>
            </w:r>
            <w:r>
              <w:rPr>
                <w:rFonts w:hint="default" w:ascii="Times New Roman" w:hAnsi="Times New Roman" w:cs="Times New Roman"/>
                <w:color w:val="auto"/>
                <w:sz w:val="21"/>
                <w:szCs w:val="21"/>
                <w:highlight w:val="none"/>
                <w:u w:val="none" w:color="auto"/>
              </w:rPr>
              <w:t>GB12348-2008</w:t>
            </w:r>
            <w:r>
              <w:rPr>
                <w:rFonts w:hint="default" w:ascii="Times New Roman" w:hAnsi="Times New Roman" w:cs="Times New Roman"/>
                <w:color w:val="auto"/>
                <w:sz w:val="21"/>
                <w:szCs w:val="21"/>
                <w:highlight w:val="none"/>
                <w:u w:val="none" w:color="auto"/>
                <w:lang w:eastAsia="zh-CN"/>
              </w:rPr>
              <w:t>）</w:t>
            </w:r>
            <w:r>
              <w:rPr>
                <w:rFonts w:hint="default" w:ascii="Times New Roman" w:hAnsi="Times New Roman" w:cs="Times New Roman"/>
                <w:color w:val="auto"/>
                <w:sz w:val="21"/>
                <w:szCs w:val="21"/>
                <w:highlight w:val="none"/>
                <w:u w:val="none" w:color="auto"/>
                <w:lang w:val="en-US" w:eastAsia="zh-CN"/>
              </w:rPr>
              <w:t>中</w:t>
            </w:r>
            <w:r>
              <w:rPr>
                <w:rFonts w:hint="eastAsia" w:cs="Times New Roman"/>
                <w:color w:val="auto"/>
                <w:sz w:val="21"/>
                <w:szCs w:val="21"/>
                <w:highlight w:val="none"/>
                <w:u w:val="none" w:color="auto"/>
                <w:lang w:val="en-US" w:eastAsia="zh-CN"/>
              </w:rPr>
              <w:t>2类区标准</w:t>
            </w:r>
            <w:r>
              <w:rPr>
                <w:rFonts w:hint="default" w:ascii="Times New Roman" w:hAnsi="Times New Roman" w:cs="Times New Roman"/>
                <w:color w:val="auto"/>
                <w:sz w:val="21"/>
                <w:szCs w:val="21"/>
                <w:highlight w:val="none"/>
                <w:u w:val="none" w:color="auto"/>
                <w:lang w:val="en-US" w:eastAsia="zh-CN"/>
              </w:rPr>
              <w:t>要求</w:t>
            </w:r>
          </w:p>
        </w:tc>
      </w:tr>
      <w:tr w14:paraId="1F6D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549" w:type="pct"/>
            <w:vMerge w:val="restart"/>
            <w:tcBorders>
              <w:tl2br w:val="nil"/>
              <w:tr2bl w:val="nil"/>
            </w:tcBorders>
            <w:vAlign w:val="center"/>
          </w:tcPr>
          <w:p w14:paraId="6886930C">
            <w:pPr>
              <w:adjustRightInd w:val="0"/>
              <w:snapToGrid w:val="0"/>
              <w:jc w:val="center"/>
              <w:rPr>
                <w:color w:val="auto"/>
                <w:sz w:val="21"/>
                <w:szCs w:val="21"/>
                <w:u w:val="none" w:color="auto"/>
              </w:rPr>
            </w:pPr>
            <w:r>
              <w:rPr>
                <w:color w:val="auto"/>
                <w:sz w:val="21"/>
                <w:szCs w:val="21"/>
                <w:u w:val="none" w:color="auto"/>
              </w:rPr>
              <w:t>固体废物</w:t>
            </w:r>
          </w:p>
        </w:tc>
        <w:tc>
          <w:tcPr>
            <w:tcW w:w="1005" w:type="pct"/>
            <w:gridSpan w:val="2"/>
            <w:tcBorders>
              <w:tl2br w:val="nil"/>
              <w:tr2bl w:val="nil"/>
            </w:tcBorders>
            <w:vAlign w:val="center"/>
          </w:tcPr>
          <w:p w14:paraId="58C41AFB">
            <w:pPr>
              <w:adjustRightInd w:val="0"/>
              <w:snapToGrid w:val="0"/>
              <w:jc w:val="center"/>
              <w:rPr>
                <w:color w:val="auto"/>
                <w:sz w:val="21"/>
                <w:szCs w:val="21"/>
                <w:u w:val="none" w:color="auto"/>
              </w:rPr>
            </w:pPr>
            <w:r>
              <w:rPr>
                <w:color w:val="auto"/>
                <w:sz w:val="21"/>
                <w:szCs w:val="21"/>
                <w:u w:val="none" w:color="auto"/>
              </w:rPr>
              <w:t>办公生活</w:t>
            </w:r>
          </w:p>
        </w:tc>
        <w:tc>
          <w:tcPr>
            <w:tcW w:w="925" w:type="pct"/>
            <w:tcBorders>
              <w:tl2br w:val="nil"/>
              <w:tr2bl w:val="nil"/>
            </w:tcBorders>
            <w:vAlign w:val="center"/>
          </w:tcPr>
          <w:p w14:paraId="2B2ED162">
            <w:pPr>
              <w:adjustRightInd w:val="0"/>
              <w:snapToGrid w:val="0"/>
              <w:jc w:val="center"/>
              <w:rPr>
                <w:color w:val="auto"/>
                <w:sz w:val="21"/>
                <w:szCs w:val="21"/>
                <w:u w:val="none" w:color="auto"/>
              </w:rPr>
            </w:pPr>
            <w:r>
              <w:rPr>
                <w:color w:val="auto"/>
                <w:sz w:val="21"/>
                <w:szCs w:val="21"/>
                <w:u w:val="none" w:color="auto"/>
              </w:rPr>
              <w:t>生活垃圾</w:t>
            </w:r>
          </w:p>
        </w:tc>
        <w:tc>
          <w:tcPr>
            <w:tcW w:w="1314" w:type="pct"/>
            <w:tcBorders>
              <w:tl2br w:val="nil"/>
              <w:tr2bl w:val="nil"/>
            </w:tcBorders>
            <w:vAlign w:val="center"/>
          </w:tcPr>
          <w:p w14:paraId="09C26AC8">
            <w:pPr>
              <w:adjustRightInd w:val="0"/>
              <w:snapToGrid w:val="0"/>
              <w:jc w:val="center"/>
              <w:rPr>
                <w:color w:val="auto"/>
                <w:sz w:val="21"/>
                <w:szCs w:val="21"/>
                <w:u w:val="none" w:color="auto"/>
              </w:rPr>
            </w:pPr>
            <w:r>
              <w:rPr>
                <w:color w:val="auto"/>
                <w:sz w:val="21"/>
                <w:szCs w:val="21"/>
                <w:u w:val="none" w:color="auto"/>
              </w:rPr>
              <w:t>交由环卫部门统一清运处理</w:t>
            </w:r>
          </w:p>
        </w:tc>
        <w:tc>
          <w:tcPr>
            <w:tcW w:w="1205" w:type="pct"/>
            <w:vMerge w:val="restart"/>
            <w:tcBorders>
              <w:tl2br w:val="nil"/>
              <w:tr2bl w:val="nil"/>
            </w:tcBorders>
            <w:vAlign w:val="center"/>
          </w:tcPr>
          <w:p w14:paraId="072BAF14">
            <w:pPr>
              <w:adjustRightInd w:val="0"/>
              <w:snapToGrid w:val="0"/>
              <w:jc w:val="center"/>
              <w:rPr>
                <w:color w:val="auto"/>
                <w:sz w:val="21"/>
                <w:szCs w:val="21"/>
                <w:u w:val="none" w:color="auto"/>
              </w:rPr>
            </w:pPr>
            <w:r>
              <w:rPr>
                <w:rFonts w:hint="eastAsia"/>
                <w:color w:val="auto"/>
                <w:sz w:val="21"/>
                <w:szCs w:val="21"/>
                <w:u w:val="none" w:color="auto"/>
                <w:lang w:val="en-US" w:eastAsia="zh-CN"/>
              </w:rPr>
              <w:t>妥善处置，不导致二次污染</w:t>
            </w:r>
          </w:p>
        </w:tc>
      </w:tr>
      <w:tr w14:paraId="37C1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549" w:type="pct"/>
            <w:vMerge w:val="continue"/>
            <w:tcBorders>
              <w:tl2br w:val="nil"/>
              <w:tr2bl w:val="nil"/>
            </w:tcBorders>
            <w:vAlign w:val="center"/>
          </w:tcPr>
          <w:p w14:paraId="292A15FC">
            <w:pPr>
              <w:adjustRightInd w:val="0"/>
              <w:snapToGrid w:val="0"/>
              <w:jc w:val="center"/>
              <w:rPr>
                <w:color w:val="auto"/>
                <w:sz w:val="21"/>
                <w:szCs w:val="21"/>
                <w:u w:val="none" w:color="auto"/>
              </w:rPr>
            </w:pPr>
          </w:p>
        </w:tc>
        <w:tc>
          <w:tcPr>
            <w:tcW w:w="1005" w:type="pct"/>
            <w:gridSpan w:val="2"/>
            <w:tcBorders>
              <w:tl2br w:val="nil"/>
              <w:tr2bl w:val="nil"/>
            </w:tcBorders>
            <w:vAlign w:val="center"/>
          </w:tcPr>
          <w:p w14:paraId="236E36D9">
            <w:pPr>
              <w:adjustRightInd w:val="0"/>
              <w:snapToGrid w:val="0"/>
              <w:jc w:val="center"/>
              <w:rPr>
                <w:color w:val="auto"/>
                <w:sz w:val="21"/>
                <w:szCs w:val="21"/>
                <w:u w:val="none" w:color="auto"/>
              </w:rPr>
            </w:pPr>
            <w:r>
              <w:rPr>
                <w:rFonts w:hint="eastAsia"/>
                <w:color w:val="auto"/>
                <w:sz w:val="21"/>
                <w:szCs w:val="21"/>
                <w:u w:val="none" w:color="auto"/>
              </w:rPr>
              <w:t>一般工业固废</w:t>
            </w:r>
          </w:p>
        </w:tc>
        <w:tc>
          <w:tcPr>
            <w:tcW w:w="925" w:type="pct"/>
            <w:tcBorders>
              <w:tl2br w:val="nil"/>
              <w:tr2bl w:val="nil"/>
            </w:tcBorders>
            <w:vAlign w:val="center"/>
          </w:tcPr>
          <w:p w14:paraId="19667223">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污泥泥饼</w:t>
            </w:r>
          </w:p>
        </w:tc>
        <w:tc>
          <w:tcPr>
            <w:tcW w:w="1314" w:type="pct"/>
            <w:tcBorders>
              <w:tl2br w:val="nil"/>
              <w:tr2bl w:val="nil"/>
            </w:tcBorders>
            <w:vAlign w:val="center"/>
          </w:tcPr>
          <w:p w14:paraId="1B314860">
            <w:pPr>
              <w:adjustRightInd w:val="0"/>
              <w:snapToGrid w:val="0"/>
              <w:jc w:val="center"/>
              <w:rPr>
                <w:color w:val="auto"/>
                <w:sz w:val="21"/>
                <w:szCs w:val="21"/>
                <w:u w:val="none" w:color="auto"/>
              </w:rPr>
            </w:pPr>
            <w:r>
              <w:rPr>
                <w:rFonts w:hint="eastAsia"/>
                <w:bCs/>
                <w:color w:val="auto"/>
                <w:sz w:val="21"/>
                <w:szCs w:val="21"/>
                <w:u w:val="none" w:color="auto"/>
                <w:lang w:val="en-US" w:eastAsia="zh-CN"/>
              </w:rPr>
              <w:t>环卫部门清运</w:t>
            </w:r>
          </w:p>
        </w:tc>
        <w:tc>
          <w:tcPr>
            <w:tcW w:w="1205" w:type="pct"/>
            <w:vMerge w:val="continue"/>
            <w:tcBorders>
              <w:tl2br w:val="nil"/>
              <w:tr2bl w:val="nil"/>
            </w:tcBorders>
            <w:vAlign w:val="center"/>
          </w:tcPr>
          <w:p w14:paraId="75A9E839">
            <w:pPr>
              <w:adjustRightInd w:val="0"/>
              <w:snapToGrid w:val="0"/>
              <w:jc w:val="center"/>
              <w:rPr>
                <w:color w:val="auto"/>
                <w:sz w:val="21"/>
                <w:szCs w:val="21"/>
                <w:u w:val="none" w:color="auto"/>
              </w:rPr>
            </w:pPr>
          </w:p>
        </w:tc>
      </w:tr>
      <w:tr w14:paraId="2576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49" w:type="pct"/>
            <w:vMerge w:val="continue"/>
            <w:tcBorders>
              <w:tl2br w:val="nil"/>
              <w:tr2bl w:val="nil"/>
            </w:tcBorders>
            <w:vAlign w:val="center"/>
          </w:tcPr>
          <w:p w14:paraId="09E4CF68">
            <w:pPr>
              <w:adjustRightInd w:val="0"/>
              <w:snapToGrid w:val="0"/>
              <w:jc w:val="center"/>
              <w:rPr>
                <w:color w:val="auto"/>
                <w:sz w:val="21"/>
                <w:szCs w:val="21"/>
                <w:u w:val="none" w:color="auto"/>
              </w:rPr>
            </w:pPr>
          </w:p>
        </w:tc>
        <w:tc>
          <w:tcPr>
            <w:tcW w:w="1005" w:type="pct"/>
            <w:gridSpan w:val="2"/>
            <w:tcBorders>
              <w:tl2br w:val="nil"/>
              <w:tr2bl w:val="nil"/>
            </w:tcBorders>
            <w:vAlign w:val="center"/>
          </w:tcPr>
          <w:p w14:paraId="1AA7E3D7">
            <w:pPr>
              <w:adjustRightInd w:val="0"/>
              <w:snapToGrid w:val="0"/>
              <w:jc w:val="center"/>
              <w:rPr>
                <w:color w:val="auto"/>
                <w:sz w:val="21"/>
                <w:szCs w:val="21"/>
                <w:u w:val="none" w:color="auto"/>
              </w:rPr>
            </w:pPr>
            <w:r>
              <w:rPr>
                <w:rFonts w:ascii="宋体" w:hAnsi="宋体" w:cs="宋体"/>
                <w:color w:val="auto"/>
                <w:sz w:val="21"/>
                <w:szCs w:val="21"/>
                <w:u w:val="none" w:color="auto"/>
              </w:rPr>
              <w:t>危险固废</w:t>
            </w:r>
          </w:p>
        </w:tc>
        <w:tc>
          <w:tcPr>
            <w:tcW w:w="925" w:type="pct"/>
            <w:tcBorders>
              <w:tl2br w:val="nil"/>
              <w:tr2bl w:val="nil"/>
            </w:tcBorders>
            <w:vAlign w:val="center"/>
          </w:tcPr>
          <w:p w14:paraId="5568A976">
            <w:pPr>
              <w:adjustRightInd w:val="0"/>
              <w:snapToGrid w:val="0"/>
              <w:jc w:val="center"/>
              <w:rPr>
                <w:rFonts w:hint="default" w:ascii="Times New Roman" w:hAnsi="Times New Roman" w:eastAsia="宋体" w:cs="Times New Roman"/>
                <w:color w:val="auto"/>
                <w:sz w:val="21"/>
                <w:szCs w:val="21"/>
                <w:u w:val="none" w:color="auto"/>
                <w:lang w:val="en-US" w:eastAsia="zh-CN"/>
              </w:rPr>
            </w:pPr>
            <w:r>
              <w:rPr>
                <w:rFonts w:hint="eastAsia" w:ascii="Times New Roman" w:hAnsi="Times New Roman" w:eastAsia="宋体" w:cs="Times New Roman"/>
                <w:color w:val="auto"/>
                <w:sz w:val="21"/>
                <w:szCs w:val="21"/>
                <w:u w:val="none" w:color="auto"/>
                <w:lang w:val="en-US" w:eastAsia="zh-CN"/>
              </w:rPr>
              <w:t>实验室废液、废矿物油、含油抹布、手套等</w:t>
            </w:r>
          </w:p>
        </w:tc>
        <w:tc>
          <w:tcPr>
            <w:tcW w:w="1314" w:type="pct"/>
            <w:tcBorders>
              <w:tl2br w:val="nil"/>
              <w:tr2bl w:val="nil"/>
            </w:tcBorders>
            <w:vAlign w:val="center"/>
          </w:tcPr>
          <w:p w14:paraId="58967115">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委托有资质的单位进行处理</w:t>
            </w:r>
          </w:p>
        </w:tc>
        <w:tc>
          <w:tcPr>
            <w:tcW w:w="1205" w:type="pct"/>
            <w:tcBorders>
              <w:tl2br w:val="nil"/>
              <w:tr2bl w:val="nil"/>
            </w:tcBorders>
            <w:vAlign w:val="center"/>
          </w:tcPr>
          <w:p w14:paraId="39C28A68">
            <w:pPr>
              <w:adjustRightInd w:val="0"/>
              <w:snapToGrid w:val="0"/>
              <w:jc w:val="center"/>
              <w:rPr>
                <w:rFonts w:hint="default"/>
                <w:color w:val="auto"/>
                <w:sz w:val="21"/>
                <w:szCs w:val="21"/>
                <w:u w:val="none" w:color="auto"/>
                <w:lang w:val="en-US"/>
              </w:rPr>
            </w:pPr>
            <w:r>
              <w:rPr>
                <w:rFonts w:hint="eastAsia"/>
                <w:color w:val="auto"/>
                <w:sz w:val="21"/>
                <w:szCs w:val="21"/>
                <w:u w:val="none" w:color="auto"/>
                <w:lang w:val="en-US" w:eastAsia="zh-CN"/>
              </w:rPr>
              <w:t>厂区内危险废物暂存间暂存定期交由资质单位安全处置</w:t>
            </w:r>
          </w:p>
        </w:tc>
      </w:tr>
      <w:tr w14:paraId="53B8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549" w:type="pct"/>
            <w:tcBorders>
              <w:tl2br w:val="nil"/>
              <w:tr2bl w:val="nil"/>
            </w:tcBorders>
            <w:vAlign w:val="center"/>
          </w:tcPr>
          <w:p w14:paraId="54E4A4CE">
            <w:pPr>
              <w:adjustRightInd w:val="0"/>
              <w:snapToGrid w:val="0"/>
              <w:jc w:val="center"/>
              <w:rPr>
                <w:color w:val="auto"/>
                <w:sz w:val="21"/>
                <w:szCs w:val="21"/>
                <w:u w:val="none" w:color="auto"/>
              </w:rPr>
            </w:pPr>
            <w:r>
              <w:rPr>
                <w:color w:val="auto"/>
                <w:sz w:val="21"/>
                <w:szCs w:val="21"/>
                <w:u w:val="none" w:color="auto"/>
              </w:rPr>
              <w:t>土壤及地下水污染防治措施</w:t>
            </w:r>
          </w:p>
        </w:tc>
        <w:tc>
          <w:tcPr>
            <w:tcW w:w="4450" w:type="pct"/>
            <w:gridSpan w:val="5"/>
            <w:tcBorders>
              <w:tl2br w:val="nil"/>
              <w:tr2bl w:val="nil"/>
            </w:tcBorders>
            <w:vAlign w:val="center"/>
          </w:tcPr>
          <w:p w14:paraId="0CE50E44">
            <w:pPr>
              <w:numPr>
                <w:ilvl w:val="0"/>
                <w:numId w:val="0"/>
              </w:numPr>
              <w:adjustRightInd w:val="0"/>
              <w:snapToGrid w:val="0"/>
              <w:rPr>
                <w:rFonts w:hint="eastAsia" w:eastAsia="宋体"/>
                <w:color w:val="auto"/>
                <w:sz w:val="21"/>
                <w:szCs w:val="21"/>
                <w:u w:val="none" w:color="auto"/>
                <w:lang w:eastAsia="zh-CN"/>
              </w:rPr>
            </w:pPr>
            <w:r>
              <w:rPr>
                <w:color w:val="auto"/>
                <w:sz w:val="21"/>
                <w:szCs w:val="21"/>
                <w:u w:val="none" w:color="auto"/>
              </w:rPr>
              <w:t>本次环评要求从源头控制措施</w:t>
            </w:r>
            <w:r>
              <w:rPr>
                <w:rFonts w:hint="eastAsia"/>
                <w:color w:val="auto"/>
                <w:sz w:val="21"/>
                <w:szCs w:val="21"/>
                <w:u w:val="none" w:color="auto"/>
                <w:lang w:eastAsia="zh-CN"/>
              </w:rPr>
              <w:t>，</w:t>
            </w:r>
            <w:r>
              <w:rPr>
                <w:rFonts w:hint="eastAsia"/>
                <w:color w:val="auto"/>
                <w:sz w:val="21"/>
                <w:szCs w:val="21"/>
                <w:u w:val="none" w:color="auto"/>
                <w:lang w:val="en-US" w:eastAsia="zh-CN"/>
              </w:rPr>
              <w:t>控制液态物料</w:t>
            </w:r>
            <w:r>
              <w:rPr>
                <w:color w:val="auto"/>
                <w:sz w:val="21"/>
                <w:szCs w:val="21"/>
                <w:u w:val="none" w:color="auto"/>
              </w:rPr>
              <w:t>跑、冒、滴、漏现象发生</w:t>
            </w:r>
            <w:r>
              <w:rPr>
                <w:rFonts w:hint="eastAsia"/>
                <w:color w:val="auto"/>
                <w:sz w:val="21"/>
                <w:szCs w:val="21"/>
                <w:u w:val="none" w:color="auto"/>
                <w:lang w:eastAsia="zh-CN"/>
              </w:rPr>
              <w:t>，</w:t>
            </w:r>
            <w:r>
              <w:rPr>
                <w:color w:val="auto"/>
                <w:sz w:val="21"/>
                <w:szCs w:val="21"/>
                <w:u w:val="none" w:color="auto"/>
              </w:rPr>
              <w:t>采取分区防渗措施</w:t>
            </w:r>
            <w:r>
              <w:rPr>
                <w:rFonts w:hint="eastAsia"/>
                <w:color w:val="auto"/>
                <w:sz w:val="21"/>
                <w:szCs w:val="21"/>
                <w:u w:val="none" w:color="auto"/>
                <w:lang w:eastAsia="zh-CN"/>
              </w:rPr>
              <w:t>，做好“三防”措施</w:t>
            </w:r>
            <w:r>
              <w:rPr>
                <w:rFonts w:hint="eastAsia"/>
                <w:color w:val="auto"/>
                <w:sz w:val="21"/>
                <w:szCs w:val="21"/>
                <w:u w:val="none" w:color="auto"/>
                <w:lang w:val="en-US" w:eastAsia="zh-CN"/>
              </w:rPr>
              <w:t>等</w:t>
            </w:r>
          </w:p>
        </w:tc>
      </w:tr>
      <w:tr w14:paraId="7C02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49" w:type="pct"/>
            <w:tcBorders>
              <w:tl2br w:val="nil"/>
              <w:tr2bl w:val="nil"/>
            </w:tcBorders>
            <w:vAlign w:val="center"/>
          </w:tcPr>
          <w:p w14:paraId="40B5FFC1">
            <w:pPr>
              <w:adjustRightInd w:val="0"/>
              <w:snapToGrid w:val="0"/>
              <w:jc w:val="center"/>
              <w:rPr>
                <w:color w:val="auto"/>
                <w:sz w:val="21"/>
                <w:szCs w:val="21"/>
                <w:u w:val="none" w:color="auto"/>
              </w:rPr>
            </w:pPr>
            <w:r>
              <w:rPr>
                <w:color w:val="auto"/>
                <w:sz w:val="21"/>
                <w:szCs w:val="21"/>
                <w:u w:val="none" w:color="auto"/>
              </w:rPr>
              <w:t>生态保护措施</w:t>
            </w:r>
          </w:p>
        </w:tc>
        <w:tc>
          <w:tcPr>
            <w:tcW w:w="4450" w:type="pct"/>
            <w:gridSpan w:val="5"/>
            <w:tcBorders>
              <w:tl2br w:val="nil"/>
              <w:tr2bl w:val="nil"/>
            </w:tcBorders>
            <w:vAlign w:val="center"/>
          </w:tcPr>
          <w:p w14:paraId="04D55093">
            <w:pPr>
              <w:adjustRightInd w:val="0"/>
              <w:snapToGrid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加强厂界绿化工作</w:t>
            </w:r>
          </w:p>
        </w:tc>
      </w:tr>
      <w:tr w14:paraId="110E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549" w:type="pct"/>
            <w:tcBorders>
              <w:tl2br w:val="nil"/>
              <w:tr2bl w:val="nil"/>
            </w:tcBorders>
            <w:vAlign w:val="center"/>
          </w:tcPr>
          <w:p w14:paraId="6897308A">
            <w:pPr>
              <w:adjustRightInd w:val="0"/>
              <w:snapToGrid w:val="0"/>
              <w:jc w:val="center"/>
              <w:rPr>
                <w:color w:val="auto"/>
                <w:spacing w:val="-8"/>
                <w:sz w:val="21"/>
                <w:szCs w:val="21"/>
                <w:u w:val="none" w:color="auto"/>
              </w:rPr>
            </w:pPr>
            <w:r>
              <w:rPr>
                <w:color w:val="auto"/>
                <w:spacing w:val="-8"/>
                <w:sz w:val="21"/>
                <w:szCs w:val="21"/>
                <w:u w:val="none" w:color="auto"/>
              </w:rPr>
              <w:t>环境风险防范措施</w:t>
            </w:r>
          </w:p>
        </w:tc>
        <w:tc>
          <w:tcPr>
            <w:tcW w:w="4450" w:type="pct"/>
            <w:gridSpan w:val="5"/>
            <w:tcBorders>
              <w:tl2br w:val="nil"/>
              <w:tr2bl w:val="nil"/>
            </w:tcBorders>
            <w:vAlign w:val="center"/>
          </w:tcPr>
          <w:p w14:paraId="3677F3E7">
            <w:pPr>
              <w:pStyle w:val="10"/>
              <w:spacing w:after="0"/>
              <w:ind w:left="0" w:leftChars="0"/>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1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①</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加强职工的安全教育，提高安全防范风险的意识，</w:t>
            </w:r>
            <w:r>
              <w:rPr>
                <w:rFonts w:hint="eastAsia" w:ascii="Times New Roman" w:hAnsi="Times New Roman" w:cs="Times New Roman"/>
                <w:sz w:val="21"/>
                <w:szCs w:val="21"/>
                <w:highlight w:val="none"/>
                <w:lang w:val="en-US" w:eastAsia="zh-CN"/>
              </w:rPr>
              <w:t>相关环境风险危险耽误</w:t>
            </w:r>
            <w:r>
              <w:rPr>
                <w:rFonts w:hint="default" w:ascii="Times New Roman" w:hAnsi="Times New Roman" w:cs="Times New Roman"/>
                <w:sz w:val="21"/>
                <w:szCs w:val="21"/>
                <w:highlight w:val="none"/>
              </w:rPr>
              <w:t>制定严格的操作规程</w:t>
            </w:r>
          </w:p>
          <w:p w14:paraId="0BAF383B">
            <w:pPr>
              <w:pStyle w:val="10"/>
              <w:spacing w:after="0"/>
              <w:ind w:left="0" w:leftChars="0"/>
              <w:contextualSpacing/>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2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②</w:t>
            </w:r>
            <w:r>
              <w:rPr>
                <w:rFonts w:hint="default" w:ascii="Times New Roman" w:hAnsi="Times New Roman" w:cs="Times New Roman"/>
                <w:sz w:val="21"/>
                <w:szCs w:val="21"/>
                <w:highlight w:val="none"/>
              </w:rPr>
              <w:fldChar w:fldCharType="end"/>
            </w:r>
            <w:r>
              <w:rPr>
                <w:rFonts w:hint="eastAsia" w:ascii="Times New Roman" w:hAnsi="Times New Roman" w:cs="Times New Roman"/>
                <w:sz w:val="21"/>
                <w:szCs w:val="21"/>
                <w:highlight w:val="none"/>
                <w:lang w:val="en-US" w:eastAsia="zh-CN"/>
              </w:rPr>
              <w:t>在加氯间设置氯气泄漏报警系统、配置漏氯吸收安全防护装置</w:t>
            </w:r>
            <w:r>
              <w:rPr>
                <w:rFonts w:hint="eastAsia" w:cs="Times New Roman"/>
                <w:sz w:val="21"/>
                <w:szCs w:val="21"/>
                <w:highlight w:val="none"/>
                <w:lang w:val="en-US" w:eastAsia="zh-CN"/>
              </w:rPr>
              <w:t>，</w:t>
            </w:r>
            <w:r>
              <w:rPr>
                <w:rFonts w:hint="eastAsia" w:cs="Times New Roman"/>
                <w:color w:val="auto"/>
                <w:spacing w:val="0"/>
                <w:szCs w:val="21"/>
                <w:highlight w:val="none"/>
                <w:u w:val="none" w:color="auto"/>
                <w:lang w:val="en-US" w:eastAsia="zh-CN"/>
              </w:rPr>
              <w:t>设置洗眼喷淋装置</w:t>
            </w:r>
          </w:p>
          <w:p w14:paraId="2653563D">
            <w:pPr>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3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③</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对</w:t>
            </w:r>
            <w:r>
              <w:rPr>
                <w:rFonts w:hint="eastAsia" w:ascii="Times New Roman" w:hAnsi="Times New Roman" w:cs="Times New Roman"/>
                <w:sz w:val="21"/>
                <w:szCs w:val="21"/>
                <w:highlight w:val="none"/>
                <w:lang w:val="en-US" w:eastAsia="zh-CN"/>
              </w:rPr>
              <w:t>环境风险源单元</w:t>
            </w:r>
            <w:r>
              <w:rPr>
                <w:rFonts w:hint="default" w:ascii="Times New Roman" w:hAnsi="Times New Roman" w:cs="Times New Roman"/>
                <w:sz w:val="21"/>
                <w:szCs w:val="21"/>
                <w:highlight w:val="none"/>
              </w:rPr>
              <w:t>易发生泄漏的部位实行定期的巡检制度，及时发现问题，尽快解决</w:t>
            </w:r>
          </w:p>
          <w:p w14:paraId="2351226D">
            <w:pPr>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4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④</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严格执行防火、防爆、防雷击、防毒害等各项要求</w:t>
            </w:r>
          </w:p>
          <w:p w14:paraId="0DA67DFF">
            <w:pPr>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5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⑤</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建立健全安全、高效的事故应急反应体系，一旦发生事故，要做到快速、高效、安全处置</w:t>
            </w:r>
          </w:p>
          <w:p w14:paraId="3A56B7E8">
            <w:pPr>
              <w:contextualSpacing/>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6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⑥</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落实事故废水</w:t>
            </w:r>
            <w:r>
              <w:rPr>
                <w:rFonts w:hint="eastAsia" w:ascii="Times New Roman" w:hAnsi="Times New Roman" w:cs="Times New Roman"/>
                <w:sz w:val="21"/>
                <w:szCs w:val="21"/>
                <w:highlight w:val="none"/>
                <w:lang w:val="en-US" w:eastAsia="zh-CN"/>
              </w:rPr>
              <w:t>应急</w:t>
            </w:r>
            <w:r>
              <w:rPr>
                <w:rFonts w:hint="default" w:ascii="Times New Roman" w:hAnsi="Times New Roman" w:cs="Times New Roman"/>
                <w:sz w:val="21"/>
                <w:szCs w:val="21"/>
                <w:highlight w:val="none"/>
              </w:rPr>
              <w:t>防控</w:t>
            </w:r>
            <w:r>
              <w:rPr>
                <w:rFonts w:hint="eastAsia" w:ascii="Times New Roman" w:hAnsi="Times New Roman" w:cs="Times New Roman"/>
                <w:sz w:val="21"/>
                <w:szCs w:val="21"/>
                <w:highlight w:val="none"/>
                <w:lang w:val="en-US" w:eastAsia="zh-CN"/>
              </w:rPr>
              <w:t>收集措施</w:t>
            </w:r>
            <w:r>
              <w:rPr>
                <w:rFonts w:hint="default" w:ascii="Times New Roman" w:hAnsi="Times New Roman" w:cs="Times New Roman"/>
                <w:sz w:val="21"/>
                <w:szCs w:val="21"/>
                <w:highlight w:val="none"/>
              </w:rPr>
              <w:t>，</w:t>
            </w:r>
            <w:r>
              <w:rPr>
                <w:rFonts w:hint="eastAsia" w:cs="Times New Roman"/>
                <w:color w:val="auto"/>
                <w:spacing w:val="0"/>
                <w:kern w:val="2"/>
                <w:sz w:val="21"/>
                <w:szCs w:val="21"/>
                <w:highlight w:val="none"/>
                <w:u w:val="none" w:color="auto"/>
                <w:lang w:val="en-US" w:eastAsia="zh-CN" w:bidi="ar-SA"/>
              </w:rPr>
              <w:t>钢瓶区配套事故应急池，</w:t>
            </w:r>
            <w:r>
              <w:rPr>
                <w:rFonts w:hint="eastAsia" w:ascii="Times New Roman" w:hAnsi="Times New Roman" w:cs="Times New Roman"/>
                <w:sz w:val="21"/>
                <w:szCs w:val="21"/>
                <w:highlight w:val="none"/>
                <w:lang w:val="en-US" w:eastAsia="zh-CN"/>
              </w:rPr>
              <w:t>发生环境风险事件时确保</w:t>
            </w:r>
            <w:r>
              <w:rPr>
                <w:rFonts w:hint="default" w:ascii="Times New Roman" w:hAnsi="Times New Roman" w:cs="Times New Roman"/>
                <w:sz w:val="21"/>
                <w:szCs w:val="21"/>
                <w:highlight w:val="none"/>
              </w:rPr>
              <w:t xml:space="preserve">事故废水不外排，杜绝对外界水体造成污染影响 </w:t>
            </w:r>
          </w:p>
          <w:p w14:paraId="7058FEF8">
            <w:pPr>
              <w:adjustRightInd w:val="0"/>
              <w:snapToGrid w:val="0"/>
              <w:rPr>
                <w:color w:val="auto"/>
                <w:kern w:val="0"/>
                <w:sz w:val="21"/>
                <w:szCs w:val="21"/>
                <w:u w:val="none" w:color="auto"/>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7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⑦</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按分区防渗要求对设施构筑物地面均采用防渗透处理，防止废水渗漏而污染地下水</w:t>
            </w:r>
          </w:p>
        </w:tc>
      </w:tr>
      <w:tr w14:paraId="6108B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jc w:val="center"/>
        </w:trPr>
        <w:tc>
          <w:tcPr>
            <w:tcW w:w="549" w:type="pct"/>
            <w:tcBorders>
              <w:tl2br w:val="nil"/>
              <w:tr2bl w:val="nil"/>
            </w:tcBorders>
            <w:vAlign w:val="center"/>
          </w:tcPr>
          <w:p w14:paraId="35891E32">
            <w:pPr>
              <w:adjustRightInd w:val="0"/>
              <w:snapToGrid w:val="0"/>
              <w:jc w:val="center"/>
              <w:rPr>
                <w:color w:val="auto"/>
                <w:spacing w:val="-8"/>
                <w:sz w:val="21"/>
                <w:szCs w:val="21"/>
                <w:u w:val="none" w:color="auto"/>
              </w:rPr>
            </w:pPr>
            <w:r>
              <w:rPr>
                <w:color w:val="auto"/>
                <w:spacing w:val="-8"/>
                <w:sz w:val="21"/>
                <w:szCs w:val="21"/>
                <w:u w:val="none" w:color="auto"/>
              </w:rPr>
              <w:t>其他环境管理要求</w:t>
            </w:r>
          </w:p>
        </w:tc>
        <w:tc>
          <w:tcPr>
            <w:tcW w:w="4450" w:type="pct"/>
            <w:gridSpan w:val="5"/>
            <w:tcBorders>
              <w:tl2br w:val="nil"/>
              <w:tr2bl w:val="nil"/>
            </w:tcBorders>
            <w:vAlign w:val="center"/>
          </w:tcPr>
          <w:p w14:paraId="7CDC0F7D">
            <w:pPr>
              <w:jc w:val="left"/>
              <w:rPr>
                <w:b/>
                <w:bCs/>
                <w:szCs w:val="21"/>
              </w:rPr>
            </w:pPr>
            <w:r>
              <w:rPr>
                <w:szCs w:val="21"/>
              </w:rPr>
              <w:t>1、</w:t>
            </w:r>
            <w:r>
              <w:rPr>
                <w:rFonts w:hint="eastAsia"/>
                <w:b/>
                <w:bCs/>
                <w:szCs w:val="21"/>
              </w:rPr>
              <w:t>环境管理</w:t>
            </w:r>
          </w:p>
          <w:p w14:paraId="0FB80BE3">
            <w:pPr>
              <w:jc w:val="left"/>
              <w:rPr>
                <w:color w:val="auto"/>
                <w:sz w:val="21"/>
                <w:szCs w:val="21"/>
                <w:u w:val="none" w:color="auto"/>
              </w:rPr>
            </w:pPr>
            <w:r>
              <w:rPr>
                <w:rFonts w:hint="eastAsia"/>
                <w:szCs w:val="21"/>
              </w:rPr>
              <w:t>运营期环境管理是一项长期的环境管理工作，必须建立完善的管理机构和体系，并在此基础上建立健全的环境监督和管理制度。定期维护、保养和检修各项环保处理设施，以保证这些设施的正常运行；根据环境监测的结果，制定改进或补充环保措施的计划。</w:t>
            </w:r>
            <w:r>
              <w:rPr>
                <w:rFonts w:hint="default" w:ascii="Times New Roman" w:hAnsi="Times New Roman" w:cs="Times New Roman"/>
                <w:color w:val="auto"/>
                <w:sz w:val="21"/>
                <w:szCs w:val="21"/>
                <w:u w:val="none" w:color="auto"/>
              </w:rPr>
              <w:t>环境管理机构应加强构建企业内部环境管理机构，对建设项目应配备专职环保人员1名，负责建设项目的环境保护监督管理工作</w:t>
            </w:r>
            <w:r>
              <w:rPr>
                <w:color w:val="auto"/>
                <w:sz w:val="21"/>
                <w:szCs w:val="21"/>
                <w:u w:val="none" w:color="auto"/>
              </w:rPr>
              <w:t>。</w:t>
            </w:r>
          </w:p>
          <w:p w14:paraId="283D7897">
            <w:pPr>
              <w:jc w:val="left"/>
              <w:rPr>
                <w:szCs w:val="21"/>
              </w:rPr>
            </w:pPr>
            <w:r>
              <w:rPr>
                <w:rFonts w:hint="eastAsia"/>
                <w:szCs w:val="21"/>
              </w:rPr>
              <w:t>固体废物环境管理要求</w:t>
            </w:r>
            <w:r>
              <w:rPr>
                <w:rFonts w:hint="eastAsia"/>
                <w:szCs w:val="21"/>
                <w:lang w:eastAsia="zh-CN"/>
              </w:rPr>
              <w:t>：</w:t>
            </w:r>
            <w:r>
              <w:rPr>
                <w:rFonts w:hint="eastAsia"/>
                <w:szCs w:val="21"/>
              </w:rPr>
              <w:t xml:space="preserve">①建设单位应将危险废物的实际产生、贮存、利用、处置等情况纳入记录，建立危险废物管理台账和企业内部产生和收集、贮存、转移等部门危险废物交接制度。②企业为固体废物污染防治的责任主体，企业须完善风险管理和应急救援体系，执行环境监测计划、转移联单管理制度及国家和省有关管理的相关规定、处置过程安全操作规程、人员培训考核制度、档案管理制度、处置全过程管理制度等。③规范建设危险废物贮存场所并按照要求设置警告标志，危废包装、容器和贮存场所应按照《危险废物贮存污染控制标准》（GB18597-2023）有关要求张贴标识。 </w:t>
            </w:r>
          </w:p>
          <w:p w14:paraId="41B72C45">
            <w:pPr>
              <w:jc w:val="left"/>
              <w:rPr>
                <w:b/>
                <w:bCs/>
                <w:szCs w:val="21"/>
              </w:rPr>
            </w:pPr>
            <w:r>
              <w:rPr>
                <w:rFonts w:hint="eastAsia"/>
                <w:b/>
                <w:bCs/>
                <w:szCs w:val="21"/>
              </w:rPr>
              <w:t>2</w:t>
            </w:r>
            <w:r>
              <w:rPr>
                <w:b/>
                <w:bCs/>
                <w:szCs w:val="21"/>
              </w:rPr>
              <w:t>、排污许可管理制度</w:t>
            </w:r>
          </w:p>
          <w:p w14:paraId="5DBA9BD3">
            <w:pPr>
              <w:pStyle w:val="12"/>
              <w:adjustRightInd w:val="0"/>
              <w:spacing w:before="0" w:after="0" w:line="240" w:lineRule="auto"/>
              <w:ind w:right="0"/>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cs="Times New Roman"/>
                <w:color w:val="auto"/>
                <w:sz w:val="21"/>
                <w:szCs w:val="21"/>
                <w:u w:val="none" w:color="auto"/>
              </w:rPr>
              <w:t>根据《排污许可管理条例》</w:t>
            </w:r>
            <w:r>
              <w:rPr>
                <w:rFonts w:hint="default" w:ascii="Times New Roman" w:hAnsi="Times New Roman" w:cs="Times New Roman"/>
                <w:color w:val="auto"/>
                <w:sz w:val="21"/>
                <w:szCs w:val="21"/>
                <w:u w:val="none" w:color="auto"/>
                <w:lang w:val="en-US" w:eastAsia="zh-CN"/>
              </w:rPr>
              <w:t>和《固定污染源排污许可分类管理名录（2019年版）》</w:t>
            </w:r>
            <w:r>
              <w:rPr>
                <w:rFonts w:hint="default" w:ascii="Times New Roman" w:hAnsi="Times New Roman" w:cs="Times New Roman"/>
                <w:color w:val="auto"/>
                <w:sz w:val="21"/>
                <w:szCs w:val="21"/>
                <w:u w:val="none" w:color="auto"/>
              </w:rPr>
              <w:t>，本项目</w:t>
            </w:r>
            <w:r>
              <w:rPr>
                <w:rFonts w:hint="default" w:ascii="Times New Roman" w:hAnsi="Times New Roman" w:cs="Times New Roman"/>
                <w:color w:val="auto"/>
                <w:sz w:val="21"/>
                <w:szCs w:val="21"/>
                <w:u w:val="none" w:color="auto"/>
                <w:lang w:val="en-US" w:eastAsia="zh-CN"/>
              </w:rPr>
              <w:t>属于</w:t>
            </w:r>
            <w:r>
              <w:rPr>
                <w:rFonts w:hint="eastAsia" w:cs="Times New Roman"/>
                <w:color w:val="auto"/>
                <w:sz w:val="21"/>
                <w:szCs w:val="21"/>
                <w:u w:val="none" w:color="auto"/>
                <w:lang w:val="en-US" w:eastAsia="zh-CN"/>
              </w:rPr>
              <w:t>登记</w:t>
            </w:r>
            <w:r>
              <w:rPr>
                <w:rFonts w:hint="default" w:ascii="Times New Roman" w:hAnsi="Times New Roman" w:cs="Times New Roman"/>
                <w:color w:val="auto"/>
                <w:sz w:val="21"/>
                <w:szCs w:val="21"/>
                <w:u w:val="none" w:color="auto"/>
                <w:lang w:val="en-US" w:eastAsia="zh-CN"/>
              </w:rPr>
              <w:t>管理。</w:t>
            </w:r>
          </w:p>
          <w:p w14:paraId="7F635496">
            <w:pPr>
              <w:jc w:val="left"/>
              <w:rPr>
                <w:b/>
                <w:bCs/>
                <w:szCs w:val="21"/>
              </w:rPr>
            </w:pPr>
            <w:r>
              <w:rPr>
                <w:rFonts w:hint="eastAsia"/>
                <w:b/>
                <w:bCs/>
                <w:szCs w:val="21"/>
              </w:rPr>
              <w:t>3</w:t>
            </w:r>
            <w:r>
              <w:rPr>
                <w:b/>
                <w:bCs/>
                <w:szCs w:val="21"/>
              </w:rPr>
              <w:t>、排污口规范化建设</w:t>
            </w:r>
          </w:p>
          <w:p w14:paraId="21A04B4E">
            <w:pPr>
              <w:jc w:val="left"/>
              <w:rPr>
                <w:szCs w:val="21"/>
                <w:lang w:val="zh-CN"/>
              </w:rPr>
            </w:pPr>
            <w:r>
              <w:rPr>
                <w:szCs w:val="21"/>
              </w:rPr>
              <w:t>企业污染物排放口（源）及固体废物贮存、堆放场必须按照国家标准《环境保护图形标志》（GB15562.1-1995）的规定设置与之相适应的环境保护图形标志牌，环境保护图形标志牌设置位置应距污染物排放口（源）、固体废物贮存（堆放）场或采样点较近且醒目处，并能长久保留。建设单位必须对排污口进行规范化建设，设立排放口标志，标志牌应注明污染物名称以警示周围群众。建设单位应在废水、废气处理设施进出口设置采样口。</w:t>
            </w:r>
            <w:r>
              <w:rPr>
                <w:szCs w:val="21"/>
                <w:lang w:val="zh-CN"/>
              </w:rPr>
              <w:t>建设单位应将相关排污情况，如：排污口的性质、编号、排污口的位置以及主要排放的污染物种类、数量、浓度、排放规律及污染治理设施的运行情况等进行建档管理。</w:t>
            </w:r>
            <w:r>
              <w:rPr>
                <w:rFonts w:hint="eastAsia"/>
                <w:szCs w:val="21"/>
                <w:lang w:val="zh-CN"/>
              </w:rPr>
              <w:t>具体标识见下图：</w:t>
            </w:r>
          </w:p>
          <w:tbl>
            <w:tblPr>
              <w:tblStyle w:val="24"/>
              <w:tblW w:w="44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6"/>
              <w:gridCol w:w="2170"/>
              <w:gridCol w:w="2296"/>
            </w:tblGrid>
            <w:tr w14:paraId="6E83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jc w:val="center"/>
              </w:trPr>
              <w:tc>
                <w:tcPr>
                  <w:tcW w:w="2233" w:type="dxa"/>
                  <w:tcBorders>
                    <w:top w:val="single" w:color="auto" w:sz="4" w:space="0"/>
                    <w:left w:val="single" w:color="auto" w:sz="4" w:space="0"/>
                    <w:bottom w:val="single" w:color="auto" w:sz="4" w:space="0"/>
                    <w:right w:val="single" w:color="auto" w:sz="4" w:space="0"/>
                  </w:tcBorders>
                  <w:vAlign w:val="center"/>
                </w:tcPr>
                <w:p w14:paraId="6B1C5018">
                  <w:pPr>
                    <w:contextualSpacing/>
                    <w:jc w:val="center"/>
                    <w:textAlignment w:val="baseline"/>
                    <w:rPr>
                      <w:b/>
                      <w:bCs/>
                      <w:szCs w:val="21"/>
                    </w:rPr>
                  </w:pPr>
                  <w:r>
                    <w:rPr>
                      <w:rFonts w:hint="eastAsia"/>
                      <w:b/>
                      <w:bCs/>
                      <w:szCs w:val="21"/>
                    </w:rPr>
                    <w:t>雨水排放口</w:t>
                  </w:r>
                </w:p>
              </w:tc>
              <w:tc>
                <w:tcPr>
                  <w:tcW w:w="2238" w:type="dxa"/>
                  <w:tcBorders>
                    <w:top w:val="single" w:color="auto" w:sz="4" w:space="0"/>
                    <w:left w:val="single" w:color="auto" w:sz="4" w:space="0"/>
                    <w:bottom w:val="single" w:color="auto" w:sz="4" w:space="0"/>
                    <w:right w:val="single" w:color="auto" w:sz="4" w:space="0"/>
                  </w:tcBorders>
                  <w:vAlign w:val="center"/>
                </w:tcPr>
                <w:p w14:paraId="120C460C">
                  <w:pPr>
                    <w:contextualSpacing/>
                    <w:jc w:val="center"/>
                    <w:textAlignment w:val="baseline"/>
                    <w:rPr>
                      <w:b/>
                      <w:bCs/>
                      <w:szCs w:val="21"/>
                    </w:rPr>
                  </w:pPr>
                  <w:r>
                    <w:rPr>
                      <w:rFonts w:hint="eastAsia"/>
                      <w:b/>
                      <w:bCs/>
                      <w:szCs w:val="21"/>
                    </w:rPr>
                    <w:t>污水排放口</w:t>
                  </w:r>
                </w:p>
              </w:tc>
              <w:tc>
                <w:tcPr>
                  <w:tcW w:w="2368" w:type="dxa"/>
                  <w:tcBorders>
                    <w:top w:val="single" w:color="auto" w:sz="4" w:space="0"/>
                    <w:left w:val="single" w:color="auto" w:sz="4" w:space="0"/>
                    <w:bottom w:val="single" w:color="auto" w:sz="4" w:space="0"/>
                    <w:right w:val="single" w:color="auto" w:sz="4" w:space="0"/>
                  </w:tcBorders>
                  <w:vAlign w:val="center"/>
                </w:tcPr>
                <w:p w14:paraId="537C58D6">
                  <w:pPr>
                    <w:contextualSpacing/>
                    <w:jc w:val="center"/>
                    <w:textAlignment w:val="baseline"/>
                    <w:rPr>
                      <w:b/>
                      <w:bCs/>
                      <w:szCs w:val="21"/>
                    </w:rPr>
                  </w:pPr>
                  <w:r>
                    <w:rPr>
                      <w:rFonts w:hint="eastAsia"/>
                      <w:b/>
                      <w:bCs/>
                      <w:szCs w:val="21"/>
                    </w:rPr>
                    <w:t>一般固体废物</w:t>
                  </w:r>
                </w:p>
              </w:tc>
            </w:tr>
            <w:tr w14:paraId="5A1B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jc w:val="center"/>
              </w:trPr>
              <w:tc>
                <w:tcPr>
                  <w:tcW w:w="2233" w:type="dxa"/>
                  <w:tcBorders>
                    <w:top w:val="single" w:color="auto" w:sz="4" w:space="0"/>
                    <w:left w:val="single" w:color="auto" w:sz="4" w:space="0"/>
                    <w:bottom w:val="single" w:color="auto" w:sz="4" w:space="0"/>
                    <w:right w:val="single" w:color="auto" w:sz="4" w:space="0"/>
                  </w:tcBorders>
                  <w:vAlign w:val="center"/>
                </w:tcPr>
                <w:p w14:paraId="6CBC2996">
                  <w:pPr>
                    <w:contextualSpacing/>
                    <w:jc w:val="center"/>
                    <w:textAlignment w:val="baseline"/>
                    <w:rPr>
                      <w:b/>
                      <w:bCs/>
                      <w:szCs w:val="21"/>
                    </w:rPr>
                  </w:pPr>
                  <w:r>
                    <w:rPr>
                      <w:szCs w:val="21"/>
                    </w:rPr>
                    <w:drawing>
                      <wp:inline distT="0" distB="0" distL="114300" distR="114300">
                        <wp:extent cx="1457325" cy="881380"/>
                        <wp:effectExtent l="0" t="0" r="9525" b="13970"/>
                        <wp:docPr id="15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6"/>
                                <pic:cNvPicPr>
                                  <a:picLocks noChangeAspect="1"/>
                                </pic:cNvPicPr>
                              </pic:nvPicPr>
                              <pic:blipFill>
                                <a:blip r:embed="rId19"/>
                                <a:stretch>
                                  <a:fillRect/>
                                </a:stretch>
                              </pic:blipFill>
                              <pic:spPr>
                                <a:xfrm>
                                  <a:off x="0" y="0"/>
                                  <a:ext cx="1457325" cy="881380"/>
                                </a:xfrm>
                                <a:prstGeom prst="rect">
                                  <a:avLst/>
                                </a:prstGeom>
                                <a:noFill/>
                                <a:ln>
                                  <a:noFill/>
                                </a:ln>
                              </pic:spPr>
                            </pic:pic>
                          </a:graphicData>
                        </a:graphic>
                      </wp:inline>
                    </w:drawing>
                  </w:r>
                </w:p>
              </w:tc>
              <w:tc>
                <w:tcPr>
                  <w:tcW w:w="2238" w:type="dxa"/>
                  <w:tcBorders>
                    <w:top w:val="single" w:color="auto" w:sz="4" w:space="0"/>
                    <w:left w:val="single" w:color="auto" w:sz="4" w:space="0"/>
                    <w:bottom w:val="single" w:color="auto" w:sz="4" w:space="0"/>
                    <w:right w:val="single" w:color="auto" w:sz="4" w:space="0"/>
                  </w:tcBorders>
                  <w:vAlign w:val="center"/>
                </w:tcPr>
                <w:p w14:paraId="42DA2636">
                  <w:pPr>
                    <w:contextualSpacing/>
                    <w:jc w:val="center"/>
                    <w:textAlignment w:val="baseline"/>
                    <w:rPr>
                      <w:b/>
                      <w:bCs/>
                      <w:szCs w:val="21"/>
                    </w:rPr>
                  </w:pPr>
                  <w:r>
                    <w:rPr>
                      <w:szCs w:val="21"/>
                    </w:rPr>
                    <w:drawing>
                      <wp:inline distT="0" distB="0" distL="114300" distR="114300">
                        <wp:extent cx="1477645" cy="893445"/>
                        <wp:effectExtent l="0" t="0" r="8255" b="1905"/>
                        <wp:docPr id="16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7"/>
                                <pic:cNvPicPr>
                                  <a:picLocks noChangeAspect="1"/>
                                </pic:cNvPicPr>
                              </pic:nvPicPr>
                              <pic:blipFill>
                                <a:blip r:embed="rId20"/>
                                <a:stretch>
                                  <a:fillRect/>
                                </a:stretch>
                              </pic:blipFill>
                              <pic:spPr>
                                <a:xfrm>
                                  <a:off x="0" y="0"/>
                                  <a:ext cx="1477645" cy="893445"/>
                                </a:xfrm>
                                <a:prstGeom prst="rect">
                                  <a:avLst/>
                                </a:prstGeom>
                                <a:noFill/>
                                <a:ln>
                                  <a:noFill/>
                                </a:ln>
                              </pic:spPr>
                            </pic:pic>
                          </a:graphicData>
                        </a:graphic>
                      </wp:inline>
                    </w:drawing>
                  </w:r>
                </w:p>
              </w:tc>
              <w:tc>
                <w:tcPr>
                  <w:tcW w:w="2368" w:type="dxa"/>
                  <w:tcBorders>
                    <w:top w:val="single" w:color="auto" w:sz="4" w:space="0"/>
                    <w:left w:val="single" w:color="auto" w:sz="4" w:space="0"/>
                    <w:bottom w:val="single" w:color="auto" w:sz="4" w:space="0"/>
                    <w:right w:val="single" w:color="auto" w:sz="4" w:space="0"/>
                  </w:tcBorders>
                  <w:vAlign w:val="center"/>
                </w:tcPr>
                <w:p w14:paraId="0B9D5573">
                  <w:pPr>
                    <w:contextualSpacing/>
                    <w:jc w:val="center"/>
                    <w:textAlignment w:val="baseline"/>
                    <w:rPr>
                      <w:b/>
                      <w:bCs/>
                      <w:szCs w:val="21"/>
                    </w:rPr>
                  </w:pPr>
                  <w:r>
                    <w:rPr>
                      <w:szCs w:val="21"/>
                    </w:rPr>
                    <w:drawing>
                      <wp:inline distT="0" distB="0" distL="114300" distR="114300">
                        <wp:extent cx="1468120" cy="886460"/>
                        <wp:effectExtent l="0" t="0" r="17780" b="8890"/>
                        <wp:docPr id="16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8"/>
                                <pic:cNvPicPr>
                                  <a:picLocks noChangeAspect="1"/>
                                </pic:cNvPicPr>
                              </pic:nvPicPr>
                              <pic:blipFill>
                                <a:blip r:embed="rId21"/>
                                <a:stretch>
                                  <a:fillRect/>
                                </a:stretch>
                              </pic:blipFill>
                              <pic:spPr>
                                <a:xfrm>
                                  <a:off x="0" y="0"/>
                                  <a:ext cx="1468120" cy="886460"/>
                                </a:xfrm>
                                <a:prstGeom prst="rect">
                                  <a:avLst/>
                                </a:prstGeom>
                                <a:noFill/>
                                <a:ln>
                                  <a:noFill/>
                                </a:ln>
                              </pic:spPr>
                            </pic:pic>
                          </a:graphicData>
                        </a:graphic>
                      </wp:inline>
                    </w:drawing>
                  </w:r>
                </w:p>
              </w:tc>
            </w:tr>
            <w:tr w14:paraId="6493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jc w:val="center"/>
              </w:trPr>
              <w:tc>
                <w:tcPr>
                  <w:tcW w:w="2233" w:type="dxa"/>
                  <w:tcBorders>
                    <w:top w:val="single" w:color="auto" w:sz="4" w:space="0"/>
                    <w:left w:val="single" w:color="auto" w:sz="4" w:space="0"/>
                    <w:bottom w:val="single" w:color="auto" w:sz="4" w:space="0"/>
                    <w:right w:val="single" w:color="auto" w:sz="4" w:space="0"/>
                  </w:tcBorders>
                  <w:vAlign w:val="center"/>
                </w:tcPr>
                <w:p w14:paraId="19374D7E">
                  <w:pPr>
                    <w:contextualSpacing/>
                    <w:jc w:val="center"/>
                    <w:textAlignment w:val="baseline"/>
                    <w:rPr>
                      <w:b/>
                      <w:bCs/>
                      <w:szCs w:val="21"/>
                    </w:rPr>
                  </w:pPr>
                  <w:r>
                    <w:rPr>
                      <w:rFonts w:hint="eastAsia"/>
                      <w:b/>
                      <w:bCs/>
                      <w:szCs w:val="21"/>
                    </w:rPr>
                    <w:t>危险废物</w:t>
                  </w:r>
                </w:p>
              </w:tc>
              <w:tc>
                <w:tcPr>
                  <w:tcW w:w="2238" w:type="dxa"/>
                  <w:tcBorders>
                    <w:top w:val="single" w:color="auto" w:sz="4" w:space="0"/>
                    <w:left w:val="single" w:color="auto" w:sz="4" w:space="0"/>
                    <w:bottom w:val="single" w:color="auto" w:sz="4" w:space="0"/>
                    <w:right w:val="single" w:color="auto" w:sz="4" w:space="0"/>
                  </w:tcBorders>
                  <w:vAlign w:val="center"/>
                </w:tcPr>
                <w:p w14:paraId="03956433">
                  <w:pPr>
                    <w:contextualSpacing/>
                    <w:jc w:val="center"/>
                    <w:textAlignment w:val="baseline"/>
                    <w:rPr>
                      <w:b/>
                      <w:bCs/>
                      <w:szCs w:val="21"/>
                    </w:rPr>
                  </w:pPr>
                  <w:r>
                    <w:rPr>
                      <w:rFonts w:hint="eastAsia"/>
                      <w:b/>
                      <w:bCs/>
                      <w:szCs w:val="21"/>
                    </w:rPr>
                    <w:t>噪声排放源</w:t>
                  </w:r>
                </w:p>
              </w:tc>
              <w:tc>
                <w:tcPr>
                  <w:tcW w:w="2368" w:type="dxa"/>
                  <w:tcBorders>
                    <w:top w:val="single" w:color="auto" w:sz="4" w:space="0"/>
                    <w:left w:val="single" w:color="auto" w:sz="4" w:space="0"/>
                    <w:bottom w:val="single" w:color="auto" w:sz="4" w:space="0"/>
                    <w:right w:val="single" w:color="auto" w:sz="4" w:space="0"/>
                  </w:tcBorders>
                  <w:vAlign w:val="center"/>
                </w:tcPr>
                <w:p w14:paraId="30CA2B08">
                  <w:pPr>
                    <w:contextualSpacing/>
                    <w:jc w:val="center"/>
                    <w:textAlignment w:val="baseline"/>
                    <w:rPr>
                      <w:b/>
                      <w:bCs/>
                      <w:szCs w:val="21"/>
                    </w:rPr>
                  </w:pPr>
                  <w:r>
                    <w:rPr>
                      <w:rFonts w:hint="eastAsia"/>
                      <w:b/>
                      <w:bCs/>
                      <w:szCs w:val="21"/>
                    </w:rPr>
                    <w:t>废气排放口</w:t>
                  </w:r>
                </w:p>
              </w:tc>
            </w:tr>
            <w:tr w14:paraId="56D6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jc w:val="center"/>
              </w:trPr>
              <w:tc>
                <w:tcPr>
                  <w:tcW w:w="2233" w:type="dxa"/>
                  <w:tcBorders>
                    <w:top w:val="single" w:color="auto" w:sz="4" w:space="0"/>
                    <w:left w:val="single" w:color="auto" w:sz="4" w:space="0"/>
                    <w:bottom w:val="single" w:color="auto" w:sz="4" w:space="0"/>
                    <w:right w:val="single" w:color="auto" w:sz="4" w:space="0"/>
                  </w:tcBorders>
                  <w:vAlign w:val="center"/>
                </w:tcPr>
                <w:p w14:paraId="0821828E">
                  <w:pPr>
                    <w:contextualSpacing/>
                    <w:jc w:val="center"/>
                    <w:textAlignment w:val="baseline"/>
                    <w:rPr>
                      <w:szCs w:val="21"/>
                    </w:rPr>
                  </w:pPr>
                  <w:r>
                    <w:rPr>
                      <w:szCs w:val="21"/>
                    </w:rPr>
                    <w:drawing>
                      <wp:inline distT="0" distB="0" distL="114300" distR="114300">
                        <wp:extent cx="1434465" cy="901700"/>
                        <wp:effectExtent l="0" t="0" r="13335" b="12700"/>
                        <wp:docPr id="16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9"/>
                                <pic:cNvPicPr>
                                  <a:picLocks noChangeAspect="1"/>
                                </pic:cNvPicPr>
                              </pic:nvPicPr>
                              <pic:blipFill>
                                <a:blip r:embed="rId22"/>
                                <a:stretch>
                                  <a:fillRect/>
                                </a:stretch>
                              </pic:blipFill>
                              <pic:spPr>
                                <a:xfrm>
                                  <a:off x="0" y="0"/>
                                  <a:ext cx="1434465" cy="901700"/>
                                </a:xfrm>
                                <a:prstGeom prst="rect">
                                  <a:avLst/>
                                </a:prstGeom>
                                <a:noFill/>
                                <a:ln>
                                  <a:noFill/>
                                </a:ln>
                              </pic:spPr>
                            </pic:pic>
                          </a:graphicData>
                        </a:graphic>
                      </wp:inline>
                    </w:drawing>
                  </w:r>
                </w:p>
              </w:tc>
              <w:tc>
                <w:tcPr>
                  <w:tcW w:w="2238" w:type="dxa"/>
                  <w:tcBorders>
                    <w:top w:val="single" w:color="auto" w:sz="4" w:space="0"/>
                    <w:left w:val="single" w:color="auto" w:sz="4" w:space="0"/>
                    <w:bottom w:val="single" w:color="auto" w:sz="4" w:space="0"/>
                    <w:right w:val="single" w:color="auto" w:sz="4" w:space="0"/>
                  </w:tcBorders>
                  <w:vAlign w:val="center"/>
                </w:tcPr>
                <w:p w14:paraId="480E6011">
                  <w:pPr>
                    <w:contextualSpacing/>
                    <w:jc w:val="center"/>
                    <w:textAlignment w:val="baseline"/>
                    <w:rPr>
                      <w:szCs w:val="21"/>
                    </w:rPr>
                  </w:pPr>
                  <w:r>
                    <w:rPr>
                      <w:szCs w:val="21"/>
                    </w:rPr>
                    <w:drawing>
                      <wp:inline distT="0" distB="0" distL="114300" distR="114300">
                        <wp:extent cx="1447800" cy="878840"/>
                        <wp:effectExtent l="0" t="0" r="0" b="16510"/>
                        <wp:docPr id="16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0"/>
                                <pic:cNvPicPr>
                                  <a:picLocks noChangeAspect="1"/>
                                </pic:cNvPicPr>
                              </pic:nvPicPr>
                              <pic:blipFill>
                                <a:blip r:embed="rId23"/>
                                <a:stretch>
                                  <a:fillRect/>
                                </a:stretch>
                              </pic:blipFill>
                              <pic:spPr>
                                <a:xfrm>
                                  <a:off x="0" y="0"/>
                                  <a:ext cx="1447800" cy="878840"/>
                                </a:xfrm>
                                <a:prstGeom prst="rect">
                                  <a:avLst/>
                                </a:prstGeom>
                                <a:noFill/>
                                <a:ln>
                                  <a:noFill/>
                                </a:ln>
                              </pic:spPr>
                            </pic:pic>
                          </a:graphicData>
                        </a:graphic>
                      </wp:inline>
                    </w:drawing>
                  </w:r>
                </w:p>
              </w:tc>
              <w:tc>
                <w:tcPr>
                  <w:tcW w:w="2368" w:type="dxa"/>
                  <w:tcBorders>
                    <w:top w:val="single" w:color="auto" w:sz="4" w:space="0"/>
                    <w:left w:val="single" w:color="auto" w:sz="4" w:space="0"/>
                    <w:bottom w:val="single" w:color="auto" w:sz="4" w:space="0"/>
                    <w:right w:val="single" w:color="auto" w:sz="4" w:space="0"/>
                  </w:tcBorders>
                  <w:vAlign w:val="center"/>
                </w:tcPr>
                <w:p w14:paraId="6EA22978">
                  <w:pPr>
                    <w:contextualSpacing/>
                    <w:jc w:val="center"/>
                    <w:textAlignment w:val="baseline"/>
                    <w:rPr>
                      <w:szCs w:val="21"/>
                    </w:rPr>
                  </w:pPr>
                  <w:r>
                    <w:rPr>
                      <w:szCs w:val="21"/>
                    </w:rPr>
                    <w:drawing>
                      <wp:inline distT="0" distB="0" distL="114300" distR="114300">
                        <wp:extent cx="1464310" cy="884555"/>
                        <wp:effectExtent l="0" t="0" r="2540" b="10795"/>
                        <wp:docPr id="16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1"/>
                                <pic:cNvPicPr>
                                  <a:picLocks noChangeAspect="1"/>
                                </pic:cNvPicPr>
                              </pic:nvPicPr>
                              <pic:blipFill>
                                <a:blip r:embed="rId24"/>
                                <a:stretch>
                                  <a:fillRect/>
                                </a:stretch>
                              </pic:blipFill>
                              <pic:spPr>
                                <a:xfrm>
                                  <a:off x="0" y="0"/>
                                  <a:ext cx="1464310" cy="884555"/>
                                </a:xfrm>
                                <a:prstGeom prst="rect">
                                  <a:avLst/>
                                </a:prstGeom>
                                <a:noFill/>
                                <a:ln>
                                  <a:noFill/>
                                </a:ln>
                              </pic:spPr>
                            </pic:pic>
                          </a:graphicData>
                        </a:graphic>
                      </wp:inline>
                    </w:drawing>
                  </w:r>
                </w:p>
              </w:tc>
            </w:tr>
          </w:tbl>
          <w:p w14:paraId="25D738AC">
            <w:pPr>
              <w:jc w:val="left"/>
              <w:rPr>
                <w:b/>
                <w:bCs/>
                <w:szCs w:val="21"/>
              </w:rPr>
            </w:pPr>
            <w:r>
              <w:rPr>
                <w:rFonts w:hint="eastAsia"/>
                <w:b/>
                <w:bCs/>
                <w:szCs w:val="21"/>
              </w:rPr>
              <w:t>4、</w:t>
            </w:r>
            <w:r>
              <w:rPr>
                <w:b/>
                <w:bCs/>
                <w:szCs w:val="21"/>
              </w:rPr>
              <w:t>项目竣工环境保护验收</w:t>
            </w:r>
          </w:p>
          <w:p w14:paraId="1001AB4A">
            <w:pPr>
              <w:jc w:val="left"/>
              <w:rPr>
                <w:szCs w:val="21"/>
              </w:rPr>
            </w:pPr>
            <w:r>
              <w:rPr>
                <w:szCs w:val="21"/>
              </w:rPr>
              <w:t>建设项目竣工环境保护企业自行验收工作程序：</w:t>
            </w:r>
          </w:p>
          <w:p w14:paraId="2ADD29BF">
            <w:pPr>
              <w:jc w:val="left"/>
              <w:rPr>
                <w:szCs w:val="21"/>
              </w:rPr>
            </w:pPr>
            <w:r>
              <w:rPr>
                <w:szCs w:val="21"/>
              </w:rPr>
              <w:t>（1）</w:t>
            </w:r>
            <w:r>
              <w:rPr>
                <w:rFonts w:hint="eastAsia"/>
                <w:szCs w:val="21"/>
              </w:rPr>
              <w:t>在建设项目竣工后、正式投入生产或运行前，企业按照</w:t>
            </w:r>
            <w:r>
              <w:rPr>
                <w:rFonts w:hint="eastAsia"/>
                <w:szCs w:val="21"/>
                <w:lang w:eastAsia="zh-CN"/>
              </w:rPr>
              <w:t>生态环境影响报告表</w:t>
            </w:r>
            <w:r>
              <w:rPr>
                <w:rFonts w:hint="eastAsia"/>
                <w:szCs w:val="21"/>
              </w:rPr>
              <w:t>及其批复文件要求，对与主体工程配套建设的环境保护设施落实情况进行查验，落实“三同时”监督管理要求。同时在竣工验收之前，完成企业突发环境事件应急预案修订编制，并报主管部门备案。</w:t>
            </w:r>
          </w:p>
          <w:p w14:paraId="164849C3">
            <w:pPr>
              <w:jc w:val="left"/>
              <w:rPr>
                <w:szCs w:val="21"/>
              </w:rPr>
            </w:pPr>
            <w:r>
              <w:rPr>
                <w:szCs w:val="21"/>
              </w:rPr>
              <w:t>（2）按照环境保护主管部门制定的竣工环境保护验收技术规范，企业自行编制或委托具备相应技术能力的机构，对建设项目环境保护设施落实情况进行调查，开展相关环境监测，编制竣工环境保护验收调查（监测）报告。企业、验收调查（监测）机构及其相关人员对验收调查（监测）报告结论终身负责。</w:t>
            </w:r>
          </w:p>
          <w:p w14:paraId="617C3DEE">
            <w:pPr>
              <w:jc w:val="left"/>
              <w:rPr>
                <w:szCs w:val="21"/>
              </w:rPr>
            </w:pPr>
            <w:r>
              <w:rPr>
                <w:szCs w:val="21"/>
              </w:rPr>
              <w:t>（3）验收调查（监测）报告编制完成后，由企业法人组织对建设项目环境保护设施和环境保护措施进行验收，形成书面报告备查，并向社会公开。</w:t>
            </w:r>
          </w:p>
          <w:p w14:paraId="07D69893">
            <w:pPr>
              <w:jc w:val="left"/>
              <w:rPr>
                <w:color w:val="auto"/>
                <w:sz w:val="21"/>
                <w:szCs w:val="21"/>
                <w:u w:val="none" w:color="auto"/>
              </w:rPr>
            </w:pPr>
            <w:r>
              <w:rPr>
                <w:szCs w:val="21"/>
              </w:rPr>
              <w:t>（4）企业自行组织竣工环境保护验收时，应成立验收组，对建设项目环境保护设施及其他环境保护措施进行资料审查、现场踏勘，形成验收意见，验收组成员名单附</w:t>
            </w:r>
            <w:r>
              <w:rPr>
                <w:rFonts w:hint="eastAsia"/>
                <w:szCs w:val="21"/>
              </w:rPr>
              <w:t>在验收报告</w:t>
            </w:r>
            <w:r>
              <w:rPr>
                <w:szCs w:val="21"/>
              </w:rPr>
              <w:t>后</w:t>
            </w:r>
            <w:r>
              <w:rPr>
                <w:rFonts w:hint="eastAsia"/>
                <w:szCs w:val="21"/>
              </w:rPr>
              <w:t>。</w:t>
            </w:r>
          </w:p>
        </w:tc>
      </w:tr>
    </w:tbl>
    <w:p w14:paraId="18B10824">
      <w:pPr>
        <w:rPr>
          <w:rFonts w:ascii="黑体" w:hAnsi="黑体" w:eastAsia="黑体"/>
          <w:snapToGrid w:val="0"/>
          <w:color w:val="auto"/>
          <w:sz w:val="30"/>
          <w:szCs w:val="30"/>
        </w:rPr>
      </w:pPr>
      <w:r>
        <w:rPr>
          <w:rFonts w:eastAsia="黑体"/>
          <w:snapToGrid w:val="0"/>
          <w:color w:val="auto"/>
          <w:sz w:val="30"/>
          <w:szCs w:val="30"/>
        </w:rPr>
        <w:br w:type="page"/>
      </w:r>
    </w:p>
    <w:p w14:paraId="700FAA02">
      <w:pPr>
        <w:pStyle w:val="23"/>
        <w:jc w:val="center"/>
        <w:outlineLvl w:val="0"/>
        <w:rPr>
          <w:rFonts w:hint="eastAsia" w:ascii="黑体" w:hAnsi="黑体" w:eastAsia="黑体" w:cs="Times New Roman"/>
          <w:snapToGrid w:val="0"/>
          <w:sz w:val="30"/>
          <w:szCs w:val="30"/>
        </w:rPr>
      </w:pPr>
      <w:bookmarkStart w:id="23" w:name="_Toc17312"/>
      <w:bookmarkStart w:id="24" w:name="_Toc22941"/>
      <w:r>
        <w:rPr>
          <w:rFonts w:hint="eastAsia" w:ascii="黑体" w:hAnsi="黑体" w:eastAsia="黑体" w:cs="Times New Roman"/>
          <w:snapToGrid w:val="0"/>
          <w:sz w:val="30"/>
          <w:szCs w:val="30"/>
        </w:rPr>
        <w:t>六、结论</w:t>
      </w:r>
      <w:bookmarkEnd w:id="23"/>
      <w:bookmarkEnd w:id="24"/>
    </w:p>
    <w:tbl>
      <w:tblPr>
        <w:tblStyle w:val="24"/>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9DD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48" w:hRule="atLeast"/>
          <w:jc w:val="center"/>
        </w:trPr>
        <w:tc>
          <w:tcPr>
            <w:tcW w:w="9060" w:type="dxa"/>
          </w:tcPr>
          <w:p w14:paraId="170E5590">
            <w:pPr>
              <w:pStyle w:val="39"/>
              <w:rPr>
                <w:color w:val="auto"/>
              </w:rPr>
            </w:pPr>
            <w:r>
              <w:rPr>
                <w:color w:val="auto"/>
              </w:rPr>
              <w:t>本项目的建设符合当前国家产业政策，符合</w:t>
            </w:r>
            <w:r>
              <w:rPr>
                <w:rFonts w:hint="eastAsia"/>
                <w:color w:val="auto"/>
                <w:lang w:val="en-US" w:eastAsia="zh-CN"/>
              </w:rPr>
              <w:t>城市片区</w:t>
            </w:r>
            <w:r>
              <w:rPr>
                <w:color w:val="auto"/>
              </w:rPr>
              <w:t>土地利用规划，选址可行。本项目实施后产生的废气、废水污染物经相应的环保措施治理后均可实现达标排放，</w:t>
            </w:r>
            <w:r>
              <w:rPr>
                <w:color w:val="auto"/>
                <w:spacing w:val="-2"/>
                <w:sz w:val="24"/>
                <w:szCs w:val="24"/>
              </w:rPr>
              <w:t>厂界</w:t>
            </w:r>
            <w:r>
              <w:rPr>
                <w:rFonts w:hint="eastAsia"/>
                <w:color w:val="auto"/>
                <w:spacing w:val="-2"/>
                <w:sz w:val="24"/>
                <w:szCs w:val="24"/>
                <w:lang w:val="en-US" w:eastAsia="zh-CN"/>
              </w:rPr>
              <w:t>噪声</w:t>
            </w:r>
            <w:r>
              <w:rPr>
                <w:color w:val="auto"/>
                <w:spacing w:val="-2"/>
                <w:sz w:val="24"/>
                <w:szCs w:val="24"/>
              </w:rPr>
              <w:t>可实现达标排放，固体废物处置去向合理</w:t>
            </w:r>
            <w:r>
              <w:rPr>
                <w:color w:val="auto"/>
              </w:rPr>
              <w:t>，针对可能的环境风险采取必要的事故防范措施，环境风险可控。综上所述，在落实本报告提出的各项环保措施的情况下，从环境保护角度，本项目建设是可行的。</w:t>
            </w:r>
          </w:p>
          <w:p w14:paraId="223A09D2">
            <w:pPr>
              <w:pStyle w:val="39"/>
              <w:rPr>
                <w:color w:val="auto"/>
              </w:rPr>
            </w:pPr>
          </w:p>
          <w:p w14:paraId="02A07A3D">
            <w:pPr>
              <w:pStyle w:val="39"/>
              <w:rPr>
                <w:color w:val="auto"/>
              </w:rPr>
            </w:pPr>
          </w:p>
          <w:p w14:paraId="599A191A">
            <w:pPr>
              <w:pStyle w:val="39"/>
              <w:rPr>
                <w:color w:val="auto"/>
              </w:rPr>
            </w:pPr>
          </w:p>
          <w:p w14:paraId="68F208F3">
            <w:pPr>
              <w:pStyle w:val="39"/>
              <w:rPr>
                <w:color w:val="auto"/>
              </w:rPr>
            </w:pPr>
          </w:p>
          <w:p w14:paraId="33CED3C0">
            <w:pPr>
              <w:pStyle w:val="39"/>
              <w:rPr>
                <w:color w:val="auto"/>
              </w:rPr>
            </w:pPr>
          </w:p>
          <w:p w14:paraId="5C5B6B11">
            <w:pPr>
              <w:pStyle w:val="39"/>
              <w:rPr>
                <w:color w:val="auto"/>
              </w:rPr>
            </w:pPr>
          </w:p>
          <w:p w14:paraId="7872781A">
            <w:pPr>
              <w:pStyle w:val="39"/>
              <w:rPr>
                <w:color w:val="auto"/>
              </w:rPr>
            </w:pPr>
          </w:p>
          <w:p w14:paraId="465088A5">
            <w:pPr>
              <w:pStyle w:val="39"/>
              <w:rPr>
                <w:color w:val="auto"/>
              </w:rPr>
            </w:pPr>
          </w:p>
          <w:p w14:paraId="11F2963B">
            <w:pPr>
              <w:pStyle w:val="39"/>
              <w:rPr>
                <w:color w:val="auto"/>
              </w:rPr>
            </w:pPr>
          </w:p>
          <w:p w14:paraId="303C4A30">
            <w:pPr>
              <w:pStyle w:val="39"/>
              <w:rPr>
                <w:color w:val="auto"/>
              </w:rPr>
            </w:pPr>
          </w:p>
          <w:p w14:paraId="69B16B4A">
            <w:pPr>
              <w:pStyle w:val="39"/>
              <w:rPr>
                <w:color w:val="auto"/>
              </w:rPr>
            </w:pPr>
          </w:p>
          <w:p w14:paraId="6E93188E">
            <w:pPr>
              <w:pStyle w:val="39"/>
              <w:rPr>
                <w:color w:val="auto"/>
              </w:rPr>
            </w:pPr>
          </w:p>
          <w:p w14:paraId="365EB505">
            <w:pPr>
              <w:pStyle w:val="39"/>
              <w:rPr>
                <w:color w:val="auto"/>
              </w:rPr>
            </w:pPr>
          </w:p>
          <w:p w14:paraId="4C1EC133">
            <w:pPr>
              <w:pStyle w:val="39"/>
              <w:rPr>
                <w:color w:val="auto"/>
              </w:rPr>
            </w:pPr>
          </w:p>
          <w:p w14:paraId="5F05AB69">
            <w:pPr>
              <w:pStyle w:val="39"/>
              <w:rPr>
                <w:color w:val="auto"/>
              </w:rPr>
            </w:pPr>
          </w:p>
          <w:p w14:paraId="7651D387">
            <w:pPr>
              <w:pStyle w:val="39"/>
              <w:rPr>
                <w:color w:val="auto"/>
              </w:rPr>
            </w:pPr>
          </w:p>
          <w:p w14:paraId="45317C81">
            <w:pPr>
              <w:pStyle w:val="39"/>
              <w:rPr>
                <w:color w:val="auto"/>
              </w:rPr>
            </w:pPr>
          </w:p>
          <w:p w14:paraId="0D1CB621">
            <w:pPr>
              <w:pStyle w:val="39"/>
              <w:rPr>
                <w:color w:val="auto"/>
              </w:rPr>
            </w:pPr>
          </w:p>
          <w:p w14:paraId="1DD2443B">
            <w:pPr>
              <w:pStyle w:val="39"/>
              <w:rPr>
                <w:color w:val="auto"/>
              </w:rPr>
            </w:pPr>
          </w:p>
          <w:p w14:paraId="4471A0B1">
            <w:pPr>
              <w:pStyle w:val="39"/>
              <w:ind w:firstLine="0" w:firstLineChars="0"/>
              <w:rPr>
                <w:color w:val="auto"/>
              </w:rPr>
            </w:pPr>
          </w:p>
        </w:tc>
      </w:tr>
    </w:tbl>
    <w:p w14:paraId="142AC302">
      <w:pPr>
        <w:rPr>
          <w:rFonts w:ascii="Times New Roman" w:hAnsi="Times New Roman" w:eastAsia="宋体" w:cs="Times New Roman"/>
        </w:rPr>
      </w:pPr>
    </w:p>
    <w:p w14:paraId="57466886">
      <w:p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199815E1">
      <w:pPr>
        <w:pStyle w:val="23"/>
        <w:adjustRightInd w:val="0"/>
        <w:snapToGrid w:val="0"/>
        <w:spacing w:before="0" w:beforeAutospacing="0" w:after="0" w:afterAutospacing="0"/>
        <w:outlineLvl w:val="9"/>
        <w:rPr>
          <w:rFonts w:hint="eastAsia" w:ascii="黑体" w:hAnsi="黑体" w:eastAsia="黑体"/>
          <w:snapToGrid w:val="0"/>
          <w:color w:val="auto"/>
          <w:sz w:val="32"/>
          <w:szCs w:val="32"/>
          <w:lang w:val="en-US" w:eastAsia="zh-CN"/>
        </w:rPr>
      </w:pPr>
      <w:bookmarkStart w:id="25" w:name="_Toc27486"/>
      <w:r>
        <w:rPr>
          <w:rFonts w:hint="eastAsia" w:ascii="黑体" w:hAnsi="黑体" w:eastAsia="黑体"/>
          <w:snapToGrid w:val="0"/>
          <w:color w:val="auto"/>
          <w:sz w:val="32"/>
          <w:szCs w:val="32"/>
        </w:rPr>
        <w:t>附表</w:t>
      </w:r>
      <w:bookmarkEnd w:id="25"/>
      <w:r>
        <w:rPr>
          <w:rFonts w:hint="eastAsia" w:ascii="黑体" w:hAnsi="黑体" w:eastAsia="黑体"/>
          <w:snapToGrid w:val="0"/>
          <w:color w:val="auto"/>
          <w:sz w:val="32"/>
          <w:szCs w:val="32"/>
          <w:lang w:val="en-US" w:eastAsia="zh-CN"/>
        </w:rPr>
        <w:t>1</w:t>
      </w:r>
    </w:p>
    <w:p w14:paraId="0F63542D">
      <w:pPr>
        <w:pStyle w:val="23"/>
        <w:adjustRightInd w:val="0"/>
        <w:snapToGrid w:val="0"/>
        <w:spacing w:before="0" w:beforeAutospacing="0" w:after="0" w:afterAutospacing="0"/>
        <w:jc w:val="center"/>
        <w:outlineLvl w:val="0"/>
        <w:rPr>
          <w:rFonts w:ascii="方正小标宋_GBK" w:hAnsi="黑体" w:eastAsia="方正小标宋_GBK"/>
          <w:snapToGrid w:val="0"/>
          <w:color w:val="000000" w:themeColor="text1"/>
          <w:sz w:val="38"/>
          <w:szCs w:val="38"/>
          <w14:textFill>
            <w14:solidFill>
              <w14:schemeClr w14:val="tx1"/>
            </w14:solidFill>
          </w14:textFill>
        </w:rPr>
      </w:pPr>
      <w:bookmarkStart w:id="26" w:name="_Toc10201"/>
      <w:bookmarkStart w:id="27" w:name="_Toc8061"/>
      <w:r>
        <w:rPr>
          <w:rFonts w:hint="eastAsia" w:ascii="方正小标宋_GBK" w:hAnsi="黑体" w:eastAsia="方正小标宋_GBK"/>
          <w:snapToGrid w:val="0"/>
          <w:color w:val="000000" w:themeColor="text1"/>
          <w:sz w:val="38"/>
          <w:szCs w:val="38"/>
          <w14:textFill>
            <w14:solidFill>
              <w14:schemeClr w14:val="tx1"/>
            </w14:solidFill>
          </w14:textFill>
        </w:rPr>
        <w:t>建设项目污染物排放量汇总表</w:t>
      </w:r>
      <w:bookmarkEnd w:id="26"/>
      <w:bookmarkEnd w:id="27"/>
    </w:p>
    <w:tbl>
      <w:tblPr>
        <w:tblStyle w:val="24"/>
        <w:tblW w:w="13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2016"/>
        <w:gridCol w:w="1434"/>
        <w:gridCol w:w="1540"/>
        <w:gridCol w:w="1540"/>
        <w:gridCol w:w="1540"/>
        <w:gridCol w:w="1540"/>
        <w:gridCol w:w="1413"/>
        <w:gridCol w:w="1670"/>
      </w:tblGrid>
      <w:tr w14:paraId="2E3F7B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5" w:type="dxa"/>
            <w:tcBorders>
              <w:tl2br w:val="single" w:color="auto" w:sz="4" w:space="0"/>
            </w:tcBorders>
            <w:tcMar>
              <w:left w:w="28" w:type="dxa"/>
              <w:right w:w="28" w:type="dxa"/>
            </w:tcMar>
            <w:vAlign w:val="center"/>
          </w:tcPr>
          <w:p w14:paraId="7033EEE2">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 xml:space="preserve">     项目</w:t>
            </w:r>
          </w:p>
          <w:p w14:paraId="252154F9">
            <w:pPr>
              <w:widowControl/>
              <w:adjustRightInd w:val="0"/>
              <w:snapToGrid w:val="0"/>
              <w:spacing w:before="60" w:beforeLines="0" w:after="0" w:afterLines="0" w:line="240" w:lineRule="auto"/>
              <w:ind w:right="113" w:firstLine="0" w:firstLineChars="0"/>
              <w:jc w:val="both"/>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分类</w:t>
            </w:r>
          </w:p>
        </w:tc>
        <w:tc>
          <w:tcPr>
            <w:tcW w:w="2016" w:type="dxa"/>
            <w:tcMar>
              <w:left w:w="28" w:type="dxa"/>
              <w:right w:w="28" w:type="dxa"/>
            </w:tcMar>
            <w:vAlign w:val="center"/>
          </w:tcPr>
          <w:p w14:paraId="0C70A65B">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污染物名称</w:t>
            </w:r>
          </w:p>
        </w:tc>
        <w:tc>
          <w:tcPr>
            <w:tcW w:w="1434" w:type="dxa"/>
            <w:tcMar>
              <w:left w:w="28" w:type="dxa"/>
              <w:right w:w="28" w:type="dxa"/>
            </w:tcMar>
            <w:vAlign w:val="center"/>
          </w:tcPr>
          <w:p w14:paraId="21FB2C30">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现有工程</w:t>
            </w:r>
          </w:p>
          <w:p w14:paraId="4C318A28">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排放量（固体废物产生量）</w:t>
            </w:r>
            <w:r>
              <w:rPr>
                <w:rFonts w:hint="default" w:ascii="Times New Roman" w:hAnsi="Times New Roman" w:eastAsia="宋体" w:cs="Times New Roman"/>
                <w:b/>
                <w:bCs/>
                <w:snapToGrid w:val="0"/>
                <w:color w:val="auto"/>
                <w:spacing w:val="-6"/>
                <w:kern w:val="21"/>
                <w:sz w:val="21"/>
                <w:szCs w:val="21"/>
                <w:lang w:val="en-US" w:eastAsia="zh-CN" w:bidi="ar-SA"/>
              </w:rPr>
              <w:fldChar w:fldCharType="begin"/>
            </w:r>
            <w:r>
              <w:rPr>
                <w:rFonts w:hint="default" w:ascii="Times New Roman" w:hAnsi="Times New Roman" w:eastAsia="宋体" w:cs="Times New Roman"/>
                <w:b/>
                <w:bCs/>
                <w:snapToGrid w:val="0"/>
                <w:color w:val="auto"/>
                <w:spacing w:val="-6"/>
                <w:kern w:val="21"/>
                <w:sz w:val="21"/>
                <w:szCs w:val="21"/>
                <w:lang w:val="en-US" w:eastAsia="zh-CN" w:bidi="ar-SA"/>
              </w:rPr>
              <w:instrText xml:space="preserve"> = 1 \* GB3 \* MERGEFORMAT </w:instrText>
            </w:r>
            <w:r>
              <w:rPr>
                <w:rFonts w:hint="default" w:ascii="Times New Roman" w:hAnsi="Times New Roman" w:eastAsia="宋体" w:cs="Times New Roman"/>
                <w:b/>
                <w:bCs/>
                <w:snapToGrid w:val="0"/>
                <w:color w:val="auto"/>
                <w:spacing w:val="-6"/>
                <w:kern w:val="21"/>
                <w:sz w:val="21"/>
                <w:szCs w:val="21"/>
                <w:lang w:val="en-US" w:eastAsia="zh-CN" w:bidi="ar-SA"/>
              </w:rPr>
              <w:fldChar w:fldCharType="separate"/>
            </w:r>
            <w:r>
              <w:rPr>
                <w:rFonts w:hint="default" w:ascii="Times New Roman" w:hAnsi="Times New Roman" w:eastAsia="宋体" w:cs="Times New Roman"/>
                <w:b/>
                <w:bCs/>
                <w:color w:val="auto"/>
                <w:kern w:val="2"/>
                <w:sz w:val="21"/>
                <w:szCs w:val="21"/>
                <w:lang w:val="en-US" w:eastAsia="zh-CN" w:bidi="ar-SA"/>
              </w:rPr>
              <w:t>①</w:t>
            </w:r>
            <w:r>
              <w:rPr>
                <w:rFonts w:hint="default" w:ascii="Times New Roman" w:hAnsi="Times New Roman" w:eastAsia="宋体" w:cs="Times New Roman"/>
                <w:b/>
                <w:bCs/>
                <w:snapToGrid w:val="0"/>
                <w:color w:val="auto"/>
                <w:spacing w:val="-6"/>
                <w:kern w:val="21"/>
                <w:sz w:val="21"/>
                <w:szCs w:val="21"/>
                <w:lang w:val="en-US" w:eastAsia="zh-CN" w:bidi="ar-SA"/>
              </w:rPr>
              <w:fldChar w:fldCharType="end"/>
            </w:r>
          </w:p>
        </w:tc>
        <w:tc>
          <w:tcPr>
            <w:tcW w:w="1540" w:type="dxa"/>
            <w:tcMar>
              <w:left w:w="28" w:type="dxa"/>
              <w:right w:w="28" w:type="dxa"/>
            </w:tcMar>
            <w:vAlign w:val="center"/>
          </w:tcPr>
          <w:p w14:paraId="17562B40">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现有工程</w:t>
            </w:r>
          </w:p>
          <w:p w14:paraId="660ACE34">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许可排放量</w:t>
            </w:r>
          </w:p>
          <w:p w14:paraId="312A9068">
            <w:pPr>
              <w:widowControl/>
              <w:adjustRightInd w:val="0"/>
              <w:snapToGrid w:val="0"/>
              <w:spacing w:before="60" w:beforeLines="0" w:after="0" w:afterLines="0" w:line="259"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fldChar w:fldCharType="begin"/>
            </w:r>
            <w:r>
              <w:rPr>
                <w:rFonts w:hint="default" w:ascii="Times New Roman" w:hAnsi="Times New Roman" w:eastAsia="宋体" w:cs="Times New Roman"/>
                <w:b/>
                <w:bCs/>
                <w:snapToGrid w:val="0"/>
                <w:color w:val="auto"/>
                <w:spacing w:val="-6"/>
                <w:kern w:val="21"/>
                <w:sz w:val="21"/>
                <w:szCs w:val="21"/>
                <w:lang w:val="en-US" w:eastAsia="zh-CN" w:bidi="ar-SA"/>
              </w:rPr>
              <w:instrText xml:space="preserve"> = 2 \* GB3 \* MERGEFORMAT </w:instrText>
            </w:r>
            <w:r>
              <w:rPr>
                <w:rFonts w:hint="default" w:ascii="Times New Roman" w:hAnsi="Times New Roman" w:eastAsia="宋体" w:cs="Times New Roman"/>
                <w:b/>
                <w:bCs/>
                <w:snapToGrid w:val="0"/>
                <w:color w:val="auto"/>
                <w:spacing w:val="-6"/>
                <w:kern w:val="21"/>
                <w:sz w:val="21"/>
                <w:szCs w:val="21"/>
                <w:lang w:val="en-US" w:eastAsia="zh-CN" w:bidi="ar-SA"/>
              </w:rPr>
              <w:fldChar w:fldCharType="separate"/>
            </w:r>
            <w:r>
              <w:rPr>
                <w:rFonts w:hint="default" w:ascii="Times New Roman" w:hAnsi="Times New Roman" w:eastAsia="宋体" w:cs="Times New Roman"/>
                <w:b/>
                <w:bCs/>
                <w:snapToGrid w:val="0"/>
                <w:color w:val="auto"/>
                <w:spacing w:val="-6"/>
                <w:kern w:val="21"/>
                <w:sz w:val="21"/>
                <w:szCs w:val="21"/>
                <w:lang w:val="en-US" w:eastAsia="zh-CN" w:bidi="ar-SA"/>
              </w:rPr>
              <w:t>②</w:t>
            </w:r>
            <w:r>
              <w:rPr>
                <w:rFonts w:hint="default" w:ascii="Times New Roman" w:hAnsi="Times New Roman" w:eastAsia="宋体" w:cs="Times New Roman"/>
                <w:b/>
                <w:bCs/>
                <w:snapToGrid w:val="0"/>
                <w:color w:val="auto"/>
                <w:spacing w:val="-6"/>
                <w:kern w:val="21"/>
                <w:sz w:val="21"/>
                <w:szCs w:val="21"/>
                <w:lang w:val="en-US" w:eastAsia="zh-CN" w:bidi="ar-SA"/>
              </w:rPr>
              <w:fldChar w:fldCharType="end"/>
            </w:r>
          </w:p>
        </w:tc>
        <w:tc>
          <w:tcPr>
            <w:tcW w:w="1540" w:type="dxa"/>
            <w:tcMar>
              <w:left w:w="28" w:type="dxa"/>
              <w:right w:w="28" w:type="dxa"/>
            </w:tcMar>
            <w:vAlign w:val="center"/>
          </w:tcPr>
          <w:p w14:paraId="4D93EFF5">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在建工程</w:t>
            </w:r>
          </w:p>
          <w:p w14:paraId="4721D25C">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排放量（固体废物产生量）</w:t>
            </w:r>
            <w:r>
              <w:rPr>
                <w:rFonts w:hint="default" w:ascii="Times New Roman" w:hAnsi="Times New Roman" w:eastAsia="宋体" w:cs="Times New Roman"/>
                <w:b/>
                <w:bCs/>
                <w:snapToGrid w:val="0"/>
                <w:color w:val="auto"/>
                <w:spacing w:val="-6"/>
                <w:kern w:val="21"/>
                <w:sz w:val="21"/>
                <w:szCs w:val="21"/>
                <w:lang w:val="en-US" w:eastAsia="zh-CN" w:bidi="ar-SA"/>
              </w:rPr>
              <w:fldChar w:fldCharType="begin"/>
            </w:r>
            <w:r>
              <w:rPr>
                <w:rFonts w:hint="default" w:ascii="Times New Roman" w:hAnsi="Times New Roman" w:eastAsia="宋体" w:cs="Times New Roman"/>
                <w:b/>
                <w:bCs/>
                <w:snapToGrid w:val="0"/>
                <w:color w:val="auto"/>
                <w:spacing w:val="-6"/>
                <w:kern w:val="21"/>
                <w:sz w:val="21"/>
                <w:szCs w:val="21"/>
                <w:lang w:val="en-US" w:eastAsia="zh-CN" w:bidi="ar-SA"/>
              </w:rPr>
              <w:instrText xml:space="preserve"> = 3 \* GB3 \* MERGEFORMAT </w:instrText>
            </w:r>
            <w:r>
              <w:rPr>
                <w:rFonts w:hint="default" w:ascii="Times New Roman" w:hAnsi="Times New Roman" w:eastAsia="宋体" w:cs="Times New Roman"/>
                <w:b/>
                <w:bCs/>
                <w:snapToGrid w:val="0"/>
                <w:color w:val="auto"/>
                <w:spacing w:val="-6"/>
                <w:kern w:val="21"/>
                <w:sz w:val="21"/>
                <w:szCs w:val="21"/>
                <w:lang w:val="en-US" w:eastAsia="zh-CN" w:bidi="ar-SA"/>
              </w:rPr>
              <w:fldChar w:fldCharType="separate"/>
            </w:r>
            <w:r>
              <w:rPr>
                <w:rFonts w:hint="default" w:ascii="Times New Roman" w:hAnsi="Times New Roman" w:eastAsia="宋体" w:cs="Times New Roman"/>
                <w:b/>
                <w:bCs/>
                <w:color w:val="auto"/>
                <w:kern w:val="2"/>
                <w:sz w:val="21"/>
                <w:szCs w:val="21"/>
                <w:lang w:val="en-US" w:eastAsia="zh-CN" w:bidi="ar-SA"/>
              </w:rPr>
              <w:t>③</w:t>
            </w:r>
            <w:r>
              <w:rPr>
                <w:rFonts w:hint="default" w:ascii="Times New Roman" w:hAnsi="Times New Roman" w:eastAsia="宋体" w:cs="Times New Roman"/>
                <w:b/>
                <w:bCs/>
                <w:snapToGrid w:val="0"/>
                <w:color w:val="auto"/>
                <w:spacing w:val="-6"/>
                <w:kern w:val="21"/>
                <w:sz w:val="21"/>
                <w:szCs w:val="21"/>
                <w:lang w:val="en-US" w:eastAsia="zh-CN" w:bidi="ar-SA"/>
              </w:rPr>
              <w:fldChar w:fldCharType="end"/>
            </w:r>
          </w:p>
        </w:tc>
        <w:tc>
          <w:tcPr>
            <w:tcW w:w="1540" w:type="dxa"/>
            <w:tcMar>
              <w:left w:w="28" w:type="dxa"/>
              <w:right w:w="28" w:type="dxa"/>
            </w:tcMar>
            <w:vAlign w:val="center"/>
          </w:tcPr>
          <w:p w14:paraId="50F0EE23">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本项目</w:t>
            </w:r>
          </w:p>
          <w:p w14:paraId="1BC2CC48">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排放量（固体废物产生量）</w:t>
            </w:r>
            <w:r>
              <w:rPr>
                <w:rFonts w:hint="default" w:ascii="Times New Roman" w:hAnsi="Times New Roman" w:eastAsia="宋体" w:cs="Times New Roman"/>
                <w:b/>
                <w:bCs/>
                <w:snapToGrid w:val="0"/>
                <w:color w:val="auto"/>
                <w:spacing w:val="-6"/>
                <w:kern w:val="21"/>
                <w:sz w:val="21"/>
                <w:szCs w:val="21"/>
                <w:lang w:val="en-US" w:eastAsia="zh-CN" w:bidi="ar-SA"/>
              </w:rPr>
              <w:fldChar w:fldCharType="begin"/>
            </w:r>
            <w:r>
              <w:rPr>
                <w:rFonts w:hint="default" w:ascii="Times New Roman" w:hAnsi="Times New Roman" w:eastAsia="宋体" w:cs="Times New Roman"/>
                <w:b/>
                <w:bCs/>
                <w:snapToGrid w:val="0"/>
                <w:color w:val="auto"/>
                <w:spacing w:val="-6"/>
                <w:kern w:val="21"/>
                <w:sz w:val="21"/>
                <w:szCs w:val="21"/>
                <w:lang w:val="en-US" w:eastAsia="zh-CN" w:bidi="ar-SA"/>
              </w:rPr>
              <w:instrText xml:space="preserve"> = 4 \* GB3 \* MERGEFORMAT </w:instrText>
            </w:r>
            <w:r>
              <w:rPr>
                <w:rFonts w:hint="default" w:ascii="Times New Roman" w:hAnsi="Times New Roman" w:eastAsia="宋体" w:cs="Times New Roman"/>
                <w:b/>
                <w:bCs/>
                <w:snapToGrid w:val="0"/>
                <w:color w:val="auto"/>
                <w:spacing w:val="-6"/>
                <w:kern w:val="21"/>
                <w:sz w:val="21"/>
                <w:szCs w:val="21"/>
                <w:lang w:val="en-US" w:eastAsia="zh-CN" w:bidi="ar-SA"/>
              </w:rPr>
              <w:fldChar w:fldCharType="separate"/>
            </w:r>
            <w:r>
              <w:rPr>
                <w:rFonts w:hint="default" w:ascii="Times New Roman" w:hAnsi="Times New Roman" w:eastAsia="宋体" w:cs="Times New Roman"/>
                <w:b/>
                <w:bCs/>
                <w:color w:val="auto"/>
                <w:kern w:val="2"/>
                <w:sz w:val="21"/>
                <w:szCs w:val="21"/>
                <w:lang w:val="en-US" w:eastAsia="zh-CN" w:bidi="ar-SA"/>
              </w:rPr>
              <w:t>④</w:t>
            </w:r>
            <w:r>
              <w:rPr>
                <w:rFonts w:hint="default" w:ascii="Times New Roman" w:hAnsi="Times New Roman" w:eastAsia="宋体" w:cs="Times New Roman"/>
                <w:b/>
                <w:bCs/>
                <w:snapToGrid w:val="0"/>
                <w:color w:val="auto"/>
                <w:spacing w:val="-6"/>
                <w:kern w:val="21"/>
                <w:sz w:val="21"/>
                <w:szCs w:val="21"/>
                <w:lang w:val="en-US" w:eastAsia="zh-CN" w:bidi="ar-SA"/>
              </w:rPr>
              <w:fldChar w:fldCharType="end"/>
            </w:r>
          </w:p>
        </w:tc>
        <w:tc>
          <w:tcPr>
            <w:tcW w:w="1540" w:type="dxa"/>
            <w:tcMar>
              <w:left w:w="28" w:type="dxa"/>
              <w:right w:w="28" w:type="dxa"/>
            </w:tcMar>
            <w:vAlign w:val="center"/>
          </w:tcPr>
          <w:p w14:paraId="2BC9BB5F">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16"/>
                <w:kern w:val="21"/>
                <w:sz w:val="21"/>
                <w:szCs w:val="21"/>
                <w:lang w:val="en-US" w:eastAsia="zh-CN" w:bidi="ar-SA"/>
              </w:rPr>
            </w:pPr>
            <w:r>
              <w:rPr>
                <w:rFonts w:hint="default" w:ascii="Times New Roman" w:hAnsi="Times New Roman" w:eastAsia="宋体" w:cs="Times New Roman"/>
                <w:b/>
                <w:bCs/>
                <w:snapToGrid w:val="0"/>
                <w:color w:val="auto"/>
                <w:spacing w:val="-16"/>
                <w:kern w:val="21"/>
                <w:sz w:val="21"/>
                <w:szCs w:val="21"/>
                <w:lang w:val="en-US" w:eastAsia="zh-CN" w:bidi="ar-SA"/>
              </w:rPr>
              <w:t>以新带老削减量</w:t>
            </w:r>
          </w:p>
          <w:p w14:paraId="1B2CDD66">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16"/>
                <w:kern w:val="21"/>
                <w:sz w:val="21"/>
                <w:szCs w:val="21"/>
                <w:lang w:val="en-US" w:eastAsia="zh-CN" w:bidi="ar-SA"/>
              </w:rPr>
            </w:pPr>
            <w:r>
              <w:rPr>
                <w:rFonts w:hint="default" w:ascii="Times New Roman" w:hAnsi="Times New Roman" w:eastAsia="宋体" w:cs="Times New Roman"/>
                <w:b/>
                <w:bCs/>
                <w:snapToGrid w:val="0"/>
                <w:color w:val="auto"/>
                <w:spacing w:val="-16"/>
                <w:kern w:val="21"/>
                <w:sz w:val="21"/>
                <w:szCs w:val="21"/>
                <w:lang w:val="en-US" w:eastAsia="zh-CN" w:bidi="ar-SA"/>
              </w:rPr>
              <w:t>（新建项目不填）</w:t>
            </w:r>
            <w:r>
              <w:rPr>
                <w:rFonts w:hint="default" w:ascii="Times New Roman" w:hAnsi="Times New Roman" w:eastAsia="宋体" w:cs="Times New Roman"/>
                <w:b/>
                <w:bCs/>
                <w:snapToGrid w:val="0"/>
                <w:color w:val="auto"/>
                <w:spacing w:val="-16"/>
                <w:kern w:val="21"/>
                <w:sz w:val="21"/>
                <w:szCs w:val="21"/>
                <w:lang w:val="en-US" w:eastAsia="zh-CN" w:bidi="ar-SA"/>
              </w:rPr>
              <w:fldChar w:fldCharType="begin"/>
            </w:r>
            <w:r>
              <w:rPr>
                <w:rFonts w:hint="default" w:ascii="Times New Roman" w:hAnsi="Times New Roman" w:eastAsia="宋体" w:cs="Times New Roman"/>
                <w:b/>
                <w:bCs/>
                <w:snapToGrid w:val="0"/>
                <w:color w:val="auto"/>
                <w:spacing w:val="-16"/>
                <w:kern w:val="21"/>
                <w:sz w:val="21"/>
                <w:szCs w:val="21"/>
                <w:lang w:val="en-US" w:eastAsia="zh-CN" w:bidi="ar-SA"/>
              </w:rPr>
              <w:instrText xml:space="preserve"> = 5 \* GB3 \* MERGEFORMAT </w:instrText>
            </w:r>
            <w:r>
              <w:rPr>
                <w:rFonts w:hint="default" w:ascii="Times New Roman" w:hAnsi="Times New Roman" w:eastAsia="宋体" w:cs="Times New Roman"/>
                <w:b/>
                <w:bCs/>
                <w:snapToGrid w:val="0"/>
                <w:color w:val="auto"/>
                <w:spacing w:val="-16"/>
                <w:kern w:val="21"/>
                <w:sz w:val="21"/>
                <w:szCs w:val="21"/>
                <w:lang w:val="en-US" w:eastAsia="zh-CN" w:bidi="ar-SA"/>
              </w:rPr>
              <w:fldChar w:fldCharType="separate"/>
            </w:r>
            <w:r>
              <w:rPr>
                <w:rFonts w:hint="default" w:ascii="Times New Roman" w:hAnsi="Times New Roman" w:eastAsia="宋体" w:cs="Times New Roman"/>
                <w:b/>
                <w:bCs/>
                <w:color w:val="auto"/>
                <w:kern w:val="2"/>
                <w:sz w:val="21"/>
                <w:szCs w:val="21"/>
                <w:lang w:val="en-US" w:eastAsia="zh-CN" w:bidi="ar-SA"/>
              </w:rPr>
              <w:t>⑤</w:t>
            </w:r>
            <w:r>
              <w:rPr>
                <w:rFonts w:hint="default" w:ascii="Times New Roman" w:hAnsi="Times New Roman" w:eastAsia="宋体" w:cs="Times New Roman"/>
                <w:b/>
                <w:bCs/>
                <w:snapToGrid w:val="0"/>
                <w:color w:val="auto"/>
                <w:spacing w:val="-16"/>
                <w:kern w:val="21"/>
                <w:sz w:val="21"/>
                <w:szCs w:val="21"/>
                <w:lang w:val="en-US" w:eastAsia="zh-CN" w:bidi="ar-SA"/>
              </w:rPr>
              <w:fldChar w:fldCharType="end"/>
            </w:r>
          </w:p>
        </w:tc>
        <w:tc>
          <w:tcPr>
            <w:tcW w:w="1413" w:type="dxa"/>
            <w:tcMar>
              <w:left w:w="28" w:type="dxa"/>
              <w:right w:w="28" w:type="dxa"/>
            </w:tcMar>
            <w:vAlign w:val="center"/>
          </w:tcPr>
          <w:p w14:paraId="385D33F3">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16"/>
                <w:kern w:val="21"/>
                <w:sz w:val="21"/>
                <w:szCs w:val="21"/>
                <w:lang w:val="en-US" w:eastAsia="zh-CN" w:bidi="ar-SA"/>
              </w:rPr>
            </w:pPr>
            <w:r>
              <w:rPr>
                <w:rFonts w:hint="default" w:ascii="Times New Roman" w:hAnsi="Times New Roman" w:eastAsia="宋体" w:cs="Times New Roman"/>
                <w:b/>
                <w:bCs/>
                <w:snapToGrid w:val="0"/>
                <w:color w:val="auto"/>
                <w:spacing w:val="-16"/>
                <w:kern w:val="21"/>
                <w:sz w:val="21"/>
                <w:szCs w:val="21"/>
                <w:lang w:val="en-US" w:eastAsia="zh-CN" w:bidi="ar-SA"/>
              </w:rPr>
              <w:t>本项目建成后</w:t>
            </w:r>
          </w:p>
          <w:p w14:paraId="3A5AE0BE">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16"/>
                <w:kern w:val="21"/>
                <w:sz w:val="21"/>
                <w:szCs w:val="21"/>
                <w:lang w:val="en-US" w:eastAsia="zh-CN" w:bidi="ar-SA"/>
              </w:rPr>
            </w:pPr>
            <w:r>
              <w:rPr>
                <w:rFonts w:hint="default" w:ascii="Times New Roman" w:hAnsi="Times New Roman" w:eastAsia="宋体" w:cs="Times New Roman"/>
                <w:b/>
                <w:bCs/>
                <w:snapToGrid w:val="0"/>
                <w:color w:val="auto"/>
                <w:spacing w:val="-16"/>
                <w:kern w:val="21"/>
                <w:sz w:val="21"/>
                <w:szCs w:val="21"/>
                <w:lang w:val="en-US" w:eastAsia="zh-CN" w:bidi="ar-SA"/>
              </w:rPr>
              <w:t>全厂排放量（固体废物产生量）</w:t>
            </w:r>
            <w:r>
              <w:rPr>
                <w:rFonts w:hint="default" w:ascii="Times New Roman" w:hAnsi="Times New Roman" w:eastAsia="宋体" w:cs="Times New Roman"/>
                <w:b/>
                <w:bCs/>
                <w:snapToGrid w:val="0"/>
                <w:color w:val="auto"/>
                <w:spacing w:val="-16"/>
                <w:kern w:val="21"/>
                <w:sz w:val="21"/>
                <w:szCs w:val="21"/>
                <w:lang w:val="en-US" w:eastAsia="zh-CN" w:bidi="ar-SA"/>
              </w:rPr>
              <w:fldChar w:fldCharType="begin"/>
            </w:r>
            <w:r>
              <w:rPr>
                <w:rFonts w:hint="default" w:ascii="Times New Roman" w:hAnsi="Times New Roman" w:eastAsia="宋体" w:cs="Times New Roman"/>
                <w:b/>
                <w:bCs/>
                <w:snapToGrid w:val="0"/>
                <w:color w:val="auto"/>
                <w:spacing w:val="-16"/>
                <w:kern w:val="21"/>
                <w:sz w:val="21"/>
                <w:szCs w:val="21"/>
                <w:lang w:val="en-US" w:eastAsia="zh-CN" w:bidi="ar-SA"/>
              </w:rPr>
              <w:instrText xml:space="preserve"> = 6 \* GB3 \* MERGEFORMAT </w:instrText>
            </w:r>
            <w:r>
              <w:rPr>
                <w:rFonts w:hint="default" w:ascii="Times New Roman" w:hAnsi="Times New Roman" w:eastAsia="宋体" w:cs="Times New Roman"/>
                <w:b/>
                <w:bCs/>
                <w:snapToGrid w:val="0"/>
                <w:color w:val="auto"/>
                <w:spacing w:val="-16"/>
                <w:kern w:val="21"/>
                <w:sz w:val="21"/>
                <w:szCs w:val="21"/>
                <w:lang w:val="en-US" w:eastAsia="zh-CN" w:bidi="ar-SA"/>
              </w:rPr>
              <w:fldChar w:fldCharType="separate"/>
            </w:r>
            <w:r>
              <w:rPr>
                <w:rFonts w:hint="default" w:ascii="Times New Roman" w:hAnsi="Times New Roman" w:eastAsia="宋体" w:cs="Times New Roman"/>
                <w:b/>
                <w:bCs/>
                <w:color w:val="auto"/>
                <w:kern w:val="2"/>
                <w:sz w:val="21"/>
                <w:szCs w:val="21"/>
                <w:lang w:val="en-US" w:eastAsia="zh-CN" w:bidi="ar-SA"/>
              </w:rPr>
              <w:t>⑥</w:t>
            </w:r>
            <w:r>
              <w:rPr>
                <w:rFonts w:hint="default" w:ascii="Times New Roman" w:hAnsi="Times New Roman" w:eastAsia="宋体" w:cs="Times New Roman"/>
                <w:b/>
                <w:bCs/>
                <w:snapToGrid w:val="0"/>
                <w:color w:val="auto"/>
                <w:spacing w:val="-16"/>
                <w:kern w:val="21"/>
                <w:sz w:val="21"/>
                <w:szCs w:val="21"/>
                <w:lang w:val="en-US" w:eastAsia="zh-CN" w:bidi="ar-SA"/>
              </w:rPr>
              <w:fldChar w:fldCharType="end"/>
            </w:r>
          </w:p>
        </w:tc>
        <w:tc>
          <w:tcPr>
            <w:tcW w:w="1670" w:type="dxa"/>
            <w:tcMar>
              <w:left w:w="28" w:type="dxa"/>
              <w:right w:w="28" w:type="dxa"/>
            </w:tcMar>
            <w:vAlign w:val="center"/>
          </w:tcPr>
          <w:p w14:paraId="45B7CEE9">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t>变化量</w:t>
            </w:r>
          </w:p>
          <w:p w14:paraId="56D39E3D">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b/>
                <w:bCs/>
                <w:snapToGrid w:val="0"/>
                <w:color w:val="auto"/>
                <w:spacing w:val="-6"/>
                <w:kern w:val="21"/>
                <w:sz w:val="21"/>
                <w:szCs w:val="21"/>
                <w:lang w:val="en-US" w:eastAsia="zh-CN" w:bidi="ar-SA"/>
              </w:rPr>
            </w:pPr>
            <w:r>
              <w:rPr>
                <w:rFonts w:hint="default" w:ascii="Times New Roman" w:hAnsi="Times New Roman" w:eastAsia="宋体" w:cs="Times New Roman"/>
                <w:b/>
                <w:bCs/>
                <w:snapToGrid w:val="0"/>
                <w:color w:val="auto"/>
                <w:spacing w:val="-6"/>
                <w:kern w:val="21"/>
                <w:sz w:val="21"/>
                <w:szCs w:val="21"/>
                <w:lang w:val="en-US" w:eastAsia="zh-CN" w:bidi="ar-SA"/>
              </w:rPr>
              <w:fldChar w:fldCharType="begin"/>
            </w:r>
            <w:r>
              <w:rPr>
                <w:rFonts w:hint="default" w:ascii="Times New Roman" w:hAnsi="Times New Roman" w:eastAsia="宋体" w:cs="Times New Roman"/>
                <w:b/>
                <w:bCs/>
                <w:snapToGrid w:val="0"/>
                <w:color w:val="auto"/>
                <w:spacing w:val="-6"/>
                <w:kern w:val="21"/>
                <w:sz w:val="21"/>
                <w:szCs w:val="21"/>
                <w:lang w:val="en-US" w:eastAsia="zh-CN" w:bidi="ar-SA"/>
              </w:rPr>
              <w:instrText xml:space="preserve"> = 7 \* GB3 \* MERGEFORMAT </w:instrText>
            </w:r>
            <w:r>
              <w:rPr>
                <w:rFonts w:hint="default" w:ascii="Times New Roman" w:hAnsi="Times New Roman" w:eastAsia="宋体" w:cs="Times New Roman"/>
                <w:b/>
                <w:bCs/>
                <w:snapToGrid w:val="0"/>
                <w:color w:val="auto"/>
                <w:spacing w:val="-6"/>
                <w:kern w:val="21"/>
                <w:sz w:val="21"/>
                <w:szCs w:val="21"/>
                <w:lang w:val="en-US" w:eastAsia="zh-CN" w:bidi="ar-SA"/>
              </w:rPr>
              <w:fldChar w:fldCharType="separate"/>
            </w:r>
            <w:r>
              <w:rPr>
                <w:rFonts w:hint="default" w:ascii="Times New Roman" w:hAnsi="Times New Roman" w:eastAsia="宋体" w:cs="Times New Roman"/>
                <w:b/>
                <w:bCs/>
                <w:color w:val="auto"/>
                <w:kern w:val="2"/>
                <w:sz w:val="21"/>
                <w:szCs w:val="21"/>
                <w:lang w:val="en-US" w:eastAsia="zh-CN" w:bidi="ar-SA"/>
              </w:rPr>
              <w:t>⑦</w:t>
            </w:r>
            <w:r>
              <w:rPr>
                <w:rFonts w:hint="default" w:ascii="Times New Roman" w:hAnsi="Times New Roman" w:eastAsia="宋体" w:cs="Times New Roman"/>
                <w:b/>
                <w:bCs/>
                <w:snapToGrid w:val="0"/>
                <w:color w:val="auto"/>
                <w:spacing w:val="-6"/>
                <w:kern w:val="21"/>
                <w:sz w:val="21"/>
                <w:szCs w:val="21"/>
                <w:lang w:val="en-US" w:eastAsia="zh-CN" w:bidi="ar-SA"/>
              </w:rPr>
              <w:fldChar w:fldCharType="end"/>
            </w:r>
          </w:p>
        </w:tc>
      </w:tr>
      <w:tr w14:paraId="40A505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95" w:type="dxa"/>
            <w:vAlign w:val="center"/>
          </w:tcPr>
          <w:p w14:paraId="1681A46E">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废气</w:t>
            </w:r>
          </w:p>
        </w:tc>
        <w:tc>
          <w:tcPr>
            <w:tcW w:w="2016" w:type="dxa"/>
            <w:vAlign w:val="center"/>
          </w:tcPr>
          <w:p w14:paraId="4D70351C">
            <w:pPr>
              <w:widowControl/>
              <w:jc w:val="center"/>
              <w:textAlignment w:val="center"/>
              <w:rPr>
                <w:rFonts w:hint="eastAsia" w:ascii="Times New Roman" w:hAnsi="Times New Roman" w:eastAsia="宋体" w:cs="Times New Roman"/>
                <w:bCs/>
                <w:color w:val="auto"/>
                <w:szCs w:val="21"/>
                <w:lang w:val="en-US" w:eastAsia="zh-CN"/>
              </w:rPr>
            </w:pPr>
            <w:r>
              <w:rPr>
                <w:rFonts w:hint="eastAsia" w:ascii="Times New Roman" w:hAnsi="Times New Roman" w:eastAsia="宋体" w:cs="Times New Roman"/>
                <w:bCs/>
                <w:color w:val="auto"/>
                <w:szCs w:val="21"/>
                <w:lang w:val="en-US" w:eastAsia="zh-CN"/>
              </w:rPr>
              <w:t>异味（无量纲）</w:t>
            </w:r>
          </w:p>
        </w:tc>
        <w:tc>
          <w:tcPr>
            <w:tcW w:w="1434" w:type="dxa"/>
            <w:shd w:val="clear" w:color="auto" w:fill="auto"/>
            <w:vAlign w:val="center"/>
          </w:tcPr>
          <w:p w14:paraId="4E67550C">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vAlign w:val="center"/>
          </w:tcPr>
          <w:p w14:paraId="1DFCF96A">
            <w:pPr>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color w:val="auto"/>
                <w:szCs w:val="21"/>
              </w:rPr>
              <w:t>/</w:t>
            </w:r>
          </w:p>
        </w:tc>
        <w:tc>
          <w:tcPr>
            <w:tcW w:w="1540" w:type="dxa"/>
            <w:shd w:val="clear" w:color="auto" w:fill="auto"/>
            <w:vAlign w:val="center"/>
          </w:tcPr>
          <w:p w14:paraId="637F95E5">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shd w:val="clear" w:color="auto" w:fill="auto"/>
            <w:vAlign w:val="center"/>
          </w:tcPr>
          <w:p w14:paraId="436A349C">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shd w:val="clear" w:color="auto" w:fill="auto"/>
            <w:vAlign w:val="center"/>
          </w:tcPr>
          <w:p w14:paraId="45E4213C">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413" w:type="dxa"/>
            <w:shd w:val="clear" w:color="auto" w:fill="auto"/>
            <w:vAlign w:val="center"/>
          </w:tcPr>
          <w:p w14:paraId="45582FD8">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670" w:type="dxa"/>
            <w:shd w:val="clear" w:color="auto" w:fill="auto"/>
            <w:vAlign w:val="center"/>
          </w:tcPr>
          <w:p w14:paraId="64C42958">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r>
      <w:tr w14:paraId="7E069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95" w:type="dxa"/>
            <w:vMerge w:val="restart"/>
            <w:vAlign w:val="center"/>
          </w:tcPr>
          <w:p w14:paraId="01F0627B">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废水</w:t>
            </w:r>
          </w:p>
        </w:tc>
        <w:tc>
          <w:tcPr>
            <w:tcW w:w="2016" w:type="dxa"/>
            <w:shd w:val="clear" w:color="auto" w:fill="auto"/>
            <w:vAlign w:val="center"/>
          </w:tcPr>
          <w:p w14:paraId="050A2734">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Cs w:val="21"/>
                <w:lang w:bidi="ar"/>
              </w:rPr>
              <w:t>COD</w:t>
            </w:r>
          </w:p>
        </w:tc>
        <w:tc>
          <w:tcPr>
            <w:tcW w:w="1434" w:type="dxa"/>
            <w:shd w:val="clear" w:color="auto" w:fill="auto"/>
            <w:vAlign w:val="center"/>
          </w:tcPr>
          <w:p w14:paraId="26EE1797">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shd w:val="clear" w:color="auto" w:fill="auto"/>
            <w:vAlign w:val="center"/>
          </w:tcPr>
          <w:p w14:paraId="59C03980">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shd w:val="clear" w:color="auto" w:fill="auto"/>
            <w:vAlign w:val="center"/>
          </w:tcPr>
          <w:p w14:paraId="023123CC">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shd w:val="clear" w:color="auto" w:fill="auto"/>
            <w:vAlign w:val="center"/>
          </w:tcPr>
          <w:p w14:paraId="293CCA6E">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8.30</w:t>
            </w:r>
            <w:r>
              <w:rPr>
                <w:rFonts w:hint="eastAsia" w:cs="Times New Roman"/>
                <w:i w:val="0"/>
                <w:iCs w:val="0"/>
                <w:color w:val="000000"/>
                <w:kern w:val="0"/>
                <w:sz w:val="21"/>
                <w:szCs w:val="21"/>
                <w:u w:val="none"/>
                <w:lang w:val="en-US" w:eastAsia="zh-CN" w:bidi="ar"/>
              </w:rPr>
              <w:t>2</w:t>
            </w:r>
          </w:p>
        </w:tc>
        <w:tc>
          <w:tcPr>
            <w:tcW w:w="1540" w:type="dxa"/>
            <w:shd w:val="clear" w:color="auto" w:fill="auto"/>
            <w:vAlign w:val="center"/>
          </w:tcPr>
          <w:p w14:paraId="0F8FCB04">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21"/>
                <w:szCs w:val="21"/>
              </w:rPr>
              <w:t>0</w:t>
            </w:r>
          </w:p>
        </w:tc>
        <w:tc>
          <w:tcPr>
            <w:tcW w:w="1413" w:type="dxa"/>
            <w:shd w:val="clear" w:color="auto" w:fill="auto"/>
            <w:vAlign w:val="center"/>
          </w:tcPr>
          <w:p w14:paraId="358BB868">
            <w:pPr>
              <w:keepNext w:val="0"/>
              <w:keepLines w:val="0"/>
              <w:widowControl/>
              <w:suppressLineNumbers w:val="0"/>
              <w:jc w:val="center"/>
              <w:textAlignment w:val="center"/>
              <w:rPr>
                <w:rFonts w:hint="default" w:ascii="Times New Roman" w:hAnsi="Times New Roman" w:eastAsia="宋体" w:cs="Times New Roman"/>
                <w:color w:val="FF0000"/>
                <w:kern w:val="0"/>
                <w:sz w:val="21"/>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8.30</w:t>
            </w:r>
            <w:r>
              <w:rPr>
                <w:rFonts w:hint="eastAsia" w:cs="Times New Roman"/>
                <w:i w:val="0"/>
                <w:iCs w:val="0"/>
                <w:color w:val="000000"/>
                <w:kern w:val="0"/>
                <w:sz w:val="21"/>
                <w:szCs w:val="21"/>
                <w:u w:val="none"/>
                <w:lang w:val="en-US" w:eastAsia="zh-CN" w:bidi="ar"/>
              </w:rPr>
              <w:t>2</w:t>
            </w:r>
          </w:p>
        </w:tc>
        <w:tc>
          <w:tcPr>
            <w:tcW w:w="1670" w:type="dxa"/>
            <w:shd w:val="clear" w:color="auto" w:fill="auto"/>
            <w:vAlign w:val="center"/>
          </w:tcPr>
          <w:p w14:paraId="0B9EB781">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r>
      <w:tr w14:paraId="0B04E4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95" w:type="dxa"/>
            <w:vMerge w:val="continue"/>
            <w:vAlign w:val="center"/>
          </w:tcPr>
          <w:p w14:paraId="6B255BED">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p>
        </w:tc>
        <w:tc>
          <w:tcPr>
            <w:tcW w:w="2016" w:type="dxa"/>
            <w:vAlign w:val="center"/>
          </w:tcPr>
          <w:p w14:paraId="17179441">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BOD</w:t>
            </w:r>
            <w:r>
              <w:rPr>
                <w:rFonts w:hint="default" w:ascii="Times New Roman" w:hAnsi="Times New Roman" w:eastAsia="宋体" w:cs="Times New Roman"/>
                <w:color w:val="auto"/>
                <w:kern w:val="0"/>
                <w:szCs w:val="21"/>
                <w:vertAlign w:val="subscript"/>
                <w:lang w:bidi="ar"/>
              </w:rPr>
              <w:t>5</w:t>
            </w:r>
          </w:p>
        </w:tc>
        <w:tc>
          <w:tcPr>
            <w:tcW w:w="1434" w:type="dxa"/>
            <w:shd w:val="clear" w:color="auto" w:fill="auto"/>
            <w:vAlign w:val="center"/>
          </w:tcPr>
          <w:p w14:paraId="6966A39C">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eastAsia="zh-CN"/>
              </w:rPr>
              <w:t>/</w:t>
            </w:r>
          </w:p>
        </w:tc>
        <w:tc>
          <w:tcPr>
            <w:tcW w:w="1540" w:type="dxa"/>
            <w:shd w:val="clear" w:color="auto" w:fill="auto"/>
            <w:vAlign w:val="center"/>
          </w:tcPr>
          <w:p w14:paraId="687A9040">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eastAsia="zh-CN"/>
              </w:rPr>
              <w:t>/</w:t>
            </w:r>
          </w:p>
        </w:tc>
        <w:tc>
          <w:tcPr>
            <w:tcW w:w="1540" w:type="dxa"/>
            <w:shd w:val="clear" w:color="auto" w:fill="auto"/>
            <w:vAlign w:val="center"/>
          </w:tcPr>
          <w:p w14:paraId="63429906">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eastAsia="zh-CN"/>
              </w:rPr>
              <w:t>/</w:t>
            </w:r>
          </w:p>
        </w:tc>
        <w:tc>
          <w:tcPr>
            <w:tcW w:w="1540" w:type="dxa"/>
            <w:shd w:val="clear" w:color="auto" w:fill="auto"/>
            <w:vAlign w:val="center"/>
          </w:tcPr>
          <w:p w14:paraId="60893E7A">
            <w:pPr>
              <w:keepNext w:val="0"/>
              <w:keepLines w:val="0"/>
              <w:widowControl/>
              <w:suppressLineNumbers w:val="0"/>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1.66</w:t>
            </w:r>
          </w:p>
        </w:tc>
        <w:tc>
          <w:tcPr>
            <w:tcW w:w="1540" w:type="dxa"/>
            <w:vAlign w:val="center"/>
          </w:tcPr>
          <w:p w14:paraId="7C3DCD0A">
            <w:pPr>
              <w:jc w:val="center"/>
              <w:rPr>
                <w:rFonts w:hint="default" w:ascii="Times New Roman" w:hAnsi="Times New Roman" w:eastAsia="宋体" w:cs="Times New Roman"/>
                <w:color w:val="auto"/>
                <w:szCs w:val="21"/>
              </w:rPr>
            </w:pPr>
            <w:r>
              <w:rPr>
                <w:rFonts w:hint="default" w:ascii="Times New Roman" w:hAnsi="Times New Roman" w:eastAsia="宋体" w:cs="Times New Roman"/>
                <w:snapToGrid w:val="0"/>
                <w:color w:val="auto"/>
                <w:kern w:val="21"/>
                <w:szCs w:val="21"/>
              </w:rPr>
              <w:t>0</w:t>
            </w:r>
          </w:p>
        </w:tc>
        <w:tc>
          <w:tcPr>
            <w:tcW w:w="1413" w:type="dxa"/>
            <w:vAlign w:val="center"/>
          </w:tcPr>
          <w:p w14:paraId="6D3AEDFE">
            <w:pPr>
              <w:keepNext w:val="0"/>
              <w:keepLines w:val="0"/>
              <w:widowControl/>
              <w:suppressLineNumbers w:val="0"/>
              <w:jc w:val="center"/>
              <w:textAlignment w:val="center"/>
              <w:rPr>
                <w:rFonts w:hint="default" w:ascii="Times New Roman" w:hAnsi="Times New Roman" w:eastAsia="宋体" w:cs="Times New Roman"/>
                <w:color w:val="FF0000"/>
                <w:kern w:val="0"/>
                <w:szCs w:val="21"/>
                <w:lang w:bidi="ar"/>
              </w:rPr>
            </w:pPr>
            <w:r>
              <w:rPr>
                <w:rFonts w:hint="default" w:ascii="Times New Roman" w:hAnsi="Times New Roman" w:eastAsia="宋体" w:cs="Times New Roman"/>
                <w:i w:val="0"/>
                <w:iCs w:val="0"/>
                <w:color w:val="000000"/>
                <w:kern w:val="0"/>
                <w:sz w:val="21"/>
                <w:szCs w:val="21"/>
                <w:u w:val="none"/>
                <w:lang w:val="en-US" w:eastAsia="zh-CN" w:bidi="ar"/>
              </w:rPr>
              <w:t>1.66</w:t>
            </w:r>
          </w:p>
        </w:tc>
        <w:tc>
          <w:tcPr>
            <w:tcW w:w="1670" w:type="dxa"/>
            <w:shd w:val="clear" w:color="auto" w:fill="auto"/>
            <w:vAlign w:val="center"/>
          </w:tcPr>
          <w:p w14:paraId="25A5DC6B">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eastAsia="zh-CN"/>
              </w:rPr>
              <w:t>/</w:t>
            </w:r>
          </w:p>
        </w:tc>
      </w:tr>
      <w:tr w14:paraId="0C06FE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95" w:type="dxa"/>
            <w:vMerge w:val="continue"/>
            <w:vAlign w:val="center"/>
          </w:tcPr>
          <w:p w14:paraId="1E511137">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p>
        </w:tc>
        <w:tc>
          <w:tcPr>
            <w:tcW w:w="2016" w:type="dxa"/>
            <w:vAlign w:val="center"/>
          </w:tcPr>
          <w:p w14:paraId="0389DB51">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SS</w:t>
            </w:r>
          </w:p>
        </w:tc>
        <w:tc>
          <w:tcPr>
            <w:tcW w:w="1434" w:type="dxa"/>
            <w:shd w:val="clear" w:color="auto" w:fill="auto"/>
            <w:vAlign w:val="center"/>
          </w:tcPr>
          <w:p w14:paraId="45777724">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40" w:type="dxa"/>
            <w:shd w:val="clear" w:color="auto" w:fill="auto"/>
            <w:vAlign w:val="center"/>
          </w:tcPr>
          <w:p w14:paraId="55158B3F">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40" w:type="dxa"/>
            <w:shd w:val="clear" w:color="auto" w:fill="auto"/>
            <w:vAlign w:val="center"/>
          </w:tcPr>
          <w:p w14:paraId="60F0B3AA">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40" w:type="dxa"/>
            <w:vAlign w:val="center"/>
          </w:tcPr>
          <w:p w14:paraId="359A4E62">
            <w:pPr>
              <w:keepNext w:val="0"/>
              <w:keepLines w:val="0"/>
              <w:widowControl/>
              <w:suppressLineNumbers w:val="0"/>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1.66</w:t>
            </w:r>
          </w:p>
        </w:tc>
        <w:tc>
          <w:tcPr>
            <w:tcW w:w="1540" w:type="dxa"/>
            <w:vAlign w:val="center"/>
          </w:tcPr>
          <w:p w14:paraId="5CC6C785">
            <w:pPr>
              <w:jc w:val="center"/>
              <w:rPr>
                <w:rFonts w:hint="default" w:ascii="Times New Roman" w:hAnsi="Times New Roman" w:eastAsia="宋体" w:cs="Times New Roman"/>
                <w:color w:val="auto"/>
                <w:szCs w:val="21"/>
              </w:rPr>
            </w:pPr>
            <w:r>
              <w:rPr>
                <w:rFonts w:hint="default" w:ascii="Times New Roman" w:hAnsi="Times New Roman" w:eastAsia="宋体" w:cs="Times New Roman"/>
                <w:snapToGrid w:val="0"/>
                <w:color w:val="auto"/>
                <w:kern w:val="21"/>
                <w:szCs w:val="21"/>
              </w:rPr>
              <w:t>0</w:t>
            </w:r>
          </w:p>
        </w:tc>
        <w:tc>
          <w:tcPr>
            <w:tcW w:w="1413" w:type="dxa"/>
            <w:vAlign w:val="center"/>
          </w:tcPr>
          <w:p w14:paraId="253E6388">
            <w:pPr>
              <w:keepNext w:val="0"/>
              <w:keepLines w:val="0"/>
              <w:widowControl/>
              <w:suppressLineNumbers w:val="0"/>
              <w:jc w:val="center"/>
              <w:textAlignment w:val="center"/>
              <w:rPr>
                <w:rFonts w:hint="default" w:ascii="Times New Roman" w:hAnsi="Times New Roman" w:eastAsia="宋体" w:cs="Times New Roman"/>
                <w:color w:val="FF0000"/>
                <w:kern w:val="0"/>
                <w:szCs w:val="21"/>
                <w:lang w:bidi="ar"/>
              </w:rPr>
            </w:pPr>
            <w:r>
              <w:rPr>
                <w:rFonts w:hint="default" w:ascii="Times New Roman" w:hAnsi="Times New Roman" w:eastAsia="宋体" w:cs="Times New Roman"/>
                <w:i w:val="0"/>
                <w:iCs w:val="0"/>
                <w:color w:val="000000"/>
                <w:kern w:val="0"/>
                <w:sz w:val="21"/>
                <w:szCs w:val="21"/>
                <w:u w:val="none"/>
                <w:lang w:val="en-US" w:eastAsia="zh-CN" w:bidi="ar"/>
              </w:rPr>
              <w:t>1.66</w:t>
            </w:r>
          </w:p>
        </w:tc>
        <w:tc>
          <w:tcPr>
            <w:tcW w:w="1670" w:type="dxa"/>
            <w:shd w:val="clear" w:color="auto" w:fill="auto"/>
            <w:vAlign w:val="center"/>
          </w:tcPr>
          <w:p w14:paraId="1D0947DE">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r>
      <w:tr w14:paraId="605C46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95" w:type="dxa"/>
            <w:vMerge w:val="continue"/>
            <w:vAlign w:val="center"/>
          </w:tcPr>
          <w:p w14:paraId="60A63E3A">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p>
        </w:tc>
        <w:tc>
          <w:tcPr>
            <w:tcW w:w="2016" w:type="dxa"/>
            <w:vAlign w:val="center"/>
          </w:tcPr>
          <w:p w14:paraId="5A4157F9">
            <w:pPr>
              <w:widowControl/>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氨氮</w:t>
            </w:r>
          </w:p>
        </w:tc>
        <w:tc>
          <w:tcPr>
            <w:tcW w:w="1434" w:type="dxa"/>
            <w:shd w:val="clear" w:color="auto" w:fill="auto"/>
            <w:vAlign w:val="center"/>
          </w:tcPr>
          <w:p w14:paraId="4503F743">
            <w:pPr>
              <w:jc w:val="center"/>
              <w:rPr>
                <w:rFonts w:hint="default" w:ascii="Times New Roman" w:hAnsi="Times New Roman" w:cs="Times New Roman"/>
                <w:snapToGrid w:val="0"/>
                <w:color w:val="auto"/>
                <w:kern w:val="21"/>
                <w:szCs w:val="21"/>
                <w:lang w:val="en-US" w:eastAsia="zh-CN"/>
              </w:rPr>
            </w:pPr>
          </w:p>
        </w:tc>
        <w:tc>
          <w:tcPr>
            <w:tcW w:w="1540" w:type="dxa"/>
            <w:shd w:val="clear" w:color="auto" w:fill="auto"/>
            <w:vAlign w:val="center"/>
          </w:tcPr>
          <w:p w14:paraId="40BB2050">
            <w:pPr>
              <w:jc w:val="center"/>
              <w:rPr>
                <w:rFonts w:hint="default" w:ascii="Times New Roman" w:hAnsi="Times New Roman" w:cs="Times New Roman"/>
                <w:snapToGrid w:val="0"/>
                <w:color w:val="auto"/>
                <w:kern w:val="21"/>
                <w:szCs w:val="21"/>
                <w:lang w:val="en-US" w:eastAsia="zh-CN"/>
              </w:rPr>
            </w:pPr>
          </w:p>
        </w:tc>
        <w:tc>
          <w:tcPr>
            <w:tcW w:w="1540" w:type="dxa"/>
            <w:shd w:val="clear" w:color="auto" w:fill="auto"/>
            <w:vAlign w:val="center"/>
          </w:tcPr>
          <w:p w14:paraId="0A2FB6E0">
            <w:pPr>
              <w:jc w:val="center"/>
              <w:rPr>
                <w:rFonts w:hint="default" w:ascii="Times New Roman" w:hAnsi="Times New Roman" w:cs="Times New Roman"/>
                <w:snapToGrid w:val="0"/>
                <w:color w:val="auto"/>
                <w:kern w:val="21"/>
                <w:szCs w:val="21"/>
                <w:lang w:val="en-US" w:eastAsia="zh-CN"/>
              </w:rPr>
            </w:pPr>
          </w:p>
        </w:tc>
        <w:tc>
          <w:tcPr>
            <w:tcW w:w="1540" w:type="dxa"/>
            <w:vAlign w:val="center"/>
          </w:tcPr>
          <w:p w14:paraId="577388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0.83</w:t>
            </w:r>
          </w:p>
        </w:tc>
        <w:tc>
          <w:tcPr>
            <w:tcW w:w="1540" w:type="dxa"/>
            <w:shd w:val="clear" w:color="auto" w:fill="auto"/>
            <w:vAlign w:val="center"/>
          </w:tcPr>
          <w:p w14:paraId="287D718B">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21"/>
                <w:szCs w:val="21"/>
              </w:rPr>
              <w:t>0</w:t>
            </w:r>
          </w:p>
        </w:tc>
        <w:tc>
          <w:tcPr>
            <w:tcW w:w="1413" w:type="dxa"/>
            <w:vAlign w:val="center"/>
          </w:tcPr>
          <w:p w14:paraId="69B8DD3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0.83</w:t>
            </w:r>
          </w:p>
        </w:tc>
        <w:tc>
          <w:tcPr>
            <w:tcW w:w="1670" w:type="dxa"/>
            <w:shd w:val="clear" w:color="auto" w:fill="auto"/>
            <w:vAlign w:val="center"/>
          </w:tcPr>
          <w:p w14:paraId="3979F984">
            <w:pPr>
              <w:jc w:val="center"/>
              <w:rPr>
                <w:rFonts w:hint="default" w:ascii="Times New Roman" w:hAnsi="Times New Roman" w:cs="Times New Roman"/>
                <w:snapToGrid w:val="0"/>
                <w:color w:val="auto"/>
                <w:kern w:val="21"/>
                <w:szCs w:val="21"/>
                <w:lang w:val="en-US" w:eastAsia="zh-CN"/>
              </w:rPr>
            </w:pPr>
          </w:p>
        </w:tc>
      </w:tr>
      <w:tr w14:paraId="099FEB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95" w:type="dxa"/>
            <w:vMerge w:val="continue"/>
            <w:vAlign w:val="center"/>
          </w:tcPr>
          <w:p w14:paraId="02B9D0FC">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p>
        </w:tc>
        <w:tc>
          <w:tcPr>
            <w:tcW w:w="2016" w:type="dxa"/>
            <w:vAlign w:val="center"/>
          </w:tcPr>
          <w:p w14:paraId="2076D934">
            <w:pPr>
              <w:keepNext w:val="0"/>
              <w:keepLines w:val="0"/>
              <w:widowControl/>
              <w:suppressLineNumbers w:val="0"/>
              <w:jc w:val="center"/>
              <w:textAlignment w:val="center"/>
              <w:rPr>
                <w:rFonts w:hint="default" w:ascii="Times New Roman" w:hAnsi="Times New Roman" w:eastAsia="宋体" w:cs="Times New Roman"/>
                <w:color w:val="auto"/>
                <w:kern w:val="0"/>
                <w:szCs w:val="21"/>
                <w:lang w:bidi="ar"/>
              </w:rPr>
            </w:pPr>
            <w:r>
              <w:rPr>
                <w:rFonts w:hint="eastAsia" w:cs="Times New Roman"/>
                <w:i w:val="0"/>
                <w:iCs w:val="0"/>
                <w:color w:val="auto"/>
                <w:kern w:val="0"/>
                <w:sz w:val="21"/>
                <w:szCs w:val="21"/>
                <w:u w:val="none" w:color="auto"/>
                <w:lang w:val="en-US" w:eastAsia="zh-CN" w:bidi="ar"/>
              </w:rPr>
              <w:t>TP</w:t>
            </w:r>
          </w:p>
        </w:tc>
        <w:tc>
          <w:tcPr>
            <w:tcW w:w="1434" w:type="dxa"/>
            <w:shd w:val="clear" w:color="auto" w:fill="auto"/>
            <w:vAlign w:val="center"/>
          </w:tcPr>
          <w:p w14:paraId="439F8BC6">
            <w:pPr>
              <w:jc w:val="center"/>
              <w:rPr>
                <w:rFonts w:hint="default" w:ascii="Times New Roman" w:hAnsi="Times New Roman" w:cs="Times New Roman"/>
                <w:snapToGrid w:val="0"/>
                <w:color w:val="auto"/>
                <w:kern w:val="21"/>
                <w:szCs w:val="21"/>
                <w:lang w:val="en-US" w:eastAsia="zh-CN"/>
              </w:rPr>
            </w:pPr>
          </w:p>
        </w:tc>
        <w:tc>
          <w:tcPr>
            <w:tcW w:w="1540" w:type="dxa"/>
            <w:shd w:val="clear" w:color="auto" w:fill="auto"/>
            <w:vAlign w:val="center"/>
          </w:tcPr>
          <w:p w14:paraId="663A3832">
            <w:pPr>
              <w:jc w:val="center"/>
              <w:rPr>
                <w:rFonts w:hint="default" w:ascii="Times New Roman" w:hAnsi="Times New Roman" w:cs="Times New Roman"/>
                <w:snapToGrid w:val="0"/>
                <w:color w:val="auto"/>
                <w:kern w:val="21"/>
                <w:szCs w:val="21"/>
                <w:lang w:val="en-US" w:eastAsia="zh-CN"/>
              </w:rPr>
            </w:pPr>
          </w:p>
        </w:tc>
        <w:tc>
          <w:tcPr>
            <w:tcW w:w="1540" w:type="dxa"/>
            <w:shd w:val="clear" w:color="auto" w:fill="auto"/>
            <w:vAlign w:val="center"/>
          </w:tcPr>
          <w:p w14:paraId="428AC35B">
            <w:pPr>
              <w:jc w:val="center"/>
              <w:rPr>
                <w:rFonts w:hint="default" w:ascii="Times New Roman" w:hAnsi="Times New Roman" w:cs="Times New Roman"/>
                <w:snapToGrid w:val="0"/>
                <w:color w:val="auto"/>
                <w:kern w:val="21"/>
                <w:szCs w:val="21"/>
                <w:lang w:val="en-US" w:eastAsia="zh-CN"/>
              </w:rPr>
            </w:pPr>
          </w:p>
        </w:tc>
        <w:tc>
          <w:tcPr>
            <w:tcW w:w="1540" w:type="dxa"/>
            <w:vAlign w:val="center"/>
          </w:tcPr>
          <w:p w14:paraId="69113CF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0.083</w:t>
            </w:r>
          </w:p>
        </w:tc>
        <w:tc>
          <w:tcPr>
            <w:tcW w:w="1540" w:type="dxa"/>
            <w:shd w:val="clear" w:color="auto" w:fill="auto"/>
            <w:vAlign w:val="center"/>
          </w:tcPr>
          <w:p w14:paraId="6E03936B">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21"/>
                <w:szCs w:val="21"/>
              </w:rPr>
              <w:t>0</w:t>
            </w:r>
          </w:p>
        </w:tc>
        <w:tc>
          <w:tcPr>
            <w:tcW w:w="1413" w:type="dxa"/>
            <w:vAlign w:val="center"/>
          </w:tcPr>
          <w:p w14:paraId="1D75C0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0.083</w:t>
            </w:r>
          </w:p>
        </w:tc>
        <w:tc>
          <w:tcPr>
            <w:tcW w:w="1670" w:type="dxa"/>
            <w:shd w:val="clear" w:color="auto" w:fill="auto"/>
            <w:vAlign w:val="center"/>
          </w:tcPr>
          <w:p w14:paraId="5F4AC64E">
            <w:pPr>
              <w:jc w:val="center"/>
              <w:rPr>
                <w:rFonts w:hint="default" w:ascii="Times New Roman" w:hAnsi="Times New Roman" w:cs="Times New Roman"/>
                <w:snapToGrid w:val="0"/>
                <w:color w:val="auto"/>
                <w:kern w:val="21"/>
                <w:szCs w:val="21"/>
                <w:lang w:val="en-US" w:eastAsia="zh-CN"/>
              </w:rPr>
            </w:pPr>
          </w:p>
        </w:tc>
      </w:tr>
      <w:tr w14:paraId="52D415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95" w:type="dxa"/>
            <w:vMerge w:val="continue"/>
            <w:vAlign w:val="center"/>
          </w:tcPr>
          <w:p w14:paraId="7924F82E">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p>
        </w:tc>
        <w:tc>
          <w:tcPr>
            <w:tcW w:w="2016" w:type="dxa"/>
            <w:vAlign w:val="center"/>
          </w:tcPr>
          <w:p w14:paraId="29AAC305">
            <w:pPr>
              <w:keepNext w:val="0"/>
              <w:keepLines w:val="0"/>
              <w:widowControl/>
              <w:suppressLineNumbers w:val="0"/>
              <w:jc w:val="center"/>
              <w:textAlignment w:val="center"/>
              <w:rPr>
                <w:rFonts w:hint="default" w:ascii="Times New Roman" w:hAnsi="Times New Roman" w:eastAsia="宋体" w:cs="Times New Roman"/>
                <w:color w:val="auto"/>
                <w:szCs w:val="21"/>
              </w:rPr>
            </w:pPr>
            <w:r>
              <w:rPr>
                <w:rFonts w:hint="eastAsia" w:cs="Times New Roman"/>
                <w:i w:val="0"/>
                <w:iCs w:val="0"/>
                <w:color w:val="auto"/>
                <w:sz w:val="21"/>
                <w:szCs w:val="21"/>
                <w:u w:val="none" w:color="auto"/>
                <w:lang w:val="en-US" w:eastAsia="zh-CN"/>
              </w:rPr>
              <w:t>TN</w:t>
            </w:r>
          </w:p>
        </w:tc>
        <w:tc>
          <w:tcPr>
            <w:tcW w:w="1434" w:type="dxa"/>
            <w:shd w:val="clear" w:color="auto" w:fill="auto"/>
            <w:vAlign w:val="center"/>
          </w:tcPr>
          <w:p w14:paraId="6DBC17DC">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40" w:type="dxa"/>
            <w:shd w:val="clear" w:color="auto" w:fill="auto"/>
            <w:vAlign w:val="center"/>
          </w:tcPr>
          <w:p w14:paraId="415A878D">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40" w:type="dxa"/>
            <w:shd w:val="clear" w:color="auto" w:fill="auto"/>
            <w:vAlign w:val="center"/>
          </w:tcPr>
          <w:p w14:paraId="4AECC511">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40" w:type="dxa"/>
            <w:vAlign w:val="center"/>
          </w:tcPr>
          <w:p w14:paraId="74B84577">
            <w:pPr>
              <w:keepNext w:val="0"/>
              <w:keepLines w:val="0"/>
              <w:widowControl/>
              <w:suppressLineNumbers w:val="0"/>
              <w:jc w:val="center"/>
              <w:textAlignment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2.49</w:t>
            </w:r>
            <w:r>
              <w:rPr>
                <w:rFonts w:hint="eastAsia" w:cs="Times New Roman"/>
                <w:i w:val="0"/>
                <w:iCs w:val="0"/>
                <w:color w:val="000000"/>
                <w:kern w:val="0"/>
                <w:sz w:val="21"/>
                <w:szCs w:val="21"/>
                <w:u w:val="none"/>
                <w:lang w:val="en-US" w:eastAsia="zh-CN" w:bidi="ar"/>
              </w:rPr>
              <w:t>1</w:t>
            </w:r>
          </w:p>
        </w:tc>
        <w:tc>
          <w:tcPr>
            <w:tcW w:w="1540" w:type="dxa"/>
            <w:shd w:val="clear" w:color="auto" w:fill="auto"/>
            <w:vAlign w:val="center"/>
          </w:tcPr>
          <w:p w14:paraId="5791510F">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21"/>
                <w:szCs w:val="21"/>
              </w:rPr>
              <w:t>0</w:t>
            </w:r>
          </w:p>
        </w:tc>
        <w:tc>
          <w:tcPr>
            <w:tcW w:w="1413" w:type="dxa"/>
            <w:vAlign w:val="center"/>
          </w:tcPr>
          <w:p w14:paraId="01119D63">
            <w:pPr>
              <w:keepNext w:val="0"/>
              <w:keepLines w:val="0"/>
              <w:widowControl/>
              <w:suppressLineNumbers w:val="0"/>
              <w:jc w:val="center"/>
              <w:textAlignment w:val="center"/>
              <w:rPr>
                <w:rFonts w:hint="default" w:ascii="Times New Roman" w:hAnsi="Times New Roman" w:eastAsia="宋体" w:cs="Times New Roman"/>
                <w:color w:val="FF0000"/>
                <w:kern w:val="0"/>
                <w:szCs w:val="21"/>
                <w:lang w:bidi="ar"/>
              </w:rPr>
            </w:pPr>
            <w:r>
              <w:rPr>
                <w:rFonts w:hint="default" w:ascii="Times New Roman" w:hAnsi="Times New Roman" w:eastAsia="宋体" w:cs="Times New Roman"/>
                <w:i w:val="0"/>
                <w:iCs w:val="0"/>
                <w:color w:val="000000"/>
                <w:kern w:val="0"/>
                <w:sz w:val="21"/>
                <w:szCs w:val="21"/>
                <w:u w:val="none"/>
                <w:lang w:val="en-US" w:eastAsia="zh-CN" w:bidi="ar"/>
              </w:rPr>
              <w:t>2.49</w:t>
            </w:r>
            <w:r>
              <w:rPr>
                <w:rFonts w:hint="eastAsia" w:cs="Times New Roman"/>
                <w:i w:val="0"/>
                <w:iCs w:val="0"/>
                <w:color w:val="000000"/>
                <w:kern w:val="0"/>
                <w:sz w:val="21"/>
                <w:szCs w:val="21"/>
                <w:u w:val="none"/>
                <w:lang w:val="en-US" w:eastAsia="zh-CN" w:bidi="ar"/>
              </w:rPr>
              <w:t>1</w:t>
            </w:r>
          </w:p>
        </w:tc>
        <w:tc>
          <w:tcPr>
            <w:tcW w:w="1670" w:type="dxa"/>
            <w:shd w:val="clear" w:color="auto" w:fill="auto"/>
            <w:vAlign w:val="center"/>
          </w:tcPr>
          <w:p w14:paraId="188689C6">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r>
      <w:tr w14:paraId="6947F3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095" w:type="dxa"/>
            <w:vAlign w:val="center"/>
          </w:tcPr>
          <w:p w14:paraId="70C39963">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一般工业固体废物</w:t>
            </w:r>
          </w:p>
        </w:tc>
        <w:tc>
          <w:tcPr>
            <w:tcW w:w="2016" w:type="dxa"/>
            <w:shd w:val="clear" w:color="auto" w:fill="auto"/>
            <w:vAlign w:val="center"/>
          </w:tcPr>
          <w:p w14:paraId="2E03924C">
            <w:pPr>
              <w:pStyle w:val="38"/>
              <w:spacing w:before="0" w:line="240" w:lineRule="auto"/>
              <w:ind w:right="0" w:rightChars="0" w:firstLine="0" w:firstLineChars="0"/>
              <w:jc w:val="center"/>
              <w:rPr>
                <w:rFonts w:hint="default" w:ascii="Times New Roman" w:hAnsi="Times New Roman" w:eastAsia="宋体" w:cs="Times New Roman"/>
                <w:bCs/>
                <w:color w:val="auto"/>
                <w:kern w:val="0"/>
                <w:sz w:val="21"/>
                <w:szCs w:val="21"/>
                <w:u w:val="none" w:color="auto"/>
                <w:lang w:val="en-US" w:eastAsia="zh-CN" w:bidi="ar-SA"/>
              </w:rPr>
            </w:pPr>
            <w:r>
              <w:rPr>
                <w:rFonts w:hint="eastAsia" w:ascii="Times New Roman" w:hAnsi="Times New Roman" w:cs="Times New Roman" w:eastAsiaTheme="minorEastAsia"/>
                <w:color w:val="auto"/>
                <w:sz w:val="21"/>
                <w:szCs w:val="21"/>
                <w:u w:val="none" w:color="auto"/>
                <w:lang w:val="en-US" w:eastAsia="zh-CN"/>
              </w:rPr>
              <w:t>脱水污泥</w:t>
            </w:r>
          </w:p>
        </w:tc>
        <w:tc>
          <w:tcPr>
            <w:tcW w:w="1434" w:type="dxa"/>
            <w:shd w:val="clear" w:color="auto" w:fill="auto"/>
            <w:vAlign w:val="center"/>
          </w:tcPr>
          <w:p w14:paraId="6C1B2357">
            <w:pPr>
              <w:jc w:val="center"/>
              <w:rPr>
                <w:rFonts w:hint="default" w:ascii="Times New Roman" w:hAnsi="Times New Roman" w:eastAsia="宋体" w:cs="Times New Roman"/>
                <w:snapToGrid w:val="0"/>
                <w:color w:val="auto"/>
                <w:kern w:val="21"/>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w:t>
            </w:r>
          </w:p>
        </w:tc>
        <w:tc>
          <w:tcPr>
            <w:tcW w:w="1540" w:type="dxa"/>
            <w:shd w:val="clear" w:color="auto" w:fill="auto"/>
            <w:vAlign w:val="center"/>
          </w:tcPr>
          <w:p w14:paraId="58553DB5">
            <w:pPr>
              <w:jc w:val="center"/>
              <w:rPr>
                <w:rFonts w:hint="default" w:ascii="Times New Roman" w:hAnsi="Times New Roman" w:eastAsia="宋体" w:cs="Times New Roman"/>
                <w:snapToGrid w:val="0"/>
                <w:color w:val="auto"/>
                <w:kern w:val="21"/>
                <w:sz w:val="21"/>
                <w:szCs w:val="21"/>
                <w:highlight w:val="none"/>
                <w:u w:val="none" w:color="auto"/>
                <w:lang w:val="en-US" w:eastAsia="zh-CN" w:bidi="ar-SA"/>
              </w:rPr>
            </w:pPr>
            <w:r>
              <w:rPr>
                <w:rFonts w:hint="default" w:ascii="Times New Roman" w:hAnsi="Times New Roman" w:eastAsia="宋体" w:cs="Times New Roman"/>
                <w:color w:val="auto"/>
                <w:kern w:val="2"/>
                <w:sz w:val="21"/>
                <w:szCs w:val="21"/>
                <w:highlight w:val="none"/>
                <w:u w:val="none" w:color="auto"/>
                <w:lang w:val="en-US" w:eastAsia="zh-CN" w:bidi="ar-SA"/>
              </w:rPr>
              <w:t>/</w:t>
            </w:r>
          </w:p>
        </w:tc>
        <w:tc>
          <w:tcPr>
            <w:tcW w:w="1540" w:type="dxa"/>
            <w:shd w:val="clear" w:color="auto" w:fill="auto"/>
            <w:vAlign w:val="center"/>
          </w:tcPr>
          <w:p w14:paraId="05F6D4D0">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vAlign w:val="center"/>
          </w:tcPr>
          <w:p w14:paraId="52EABDCD">
            <w:pPr>
              <w:pStyle w:val="38"/>
              <w:spacing w:before="0" w:line="240" w:lineRule="auto"/>
              <w:ind w:right="0" w:rightChars="0" w:firstLine="0" w:firstLineChars="0"/>
              <w:jc w:val="center"/>
              <w:rPr>
                <w:rFonts w:hint="default" w:ascii="Times New Roman" w:hAnsi="Times New Roman" w:eastAsia="宋体" w:cs="Times New Roman"/>
                <w:snapToGrid w:val="0"/>
                <w:color w:val="auto"/>
                <w:kern w:val="21"/>
                <w:szCs w:val="21"/>
              </w:rPr>
            </w:pPr>
            <w:r>
              <w:rPr>
                <w:rFonts w:hint="eastAsia" w:ascii="Times New Roman" w:hAnsi="Times New Roman" w:cs="Times New Roman" w:eastAsiaTheme="minorEastAsia"/>
                <w:color w:val="auto"/>
                <w:sz w:val="21"/>
                <w:szCs w:val="21"/>
                <w:u w:val="none" w:color="auto"/>
                <w:lang w:val="en-US" w:eastAsia="zh-CN"/>
              </w:rPr>
              <w:t>40916.5</w:t>
            </w:r>
          </w:p>
        </w:tc>
        <w:tc>
          <w:tcPr>
            <w:tcW w:w="1540" w:type="dxa"/>
            <w:vAlign w:val="center"/>
          </w:tcPr>
          <w:p w14:paraId="508BD522">
            <w:pPr>
              <w:widowControl/>
              <w:jc w:val="center"/>
              <w:textAlignment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0</w:t>
            </w:r>
          </w:p>
        </w:tc>
        <w:tc>
          <w:tcPr>
            <w:tcW w:w="1413" w:type="dxa"/>
            <w:shd w:val="clear" w:color="auto" w:fill="auto"/>
            <w:vAlign w:val="center"/>
          </w:tcPr>
          <w:p w14:paraId="6804DE6C">
            <w:pPr>
              <w:pStyle w:val="38"/>
              <w:spacing w:before="0" w:line="240" w:lineRule="auto"/>
              <w:ind w:right="0" w:rightChars="0" w:firstLine="0" w:firstLineChars="0"/>
              <w:jc w:val="center"/>
              <w:rPr>
                <w:rFonts w:hint="default" w:ascii="Times New Roman" w:hAnsi="Times New Roman" w:eastAsia="宋体" w:cs="Times New Roman"/>
                <w:bCs/>
                <w:snapToGrid w:val="0"/>
                <w:color w:val="auto"/>
                <w:kern w:val="21"/>
                <w:sz w:val="24"/>
                <w:szCs w:val="21"/>
                <w:lang w:val="en-US" w:eastAsia="zh-CN" w:bidi="ar-SA"/>
              </w:rPr>
            </w:pPr>
            <w:r>
              <w:rPr>
                <w:rFonts w:hint="eastAsia" w:ascii="Times New Roman" w:hAnsi="Times New Roman" w:cs="Times New Roman" w:eastAsiaTheme="minorEastAsia"/>
                <w:color w:val="auto"/>
                <w:sz w:val="21"/>
                <w:szCs w:val="21"/>
                <w:u w:val="none" w:color="auto"/>
                <w:lang w:val="en-US" w:eastAsia="zh-CN"/>
              </w:rPr>
              <w:t>40916.5</w:t>
            </w:r>
          </w:p>
        </w:tc>
        <w:tc>
          <w:tcPr>
            <w:tcW w:w="1670" w:type="dxa"/>
            <w:shd w:val="clear" w:color="auto" w:fill="auto"/>
            <w:vAlign w:val="center"/>
          </w:tcPr>
          <w:p w14:paraId="4278B446">
            <w:pPr>
              <w:jc w:val="center"/>
              <w:rPr>
                <w:rFonts w:hint="default" w:ascii="Times New Roman" w:hAnsi="Times New Roman" w:eastAsia="宋体" w:cs="Times New Roman"/>
                <w:snapToGrid w:val="0"/>
                <w:color w:val="auto"/>
                <w:kern w:val="21"/>
                <w:sz w:val="21"/>
                <w:szCs w:val="21"/>
                <w:lang w:val="en-US" w:eastAsia="zh-CN" w:bidi="ar-SA"/>
              </w:rPr>
            </w:pPr>
          </w:p>
        </w:tc>
      </w:tr>
      <w:tr w14:paraId="7B1831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095" w:type="dxa"/>
            <w:vMerge w:val="restart"/>
            <w:vAlign w:val="center"/>
          </w:tcPr>
          <w:p w14:paraId="1A8CD02E">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bidi="ar-SA"/>
              </w:rPr>
              <w:t>危险废物</w:t>
            </w:r>
          </w:p>
        </w:tc>
        <w:tc>
          <w:tcPr>
            <w:tcW w:w="2016" w:type="dxa"/>
            <w:shd w:val="clear" w:color="auto" w:fill="auto"/>
            <w:vAlign w:val="center"/>
          </w:tcPr>
          <w:p w14:paraId="4D0CBFF2">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废矿物油</w:t>
            </w:r>
            <w:r>
              <w:rPr>
                <w:rFonts w:hint="eastAsia" w:ascii="Times New Roman" w:hAnsi="Times New Roman" w:cs="Times New Roman" w:eastAsiaTheme="minorEastAsia"/>
                <w:color w:val="auto"/>
                <w:sz w:val="21"/>
                <w:szCs w:val="21"/>
                <w:u w:val="none" w:color="auto"/>
                <w:lang w:val="en-US" w:eastAsia="zh-CN"/>
              </w:rPr>
              <w:t>/油桶</w:t>
            </w:r>
          </w:p>
        </w:tc>
        <w:tc>
          <w:tcPr>
            <w:tcW w:w="1434" w:type="dxa"/>
            <w:shd w:val="clear" w:color="auto" w:fill="auto"/>
            <w:vAlign w:val="center"/>
          </w:tcPr>
          <w:p w14:paraId="3BC3A3B4">
            <w:pPr>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szCs w:val="21"/>
              </w:rPr>
              <w:t>/</w:t>
            </w:r>
          </w:p>
        </w:tc>
        <w:tc>
          <w:tcPr>
            <w:tcW w:w="1540" w:type="dxa"/>
            <w:vAlign w:val="center"/>
          </w:tcPr>
          <w:p w14:paraId="2ED844EA">
            <w:pPr>
              <w:jc w:val="center"/>
              <w:rPr>
                <w:rFonts w:hint="default" w:ascii="Times New Roman" w:hAnsi="Times New Roman" w:eastAsia="宋体" w:cs="Times New Roman"/>
                <w:color w:val="0000FF"/>
                <w:szCs w:val="21"/>
              </w:rPr>
            </w:pPr>
            <w:r>
              <w:rPr>
                <w:rFonts w:hint="default" w:ascii="Times New Roman" w:hAnsi="Times New Roman" w:eastAsia="宋体" w:cs="Times New Roman"/>
                <w:color w:val="0000FF"/>
                <w:szCs w:val="21"/>
              </w:rPr>
              <w:t>/</w:t>
            </w:r>
          </w:p>
        </w:tc>
        <w:tc>
          <w:tcPr>
            <w:tcW w:w="1540" w:type="dxa"/>
            <w:shd w:val="clear" w:color="auto" w:fill="auto"/>
            <w:vAlign w:val="center"/>
          </w:tcPr>
          <w:p w14:paraId="31A0D45D">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c>
          <w:tcPr>
            <w:tcW w:w="1540" w:type="dxa"/>
            <w:shd w:val="clear" w:color="auto" w:fill="auto"/>
            <w:vAlign w:val="center"/>
          </w:tcPr>
          <w:p w14:paraId="5E7358C5">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cs="Times New Roman"/>
                <w:color w:val="auto"/>
                <w:sz w:val="21"/>
                <w:szCs w:val="21"/>
                <w:highlight w:val="none"/>
                <w:u w:val="none" w:color="auto"/>
                <w:lang w:val="en-US" w:eastAsia="zh-CN"/>
              </w:rPr>
            </w:pPr>
            <w:r>
              <w:rPr>
                <w:rFonts w:hint="default" w:ascii="Times New Roman" w:hAnsi="Times New Roman" w:cs="Times New Roman" w:eastAsiaTheme="minorEastAsia"/>
                <w:color w:val="auto"/>
                <w:sz w:val="21"/>
                <w:szCs w:val="21"/>
                <w:highlight w:val="none"/>
                <w:u w:val="none" w:color="auto"/>
                <w:lang w:val="en-US" w:eastAsia="zh-CN"/>
              </w:rPr>
              <w:t>0.</w:t>
            </w:r>
            <w:r>
              <w:rPr>
                <w:rFonts w:hint="eastAsia" w:ascii="Times New Roman" w:hAnsi="Times New Roman" w:cs="Times New Roman" w:eastAsiaTheme="minorEastAsia"/>
                <w:color w:val="auto"/>
                <w:sz w:val="21"/>
                <w:szCs w:val="21"/>
                <w:highlight w:val="none"/>
                <w:u w:val="none" w:color="auto"/>
                <w:lang w:val="en-US" w:eastAsia="zh-CN"/>
              </w:rPr>
              <w:t>11</w:t>
            </w:r>
          </w:p>
        </w:tc>
        <w:tc>
          <w:tcPr>
            <w:tcW w:w="1540" w:type="dxa"/>
            <w:vAlign w:val="center"/>
          </w:tcPr>
          <w:p w14:paraId="450E7079">
            <w:pPr>
              <w:jc w:val="center"/>
              <w:rPr>
                <w:rFonts w:hint="default" w:ascii="Times New Roman" w:hAnsi="Times New Roman" w:eastAsia="宋体" w:cs="Times New Roman"/>
                <w:snapToGrid w:val="0"/>
                <w:color w:val="auto"/>
                <w:kern w:val="21"/>
                <w:szCs w:val="21"/>
                <w:highlight w:val="none"/>
              </w:rPr>
            </w:pPr>
            <w:r>
              <w:rPr>
                <w:rFonts w:hint="default" w:ascii="Times New Roman" w:hAnsi="Times New Roman" w:eastAsia="宋体" w:cs="Times New Roman"/>
                <w:snapToGrid w:val="0"/>
                <w:color w:val="auto"/>
                <w:kern w:val="21"/>
                <w:szCs w:val="21"/>
                <w:highlight w:val="none"/>
              </w:rPr>
              <w:t>0</w:t>
            </w:r>
          </w:p>
        </w:tc>
        <w:tc>
          <w:tcPr>
            <w:tcW w:w="1413" w:type="dxa"/>
            <w:shd w:val="clear" w:color="auto" w:fill="auto"/>
            <w:vAlign w:val="center"/>
          </w:tcPr>
          <w:p w14:paraId="46016322">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highlight w:val="none"/>
                <w:u w:val="none" w:color="auto"/>
                <w:lang w:val="en-US" w:eastAsia="zh-CN" w:bidi="ar-SA"/>
              </w:rPr>
            </w:pPr>
            <w:r>
              <w:rPr>
                <w:rFonts w:hint="default" w:ascii="Times New Roman" w:hAnsi="Times New Roman" w:cs="Times New Roman" w:eastAsiaTheme="minorEastAsia"/>
                <w:color w:val="auto"/>
                <w:sz w:val="21"/>
                <w:szCs w:val="21"/>
                <w:highlight w:val="none"/>
                <w:u w:val="none" w:color="auto"/>
                <w:lang w:val="en-US" w:eastAsia="zh-CN"/>
              </w:rPr>
              <w:t>0.</w:t>
            </w:r>
            <w:r>
              <w:rPr>
                <w:rFonts w:hint="eastAsia" w:ascii="Times New Roman" w:hAnsi="Times New Roman" w:cs="Times New Roman" w:eastAsiaTheme="minorEastAsia"/>
                <w:color w:val="auto"/>
                <w:sz w:val="21"/>
                <w:szCs w:val="21"/>
                <w:highlight w:val="none"/>
                <w:u w:val="none" w:color="auto"/>
                <w:lang w:val="en-US" w:eastAsia="zh-CN"/>
              </w:rPr>
              <w:t>11</w:t>
            </w:r>
          </w:p>
        </w:tc>
        <w:tc>
          <w:tcPr>
            <w:tcW w:w="1670" w:type="dxa"/>
            <w:shd w:val="clear" w:color="auto" w:fill="auto"/>
            <w:vAlign w:val="center"/>
          </w:tcPr>
          <w:p w14:paraId="2AA2C960">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val="en-US" w:eastAsia="zh-CN"/>
              </w:rPr>
              <w:t>/</w:t>
            </w:r>
          </w:p>
        </w:tc>
      </w:tr>
      <w:tr w14:paraId="7B27EE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5" w:type="dxa"/>
            <w:vMerge w:val="continue"/>
            <w:vAlign w:val="center"/>
          </w:tcPr>
          <w:p w14:paraId="685E8140">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p>
        </w:tc>
        <w:tc>
          <w:tcPr>
            <w:tcW w:w="2016" w:type="dxa"/>
            <w:shd w:val="clear" w:color="auto" w:fill="auto"/>
            <w:vAlign w:val="center"/>
          </w:tcPr>
          <w:p w14:paraId="18AB24FB">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u w:val="none" w:color="auto"/>
                <w:lang w:val="en-US" w:eastAsia="zh-CN" w:bidi="ar-SA"/>
              </w:rPr>
            </w:pPr>
            <w:r>
              <w:rPr>
                <w:rFonts w:hint="default" w:ascii="Times New Roman" w:hAnsi="Times New Roman" w:cs="Times New Roman" w:eastAsiaTheme="minorEastAsia"/>
                <w:color w:val="auto"/>
                <w:sz w:val="21"/>
                <w:szCs w:val="21"/>
                <w:u w:val="none" w:color="auto"/>
                <w:lang w:val="en-US" w:eastAsia="zh-CN"/>
              </w:rPr>
              <w:t>含油抹布、手套等</w:t>
            </w:r>
          </w:p>
        </w:tc>
        <w:tc>
          <w:tcPr>
            <w:tcW w:w="1434" w:type="dxa"/>
            <w:shd w:val="clear" w:color="auto" w:fill="auto"/>
            <w:vAlign w:val="center"/>
          </w:tcPr>
          <w:p w14:paraId="7355B5EA">
            <w:pPr>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szCs w:val="21"/>
              </w:rPr>
              <w:t>/</w:t>
            </w:r>
          </w:p>
        </w:tc>
        <w:tc>
          <w:tcPr>
            <w:tcW w:w="1540" w:type="dxa"/>
            <w:vAlign w:val="center"/>
          </w:tcPr>
          <w:p w14:paraId="3A079056">
            <w:pPr>
              <w:jc w:val="center"/>
              <w:rPr>
                <w:rFonts w:hint="default" w:ascii="Times New Roman" w:hAnsi="Times New Roman" w:eastAsia="宋体" w:cs="Times New Roman"/>
                <w:color w:val="0000FF"/>
                <w:szCs w:val="21"/>
              </w:rPr>
            </w:pPr>
            <w:r>
              <w:rPr>
                <w:rFonts w:hint="default" w:ascii="Times New Roman" w:hAnsi="Times New Roman" w:eastAsia="宋体" w:cs="Times New Roman"/>
                <w:color w:val="0000FF"/>
                <w:szCs w:val="21"/>
              </w:rPr>
              <w:t>/</w:t>
            </w:r>
          </w:p>
        </w:tc>
        <w:tc>
          <w:tcPr>
            <w:tcW w:w="1540" w:type="dxa"/>
            <w:shd w:val="clear" w:color="auto" w:fill="auto"/>
            <w:vAlign w:val="center"/>
          </w:tcPr>
          <w:p w14:paraId="2D6DC371">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c>
          <w:tcPr>
            <w:tcW w:w="1540" w:type="dxa"/>
            <w:shd w:val="clear" w:color="auto" w:fill="auto"/>
            <w:vAlign w:val="center"/>
          </w:tcPr>
          <w:p w14:paraId="01F7344A">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highlight w:val="none"/>
                <w:u w:val="none" w:color="auto"/>
                <w:lang w:val="en-US" w:eastAsia="zh-CN" w:bidi="ar-SA"/>
              </w:rPr>
            </w:pPr>
            <w:r>
              <w:rPr>
                <w:rFonts w:hint="default" w:ascii="Times New Roman" w:hAnsi="Times New Roman" w:cs="Times New Roman" w:eastAsiaTheme="minorEastAsia"/>
                <w:color w:val="auto"/>
                <w:sz w:val="21"/>
                <w:szCs w:val="21"/>
                <w:highlight w:val="none"/>
                <w:u w:val="none" w:color="auto"/>
                <w:lang w:val="en-US" w:eastAsia="zh-CN"/>
              </w:rPr>
              <w:t>0.</w:t>
            </w:r>
            <w:r>
              <w:rPr>
                <w:rFonts w:hint="eastAsia" w:ascii="Times New Roman" w:hAnsi="Times New Roman" w:cs="Times New Roman" w:eastAsiaTheme="minorEastAsia"/>
                <w:color w:val="auto"/>
                <w:sz w:val="21"/>
                <w:szCs w:val="21"/>
                <w:highlight w:val="none"/>
                <w:u w:val="none" w:color="auto"/>
                <w:lang w:val="en-US" w:eastAsia="zh-CN"/>
              </w:rPr>
              <w:t>00</w:t>
            </w:r>
            <w:r>
              <w:rPr>
                <w:rFonts w:hint="default" w:ascii="Times New Roman" w:hAnsi="Times New Roman" w:cs="Times New Roman" w:eastAsiaTheme="minorEastAsia"/>
                <w:color w:val="auto"/>
                <w:sz w:val="21"/>
                <w:szCs w:val="21"/>
                <w:highlight w:val="none"/>
                <w:u w:val="none" w:color="auto"/>
                <w:lang w:val="en-US" w:eastAsia="zh-CN"/>
              </w:rPr>
              <w:t>5</w:t>
            </w:r>
          </w:p>
        </w:tc>
        <w:tc>
          <w:tcPr>
            <w:tcW w:w="1540" w:type="dxa"/>
            <w:vAlign w:val="center"/>
          </w:tcPr>
          <w:p w14:paraId="2E93050E">
            <w:pPr>
              <w:jc w:val="center"/>
              <w:rPr>
                <w:rFonts w:hint="default" w:ascii="Times New Roman" w:hAnsi="Times New Roman" w:eastAsia="宋体" w:cs="Times New Roman"/>
                <w:snapToGrid w:val="0"/>
                <w:color w:val="auto"/>
                <w:kern w:val="21"/>
                <w:szCs w:val="21"/>
                <w:highlight w:val="none"/>
              </w:rPr>
            </w:pPr>
            <w:r>
              <w:rPr>
                <w:rFonts w:hint="default" w:ascii="Times New Roman" w:hAnsi="Times New Roman" w:eastAsia="宋体" w:cs="Times New Roman"/>
                <w:snapToGrid w:val="0"/>
                <w:color w:val="auto"/>
                <w:kern w:val="21"/>
                <w:szCs w:val="21"/>
                <w:highlight w:val="none"/>
              </w:rPr>
              <w:t>0</w:t>
            </w:r>
          </w:p>
        </w:tc>
        <w:tc>
          <w:tcPr>
            <w:tcW w:w="1413" w:type="dxa"/>
            <w:shd w:val="clear" w:color="auto" w:fill="auto"/>
            <w:vAlign w:val="center"/>
          </w:tcPr>
          <w:p w14:paraId="763D4390">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highlight w:val="none"/>
                <w:u w:val="none" w:color="auto"/>
                <w:lang w:val="en-US" w:eastAsia="zh-CN" w:bidi="ar-SA"/>
              </w:rPr>
            </w:pPr>
            <w:r>
              <w:rPr>
                <w:rFonts w:hint="default" w:ascii="Times New Roman" w:hAnsi="Times New Roman" w:cs="Times New Roman" w:eastAsiaTheme="minorEastAsia"/>
                <w:color w:val="auto"/>
                <w:sz w:val="21"/>
                <w:szCs w:val="21"/>
                <w:highlight w:val="none"/>
                <w:u w:val="none" w:color="auto"/>
                <w:lang w:val="en-US" w:eastAsia="zh-CN"/>
              </w:rPr>
              <w:t>0.</w:t>
            </w:r>
            <w:r>
              <w:rPr>
                <w:rFonts w:hint="eastAsia" w:ascii="Times New Roman" w:hAnsi="Times New Roman" w:cs="Times New Roman" w:eastAsiaTheme="minorEastAsia"/>
                <w:color w:val="auto"/>
                <w:sz w:val="21"/>
                <w:szCs w:val="21"/>
                <w:highlight w:val="none"/>
                <w:u w:val="none" w:color="auto"/>
                <w:lang w:val="en-US" w:eastAsia="zh-CN"/>
              </w:rPr>
              <w:t>00</w:t>
            </w:r>
            <w:r>
              <w:rPr>
                <w:rFonts w:hint="default" w:ascii="Times New Roman" w:hAnsi="Times New Roman" w:cs="Times New Roman" w:eastAsiaTheme="minorEastAsia"/>
                <w:color w:val="auto"/>
                <w:sz w:val="21"/>
                <w:szCs w:val="21"/>
                <w:highlight w:val="none"/>
                <w:u w:val="none" w:color="auto"/>
                <w:lang w:val="en-US" w:eastAsia="zh-CN"/>
              </w:rPr>
              <w:t>5</w:t>
            </w:r>
          </w:p>
        </w:tc>
        <w:tc>
          <w:tcPr>
            <w:tcW w:w="1670" w:type="dxa"/>
            <w:shd w:val="clear" w:color="auto" w:fill="auto"/>
            <w:vAlign w:val="center"/>
          </w:tcPr>
          <w:p w14:paraId="5AC9F0A6">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color w:val="auto"/>
                <w:szCs w:val="21"/>
              </w:rPr>
              <w:t>/</w:t>
            </w:r>
          </w:p>
        </w:tc>
      </w:tr>
      <w:tr w14:paraId="57E150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5" w:type="dxa"/>
            <w:vMerge w:val="continue"/>
            <w:vAlign w:val="center"/>
          </w:tcPr>
          <w:p w14:paraId="6FEAEDB0">
            <w:pPr>
              <w:widowControl/>
              <w:adjustRightInd w:val="0"/>
              <w:snapToGrid w:val="0"/>
              <w:spacing w:before="60" w:beforeLines="0" w:after="0" w:afterLines="0" w:line="240" w:lineRule="auto"/>
              <w:ind w:right="113" w:firstLine="0" w:firstLineChars="0"/>
              <w:jc w:val="center"/>
              <w:rPr>
                <w:rFonts w:hint="default" w:ascii="Times New Roman" w:hAnsi="Times New Roman" w:eastAsia="宋体" w:cs="Times New Roman"/>
                <w:snapToGrid w:val="0"/>
                <w:color w:val="auto"/>
                <w:kern w:val="21"/>
                <w:sz w:val="21"/>
                <w:szCs w:val="21"/>
                <w:lang w:val="en-US" w:eastAsia="zh-CN" w:bidi="ar-SA"/>
              </w:rPr>
            </w:pPr>
          </w:p>
        </w:tc>
        <w:tc>
          <w:tcPr>
            <w:tcW w:w="2016" w:type="dxa"/>
            <w:shd w:val="clear" w:color="auto" w:fill="auto"/>
            <w:vAlign w:val="center"/>
          </w:tcPr>
          <w:p w14:paraId="23A9864D">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u w:val="none" w:color="auto"/>
                <w:lang w:val="en-US" w:eastAsia="zh-CN" w:bidi="ar-SA"/>
              </w:rPr>
            </w:pPr>
            <w:r>
              <w:rPr>
                <w:rFonts w:hint="eastAsia" w:ascii="Times New Roman" w:hAnsi="Times New Roman" w:cs="Times New Roman" w:eastAsiaTheme="minorEastAsia"/>
                <w:color w:val="000000" w:themeColor="text1"/>
                <w:sz w:val="21"/>
                <w:szCs w:val="21"/>
                <w:u w:val="none" w:color="auto"/>
                <w:lang w:val="en-US" w:eastAsia="zh-CN"/>
                <w14:textFill>
                  <w14:solidFill>
                    <w14:schemeClr w14:val="tx1"/>
                  </w14:solidFill>
                </w14:textFill>
              </w:rPr>
              <w:t>实验室废液</w:t>
            </w:r>
          </w:p>
        </w:tc>
        <w:tc>
          <w:tcPr>
            <w:tcW w:w="1434" w:type="dxa"/>
            <w:shd w:val="clear" w:color="auto" w:fill="auto"/>
            <w:vAlign w:val="center"/>
          </w:tcPr>
          <w:p w14:paraId="14446F6B">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w:t>
            </w:r>
          </w:p>
        </w:tc>
        <w:tc>
          <w:tcPr>
            <w:tcW w:w="1540" w:type="dxa"/>
            <w:vAlign w:val="center"/>
          </w:tcPr>
          <w:p w14:paraId="3FFD020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1540" w:type="dxa"/>
            <w:shd w:val="clear" w:color="auto" w:fill="auto"/>
            <w:vAlign w:val="center"/>
          </w:tcPr>
          <w:p w14:paraId="27C00F39">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eastAsia="zh-CN"/>
              </w:rPr>
              <w:t>/</w:t>
            </w:r>
          </w:p>
        </w:tc>
        <w:tc>
          <w:tcPr>
            <w:tcW w:w="1540" w:type="dxa"/>
            <w:shd w:val="clear" w:color="auto" w:fill="auto"/>
            <w:vAlign w:val="center"/>
          </w:tcPr>
          <w:p w14:paraId="661E8D43">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highlight w:val="none"/>
                <w:u w:val="none" w:color="auto"/>
                <w:lang w:val="en-US" w:eastAsia="zh-CN" w:bidi="ar-SA"/>
              </w:rPr>
            </w:pPr>
            <w:r>
              <w:rPr>
                <w:rFonts w:hint="default" w:ascii="Times New Roman" w:hAnsi="Times New Roman" w:cs="Times New Roman" w:eastAsiaTheme="minorEastAsia"/>
                <w:color w:val="auto"/>
                <w:sz w:val="21"/>
                <w:szCs w:val="21"/>
                <w:highlight w:val="none"/>
                <w:u w:val="none" w:color="auto"/>
                <w:lang w:val="en-US" w:eastAsia="zh-CN"/>
              </w:rPr>
              <w:t>0.</w:t>
            </w:r>
            <w:r>
              <w:rPr>
                <w:rFonts w:hint="eastAsia" w:ascii="Times New Roman" w:hAnsi="Times New Roman" w:cs="Times New Roman" w:eastAsiaTheme="minorEastAsia"/>
                <w:color w:val="auto"/>
                <w:sz w:val="21"/>
                <w:szCs w:val="21"/>
                <w:highlight w:val="none"/>
                <w:u w:val="none" w:color="auto"/>
                <w:lang w:val="en-US" w:eastAsia="zh-CN"/>
              </w:rPr>
              <w:t>01</w:t>
            </w:r>
          </w:p>
        </w:tc>
        <w:tc>
          <w:tcPr>
            <w:tcW w:w="1540" w:type="dxa"/>
            <w:vAlign w:val="center"/>
          </w:tcPr>
          <w:p w14:paraId="23352AFA">
            <w:pPr>
              <w:jc w:val="center"/>
              <w:rPr>
                <w:rFonts w:hint="default" w:ascii="Times New Roman" w:hAnsi="Times New Roman" w:eastAsia="宋体" w:cs="Times New Roman"/>
                <w:snapToGrid w:val="0"/>
                <w:color w:val="auto"/>
                <w:kern w:val="21"/>
                <w:szCs w:val="21"/>
                <w:highlight w:val="none"/>
              </w:rPr>
            </w:pPr>
            <w:r>
              <w:rPr>
                <w:rFonts w:hint="default" w:ascii="Times New Roman" w:hAnsi="Times New Roman" w:eastAsia="宋体" w:cs="Times New Roman"/>
                <w:snapToGrid w:val="0"/>
                <w:color w:val="auto"/>
                <w:kern w:val="21"/>
                <w:szCs w:val="21"/>
                <w:highlight w:val="none"/>
              </w:rPr>
              <w:t>0</w:t>
            </w:r>
          </w:p>
        </w:tc>
        <w:tc>
          <w:tcPr>
            <w:tcW w:w="1413" w:type="dxa"/>
            <w:shd w:val="clear" w:color="auto" w:fill="auto"/>
            <w:vAlign w:val="center"/>
          </w:tcPr>
          <w:p w14:paraId="002901B9">
            <w:pPr>
              <w:pStyle w:val="38"/>
              <w:keepNext w:val="0"/>
              <w:keepLines w:val="0"/>
              <w:pageBreakBefore w:val="0"/>
              <w:widowControl/>
              <w:kinsoku/>
              <w:wordWrap/>
              <w:overflowPunct/>
              <w:topLinePunct w:val="0"/>
              <w:autoSpaceDE/>
              <w:autoSpaceDN/>
              <w:bidi w:val="0"/>
              <w:adjustRightInd/>
              <w:snapToGrid/>
              <w:spacing w:before="0" w:line="240" w:lineRule="auto"/>
              <w:ind w:right="0" w:rightChars="0" w:firstLine="0" w:firstLineChars="0"/>
              <w:jc w:val="center"/>
              <w:textAlignment w:val="auto"/>
              <w:rPr>
                <w:rFonts w:hint="default" w:ascii="Times New Roman" w:hAnsi="Times New Roman" w:eastAsia="宋体" w:cs="Times New Roman"/>
                <w:bCs/>
                <w:color w:val="auto"/>
                <w:kern w:val="0"/>
                <w:sz w:val="21"/>
                <w:szCs w:val="21"/>
                <w:highlight w:val="none"/>
                <w:u w:val="none" w:color="auto"/>
                <w:lang w:val="en-US" w:eastAsia="zh-CN" w:bidi="ar-SA"/>
              </w:rPr>
            </w:pPr>
            <w:r>
              <w:rPr>
                <w:rFonts w:hint="default" w:ascii="Times New Roman" w:hAnsi="Times New Roman" w:cs="Times New Roman" w:eastAsiaTheme="minorEastAsia"/>
                <w:color w:val="auto"/>
                <w:sz w:val="21"/>
                <w:szCs w:val="21"/>
                <w:highlight w:val="none"/>
                <w:u w:val="none" w:color="auto"/>
                <w:lang w:val="en-US" w:eastAsia="zh-CN"/>
              </w:rPr>
              <w:t>0.</w:t>
            </w:r>
            <w:r>
              <w:rPr>
                <w:rFonts w:hint="eastAsia" w:ascii="Times New Roman" w:hAnsi="Times New Roman" w:cs="Times New Roman" w:eastAsiaTheme="minorEastAsia"/>
                <w:color w:val="auto"/>
                <w:sz w:val="21"/>
                <w:szCs w:val="21"/>
                <w:highlight w:val="none"/>
                <w:u w:val="none" w:color="auto"/>
                <w:lang w:val="en-US" w:eastAsia="zh-CN"/>
              </w:rPr>
              <w:t>01</w:t>
            </w:r>
          </w:p>
        </w:tc>
        <w:tc>
          <w:tcPr>
            <w:tcW w:w="1670" w:type="dxa"/>
            <w:shd w:val="clear" w:color="auto" w:fill="auto"/>
            <w:vAlign w:val="center"/>
          </w:tcPr>
          <w:p w14:paraId="7FCCBFD6">
            <w:pPr>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cs="Times New Roman"/>
                <w:snapToGrid w:val="0"/>
                <w:color w:val="auto"/>
                <w:kern w:val="21"/>
                <w:szCs w:val="21"/>
                <w:lang w:eastAsia="zh-CN"/>
              </w:rPr>
              <w:t>/</w:t>
            </w:r>
          </w:p>
        </w:tc>
      </w:tr>
    </w:tbl>
    <w:p w14:paraId="0204396B">
      <w:bookmarkStart w:id="28" w:name="_Toc17516"/>
      <w:r>
        <w:rPr>
          <w:rFonts w:hAnsi="宋体"/>
          <w:color w:val="auto"/>
          <w:kern w:val="21"/>
          <w:szCs w:val="21"/>
        </w:rPr>
        <w:t>注：</w:t>
      </w:r>
      <w:r>
        <w:rPr>
          <w:rFonts w:hAnsi="宋体"/>
          <w:color w:val="auto"/>
          <w:spacing w:val="-16"/>
          <w:kern w:val="21"/>
          <w:szCs w:val="21"/>
        </w:rPr>
        <w:fldChar w:fldCharType="begin"/>
      </w:r>
      <w:r>
        <w:rPr>
          <w:rFonts w:hAnsi="宋体"/>
          <w:color w:val="auto"/>
          <w:spacing w:val="-16"/>
          <w:kern w:val="21"/>
          <w:szCs w:val="21"/>
        </w:rPr>
        <w:instrText xml:space="preserve"> = 6 \* GB3 \* MERGEFORMAT </w:instrText>
      </w:r>
      <w:r>
        <w:rPr>
          <w:rFonts w:hAnsi="宋体"/>
          <w:color w:val="auto"/>
          <w:spacing w:val="-16"/>
          <w:kern w:val="21"/>
          <w:szCs w:val="21"/>
        </w:rPr>
        <w:fldChar w:fldCharType="separate"/>
      </w:r>
      <w:r>
        <w:rPr>
          <w:rFonts w:hint="eastAsia" w:hAnsi="宋体"/>
          <w:color w:val="auto"/>
          <w:szCs w:val="21"/>
        </w:rPr>
        <w:t>⑥</w:t>
      </w:r>
      <w:r>
        <w:rPr>
          <w:rFonts w:hAnsi="宋体"/>
          <w:color w:val="auto"/>
          <w:spacing w:val="-16"/>
          <w:kern w:val="21"/>
          <w:szCs w:val="21"/>
        </w:rPr>
        <w:fldChar w:fldCharType="end"/>
      </w:r>
      <w:r>
        <w:rPr>
          <w:rFonts w:hAnsi="宋体"/>
          <w:color w:val="auto"/>
          <w:spacing w:val="-16"/>
          <w:kern w:val="21"/>
          <w:szCs w:val="21"/>
        </w:rPr>
        <w:t>=</w:t>
      </w:r>
      <w:r>
        <w:rPr>
          <w:rFonts w:hAnsi="宋体"/>
          <w:color w:val="auto"/>
          <w:spacing w:val="-6"/>
          <w:kern w:val="21"/>
          <w:szCs w:val="21"/>
        </w:rPr>
        <w:fldChar w:fldCharType="begin"/>
      </w:r>
      <w:r>
        <w:rPr>
          <w:rFonts w:hAnsi="宋体"/>
          <w:color w:val="auto"/>
          <w:spacing w:val="-6"/>
          <w:kern w:val="21"/>
          <w:szCs w:val="21"/>
        </w:rPr>
        <w:instrText xml:space="preserve"> = 1 \* GB3 \* MERGEFORMAT </w:instrText>
      </w:r>
      <w:r>
        <w:rPr>
          <w:rFonts w:hAnsi="宋体"/>
          <w:color w:val="auto"/>
          <w:spacing w:val="-6"/>
          <w:kern w:val="21"/>
          <w:szCs w:val="21"/>
        </w:rPr>
        <w:fldChar w:fldCharType="separate"/>
      </w:r>
      <w:r>
        <w:rPr>
          <w:rFonts w:hint="eastAsia" w:hAnsi="宋体"/>
          <w:color w:val="auto"/>
          <w:szCs w:val="21"/>
        </w:rPr>
        <w:t>①</w:t>
      </w:r>
      <w:r>
        <w:rPr>
          <w:rFonts w:hAnsi="宋体"/>
          <w:color w:val="auto"/>
          <w:spacing w:val="-6"/>
          <w:kern w:val="21"/>
          <w:szCs w:val="21"/>
        </w:rPr>
        <w:fldChar w:fldCharType="end"/>
      </w:r>
      <w:r>
        <w:rPr>
          <w:rFonts w:hAnsi="宋体"/>
          <w:color w:val="auto"/>
          <w:spacing w:val="-6"/>
          <w:kern w:val="21"/>
          <w:szCs w:val="21"/>
        </w:rPr>
        <w:t>+</w:t>
      </w:r>
      <w:r>
        <w:rPr>
          <w:rFonts w:hAnsi="宋体"/>
          <w:color w:val="auto"/>
          <w:spacing w:val="-6"/>
          <w:kern w:val="21"/>
          <w:szCs w:val="21"/>
        </w:rPr>
        <w:fldChar w:fldCharType="begin"/>
      </w:r>
      <w:r>
        <w:rPr>
          <w:rFonts w:hAnsi="宋体"/>
          <w:color w:val="auto"/>
          <w:spacing w:val="-6"/>
          <w:kern w:val="21"/>
          <w:szCs w:val="21"/>
        </w:rPr>
        <w:instrText xml:space="preserve"> = 3 \* GB3 \* MERGEFORMAT </w:instrText>
      </w:r>
      <w:r>
        <w:rPr>
          <w:rFonts w:hAnsi="宋体"/>
          <w:color w:val="auto"/>
          <w:spacing w:val="-6"/>
          <w:kern w:val="21"/>
          <w:szCs w:val="21"/>
        </w:rPr>
        <w:fldChar w:fldCharType="separate"/>
      </w:r>
      <w:r>
        <w:rPr>
          <w:rFonts w:hint="eastAsia" w:hAnsi="宋体"/>
          <w:color w:val="auto"/>
          <w:szCs w:val="21"/>
        </w:rPr>
        <w:t>③</w:t>
      </w:r>
      <w:r>
        <w:rPr>
          <w:rFonts w:hAnsi="宋体"/>
          <w:color w:val="auto"/>
          <w:spacing w:val="-6"/>
          <w:kern w:val="21"/>
          <w:szCs w:val="21"/>
        </w:rPr>
        <w:fldChar w:fldCharType="end"/>
      </w:r>
      <w:r>
        <w:rPr>
          <w:rFonts w:hAnsi="宋体"/>
          <w:color w:val="auto"/>
          <w:spacing w:val="-6"/>
          <w:kern w:val="21"/>
          <w:szCs w:val="21"/>
        </w:rPr>
        <w:t>+</w:t>
      </w:r>
      <w:r>
        <w:rPr>
          <w:rFonts w:hAnsi="宋体"/>
          <w:color w:val="auto"/>
          <w:spacing w:val="-6"/>
          <w:kern w:val="21"/>
          <w:szCs w:val="21"/>
        </w:rPr>
        <w:fldChar w:fldCharType="begin"/>
      </w:r>
      <w:r>
        <w:rPr>
          <w:rFonts w:hAnsi="宋体"/>
          <w:color w:val="auto"/>
          <w:spacing w:val="-6"/>
          <w:kern w:val="21"/>
          <w:szCs w:val="21"/>
        </w:rPr>
        <w:instrText xml:space="preserve"> = 4 \* GB3 \* MERGEFORMAT </w:instrText>
      </w:r>
      <w:r>
        <w:rPr>
          <w:rFonts w:hAnsi="宋体"/>
          <w:color w:val="auto"/>
          <w:spacing w:val="-6"/>
          <w:kern w:val="21"/>
          <w:szCs w:val="21"/>
        </w:rPr>
        <w:fldChar w:fldCharType="separate"/>
      </w:r>
      <w:r>
        <w:rPr>
          <w:rFonts w:hint="eastAsia" w:hAnsi="宋体"/>
          <w:color w:val="auto"/>
          <w:szCs w:val="21"/>
        </w:rPr>
        <w:t>④</w:t>
      </w:r>
      <w:r>
        <w:rPr>
          <w:rFonts w:hAnsi="宋体"/>
          <w:color w:val="auto"/>
          <w:spacing w:val="-6"/>
          <w:kern w:val="21"/>
          <w:szCs w:val="21"/>
        </w:rPr>
        <w:fldChar w:fldCharType="end"/>
      </w:r>
      <w:r>
        <w:rPr>
          <w:rFonts w:hAnsi="宋体"/>
          <w:color w:val="auto"/>
          <w:spacing w:val="-6"/>
          <w:kern w:val="21"/>
          <w:szCs w:val="21"/>
        </w:rPr>
        <w:t>-</w:t>
      </w:r>
      <w:r>
        <w:rPr>
          <w:rFonts w:hAnsi="宋体"/>
          <w:color w:val="auto"/>
          <w:spacing w:val="-16"/>
          <w:kern w:val="21"/>
          <w:szCs w:val="21"/>
        </w:rPr>
        <w:fldChar w:fldCharType="begin"/>
      </w:r>
      <w:r>
        <w:rPr>
          <w:rFonts w:hAnsi="宋体"/>
          <w:color w:val="auto"/>
          <w:spacing w:val="-16"/>
          <w:kern w:val="21"/>
          <w:szCs w:val="21"/>
        </w:rPr>
        <w:instrText xml:space="preserve"> = 5 \* GB3 \* MERGEFORMAT </w:instrText>
      </w:r>
      <w:r>
        <w:rPr>
          <w:rFonts w:hAnsi="宋体"/>
          <w:color w:val="auto"/>
          <w:spacing w:val="-16"/>
          <w:kern w:val="21"/>
          <w:szCs w:val="21"/>
        </w:rPr>
        <w:fldChar w:fldCharType="separate"/>
      </w:r>
      <w:r>
        <w:rPr>
          <w:rFonts w:hint="eastAsia" w:hAnsi="宋体"/>
          <w:color w:val="auto"/>
          <w:szCs w:val="21"/>
        </w:rPr>
        <w:t>⑤</w:t>
      </w:r>
      <w:r>
        <w:rPr>
          <w:rFonts w:hAnsi="宋体"/>
          <w:color w:val="auto"/>
          <w:spacing w:val="-16"/>
          <w:kern w:val="21"/>
          <w:szCs w:val="21"/>
        </w:rPr>
        <w:fldChar w:fldCharType="end"/>
      </w:r>
      <w:r>
        <w:rPr>
          <w:rFonts w:hAnsi="宋体"/>
          <w:color w:val="auto"/>
          <w:spacing w:val="-16"/>
          <w:kern w:val="21"/>
          <w:szCs w:val="21"/>
        </w:rPr>
        <w:t>；</w:t>
      </w:r>
      <w:r>
        <w:rPr>
          <w:rFonts w:hAnsi="宋体"/>
          <w:color w:val="auto"/>
          <w:spacing w:val="-6"/>
          <w:kern w:val="21"/>
          <w:szCs w:val="21"/>
        </w:rPr>
        <w:fldChar w:fldCharType="begin"/>
      </w:r>
      <w:r>
        <w:rPr>
          <w:rFonts w:hAnsi="宋体"/>
          <w:color w:val="auto"/>
          <w:spacing w:val="-6"/>
          <w:kern w:val="21"/>
          <w:szCs w:val="21"/>
        </w:rPr>
        <w:instrText xml:space="preserve"> = 7 \* GB3 \* MERGEFORMAT </w:instrText>
      </w:r>
      <w:r>
        <w:rPr>
          <w:rFonts w:hAnsi="宋体"/>
          <w:color w:val="auto"/>
          <w:spacing w:val="-6"/>
          <w:kern w:val="21"/>
          <w:szCs w:val="21"/>
        </w:rPr>
        <w:fldChar w:fldCharType="separate"/>
      </w:r>
      <w:r>
        <w:rPr>
          <w:rFonts w:hint="eastAsia" w:hAnsi="宋体"/>
          <w:color w:val="auto"/>
          <w:szCs w:val="21"/>
        </w:rPr>
        <w:t>⑦</w:t>
      </w:r>
      <w:r>
        <w:rPr>
          <w:rFonts w:hAnsi="宋体"/>
          <w:color w:val="auto"/>
          <w:spacing w:val="-6"/>
          <w:kern w:val="21"/>
          <w:szCs w:val="21"/>
        </w:rPr>
        <w:fldChar w:fldCharType="end"/>
      </w:r>
      <w:r>
        <w:rPr>
          <w:rFonts w:hAnsi="宋体"/>
          <w:color w:val="auto"/>
          <w:spacing w:val="-6"/>
          <w:kern w:val="21"/>
          <w:szCs w:val="21"/>
        </w:rPr>
        <w:t>=</w:t>
      </w:r>
      <w:r>
        <w:rPr>
          <w:rFonts w:hAnsi="宋体"/>
          <w:color w:val="auto"/>
          <w:spacing w:val="-16"/>
          <w:kern w:val="21"/>
          <w:szCs w:val="21"/>
        </w:rPr>
        <w:fldChar w:fldCharType="begin"/>
      </w:r>
      <w:r>
        <w:rPr>
          <w:rFonts w:hAnsi="宋体"/>
          <w:color w:val="auto"/>
          <w:spacing w:val="-16"/>
          <w:kern w:val="21"/>
          <w:szCs w:val="21"/>
        </w:rPr>
        <w:instrText xml:space="preserve"> = 6 \* GB3 \* MERGEFORMAT </w:instrText>
      </w:r>
      <w:r>
        <w:rPr>
          <w:rFonts w:hAnsi="宋体"/>
          <w:color w:val="auto"/>
          <w:spacing w:val="-16"/>
          <w:kern w:val="21"/>
          <w:szCs w:val="21"/>
        </w:rPr>
        <w:fldChar w:fldCharType="separate"/>
      </w:r>
      <w:r>
        <w:rPr>
          <w:rFonts w:hint="eastAsia" w:hAnsi="宋体"/>
          <w:color w:val="auto"/>
          <w:szCs w:val="21"/>
        </w:rPr>
        <w:t>⑥</w:t>
      </w:r>
      <w:r>
        <w:rPr>
          <w:rFonts w:hAnsi="宋体"/>
          <w:color w:val="auto"/>
          <w:spacing w:val="-16"/>
          <w:kern w:val="21"/>
          <w:szCs w:val="21"/>
        </w:rPr>
        <w:fldChar w:fldCharType="end"/>
      </w:r>
      <w:r>
        <w:rPr>
          <w:rFonts w:hAnsi="宋体"/>
          <w:color w:val="auto"/>
          <w:spacing w:val="-16"/>
          <w:kern w:val="21"/>
          <w:szCs w:val="21"/>
        </w:rPr>
        <w:t>-</w:t>
      </w:r>
      <w:r>
        <w:rPr>
          <w:rFonts w:hAnsi="宋体"/>
          <w:color w:val="auto"/>
          <w:spacing w:val="-6"/>
          <w:kern w:val="21"/>
          <w:szCs w:val="21"/>
        </w:rPr>
        <w:fldChar w:fldCharType="begin"/>
      </w:r>
      <w:r>
        <w:rPr>
          <w:rFonts w:hAnsi="宋体"/>
          <w:color w:val="auto"/>
          <w:spacing w:val="-6"/>
          <w:kern w:val="21"/>
          <w:szCs w:val="21"/>
        </w:rPr>
        <w:instrText xml:space="preserve"> = 1 \* GB3 \* MERGEFORMAT </w:instrText>
      </w:r>
      <w:r>
        <w:rPr>
          <w:rFonts w:hAnsi="宋体"/>
          <w:color w:val="auto"/>
          <w:spacing w:val="-6"/>
          <w:kern w:val="21"/>
          <w:szCs w:val="21"/>
        </w:rPr>
        <w:fldChar w:fldCharType="separate"/>
      </w:r>
      <w:r>
        <w:rPr>
          <w:rFonts w:hint="eastAsia" w:hAnsi="宋体"/>
          <w:color w:val="auto"/>
          <w:szCs w:val="21"/>
        </w:rPr>
        <w:t>①</w:t>
      </w:r>
      <w:r>
        <w:rPr>
          <w:rFonts w:hAnsi="宋体"/>
          <w:color w:val="auto"/>
          <w:spacing w:val="-6"/>
          <w:kern w:val="21"/>
          <w:szCs w:val="21"/>
        </w:rPr>
        <w:fldChar w:fldCharType="end"/>
      </w:r>
      <w:bookmarkEnd w:id="28"/>
    </w:p>
    <w:p w14:paraId="1B09B6E1">
      <w:pPr>
        <w:rPr>
          <w:rFonts w:ascii="Times New Roman" w:hAnsi="Times New Roman" w:eastAsia="宋体" w:cs="Times New Roman"/>
        </w:rPr>
      </w:pPr>
    </w:p>
    <w:p w14:paraId="09C817C9">
      <w:pPr>
        <w:rPr>
          <w:rFonts w:ascii="Times New Roman" w:hAnsi="Times New Roman" w:eastAsia="宋体"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6A41E3F">
      <w:pPr>
        <w:pStyle w:val="23"/>
        <w:adjustRightInd w:val="0"/>
        <w:snapToGrid w:val="0"/>
        <w:spacing w:before="0" w:beforeAutospacing="0" w:after="0" w:afterAutospacing="0" w:line="360" w:lineRule="auto"/>
        <w:outlineLvl w:val="0"/>
        <w:rPr>
          <w:rFonts w:hint="eastAsia" w:ascii="Times New Roman" w:hAnsi="Times New Roman" w:eastAsia="黑体" w:cs="Times New Roman"/>
          <w:snapToGrid w:val="0"/>
          <w:sz w:val="32"/>
          <w:szCs w:val="32"/>
          <w:lang w:val="en-US" w:eastAsia="zh-CN"/>
        </w:rPr>
      </w:pPr>
      <w:bookmarkStart w:id="29" w:name="_Toc15391"/>
      <w:r>
        <w:rPr>
          <w:rFonts w:hint="eastAsia" w:ascii="Times New Roman" w:hAnsi="Times New Roman" w:eastAsia="黑体" w:cs="Times New Roman"/>
          <w:snapToGrid w:val="0"/>
          <w:sz w:val="32"/>
          <w:szCs w:val="32"/>
          <w:lang w:val="en-US" w:eastAsia="zh-CN"/>
        </w:rPr>
        <w:t>附件</w:t>
      </w:r>
      <w:bookmarkEnd w:id="29"/>
    </w:p>
    <w:p w14:paraId="68756D0B">
      <w:pPr>
        <w:rPr>
          <w:rFonts w:hint="eastAsia" w:ascii="宋体" w:hAnsi="宋体" w:cs="宋体"/>
          <w:b/>
          <w:bCs/>
          <w:sz w:val="24"/>
          <w:szCs w:val="24"/>
        </w:rPr>
      </w:pPr>
    </w:p>
    <w:p w14:paraId="02BF4148">
      <w:pPr>
        <w:rPr>
          <w:rFonts w:hint="default" w:ascii="宋体" w:hAnsi="宋体" w:eastAsia="宋体" w:cs="宋体"/>
          <w:b/>
          <w:bCs/>
          <w:sz w:val="24"/>
          <w:szCs w:val="24"/>
          <w:lang w:val="en-US" w:eastAsia="zh-CN"/>
        </w:rPr>
      </w:pPr>
      <w:r>
        <w:rPr>
          <w:rFonts w:hint="eastAsia" w:ascii="宋体" w:hAnsi="宋体" w:cs="宋体"/>
          <w:b/>
          <w:bCs/>
          <w:sz w:val="24"/>
          <w:szCs w:val="24"/>
        </w:rPr>
        <w:t>附件</w:t>
      </w:r>
      <w:r>
        <w:rPr>
          <w:rFonts w:hint="eastAsia" w:ascii="宋体" w:hAnsi="宋体" w:cs="宋体"/>
          <w:b/>
          <w:bCs/>
          <w:sz w:val="24"/>
          <w:szCs w:val="24"/>
          <w:lang w:val="en-US" w:eastAsia="zh-CN"/>
        </w:rPr>
        <w:t>1</w:t>
      </w:r>
      <w:r>
        <w:rPr>
          <w:rFonts w:hint="eastAsia" w:ascii="宋体" w:hAnsi="宋体" w:cs="宋体"/>
          <w:b/>
          <w:bCs/>
          <w:sz w:val="24"/>
          <w:szCs w:val="24"/>
        </w:rPr>
        <w:t xml:space="preserve"> </w:t>
      </w:r>
      <w:bookmarkStart w:id="30" w:name="_Hlk168065217"/>
      <w:r>
        <w:rPr>
          <w:rFonts w:hint="eastAsia" w:ascii="宋体" w:hAnsi="宋体" w:cs="宋体"/>
          <w:b/>
          <w:bCs/>
          <w:sz w:val="24"/>
          <w:szCs w:val="24"/>
        </w:rPr>
        <w:t>项目</w:t>
      </w:r>
      <w:bookmarkEnd w:id="30"/>
      <w:r>
        <w:rPr>
          <w:rFonts w:hint="eastAsia" w:ascii="宋体" w:hAnsi="宋体" w:cs="宋体"/>
          <w:b/>
          <w:bCs/>
          <w:sz w:val="24"/>
          <w:szCs w:val="24"/>
          <w:lang w:val="en-US" w:eastAsia="zh-CN"/>
        </w:rPr>
        <w:t>环评委托书</w:t>
      </w:r>
    </w:p>
    <w:p w14:paraId="188F85D3">
      <w:pPr>
        <w:pStyle w:val="40"/>
        <w:rPr>
          <w:color w:val="auto"/>
        </w:rPr>
      </w:pPr>
    </w:p>
    <w:p w14:paraId="687A0A14">
      <w:pPr>
        <w:jc w:val="center"/>
        <w:rPr>
          <w:rFonts w:hint="eastAsia"/>
          <w:b/>
          <w:bCs/>
          <w:sz w:val="36"/>
          <w:szCs w:val="44"/>
        </w:rPr>
      </w:pPr>
      <w:r>
        <w:rPr>
          <w:rFonts w:hint="eastAsia"/>
          <w:b/>
          <w:bCs/>
          <w:sz w:val="36"/>
          <w:szCs w:val="44"/>
        </w:rPr>
        <w:t>环境影响评价工作委托书</w:t>
      </w:r>
    </w:p>
    <w:p w14:paraId="1449859A">
      <w:pPr>
        <w:rPr>
          <w:rFonts w:hint="default" w:ascii="Times New Roman" w:hAnsi="Times New Roman" w:cs="Times New Roman"/>
          <w:bCs/>
          <w:color w:val="000000" w:themeColor="text1"/>
          <w:sz w:val="28"/>
          <w:szCs w:val="28"/>
          <w14:textFill>
            <w14:solidFill>
              <w14:schemeClr w14:val="tx1"/>
            </w14:solidFill>
          </w14:textFill>
        </w:rPr>
      </w:pPr>
    </w:p>
    <w:p w14:paraId="3D3DD787">
      <w:pPr>
        <w:rPr>
          <w:rFonts w:hint="eastAsia"/>
          <w:sz w:val="28"/>
          <w:szCs w:val="28"/>
        </w:rPr>
      </w:pPr>
      <w:r>
        <w:rPr>
          <w:rFonts w:hint="default" w:ascii="Times New Roman" w:hAnsi="Times New Roman" w:cs="Times New Roman"/>
          <w:bCs/>
          <w:color w:val="000000" w:themeColor="text1"/>
          <w:sz w:val="28"/>
          <w:szCs w:val="28"/>
          <w14:textFill>
            <w14:solidFill>
              <w14:schemeClr w14:val="tx1"/>
            </w14:solidFill>
          </w14:textFill>
        </w:rPr>
        <w:t>湖南聚星励志环保科技有限公司</w:t>
      </w:r>
      <w:r>
        <w:rPr>
          <w:rFonts w:hint="eastAsia"/>
          <w:sz w:val="28"/>
          <w:szCs w:val="28"/>
        </w:rPr>
        <w:t>：</w:t>
      </w:r>
    </w:p>
    <w:p w14:paraId="26C03C77">
      <w:pPr>
        <w:ind w:firstLine="560" w:firstLineChars="200"/>
        <w:rPr>
          <w:rFonts w:hint="eastAsia"/>
          <w:sz w:val="28"/>
          <w:szCs w:val="28"/>
        </w:rPr>
      </w:pPr>
      <w:r>
        <w:rPr>
          <w:rFonts w:hint="eastAsia"/>
          <w:sz w:val="28"/>
          <w:szCs w:val="28"/>
        </w:rPr>
        <w:t>根据《中华人民共和国环境保护法》、《中华人民共和国环境影响评价法》和《建设项目环境保护管理条例》的有关规定，我单位委托贵公司承担“</w:t>
      </w:r>
      <w:r>
        <w:rPr>
          <w:rFonts w:hint="eastAsia"/>
          <w:sz w:val="28"/>
          <w:szCs w:val="28"/>
          <w:lang w:val="en-US" w:eastAsia="zh-CN"/>
        </w:rPr>
        <w:t>岳阳</w:t>
      </w:r>
      <w:r>
        <w:rPr>
          <w:rFonts w:hint="eastAsia"/>
          <w:sz w:val="28"/>
          <w:szCs w:val="28"/>
        </w:rPr>
        <w:t>市制水一厂建设项目”环境影响评价工作，并按有关政策、法规的要求编制环境影响评价文件。</w:t>
      </w:r>
    </w:p>
    <w:p w14:paraId="1710A95B">
      <w:pPr>
        <w:ind w:firstLine="560" w:firstLineChars="200"/>
        <w:rPr>
          <w:rFonts w:hint="eastAsia"/>
          <w:sz w:val="28"/>
          <w:szCs w:val="28"/>
        </w:rPr>
      </w:pPr>
      <w:r>
        <w:rPr>
          <w:rFonts w:hint="eastAsia"/>
          <w:sz w:val="28"/>
          <w:szCs w:val="28"/>
        </w:rPr>
        <w:t>特此委托！</w:t>
      </w:r>
    </w:p>
    <w:p w14:paraId="229B947A">
      <w:pPr>
        <w:ind w:firstLine="560" w:firstLineChars="200"/>
        <w:rPr>
          <w:rFonts w:hint="eastAsia"/>
          <w:sz w:val="28"/>
          <w:szCs w:val="28"/>
        </w:rPr>
      </w:pPr>
    </w:p>
    <w:p w14:paraId="2FED153E">
      <w:pPr>
        <w:ind w:firstLine="560" w:firstLineChars="200"/>
        <w:rPr>
          <w:rFonts w:hint="eastAsia"/>
          <w:sz w:val="28"/>
          <w:szCs w:val="28"/>
        </w:rPr>
      </w:pPr>
    </w:p>
    <w:p w14:paraId="47B6F748">
      <w:pPr>
        <w:ind w:firstLine="640" w:firstLineChars="200"/>
        <w:rPr>
          <w:rFonts w:hint="eastAsia" w:cs="Times New Roman"/>
          <w:color w:val="000000" w:themeColor="text1"/>
          <w:sz w:val="28"/>
          <w:szCs w:val="28"/>
          <w:lang w:val="en-US" w:eastAsia="zh-CN"/>
          <w14:textFill>
            <w14:solidFill>
              <w14:schemeClr w14:val="tx1"/>
            </w14:solidFill>
          </w14:textFill>
        </w:rPr>
      </w:pPr>
      <w:r>
        <w:rPr>
          <w:rFonts w:hint="eastAsia"/>
          <w:sz w:val="32"/>
          <w:szCs w:val="32"/>
          <w:lang w:val="en-US" w:eastAsia="zh-CN"/>
        </w:rPr>
        <w:t xml:space="preserve">                 </w:t>
      </w:r>
      <w:r>
        <w:rPr>
          <w:rFonts w:hint="eastAsia"/>
          <w:sz w:val="28"/>
          <w:szCs w:val="28"/>
          <w:lang w:val="en-US" w:eastAsia="zh-CN"/>
        </w:rPr>
        <w:t>岳阳市水务集团有限公司</w:t>
      </w:r>
      <w:r>
        <w:rPr>
          <w:rFonts w:hint="eastAsia" w:cs="Times New Roman"/>
          <w:color w:val="000000" w:themeColor="text1"/>
          <w:sz w:val="28"/>
          <w:szCs w:val="28"/>
          <w:lang w:val="en-US" w:eastAsia="zh-CN"/>
          <w14:textFill>
            <w14:solidFill>
              <w14:schemeClr w14:val="tx1"/>
            </w14:solidFill>
          </w14:textFill>
        </w:rPr>
        <w:t>（盖章）</w:t>
      </w:r>
    </w:p>
    <w:p w14:paraId="1BC7B53A">
      <w:pPr>
        <w:ind w:firstLine="560" w:firstLineChars="200"/>
        <w:rPr>
          <w:rFonts w:hint="default" w:cs="Times New Roman"/>
          <w:color w:val="000000" w:themeColor="text1"/>
          <w:sz w:val="28"/>
          <w:szCs w:val="28"/>
          <w:lang w:val="en-US" w:eastAsia="zh-CN"/>
          <w14:textFill>
            <w14:solidFill>
              <w14:schemeClr w14:val="tx1"/>
            </w14:solidFill>
          </w14:textFill>
        </w:rPr>
      </w:pPr>
      <w:r>
        <w:rPr>
          <w:rFonts w:hint="eastAsia" w:cs="Times New Roman"/>
          <w:color w:val="000000" w:themeColor="text1"/>
          <w:sz w:val="28"/>
          <w:szCs w:val="28"/>
          <w:lang w:val="en-US" w:eastAsia="zh-CN"/>
          <w14:textFill>
            <w14:solidFill>
              <w14:schemeClr w14:val="tx1"/>
            </w14:solidFill>
          </w14:textFill>
        </w:rPr>
        <w:t xml:space="preserve">                          年    月    日</w:t>
      </w:r>
    </w:p>
    <w:p w14:paraId="1DA80A91">
      <w:pPr>
        <w:rPr>
          <w:rFonts w:ascii="Times New Roman" w:hAnsi="Times New Roman" w:eastAsia="宋体" w:cs="Times New Roman"/>
        </w:rPr>
      </w:pPr>
    </w:p>
    <w:p w14:paraId="5492A4BF">
      <w:r>
        <w:br w:type="page"/>
      </w:r>
    </w:p>
    <w:p w14:paraId="1D81811D">
      <w:pPr>
        <w:rPr>
          <w:rFonts w:hint="default" w:ascii="宋体" w:hAnsi="宋体" w:eastAsia="宋体" w:cs="宋体"/>
          <w:b/>
          <w:bCs/>
          <w:sz w:val="24"/>
          <w:szCs w:val="24"/>
          <w:lang w:val="en-US" w:eastAsia="zh-CN"/>
        </w:rPr>
      </w:pPr>
      <w:r>
        <w:rPr>
          <w:rFonts w:hint="eastAsia" w:ascii="宋体" w:hAnsi="宋体" w:cs="宋体"/>
          <w:b/>
          <w:bCs/>
          <w:sz w:val="24"/>
          <w:szCs w:val="24"/>
        </w:rPr>
        <w:t>附件</w:t>
      </w:r>
      <w:r>
        <w:rPr>
          <w:rFonts w:hint="eastAsia" w:ascii="宋体" w:hAnsi="宋体" w:cs="宋体"/>
          <w:b/>
          <w:bCs/>
          <w:sz w:val="24"/>
          <w:szCs w:val="24"/>
          <w:lang w:val="en-US" w:eastAsia="zh-CN"/>
        </w:rPr>
        <w:t>2</w:t>
      </w:r>
      <w:r>
        <w:rPr>
          <w:rFonts w:hint="eastAsia" w:ascii="宋体" w:hAnsi="宋体" w:cs="宋体"/>
          <w:b/>
          <w:bCs/>
          <w:sz w:val="24"/>
          <w:szCs w:val="24"/>
        </w:rPr>
        <w:t xml:space="preserve"> 项目</w:t>
      </w:r>
      <w:r>
        <w:rPr>
          <w:rFonts w:hint="eastAsia" w:ascii="宋体" w:hAnsi="宋体" w:cs="宋体"/>
          <w:b/>
          <w:bCs/>
          <w:sz w:val="24"/>
          <w:szCs w:val="24"/>
          <w:lang w:val="en-US" w:eastAsia="zh-CN"/>
        </w:rPr>
        <w:t>用地权属证明</w:t>
      </w:r>
    </w:p>
    <w:p w14:paraId="4EF62F5E">
      <w:pPr>
        <w:rPr>
          <w:rFonts w:ascii="Times New Roman" w:hAnsi="Times New Roman" w:eastAsia="宋体" w:cs="Times New Roman"/>
        </w:rPr>
      </w:pPr>
      <w:r>
        <w:drawing>
          <wp:inline distT="0" distB="0" distL="114300" distR="114300">
            <wp:extent cx="5782945" cy="8462010"/>
            <wp:effectExtent l="0" t="0" r="8255" b="1524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25"/>
                    <a:stretch>
                      <a:fillRect/>
                    </a:stretch>
                  </pic:blipFill>
                  <pic:spPr>
                    <a:xfrm>
                      <a:off x="0" y="0"/>
                      <a:ext cx="5782945" cy="8462010"/>
                    </a:xfrm>
                    <a:prstGeom prst="rect">
                      <a:avLst/>
                    </a:prstGeom>
                    <a:noFill/>
                    <a:ln>
                      <a:noFill/>
                    </a:ln>
                  </pic:spPr>
                </pic:pic>
              </a:graphicData>
            </a:graphic>
          </wp:inline>
        </w:drawing>
      </w:r>
    </w:p>
    <w:p w14:paraId="4A9C088D">
      <w:pPr>
        <w:rPr>
          <w:rFonts w:ascii="Times New Roman" w:hAnsi="Times New Roman" w:eastAsia="宋体" w:cs="Times New Roman"/>
        </w:rPr>
      </w:pPr>
      <w:r>
        <w:drawing>
          <wp:inline distT="0" distB="0" distL="114300" distR="114300">
            <wp:extent cx="5818505" cy="8529320"/>
            <wp:effectExtent l="0" t="0" r="10795" b="5080"/>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26"/>
                    <a:stretch>
                      <a:fillRect/>
                    </a:stretch>
                  </pic:blipFill>
                  <pic:spPr>
                    <a:xfrm>
                      <a:off x="0" y="0"/>
                      <a:ext cx="5818505" cy="8529320"/>
                    </a:xfrm>
                    <a:prstGeom prst="rect">
                      <a:avLst/>
                    </a:prstGeom>
                    <a:noFill/>
                    <a:ln>
                      <a:noFill/>
                    </a:ln>
                  </pic:spPr>
                </pic:pic>
              </a:graphicData>
            </a:graphic>
          </wp:inline>
        </w:drawing>
      </w:r>
    </w:p>
    <w:p w14:paraId="4A050250">
      <w:pPr>
        <w:rPr>
          <w:rFonts w:hint="default" w:ascii="宋体" w:hAnsi="宋体" w:eastAsia="宋体" w:cs="宋体"/>
          <w:b/>
          <w:bCs/>
          <w:sz w:val="24"/>
          <w:szCs w:val="24"/>
          <w:lang w:val="en-US" w:eastAsia="zh-CN"/>
        </w:rPr>
      </w:pPr>
      <w:r>
        <w:rPr>
          <w:rFonts w:hint="eastAsia" w:ascii="宋体" w:hAnsi="宋体" w:cs="宋体"/>
          <w:b/>
          <w:bCs/>
          <w:sz w:val="24"/>
          <w:szCs w:val="24"/>
        </w:rPr>
        <w:t>附件</w:t>
      </w:r>
      <w:r>
        <w:rPr>
          <w:rFonts w:hint="eastAsia" w:ascii="宋体" w:hAnsi="宋体" w:cs="宋体"/>
          <w:b/>
          <w:bCs/>
          <w:sz w:val="24"/>
          <w:szCs w:val="24"/>
          <w:lang w:val="en-US" w:eastAsia="zh-CN"/>
        </w:rPr>
        <w:t>3</w:t>
      </w:r>
      <w:r>
        <w:rPr>
          <w:rFonts w:hint="eastAsia" w:ascii="宋体" w:hAnsi="宋体" w:cs="宋体"/>
          <w:b/>
          <w:bCs/>
          <w:sz w:val="24"/>
          <w:szCs w:val="24"/>
        </w:rPr>
        <w:t xml:space="preserve"> 项目</w:t>
      </w:r>
      <w:r>
        <w:rPr>
          <w:rFonts w:hint="eastAsia" w:ascii="宋体" w:hAnsi="宋体" w:cs="宋体"/>
          <w:b/>
          <w:bCs/>
          <w:sz w:val="24"/>
          <w:szCs w:val="24"/>
          <w:lang w:val="en-US" w:eastAsia="zh-CN"/>
        </w:rPr>
        <w:t>取水许可证</w:t>
      </w:r>
    </w:p>
    <w:p w14:paraId="6F51219A">
      <w:pPr>
        <w:rPr>
          <w:rFonts w:ascii="Times New Roman" w:hAnsi="Times New Roman" w:eastAsia="宋体" w:cs="Times New Roman"/>
        </w:rPr>
      </w:pPr>
      <w:r>
        <w:drawing>
          <wp:inline distT="0" distB="0" distL="114300" distR="114300">
            <wp:extent cx="8010525" cy="5767705"/>
            <wp:effectExtent l="0" t="0" r="4445" b="9525"/>
            <wp:docPr id="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
                    <pic:cNvPicPr>
                      <a:picLocks noChangeAspect="1"/>
                    </pic:cNvPicPr>
                  </pic:nvPicPr>
                  <pic:blipFill>
                    <a:blip r:embed="rId27"/>
                    <a:stretch>
                      <a:fillRect/>
                    </a:stretch>
                  </pic:blipFill>
                  <pic:spPr>
                    <a:xfrm rot="16200000">
                      <a:off x="0" y="0"/>
                      <a:ext cx="8010525" cy="5767705"/>
                    </a:xfrm>
                    <a:prstGeom prst="rect">
                      <a:avLst/>
                    </a:prstGeom>
                    <a:noFill/>
                    <a:ln>
                      <a:noFill/>
                    </a:ln>
                  </pic:spPr>
                </pic:pic>
              </a:graphicData>
            </a:graphic>
          </wp:inline>
        </w:drawing>
      </w:r>
    </w:p>
    <w:p w14:paraId="4EE49CDF">
      <w:r>
        <w:drawing>
          <wp:inline distT="0" distB="0" distL="114300" distR="114300">
            <wp:extent cx="8119745" cy="5857875"/>
            <wp:effectExtent l="0" t="0" r="9525" b="14605"/>
            <wp:docPr id="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
                    <pic:cNvPicPr>
                      <a:picLocks noChangeAspect="1"/>
                    </pic:cNvPicPr>
                  </pic:nvPicPr>
                  <pic:blipFill>
                    <a:blip r:embed="rId28"/>
                    <a:stretch>
                      <a:fillRect/>
                    </a:stretch>
                  </pic:blipFill>
                  <pic:spPr>
                    <a:xfrm rot="16200000">
                      <a:off x="0" y="0"/>
                      <a:ext cx="8119745" cy="5857875"/>
                    </a:xfrm>
                    <a:prstGeom prst="rect">
                      <a:avLst/>
                    </a:prstGeom>
                    <a:noFill/>
                    <a:ln>
                      <a:noFill/>
                    </a:ln>
                  </pic:spPr>
                </pic:pic>
              </a:graphicData>
            </a:graphic>
          </wp:inline>
        </w:drawing>
      </w:r>
    </w:p>
    <w:p w14:paraId="20C8717C">
      <w:pPr>
        <w:rPr>
          <w:rFonts w:ascii="Times New Roman" w:hAnsi="Times New Roman" w:eastAsia="宋体" w:cs="Times New Roman"/>
        </w:rPr>
      </w:pPr>
      <w:r>
        <w:rPr>
          <w:rFonts w:ascii="Times New Roman" w:hAnsi="Times New Roman" w:eastAsia="宋体" w:cs="Times New Roman"/>
        </w:rPr>
        <w:br w:type="page"/>
      </w:r>
    </w:p>
    <w:p w14:paraId="400B2068">
      <w:pPr>
        <w:rPr>
          <w:rFonts w:hint="default" w:ascii="宋体" w:hAnsi="宋体" w:eastAsia="宋体" w:cs="宋体"/>
          <w:b/>
          <w:bCs/>
          <w:sz w:val="24"/>
          <w:szCs w:val="24"/>
          <w:lang w:val="en-US" w:eastAsia="zh-CN"/>
        </w:rPr>
      </w:pPr>
      <w:r>
        <w:rPr>
          <w:rFonts w:hint="eastAsia" w:ascii="宋体" w:hAnsi="宋体" w:cs="宋体"/>
          <w:b/>
          <w:bCs/>
          <w:sz w:val="24"/>
          <w:szCs w:val="24"/>
        </w:rPr>
        <w:t>附件</w:t>
      </w:r>
      <w:r>
        <w:rPr>
          <w:rFonts w:hint="eastAsia" w:ascii="宋体" w:hAnsi="宋体" w:cs="宋体"/>
          <w:b/>
          <w:bCs/>
          <w:sz w:val="24"/>
          <w:szCs w:val="24"/>
          <w:lang w:val="en-US" w:eastAsia="zh-CN"/>
        </w:rPr>
        <w:t>4</w:t>
      </w:r>
      <w:r>
        <w:rPr>
          <w:rFonts w:hint="eastAsia" w:ascii="宋体" w:hAnsi="宋体" w:cs="宋体"/>
          <w:b/>
          <w:bCs/>
          <w:sz w:val="24"/>
          <w:szCs w:val="24"/>
        </w:rPr>
        <w:t xml:space="preserve"> </w:t>
      </w:r>
      <w:r>
        <w:rPr>
          <w:rFonts w:hint="eastAsia" w:ascii="宋体" w:hAnsi="宋体" w:cs="宋体"/>
          <w:b/>
          <w:bCs/>
          <w:sz w:val="24"/>
          <w:szCs w:val="24"/>
          <w:lang w:val="en-US" w:eastAsia="zh-CN"/>
        </w:rPr>
        <w:t>政府对项目饮用水源地划分批复文件</w:t>
      </w:r>
    </w:p>
    <w:p w14:paraId="279EEE21">
      <w:pPr>
        <w:rPr>
          <w:rFonts w:hint="eastAsia" w:ascii="宋体" w:hAnsi="宋体" w:cs="宋体"/>
          <w:b/>
          <w:bCs/>
          <w:sz w:val="24"/>
          <w:szCs w:val="24"/>
        </w:rPr>
      </w:pPr>
      <w:r>
        <w:drawing>
          <wp:inline distT="0" distB="0" distL="114300" distR="114300">
            <wp:extent cx="5571490" cy="8503285"/>
            <wp:effectExtent l="0" t="0" r="10160" b="12065"/>
            <wp:docPr id="1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3"/>
                    <pic:cNvPicPr>
                      <a:picLocks noChangeAspect="1"/>
                    </pic:cNvPicPr>
                  </pic:nvPicPr>
                  <pic:blipFill>
                    <a:blip r:embed="rId29"/>
                    <a:stretch>
                      <a:fillRect/>
                    </a:stretch>
                  </pic:blipFill>
                  <pic:spPr>
                    <a:xfrm>
                      <a:off x="0" y="0"/>
                      <a:ext cx="5571490" cy="8503285"/>
                    </a:xfrm>
                    <a:prstGeom prst="rect">
                      <a:avLst/>
                    </a:prstGeom>
                    <a:noFill/>
                    <a:ln>
                      <a:noFill/>
                    </a:ln>
                  </pic:spPr>
                </pic:pic>
              </a:graphicData>
            </a:graphic>
          </wp:inline>
        </w:drawing>
      </w:r>
    </w:p>
    <w:p w14:paraId="20FE28F4">
      <w:r>
        <w:drawing>
          <wp:inline distT="0" distB="0" distL="114300" distR="114300">
            <wp:extent cx="8794115" cy="4890770"/>
            <wp:effectExtent l="0" t="0" r="5080" b="6985"/>
            <wp:docPr id="1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4"/>
                    <pic:cNvPicPr>
                      <a:picLocks noChangeAspect="1"/>
                    </pic:cNvPicPr>
                  </pic:nvPicPr>
                  <pic:blipFill>
                    <a:blip r:embed="rId30"/>
                    <a:stretch>
                      <a:fillRect/>
                    </a:stretch>
                  </pic:blipFill>
                  <pic:spPr>
                    <a:xfrm rot="16200000">
                      <a:off x="0" y="0"/>
                      <a:ext cx="8794115" cy="4890770"/>
                    </a:xfrm>
                    <a:prstGeom prst="rect">
                      <a:avLst/>
                    </a:prstGeom>
                    <a:noFill/>
                    <a:ln>
                      <a:noFill/>
                    </a:ln>
                  </pic:spPr>
                </pic:pic>
              </a:graphicData>
            </a:graphic>
          </wp:inline>
        </w:drawing>
      </w:r>
    </w:p>
    <w:p w14:paraId="09863165">
      <w:pPr>
        <w:rPr>
          <w:rFonts w:hint="eastAsia"/>
        </w:rPr>
      </w:pPr>
      <w:r>
        <w:drawing>
          <wp:inline distT="0" distB="0" distL="114300" distR="114300">
            <wp:extent cx="8775065" cy="5303520"/>
            <wp:effectExtent l="0" t="0" r="11430" b="6985"/>
            <wp:docPr id="1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5"/>
                    <pic:cNvPicPr>
                      <a:picLocks noChangeAspect="1"/>
                    </pic:cNvPicPr>
                  </pic:nvPicPr>
                  <pic:blipFill>
                    <a:blip r:embed="rId31"/>
                    <a:stretch>
                      <a:fillRect/>
                    </a:stretch>
                  </pic:blipFill>
                  <pic:spPr>
                    <a:xfrm rot="16200000">
                      <a:off x="0" y="0"/>
                      <a:ext cx="8775065" cy="5303520"/>
                    </a:xfrm>
                    <a:prstGeom prst="rect">
                      <a:avLst/>
                    </a:prstGeom>
                    <a:noFill/>
                    <a:ln>
                      <a:noFill/>
                    </a:ln>
                  </pic:spPr>
                </pic:pic>
              </a:graphicData>
            </a:graphic>
          </wp:inline>
        </w:drawing>
      </w:r>
    </w:p>
    <w:p w14:paraId="56B7530E">
      <w:pPr>
        <w:rPr>
          <w:rFonts w:hint="default" w:ascii="宋体" w:hAnsi="宋体" w:eastAsia="宋体" w:cs="宋体"/>
          <w:b/>
          <w:bCs/>
          <w:sz w:val="24"/>
          <w:szCs w:val="24"/>
          <w:lang w:val="en-US" w:eastAsia="zh-CN"/>
        </w:rPr>
      </w:pPr>
      <w:r>
        <w:rPr>
          <w:rFonts w:hint="eastAsia" w:ascii="宋体" w:hAnsi="宋体" w:cs="宋体"/>
          <w:b/>
          <w:bCs/>
          <w:sz w:val="24"/>
          <w:szCs w:val="24"/>
        </w:rPr>
        <w:t>附件</w:t>
      </w:r>
      <w:r>
        <w:rPr>
          <w:rFonts w:hint="eastAsia" w:ascii="宋体" w:hAnsi="宋体" w:cs="宋体"/>
          <w:b/>
          <w:bCs/>
          <w:sz w:val="24"/>
          <w:szCs w:val="24"/>
          <w:lang w:val="en-US" w:eastAsia="zh-CN"/>
        </w:rPr>
        <w:t>5</w:t>
      </w:r>
      <w:r>
        <w:rPr>
          <w:rFonts w:hint="eastAsia" w:ascii="宋体" w:hAnsi="宋体" w:cs="宋体"/>
          <w:b/>
          <w:bCs/>
          <w:sz w:val="24"/>
          <w:szCs w:val="24"/>
        </w:rPr>
        <w:t xml:space="preserve"> </w:t>
      </w:r>
      <w:r>
        <w:rPr>
          <w:rFonts w:hint="eastAsia" w:ascii="宋体" w:hAnsi="宋体" w:cs="宋体"/>
          <w:b/>
          <w:bCs/>
          <w:sz w:val="24"/>
          <w:szCs w:val="24"/>
          <w:lang w:val="en-US" w:eastAsia="zh-CN"/>
        </w:rPr>
        <w:t>2025年洞庭湖取水水源水质报告</w:t>
      </w:r>
    </w:p>
    <w:p w14:paraId="0E35F817">
      <w:pPr>
        <w:rPr>
          <w:rFonts w:ascii="Times New Roman" w:hAnsi="Times New Roman" w:eastAsia="宋体" w:cs="Times New Roman"/>
        </w:rPr>
      </w:pPr>
      <w:r>
        <w:drawing>
          <wp:inline distT="0" distB="0" distL="114300" distR="114300">
            <wp:extent cx="5785485" cy="7908290"/>
            <wp:effectExtent l="0" t="0" r="5715" b="16510"/>
            <wp:docPr id="5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
                    <pic:cNvPicPr>
                      <a:picLocks noChangeAspect="1"/>
                    </pic:cNvPicPr>
                  </pic:nvPicPr>
                  <pic:blipFill>
                    <a:blip r:embed="rId32"/>
                    <a:stretch>
                      <a:fillRect/>
                    </a:stretch>
                  </pic:blipFill>
                  <pic:spPr>
                    <a:xfrm>
                      <a:off x="0" y="0"/>
                      <a:ext cx="5785485" cy="7908290"/>
                    </a:xfrm>
                    <a:prstGeom prst="rect">
                      <a:avLst/>
                    </a:prstGeom>
                    <a:noFill/>
                    <a:ln>
                      <a:noFill/>
                    </a:ln>
                  </pic:spPr>
                </pic:pic>
              </a:graphicData>
            </a:graphic>
          </wp:inline>
        </w:drawing>
      </w:r>
    </w:p>
    <w:p w14:paraId="482F2DB3">
      <w:pPr>
        <w:rPr>
          <w:rFonts w:ascii="Times New Roman" w:hAnsi="Times New Roman" w:eastAsia="宋体" w:cs="Times New Roman"/>
        </w:rPr>
      </w:pPr>
      <w:r>
        <w:drawing>
          <wp:inline distT="0" distB="0" distL="114300" distR="114300">
            <wp:extent cx="5739765" cy="7936230"/>
            <wp:effectExtent l="0" t="0" r="13335" b="7620"/>
            <wp:docPr id="5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6"/>
                    <pic:cNvPicPr>
                      <a:picLocks noChangeAspect="1"/>
                    </pic:cNvPicPr>
                  </pic:nvPicPr>
                  <pic:blipFill>
                    <a:blip r:embed="rId33"/>
                    <a:stretch>
                      <a:fillRect/>
                    </a:stretch>
                  </pic:blipFill>
                  <pic:spPr>
                    <a:xfrm>
                      <a:off x="0" y="0"/>
                      <a:ext cx="5739765" cy="7936230"/>
                    </a:xfrm>
                    <a:prstGeom prst="rect">
                      <a:avLst/>
                    </a:prstGeom>
                    <a:noFill/>
                    <a:ln>
                      <a:noFill/>
                    </a:ln>
                  </pic:spPr>
                </pic:pic>
              </a:graphicData>
            </a:graphic>
          </wp:inline>
        </w:drawing>
      </w:r>
    </w:p>
    <w:p w14:paraId="2619A190">
      <w:pPr>
        <w:rPr>
          <w:rFonts w:ascii="Times New Roman" w:hAnsi="Times New Roman" w:eastAsia="宋体" w:cs="Times New Roman"/>
        </w:rPr>
      </w:pPr>
      <w:r>
        <w:drawing>
          <wp:inline distT="0" distB="0" distL="114300" distR="114300">
            <wp:extent cx="5913755" cy="7771765"/>
            <wp:effectExtent l="0" t="0" r="10795" b="635"/>
            <wp:docPr id="5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7"/>
                    <pic:cNvPicPr>
                      <a:picLocks noChangeAspect="1"/>
                    </pic:cNvPicPr>
                  </pic:nvPicPr>
                  <pic:blipFill>
                    <a:blip r:embed="rId34"/>
                    <a:stretch>
                      <a:fillRect/>
                    </a:stretch>
                  </pic:blipFill>
                  <pic:spPr>
                    <a:xfrm>
                      <a:off x="0" y="0"/>
                      <a:ext cx="5913755" cy="7771765"/>
                    </a:xfrm>
                    <a:prstGeom prst="rect">
                      <a:avLst/>
                    </a:prstGeom>
                    <a:noFill/>
                    <a:ln>
                      <a:noFill/>
                    </a:ln>
                  </pic:spPr>
                </pic:pic>
              </a:graphicData>
            </a:graphic>
          </wp:inline>
        </w:drawing>
      </w:r>
    </w:p>
    <w:p w14:paraId="787A9460">
      <w:r>
        <w:drawing>
          <wp:inline distT="0" distB="0" distL="114300" distR="114300">
            <wp:extent cx="5746115" cy="7817485"/>
            <wp:effectExtent l="0" t="0" r="6985" b="12065"/>
            <wp:docPr id="5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8"/>
                    <pic:cNvPicPr>
                      <a:picLocks noChangeAspect="1"/>
                    </pic:cNvPicPr>
                  </pic:nvPicPr>
                  <pic:blipFill>
                    <a:blip r:embed="rId35"/>
                    <a:stretch>
                      <a:fillRect/>
                    </a:stretch>
                  </pic:blipFill>
                  <pic:spPr>
                    <a:xfrm>
                      <a:off x="0" y="0"/>
                      <a:ext cx="5746115" cy="7817485"/>
                    </a:xfrm>
                    <a:prstGeom prst="rect">
                      <a:avLst/>
                    </a:prstGeom>
                    <a:noFill/>
                    <a:ln>
                      <a:noFill/>
                    </a:ln>
                  </pic:spPr>
                </pic:pic>
              </a:graphicData>
            </a:graphic>
          </wp:inline>
        </w:drawing>
      </w:r>
    </w:p>
    <w:p w14:paraId="5292382E">
      <w:pPr>
        <w:rPr>
          <w:rFonts w:ascii="Times New Roman" w:hAnsi="Times New Roman" w:eastAsia="宋体" w:cs="Times New Roman"/>
        </w:rPr>
      </w:pPr>
      <w:r>
        <w:drawing>
          <wp:inline distT="0" distB="0" distL="114300" distR="114300">
            <wp:extent cx="5765800" cy="7783830"/>
            <wp:effectExtent l="0" t="0" r="6350" b="7620"/>
            <wp:docPr id="5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9"/>
                    <pic:cNvPicPr>
                      <a:picLocks noChangeAspect="1"/>
                    </pic:cNvPicPr>
                  </pic:nvPicPr>
                  <pic:blipFill>
                    <a:blip r:embed="rId36"/>
                    <a:stretch>
                      <a:fillRect/>
                    </a:stretch>
                  </pic:blipFill>
                  <pic:spPr>
                    <a:xfrm>
                      <a:off x="0" y="0"/>
                      <a:ext cx="5765800" cy="7783830"/>
                    </a:xfrm>
                    <a:prstGeom prst="rect">
                      <a:avLst/>
                    </a:prstGeom>
                    <a:noFill/>
                    <a:ln>
                      <a:noFill/>
                    </a:ln>
                  </pic:spPr>
                </pic:pic>
              </a:graphicData>
            </a:graphic>
          </wp:inline>
        </w:drawing>
      </w:r>
    </w:p>
    <w:p w14:paraId="7504F66B">
      <w:pPr>
        <w:rPr>
          <w:rFonts w:ascii="Times New Roman" w:hAnsi="Times New Roman" w:eastAsia="宋体" w:cs="Times New Roman"/>
        </w:rPr>
      </w:pPr>
      <w:r>
        <w:drawing>
          <wp:inline distT="0" distB="0" distL="114300" distR="114300">
            <wp:extent cx="5816600" cy="7836535"/>
            <wp:effectExtent l="0" t="0" r="12700" b="12065"/>
            <wp:docPr id="5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0"/>
                    <pic:cNvPicPr>
                      <a:picLocks noChangeAspect="1"/>
                    </pic:cNvPicPr>
                  </pic:nvPicPr>
                  <pic:blipFill>
                    <a:blip r:embed="rId37"/>
                    <a:stretch>
                      <a:fillRect/>
                    </a:stretch>
                  </pic:blipFill>
                  <pic:spPr>
                    <a:xfrm>
                      <a:off x="0" y="0"/>
                      <a:ext cx="5816600" cy="7836535"/>
                    </a:xfrm>
                    <a:prstGeom prst="rect">
                      <a:avLst/>
                    </a:prstGeom>
                    <a:noFill/>
                    <a:ln>
                      <a:noFill/>
                    </a:ln>
                  </pic:spPr>
                </pic:pic>
              </a:graphicData>
            </a:graphic>
          </wp:inline>
        </w:drawing>
      </w:r>
    </w:p>
    <w:p w14:paraId="0B93225B">
      <w:r>
        <w:drawing>
          <wp:inline distT="0" distB="0" distL="114300" distR="114300">
            <wp:extent cx="5705475" cy="7655560"/>
            <wp:effectExtent l="0" t="0" r="9525" b="2540"/>
            <wp:docPr id="5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1"/>
                    <pic:cNvPicPr>
                      <a:picLocks noChangeAspect="1"/>
                    </pic:cNvPicPr>
                  </pic:nvPicPr>
                  <pic:blipFill>
                    <a:blip r:embed="rId38"/>
                    <a:stretch>
                      <a:fillRect/>
                    </a:stretch>
                  </pic:blipFill>
                  <pic:spPr>
                    <a:xfrm>
                      <a:off x="0" y="0"/>
                      <a:ext cx="5705475" cy="7655560"/>
                    </a:xfrm>
                    <a:prstGeom prst="rect">
                      <a:avLst/>
                    </a:prstGeom>
                    <a:noFill/>
                    <a:ln>
                      <a:noFill/>
                    </a:ln>
                  </pic:spPr>
                </pic:pic>
              </a:graphicData>
            </a:graphic>
          </wp:inline>
        </w:drawing>
      </w:r>
    </w:p>
    <w:p w14:paraId="137360F7">
      <w:r>
        <w:drawing>
          <wp:inline distT="0" distB="0" distL="114300" distR="114300">
            <wp:extent cx="5542280" cy="7341235"/>
            <wp:effectExtent l="0" t="0" r="1270" b="12065"/>
            <wp:docPr id="5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2"/>
                    <pic:cNvPicPr>
                      <a:picLocks noChangeAspect="1"/>
                    </pic:cNvPicPr>
                  </pic:nvPicPr>
                  <pic:blipFill>
                    <a:blip r:embed="rId39"/>
                    <a:stretch>
                      <a:fillRect/>
                    </a:stretch>
                  </pic:blipFill>
                  <pic:spPr>
                    <a:xfrm>
                      <a:off x="0" y="0"/>
                      <a:ext cx="5542280" cy="7341235"/>
                    </a:xfrm>
                    <a:prstGeom prst="rect">
                      <a:avLst/>
                    </a:prstGeom>
                    <a:noFill/>
                    <a:ln>
                      <a:noFill/>
                    </a:ln>
                  </pic:spPr>
                </pic:pic>
              </a:graphicData>
            </a:graphic>
          </wp:inline>
        </w:drawing>
      </w:r>
    </w:p>
    <w:p w14:paraId="5BE337C0"/>
    <w:p w14:paraId="55974351">
      <w:pPr>
        <w:rPr>
          <w:rFonts w:ascii="Times New Roman" w:hAnsi="Times New Roman" w:eastAsia="宋体" w:cs="Times New Roman"/>
        </w:rPr>
      </w:pPr>
      <w:r>
        <w:rPr>
          <w:rFonts w:ascii="Times New Roman" w:hAnsi="Times New Roman" w:eastAsia="宋体" w:cs="Times New Roman"/>
        </w:rPr>
        <w:br w:type="page"/>
      </w:r>
    </w:p>
    <w:p w14:paraId="5CCA4129">
      <w:pPr>
        <w:rPr>
          <w:rFonts w:hint="default" w:ascii="宋体" w:hAnsi="宋体" w:eastAsia="宋体" w:cs="宋体"/>
          <w:b/>
          <w:bCs/>
          <w:sz w:val="24"/>
          <w:szCs w:val="24"/>
          <w:lang w:val="en-US" w:eastAsia="zh-CN"/>
        </w:rPr>
      </w:pPr>
      <w:r>
        <w:rPr>
          <w:rFonts w:hint="eastAsia" w:ascii="宋体" w:hAnsi="宋体" w:cs="宋体"/>
          <w:b/>
          <w:bCs/>
          <w:sz w:val="24"/>
          <w:szCs w:val="24"/>
        </w:rPr>
        <w:t>附件</w:t>
      </w:r>
      <w:r>
        <w:rPr>
          <w:rFonts w:hint="eastAsia" w:ascii="宋体" w:hAnsi="宋体" w:cs="宋体"/>
          <w:b/>
          <w:bCs/>
          <w:sz w:val="24"/>
          <w:szCs w:val="24"/>
          <w:lang w:val="en-US" w:eastAsia="zh-CN"/>
        </w:rPr>
        <w:t>6</w:t>
      </w:r>
      <w:r>
        <w:rPr>
          <w:rFonts w:hint="eastAsia" w:ascii="宋体" w:hAnsi="宋体" w:cs="宋体"/>
          <w:b/>
          <w:bCs/>
          <w:sz w:val="24"/>
          <w:szCs w:val="24"/>
        </w:rPr>
        <w:t xml:space="preserve"> </w:t>
      </w:r>
      <w:r>
        <w:rPr>
          <w:rFonts w:hint="eastAsia" w:ascii="宋体" w:hAnsi="宋体" w:cs="宋体"/>
          <w:b/>
          <w:bCs/>
          <w:sz w:val="24"/>
          <w:szCs w:val="24"/>
          <w:lang w:val="en-US" w:eastAsia="zh-CN"/>
        </w:rPr>
        <w:t>项目现状环境质量检测报告</w:t>
      </w:r>
    </w:p>
    <w:p w14:paraId="3D1BD9B3">
      <w:pPr>
        <w:rPr>
          <w:rFonts w:ascii="Times New Roman" w:hAnsi="Times New Roman" w:eastAsia="宋体" w:cs="Times New Roman"/>
        </w:rPr>
      </w:pPr>
      <w:r>
        <w:drawing>
          <wp:inline distT="0" distB="0" distL="114300" distR="114300">
            <wp:extent cx="5596255" cy="7876540"/>
            <wp:effectExtent l="0" t="0" r="4445" b="10160"/>
            <wp:docPr id="5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3"/>
                    <pic:cNvPicPr>
                      <a:picLocks noChangeAspect="1"/>
                    </pic:cNvPicPr>
                  </pic:nvPicPr>
                  <pic:blipFill>
                    <a:blip r:embed="rId40"/>
                    <a:stretch>
                      <a:fillRect/>
                    </a:stretch>
                  </pic:blipFill>
                  <pic:spPr>
                    <a:xfrm>
                      <a:off x="0" y="0"/>
                      <a:ext cx="5596255" cy="7876540"/>
                    </a:xfrm>
                    <a:prstGeom prst="rect">
                      <a:avLst/>
                    </a:prstGeom>
                    <a:noFill/>
                    <a:ln>
                      <a:noFill/>
                    </a:ln>
                  </pic:spPr>
                </pic:pic>
              </a:graphicData>
            </a:graphic>
          </wp:inline>
        </w:drawing>
      </w:r>
    </w:p>
    <w:p w14:paraId="1812039C">
      <w:r>
        <w:drawing>
          <wp:inline distT="0" distB="0" distL="114300" distR="114300">
            <wp:extent cx="5638165" cy="8070215"/>
            <wp:effectExtent l="0" t="0" r="635" b="6985"/>
            <wp:docPr id="6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4"/>
                    <pic:cNvPicPr>
                      <a:picLocks noChangeAspect="1"/>
                    </pic:cNvPicPr>
                  </pic:nvPicPr>
                  <pic:blipFill>
                    <a:blip r:embed="rId41"/>
                    <a:stretch>
                      <a:fillRect/>
                    </a:stretch>
                  </pic:blipFill>
                  <pic:spPr>
                    <a:xfrm>
                      <a:off x="0" y="0"/>
                      <a:ext cx="5638165" cy="8070215"/>
                    </a:xfrm>
                    <a:prstGeom prst="rect">
                      <a:avLst/>
                    </a:prstGeom>
                    <a:noFill/>
                    <a:ln>
                      <a:noFill/>
                    </a:ln>
                  </pic:spPr>
                </pic:pic>
              </a:graphicData>
            </a:graphic>
          </wp:inline>
        </w:drawing>
      </w:r>
    </w:p>
    <w:p w14:paraId="00D33F21">
      <w:r>
        <w:drawing>
          <wp:inline distT="0" distB="0" distL="114300" distR="114300">
            <wp:extent cx="5727700" cy="7974330"/>
            <wp:effectExtent l="0" t="0" r="6350" b="7620"/>
            <wp:docPr id="6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5"/>
                    <pic:cNvPicPr>
                      <a:picLocks noChangeAspect="1"/>
                    </pic:cNvPicPr>
                  </pic:nvPicPr>
                  <pic:blipFill>
                    <a:blip r:embed="rId42"/>
                    <a:stretch>
                      <a:fillRect/>
                    </a:stretch>
                  </pic:blipFill>
                  <pic:spPr>
                    <a:xfrm>
                      <a:off x="0" y="0"/>
                      <a:ext cx="5727700" cy="7974330"/>
                    </a:xfrm>
                    <a:prstGeom prst="rect">
                      <a:avLst/>
                    </a:prstGeom>
                    <a:noFill/>
                    <a:ln>
                      <a:noFill/>
                    </a:ln>
                  </pic:spPr>
                </pic:pic>
              </a:graphicData>
            </a:graphic>
          </wp:inline>
        </w:drawing>
      </w:r>
    </w:p>
    <w:p w14:paraId="5E02D473">
      <w:r>
        <w:drawing>
          <wp:inline distT="0" distB="0" distL="114300" distR="114300">
            <wp:extent cx="5838190" cy="8150860"/>
            <wp:effectExtent l="0" t="0" r="10160" b="2540"/>
            <wp:docPr id="6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6"/>
                    <pic:cNvPicPr>
                      <a:picLocks noChangeAspect="1"/>
                    </pic:cNvPicPr>
                  </pic:nvPicPr>
                  <pic:blipFill>
                    <a:blip r:embed="rId43"/>
                    <a:stretch>
                      <a:fillRect/>
                    </a:stretch>
                  </pic:blipFill>
                  <pic:spPr>
                    <a:xfrm>
                      <a:off x="0" y="0"/>
                      <a:ext cx="5838190" cy="8150860"/>
                    </a:xfrm>
                    <a:prstGeom prst="rect">
                      <a:avLst/>
                    </a:prstGeom>
                    <a:noFill/>
                    <a:ln>
                      <a:noFill/>
                    </a:ln>
                  </pic:spPr>
                </pic:pic>
              </a:graphicData>
            </a:graphic>
          </wp:inline>
        </w:drawing>
      </w:r>
    </w:p>
    <w:p w14:paraId="7592F7F0">
      <w:r>
        <w:drawing>
          <wp:inline distT="0" distB="0" distL="114300" distR="114300">
            <wp:extent cx="5515610" cy="7884160"/>
            <wp:effectExtent l="0" t="0" r="8890" b="2540"/>
            <wp:docPr id="6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7"/>
                    <pic:cNvPicPr>
                      <a:picLocks noChangeAspect="1"/>
                    </pic:cNvPicPr>
                  </pic:nvPicPr>
                  <pic:blipFill>
                    <a:blip r:embed="rId44"/>
                    <a:stretch>
                      <a:fillRect/>
                    </a:stretch>
                  </pic:blipFill>
                  <pic:spPr>
                    <a:xfrm>
                      <a:off x="0" y="0"/>
                      <a:ext cx="5515610" cy="7884160"/>
                    </a:xfrm>
                    <a:prstGeom prst="rect">
                      <a:avLst/>
                    </a:prstGeom>
                    <a:noFill/>
                    <a:ln>
                      <a:noFill/>
                    </a:ln>
                  </pic:spPr>
                </pic:pic>
              </a:graphicData>
            </a:graphic>
          </wp:inline>
        </w:drawing>
      </w:r>
    </w:p>
    <w:p w14:paraId="16A3E8B7">
      <w:r>
        <w:drawing>
          <wp:inline distT="0" distB="0" distL="114300" distR="114300">
            <wp:extent cx="5499735" cy="8007985"/>
            <wp:effectExtent l="0" t="0" r="5715" b="12065"/>
            <wp:docPr id="6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8"/>
                    <pic:cNvPicPr>
                      <a:picLocks noChangeAspect="1"/>
                    </pic:cNvPicPr>
                  </pic:nvPicPr>
                  <pic:blipFill>
                    <a:blip r:embed="rId45"/>
                    <a:stretch>
                      <a:fillRect/>
                    </a:stretch>
                  </pic:blipFill>
                  <pic:spPr>
                    <a:xfrm>
                      <a:off x="0" y="0"/>
                      <a:ext cx="5499735" cy="8007985"/>
                    </a:xfrm>
                    <a:prstGeom prst="rect">
                      <a:avLst/>
                    </a:prstGeom>
                    <a:noFill/>
                    <a:ln>
                      <a:noFill/>
                    </a:ln>
                  </pic:spPr>
                </pic:pic>
              </a:graphicData>
            </a:graphic>
          </wp:inline>
        </w:drawing>
      </w:r>
    </w:p>
    <w:p w14:paraId="08C8DEC5">
      <w:r>
        <w:br w:type="page"/>
      </w:r>
    </w:p>
    <w:p w14:paraId="4C5BD14D">
      <w:pPr>
        <w:rPr>
          <w:rFonts w:hint="default" w:ascii="宋体" w:hAnsi="宋体" w:eastAsia="宋体" w:cs="宋体"/>
          <w:b/>
          <w:bCs/>
          <w:sz w:val="24"/>
          <w:szCs w:val="24"/>
          <w:lang w:val="en-US" w:eastAsia="zh-CN"/>
        </w:rPr>
      </w:pPr>
      <w:r>
        <w:rPr>
          <w:rFonts w:hint="eastAsia" w:ascii="宋体" w:hAnsi="宋体" w:cs="宋体"/>
          <w:b/>
          <w:bCs/>
          <w:sz w:val="24"/>
          <w:szCs w:val="24"/>
        </w:rPr>
        <w:t>附件</w:t>
      </w:r>
      <w:r>
        <w:rPr>
          <w:rFonts w:hint="eastAsia" w:ascii="宋体" w:hAnsi="宋体" w:cs="宋体"/>
          <w:b/>
          <w:bCs/>
          <w:sz w:val="24"/>
          <w:szCs w:val="24"/>
          <w:lang w:val="en-US" w:eastAsia="zh-CN"/>
        </w:rPr>
        <w:t>7</w:t>
      </w:r>
      <w:r>
        <w:rPr>
          <w:rFonts w:hint="eastAsia" w:ascii="宋体" w:hAnsi="宋体" w:cs="宋体"/>
          <w:b/>
          <w:bCs/>
          <w:sz w:val="24"/>
          <w:szCs w:val="24"/>
        </w:rPr>
        <w:t xml:space="preserve"> 项目研判分析结果报告</w:t>
      </w:r>
    </w:p>
    <w:p w14:paraId="497AC312">
      <w:pPr>
        <w:rPr>
          <w:rFonts w:hint="eastAsia" w:ascii="宋体" w:hAnsi="宋体" w:cs="宋体"/>
          <w:b/>
          <w:bCs/>
          <w:sz w:val="24"/>
          <w:szCs w:val="24"/>
        </w:rPr>
      </w:pPr>
    </w:p>
    <w:p w14:paraId="40F2DB34">
      <w:pPr>
        <w:pStyle w:val="82"/>
        <w:rPr>
          <w:b/>
          <w:bCs/>
          <w:sz w:val="36"/>
          <w:szCs w:val="36"/>
          <w:lang w:eastAsia="zh-CN"/>
        </w:rPr>
      </w:pPr>
      <w:r>
        <w:rPr>
          <w:rFonts w:hint="eastAsia"/>
          <w:b/>
          <w:bCs/>
          <w:sz w:val="36"/>
          <w:szCs w:val="36"/>
          <w:lang w:eastAsia="zh-CN"/>
        </w:rPr>
        <w:t>岳阳市制水一厂建设项目项目研判分析结果报告</w:t>
      </w:r>
    </w:p>
    <w:p w14:paraId="25AED7DC">
      <w:pPr>
        <w:pStyle w:val="82"/>
        <w:rPr>
          <w:lang w:eastAsia="zh-CN"/>
        </w:rPr>
      </w:pPr>
      <w:r>
        <w:rPr>
          <w:rFonts w:hint="eastAsia"/>
          <w:lang w:eastAsia="zh-CN"/>
        </w:rPr>
        <w:t>生成时间：2026年07月31日</w:t>
      </w:r>
    </w:p>
    <w:p w14:paraId="749C8986">
      <w:pPr>
        <w:pageBreakBefore w:val="0"/>
        <w:widowControl w:val="0"/>
        <w:kinsoku/>
        <w:wordWrap/>
        <w:topLinePunct w:val="0"/>
        <w:autoSpaceDE/>
        <w:autoSpaceDN/>
        <w:bidi w:val="0"/>
        <w:textAlignment w:val="auto"/>
        <w:outlineLvl w:val="9"/>
        <w:rPr>
          <w:b/>
          <w:bCs/>
          <w:sz w:val="24"/>
          <w:szCs w:val="32"/>
          <w:lang w:eastAsia="zh-CN"/>
        </w:rPr>
      </w:pPr>
      <w:r>
        <w:rPr>
          <w:rFonts w:hint="eastAsia"/>
          <w:b/>
          <w:bCs/>
          <w:sz w:val="24"/>
          <w:szCs w:val="32"/>
          <w:lang w:eastAsia="zh-CN"/>
        </w:rPr>
        <w:t>研判结果总结</w:t>
      </w:r>
    </w:p>
    <w:p w14:paraId="64A2099D">
      <w:pPr>
        <w:pageBreakBefore w:val="0"/>
        <w:widowControl w:val="0"/>
        <w:kinsoku/>
        <w:wordWrap/>
        <w:topLinePunct w:val="0"/>
        <w:autoSpaceDE/>
        <w:autoSpaceDN/>
        <w:bidi w:val="0"/>
        <w:ind w:firstLine="480"/>
        <w:textAlignment w:val="auto"/>
        <w:outlineLvl w:val="9"/>
        <w:rPr>
          <w:lang w:eastAsia="zh-CN"/>
        </w:rPr>
      </w:pPr>
      <w:r>
        <w:t>根据单元管控要求进行项目研判分析，该项目存在注意项，需</w:t>
      </w:r>
      <w:r>
        <w:rPr>
          <w:b/>
          <w:color w:val="E5BF00"/>
        </w:rPr>
        <w:t>进一步核实</w:t>
      </w:r>
      <w:r>
        <w:t>各注意项对应要求是否符合。</w:t>
      </w:r>
    </w:p>
    <w:p w14:paraId="72069738">
      <w:pPr>
        <w:pageBreakBefore w:val="0"/>
        <w:widowControl w:val="0"/>
        <w:kinsoku/>
        <w:wordWrap/>
        <w:topLinePunct w:val="0"/>
        <w:autoSpaceDE/>
        <w:autoSpaceDN/>
        <w:bidi w:val="0"/>
        <w:textAlignment w:val="auto"/>
        <w:outlineLvl w:val="9"/>
        <w:rPr>
          <w:rFonts w:hint="eastAsia"/>
          <w:b/>
          <w:bCs/>
          <w:sz w:val="24"/>
          <w:szCs w:val="32"/>
          <w:lang w:eastAsia="zh-CN"/>
        </w:rPr>
      </w:pPr>
      <w:r>
        <w:rPr>
          <w:rFonts w:hint="eastAsia"/>
          <w:b/>
          <w:bCs/>
          <w:sz w:val="24"/>
          <w:szCs w:val="32"/>
          <w:lang w:eastAsia="zh-CN"/>
        </w:rPr>
        <w:t>项目基本信息</w:t>
      </w:r>
    </w:p>
    <w:p w14:paraId="3EBE4389">
      <w:pPr>
        <w:pageBreakBefore w:val="0"/>
        <w:widowControl w:val="0"/>
        <w:kinsoku/>
        <w:wordWrap/>
        <w:topLinePunct w:val="0"/>
        <w:autoSpaceDE/>
        <w:autoSpaceDN/>
        <w:bidi w:val="0"/>
        <w:textAlignment w:val="auto"/>
        <w:outlineLvl w:val="9"/>
        <w:rPr>
          <w:lang w:eastAsia="zh-CN"/>
        </w:rPr>
      </w:pPr>
      <w:r>
        <w:rPr>
          <w:rFonts w:hint="eastAsia"/>
          <w:lang w:eastAsia="zh-CN"/>
        </w:rPr>
        <w:t>项目信息</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 w:type="dxa"/>
          <w:bottom w:w="1" w:type="dxa"/>
          <w:right w:w="1" w:type="dxa"/>
        </w:tblCellMar>
      </w:tblPr>
      <w:tblGrid>
        <w:gridCol w:w="1595"/>
        <w:gridCol w:w="1331"/>
        <w:gridCol w:w="5390"/>
      </w:tblGrid>
      <w:tr w14:paraId="34B8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c>
          <w:tcPr>
            <w:tcW w:w="1633" w:type="dxa"/>
            <w:shd w:val="clear" w:color="auto" w:fill="auto"/>
          </w:tcPr>
          <w:p w14:paraId="1ACF8EDA">
            <w:pPr>
              <w:pStyle w:val="82"/>
              <w:pageBreakBefore w:val="0"/>
              <w:widowControl w:val="0"/>
              <w:kinsoku/>
              <w:wordWrap/>
              <w:topLinePunct w:val="0"/>
              <w:autoSpaceDE/>
              <w:autoSpaceDN/>
              <w:bidi w:val="0"/>
              <w:textAlignment w:val="auto"/>
              <w:outlineLvl w:val="9"/>
              <w:rPr>
                <w:b/>
                <w:bCs/>
                <w:lang w:eastAsia="zh-CN"/>
              </w:rPr>
            </w:pPr>
            <w:r>
              <w:rPr>
                <w:rFonts w:hint="eastAsia"/>
                <w:b/>
                <w:bCs/>
                <w:lang w:eastAsia="zh-CN"/>
              </w:rPr>
              <w:t>序号</w:t>
            </w:r>
          </w:p>
        </w:tc>
        <w:tc>
          <w:tcPr>
            <w:tcW w:w="1362" w:type="dxa"/>
            <w:shd w:val="clear" w:color="auto" w:fill="auto"/>
          </w:tcPr>
          <w:p w14:paraId="36E2D7E5">
            <w:pPr>
              <w:pStyle w:val="82"/>
              <w:pageBreakBefore w:val="0"/>
              <w:widowControl w:val="0"/>
              <w:kinsoku/>
              <w:wordWrap/>
              <w:topLinePunct w:val="0"/>
              <w:autoSpaceDE/>
              <w:autoSpaceDN/>
              <w:bidi w:val="0"/>
              <w:textAlignment w:val="auto"/>
              <w:outlineLvl w:val="9"/>
              <w:rPr>
                <w:b/>
                <w:bCs/>
                <w:lang w:eastAsia="zh-CN"/>
              </w:rPr>
            </w:pPr>
            <w:r>
              <w:rPr>
                <w:rFonts w:hint="eastAsia"/>
                <w:b/>
                <w:bCs/>
                <w:lang w:eastAsia="zh-CN"/>
              </w:rPr>
              <w:t>企业类型</w:t>
            </w:r>
          </w:p>
        </w:tc>
        <w:tc>
          <w:tcPr>
            <w:tcW w:w="5527" w:type="dxa"/>
            <w:shd w:val="clear" w:color="auto" w:fill="auto"/>
          </w:tcPr>
          <w:p w14:paraId="3AA2C3C1">
            <w:pPr>
              <w:pStyle w:val="82"/>
              <w:pageBreakBefore w:val="0"/>
              <w:widowControl w:val="0"/>
              <w:kinsoku/>
              <w:wordWrap/>
              <w:topLinePunct w:val="0"/>
              <w:autoSpaceDE/>
              <w:autoSpaceDN/>
              <w:bidi w:val="0"/>
              <w:textAlignment w:val="auto"/>
              <w:outlineLvl w:val="9"/>
              <w:rPr>
                <w:b/>
                <w:bCs/>
                <w:lang w:eastAsia="zh-CN"/>
              </w:rPr>
            </w:pPr>
            <w:r>
              <w:rPr>
                <w:rFonts w:hint="eastAsia"/>
                <w:b/>
                <w:bCs/>
                <w:lang w:eastAsia="zh-CN"/>
              </w:rPr>
              <w:t>详情</w:t>
            </w:r>
          </w:p>
        </w:tc>
      </w:tr>
      <w:tr w14:paraId="082C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c>
          <w:tcPr>
            <w:tcW w:w="1633" w:type="dxa"/>
            <w:shd w:val="clear" w:color="auto" w:fill="auto"/>
            <w:vAlign w:val="center"/>
          </w:tcPr>
          <w:p w14:paraId="1FCD92A5">
            <w:pPr>
              <w:pStyle w:val="82"/>
              <w:pageBreakBefore w:val="0"/>
              <w:widowControl w:val="0"/>
              <w:kinsoku/>
              <w:wordWrap/>
              <w:topLinePunct w:val="0"/>
              <w:autoSpaceDE/>
              <w:autoSpaceDN/>
              <w:bidi w:val="0"/>
              <w:textAlignment w:val="auto"/>
              <w:outlineLvl w:val="9"/>
              <w:rPr>
                <w:lang w:eastAsia="zh-CN"/>
              </w:rPr>
            </w:pPr>
            <w:r>
              <w:rPr>
                <w:rFonts w:hint="eastAsia"/>
                <w:lang w:eastAsia="zh-CN"/>
              </w:rPr>
              <w:t>1</w:t>
            </w:r>
          </w:p>
        </w:tc>
        <w:tc>
          <w:tcPr>
            <w:tcW w:w="1362" w:type="dxa"/>
            <w:shd w:val="clear" w:color="auto" w:fill="auto"/>
            <w:vAlign w:val="center"/>
          </w:tcPr>
          <w:p w14:paraId="074A3122">
            <w:pPr>
              <w:pStyle w:val="82"/>
              <w:pageBreakBefore w:val="0"/>
              <w:widowControl w:val="0"/>
              <w:kinsoku/>
              <w:wordWrap/>
              <w:topLinePunct w:val="0"/>
              <w:autoSpaceDE/>
              <w:autoSpaceDN/>
              <w:bidi w:val="0"/>
              <w:textAlignment w:val="auto"/>
              <w:outlineLvl w:val="9"/>
              <w:rPr>
                <w:lang w:eastAsia="zh-CN"/>
              </w:rPr>
            </w:pPr>
            <w:r>
              <w:rPr>
                <w:rFonts w:hint="eastAsia"/>
                <w:lang w:eastAsia="zh-CN"/>
              </w:rPr>
              <w:t>项目名称</w:t>
            </w:r>
          </w:p>
        </w:tc>
        <w:tc>
          <w:tcPr>
            <w:tcW w:w="5527" w:type="dxa"/>
            <w:shd w:val="clear" w:color="auto" w:fill="auto"/>
          </w:tcPr>
          <w:p w14:paraId="67B797E1">
            <w:pPr>
              <w:pStyle w:val="82"/>
              <w:pageBreakBefore w:val="0"/>
              <w:widowControl w:val="0"/>
              <w:kinsoku/>
              <w:wordWrap/>
              <w:topLinePunct w:val="0"/>
              <w:autoSpaceDE/>
              <w:autoSpaceDN/>
              <w:bidi w:val="0"/>
              <w:textAlignment w:val="auto"/>
              <w:outlineLvl w:val="9"/>
              <w:rPr>
                <w:lang w:eastAsia="zh-CN"/>
              </w:rPr>
            </w:pPr>
            <w:r>
              <w:rPr>
                <w:rFonts w:hint="eastAsia"/>
                <w:lang w:eastAsia="zh-CN"/>
              </w:rPr>
              <w:t>岳阳市制水一厂建设项目</w:t>
            </w:r>
          </w:p>
        </w:tc>
      </w:tr>
      <w:tr w14:paraId="2E50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c>
          <w:tcPr>
            <w:tcW w:w="1633" w:type="dxa"/>
            <w:shd w:val="clear" w:color="auto" w:fill="auto"/>
            <w:vAlign w:val="center"/>
          </w:tcPr>
          <w:p w14:paraId="6D228A96">
            <w:pPr>
              <w:pStyle w:val="82"/>
              <w:pageBreakBefore w:val="0"/>
              <w:widowControl w:val="0"/>
              <w:kinsoku/>
              <w:wordWrap/>
              <w:topLinePunct w:val="0"/>
              <w:autoSpaceDE/>
              <w:autoSpaceDN/>
              <w:bidi w:val="0"/>
              <w:textAlignment w:val="auto"/>
              <w:outlineLvl w:val="9"/>
              <w:rPr>
                <w:lang w:eastAsia="zh-CN"/>
              </w:rPr>
            </w:pPr>
            <w:r>
              <w:rPr>
                <w:rFonts w:hint="eastAsia"/>
                <w:lang w:eastAsia="zh-CN"/>
              </w:rPr>
              <w:t>2</w:t>
            </w:r>
          </w:p>
        </w:tc>
        <w:tc>
          <w:tcPr>
            <w:tcW w:w="1362" w:type="dxa"/>
            <w:shd w:val="clear" w:color="auto" w:fill="auto"/>
            <w:vAlign w:val="center"/>
          </w:tcPr>
          <w:p w14:paraId="7E5DCFC1">
            <w:pPr>
              <w:pStyle w:val="82"/>
              <w:pageBreakBefore w:val="0"/>
              <w:widowControl w:val="0"/>
              <w:kinsoku/>
              <w:wordWrap/>
              <w:topLinePunct w:val="0"/>
              <w:autoSpaceDE/>
              <w:autoSpaceDN/>
              <w:bidi w:val="0"/>
              <w:textAlignment w:val="auto"/>
              <w:outlineLvl w:val="9"/>
              <w:rPr>
                <w:lang w:eastAsia="zh-CN"/>
              </w:rPr>
            </w:pPr>
            <w:r>
              <w:rPr>
                <w:rFonts w:hint="eastAsia"/>
                <w:lang w:eastAsia="zh-CN"/>
              </w:rPr>
              <w:t>建设单位</w:t>
            </w:r>
          </w:p>
        </w:tc>
        <w:tc>
          <w:tcPr>
            <w:tcW w:w="5527" w:type="dxa"/>
            <w:shd w:val="clear" w:color="auto" w:fill="auto"/>
          </w:tcPr>
          <w:p w14:paraId="2E47AAA5">
            <w:pPr>
              <w:pStyle w:val="82"/>
              <w:pageBreakBefore w:val="0"/>
              <w:widowControl w:val="0"/>
              <w:kinsoku/>
              <w:wordWrap/>
              <w:topLinePunct w:val="0"/>
              <w:autoSpaceDE/>
              <w:autoSpaceDN/>
              <w:bidi w:val="0"/>
              <w:textAlignment w:val="auto"/>
              <w:outlineLvl w:val="9"/>
              <w:rPr>
                <w:lang w:eastAsia="zh-CN"/>
              </w:rPr>
            </w:pPr>
            <w:r>
              <w:rPr>
                <w:rFonts w:hint="eastAsia"/>
                <w:lang w:eastAsia="zh-CN"/>
              </w:rPr>
              <w:t>岳阳市水务集团有限公司</w:t>
            </w:r>
          </w:p>
        </w:tc>
      </w:tr>
      <w:tr w14:paraId="4AE2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c>
          <w:tcPr>
            <w:tcW w:w="1633" w:type="dxa"/>
            <w:shd w:val="clear" w:color="auto" w:fill="auto"/>
            <w:vAlign w:val="center"/>
          </w:tcPr>
          <w:p w14:paraId="6552E42E">
            <w:pPr>
              <w:pStyle w:val="82"/>
              <w:pageBreakBefore w:val="0"/>
              <w:widowControl w:val="0"/>
              <w:kinsoku/>
              <w:wordWrap/>
              <w:topLinePunct w:val="0"/>
              <w:autoSpaceDE/>
              <w:autoSpaceDN/>
              <w:bidi w:val="0"/>
              <w:textAlignment w:val="auto"/>
              <w:outlineLvl w:val="9"/>
              <w:rPr>
                <w:lang w:eastAsia="zh-CN"/>
              </w:rPr>
            </w:pPr>
            <w:r>
              <w:rPr>
                <w:rFonts w:hint="eastAsia"/>
                <w:lang w:eastAsia="zh-CN"/>
              </w:rPr>
              <w:t>3</w:t>
            </w:r>
          </w:p>
        </w:tc>
        <w:tc>
          <w:tcPr>
            <w:tcW w:w="1362" w:type="dxa"/>
            <w:shd w:val="clear" w:color="auto" w:fill="auto"/>
            <w:vAlign w:val="center"/>
          </w:tcPr>
          <w:p w14:paraId="49E56147">
            <w:pPr>
              <w:pStyle w:val="82"/>
              <w:pageBreakBefore w:val="0"/>
              <w:widowControl w:val="0"/>
              <w:kinsoku/>
              <w:wordWrap/>
              <w:topLinePunct w:val="0"/>
              <w:autoSpaceDE/>
              <w:autoSpaceDN/>
              <w:bidi w:val="0"/>
              <w:textAlignment w:val="auto"/>
              <w:outlineLvl w:val="9"/>
              <w:rPr>
                <w:lang w:eastAsia="zh-CN"/>
              </w:rPr>
            </w:pPr>
            <w:r>
              <w:rPr>
                <w:rFonts w:hint="eastAsia"/>
                <w:lang w:eastAsia="zh-CN"/>
              </w:rPr>
              <w:t>企业类型</w:t>
            </w:r>
          </w:p>
        </w:tc>
        <w:tc>
          <w:tcPr>
            <w:tcW w:w="5527" w:type="dxa"/>
            <w:shd w:val="clear" w:color="auto" w:fill="auto"/>
          </w:tcPr>
          <w:p w14:paraId="67857BA3">
            <w:pPr>
              <w:pStyle w:val="82"/>
              <w:pageBreakBefore w:val="0"/>
              <w:widowControl w:val="0"/>
              <w:kinsoku/>
              <w:wordWrap/>
              <w:topLinePunct w:val="0"/>
              <w:autoSpaceDE/>
              <w:autoSpaceDN/>
              <w:bidi w:val="0"/>
              <w:textAlignment w:val="auto"/>
              <w:outlineLvl w:val="9"/>
              <w:rPr>
                <w:lang w:eastAsia="zh-CN"/>
              </w:rPr>
            </w:pPr>
            <w:r>
              <w:rPr>
                <w:rFonts w:hint="eastAsia"/>
                <w:lang w:eastAsia="zh-CN"/>
              </w:rPr>
              <w:t>工业企业</w:t>
            </w:r>
          </w:p>
        </w:tc>
      </w:tr>
      <w:tr w14:paraId="68C6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c>
          <w:tcPr>
            <w:tcW w:w="1633" w:type="dxa"/>
            <w:shd w:val="clear" w:color="auto" w:fill="auto"/>
            <w:vAlign w:val="center"/>
          </w:tcPr>
          <w:p w14:paraId="2B7DED8A">
            <w:pPr>
              <w:pStyle w:val="82"/>
              <w:pageBreakBefore w:val="0"/>
              <w:widowControl w:val="0"/>
              <w:kinsoku/>
              <w:wordWrap/>
              <w:topLinePunct w:val="0"/>
              <w:autoSpaceDE/>
              <w:autoSpaceDN/>
              <w:bidi w:val="0"/>
              <w:textAlignment w:val="auto"/>
              <w:outlineLvl w:val="9"/>
              <w:rPr>
                <w:lang w:eastAsia="zh-CN"/>
              </w:rPr>
            </w:pPr>
            <w:r>
              <w:rPr>
                <w:rFonts w:hint="eastAsia"/>
                <w:lang w:eastAsia="zh-CN"/>
              </w:rPr>
              <w:t>4</w:t>
            </w:r>
          </w:p>
        </w:tc>
        <w:tc>
          <w:tcPr>
            <w:tcW w:w="1362" w:type="dxa"/>
            <w:shd w:val="clear" w:color="auto" w:fill="auto"/>
            <w:vAlign w:val="center"/>
          </w:tcPr>
          <w:p w14:paraId="4A726425">
            <w:pPr>
              <w:pStyle w:val="82"/>
              <w:pageBreakBefore w:val="0"/>
              <w:widowControl w:val="0"/>
              <w:kinsoku/>
              <w:wordWrap/>
              <w:topLinePunct w:val="0"/>
              <w:autoSpaceDE/>
              <w:autoSpaceDN/>
              <w:bidi w:val="0"/>
              <w:textAlignment w:val="auto"/>
              <w:outlineLvl w:val="9"/>
              <w:rPr>
                <w:lang w:eastAsia="zh-CN"/>
              </w:rPr>
            </w:pPr>
            <w:r>
              <w:rPr>
                <w:rFonts w:hint="eastAsia"/>
                <w:lang w:eastAsia="zh-CN"/>
              </w:rPr>
              <w:t>污染性质</w:t>
            </w:r>
          </w:p>
        </w:tc>
        <w:tc>
          <w:tcPr>
            <w:tcW w:w="5527" w:type="dxa"/>
            <w:shd w:val="clear" w:color="auto" w:fill="auto"/>
          </w:tcPr>
          <w:p w14:paraId="16C04E6A">
            <w:pPr>
              <w:pStyle w:val="82"/>
              <w:pageBreakBefore w:val="0"/>
              <w:widowControl w:val="0"/>
              <w:kinsoku/>
              <w:wordWrap/>
              <w:topLinePunct w:val="0"/>
              <w:autoSpaceDE/>
              <w:autoSpaceDN/>
              <w:bidi w:val="0"/>
              <w:textAlignment w:val="auto"/>
              <w:outlineLvl w:val="9"/>
              <w:rPr>
                <w:lang w:eastAsia="zh-CN"/>
              </w:rPr>
            </w:pPr>
            <w:r>
              <w:rPr>
                <w:rFonts w:hint="eastAsia"/>
                <w:lang w:eastAsia="zh-CN"/>
              </w:rPr>
              <w:t>水污染;气污染;噪声污染</w:t>
            </w:r>
          </w:p>
        </w:tc>
      </w:tr>
      <w:tr w14:paraId="4D10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c>
          <w:tcPr>
            <w:tcW w:w="1633" w:type="dxa"/>
            <w:shd w:val="clear" w:color="auto" w:fill="auto"/>
            <w:vAlign w:val="center"/>
          </w:tcPr>
          <w:p w14:paraId="027CE52F">
            <w:pPr>
              <w:pStyle w:val="82"/>
              <w:pageBreakBefore w:val="0"/>
              <w:widowControl w:val="0"/>
              <w:kinsoku/>
              <w:wordWrap/>
              <w:topLinePunct w:val="0"/>
              <w:autoSpaceDE/>
              <w:autoSpaceDN/>
              <w:bidi w:val="0"/>
              <w:textAlignment w:val="auto"/>
              <w:outlineLvl w:val="9"/>
              <w:rPr>
                <w:lang w:eastAsia="zh-CN"/>
              </w:rPr>
            </w:pPr>
            <w:r>
              <w:rPr>
                <w:rFonts w:hint="eastAsia"/>
                <w:lang w:eastAsia="zh-CN"/>
              </w:rPr>
              <w:t>5</w:t>
            </w:r>
          </w:p>
        </w:tc>
        <w:tc>
          <w:tcPr>
            <w:tcW w:w="1362" w:type="dxa"/>
            <w:shd w:val="clear" w:color="auto" w:fill="auto"/>
            <w:vAlign w:val="center"/>
          </w:tcPr>
          <w:p w14:paraId="6A116824">
            <w:pPr>
              <w:pStyle w:val="82"/>
              <w:pageBreakBefore w:val="0"/>
              <w:widowControl w:val="0"/>
              <w:kinsoku/>
              <w:wordWrap/>
              <w:topLinePunct w:val="0"/>
              <w:autoSpaceDE/>
              <w:autoSpaceDN/>
              <w:bidi w:val="0"/>
              <w:textAlignment w:val="auto"/>
              <w:outlineLvl w:val="9"/>
              <w:rPr>
                <w:lang w:eastAsia="zh-CN"/>
              </w:rPr>
            </w:pPr>
            <w:r>
              <w:rPr>
                <w:rFonts w:hint="eastAsia"/>
                <w:lang w:eastAsia="zh-CN"/>
              </w:rPr>
              <w:t>涉及污染物</w:t>
            </w:r>
          </w:p>
        </w:tc>
        <w:tc>
          <w:tcPr>
            <w:tcW w:w="5527" w:type="dxa"/>
            <w:shd w:val="clear" w:color="auto" w:fill="auto"/>
          </w:tcPr>
          <w:p w14:paraId="69DB3995">
            <w:pPr>
              <w:pStyle w:val="82"/>
              <w:pageBreakBefore w:val="0"/>
              <w:widowControl w:val="0"/>
              <w:kinsoku/>
              <w:wordWrap/>
              <w:topLinePunct w:val="0"/>
              <w:autoSpaceDE/>
              <w:autoSpaceDN/>
              <w:bidi w:val="0"/>
              <w:textAlignment w:val="auto"/>
              <w:outlineLvl w:val="9"/>
              <w:rPr>
                <w:lang w:eastAsia="zh-CN"/>
              </w:rPr>
            </w:pPr>
            <w:r>
              <w:rPr>
                <w:rFonts w:hint="eastAsia"/>
                <w:lang w:eastAsia="zh-CN"/>
              </w:rPr>
              <w:t>COD;氨氮;固废危废</w:t>
            </w:r>
          </w:p>
        </w:tc>
      </w:tr>
      <w:tr w14:paraId="301E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c>
          <w:tcPr>
            <w:tcW w:w="1633" w:type="dxa"/>
            <w:shd w:val="clear" w:color="auto" w:fill="auto"/>
            <w:vAlign w:val="center"/>
          </w:tcPr>
          <w:p w14:paraId="16102EB9">
            <w:pPr>
              <w:pStyle w:val="82"/>
              <w:pageBreakBefore w:val="0"/>
              <w:widowControl w:val="0"/>
              <w:kinsoku/>
              <w:wordWrap/>
              <w:topLinePunct w:val="0"/>
              <w:autoSpaceDE/>
              <w:autoSpaceDN/>
              <w:bidi w:val="0"/>
              <w:textAlignment w:val="auto"/>
              <w:outlineLvl w:val="9"/>
              <w:rPr>
                <w:lang w:eastAsia="zh-CN"/>
              </w:rPr>
            </w:pPr>
            <w:r>
              <w:rPr>
                <w:rFonts w:hint="eastAsia"/>
                <w:lang w:eastAsia="zh-CN"/>
              </w:rPr>
              <w:t>6</w:t>
            </w:r>
          </w:p>
        </w:tc>
        <w:tc>
          <w:tcPr>
            <w:tcW w:w="1362" w:type="dxa"/>
            <w:shd w:val="clear" w:color="auto" w:fill="auto"/>
            <w:vAlign w:val="center"/>
          </w:tcPr>
          <w:p w14:paraId="08EE4353">
            <w:pPr>
              <w:pStyle w:val="82"/>
              <w:pageBreakBefore w:val="0"/>
              <w:widowControl w:val="0"/>
              <w:kinsoku/>
              <w:wordWrap/>
              <w:topLinePunct w:val="0"/>
              <w:autoSpaceDE/>
              <w:autoSpaceDN/>
              <w:bidi w:val="0"/>
              <w:textAlignment w:val="auto"/>
              <w:outlineLvl w:val="9"/>
              <w:rPr>
                <w:lang w:eastAsia="zh-CN"/>
              </w:rPr>
            </w:pPr>
            <w:r>
              <w:rPr>
                <w:rFonts w:hint="eastAsia"/>
                <w:lang w:eastAsia="zh-CN"/>
              </w:rPr>
              <w:t>项目性质</w:t>
            </w:r>
          </w:p>
        </w:tc>
        <w:tc>
          <w:tcPr>
            <w:tcW w:w="5527" w:type="dxa"/>
            <w:shd w:val="clear" w:color="auto" w:fill="auto"/>
          </w:tcPr>
          <w:p w14:paraId="4EEF191B">
            <w:pPr>
              <w:pStyle w:val="82"/>
              <w:pageBreakBefore w:val="0"/>
              <w:widowControl w:val="0"/>
              <w:kinsoku/>
              <w:wordWrap/>
              <w:topLinePunct w:val="0"/>
              <w:autoSpaceDE/>
              <w:autoSpaceDN/>
              <w:bidi w:val="0"/>
              <w:textAlignment w:val="auto"/>
              <w:outlineLvl w:val="9"/>
              <w:rPr>
                <w:lang w:eastAsia="zh-CN"/>
              </w:rPr>
            </w:pPr>
            <w:r>
              <w:rPr>
                <w:rFonts w:hint="eastAsia"/>
                <w:lang w:eastAsia="zh-CN"/>
              </w:rPr>
              <w:t>低能耗;轻污染</w:t>
            </w:r>
          </w:p>
        </w:tc>
      </w:tr>
      <w:tr w14:paraId="484F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c>
          <w:tcPr>
            <w:tcW w:w="1633" w:type="dxa"/>
            <w:shd w:val="clear" w:color="auto" w:fill="auto"/>
            <w:vAlign w:val="center"/>
          </w:tcPr>
          <w:p w14:paraId="73A8CC84">
            <w:pPr>
              <w:pStyle w:val="82"/>
              <w:pageBreakBefore w:val="0"/>
              <w:widowControl w:val="0"/>
              <w:kinsoku/>
              <w:wordWrap/>
              <w:topLinePunct w:val="0"/>
              <w:autoSpaceDE/>
              <w:autoSpaceDN/>
              <w:bidi w:val="0"/>
              <w:textAlignment w:val="auto"/>
              <w:outlineLvl w:val="9"/>
              <w:rPr>
                <w:lang w:eastAsia="zh-CN"/>
              </w:rPr>
            </w:pPr>
            <w:r>
              <w:rPr>
                <w:rFonts w:hint="eastAsia"/>
                <w:lang w:eastAsia="zh-CN"/>
              </w:rPr>
              <w:t>7</w:t>
            </w:r>
          </w:p>
        </w:tc>
        <w:tc>
          <w:tcPr>
            <w:tcW w:w="1362" w:type="dxa"/>
            <w:shd w:val="clear" w:color="auto" w:fill="auto"/>
            <w:vAlign w:val="center"/>
          </w:tcPr>
          <w:p w14:paraId="22D58077">
            <w:pPr>
              <w:pStyle w:val="82"/>
              <w:pageBreakBefore w:val="0"/>
              <w:widowControl w:val="0"/>
              <w:kinsoku/>
              <w:wordWrap/>
              <w:topLinePunct w:val="0"/>
              <w:autoSpaceDE/>
              <w:autoSpaceDN/>
              <w:bidi w:val="0"/>
              <w:textAlignment w:val="auto"/>
              <w:outlineLvl w:val="9"/>
              <w:rPr>
                <w:lang w:eastAsia="zh-CN"/>
              </w:rPr>
            </w:pPr>
            <w:r>
              <w:rPr>
                <w:rFonts w:hint="eastAsia"/>
                <w:lang w:eastAsia="zh-CN"/>
              </w:rPr>
              <w:t>资源利用</w:t>
            </w:r>
          </w:p>
        </w:tc>
        <w:tc>
          <w:tcPr>
            <w:tcW w:w="5527" w:type="dxa"/>
            <w:shd w:val="clear" w:color="auto" w:fill="auto"/>
          </w:tcPr>
          <w:p w14:paraId="26D3DC97">
            <w:pPr>
              <w:pStyle w:val="82"/>
              <w:pageBreakBefore w:val="0"/>
              <w:widowControl w:val="0"/>
              <w:kinsoku/>
              <w:wordWrap/>
              <w:topLinePunct w:val="0"/>
              <w:autoSpaceDE/>
              <w:autoSpaceDN/>
              <w:bidi w:val="0"/>
              <w:textAlignment w:val="auto"/>
              <w:outlineLvl w:val="9"/>
              <w:rPr>
                <w:lang w:eastAsia="zh-CN"/>
              </w:rPr>
            </w:pPr>
            <w:r>
              <w:rPr>
                <w:rFonts w:hint="eastAsia"/>
                <w:lang w:eastAsia="zh-CN"/>
              </w:rPr>
              <w:t>水资源</w:t>
            </w:r>
          </w:p>
        </w:tc>
      </w:tr>
      <w:tr w14:paraId="505B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c>
          <w:tcPr>
            <w:tcW w:w="1633" w:type="dxa"/>
            <w:shd w:val="clear" w:color="auto" w:fill="auto"/>
            <w:vAlign w:val="center"/>
          </w:tcPr>
          <w:p w14:paraId="3FF15D4B">
            <w:pPr>
              <w:pStyle w:val="82"/>
              <w:pageBreakBefore w:val="0"/>
              <w:widowControl w:val="0"/>
              <w:kinsoku/>
              <w:wordWrap/>
              <w:topLinePunct w:val="0"/>
              <w:autoSpaceDE/>
              <w:autoSpaceDN/>
              <w:bidi w:val="0"/>
              <w:textAlignment w:val="auto"/>
              <w:outlineLvl w:val="9"/>
              <w:rPr>
                <w:lang w:eastAsia="zh-CN"/>
              </w:rPr>
            </w:pPr>
            <w:r>
              <w:rPr>
                <w:rFonts w:hint="eastAsia"/>
                <w:lang w:eastAsia="zh-CN"/>
              </w:rPr>
              <w:t>8</w:t>
            </w:r>
          </w:p>
        </w:tc>
        <w:tc>
          <w:tcPr>
            <w:tcW w:w="1362" w:type="dxa"/>
            <w:shd w:val="clear" w:color="auto" w:fill="auto"/>
            <w:vAlign w:val="center"/>
          </w:tcPr>
          <w:p w14:paraId="0A30BAB7">
            <w:pPr>
              <w:pStyle w:val="82"/>
              <w:pageBreakBefore w:val="0"/>
              <w:widowControl w:val="0"/>
              <w:kinsoku/>
              <w:wordWrap/>
              <w:topLinePunct w:val="0"/>
              <w:autoSpaceDE/>
              <w:autoSpaceDN/>
              <w:bidi w:val="0"/>
              <w:textAlignment w:val="auto"/>
              <w:outlineLvl w:val="9"/>
              <w:rPr>
                <w:lang w:eastAsia="zh-CN"/>
              </w:rPr>
            </w:pPr>
            <w:r>
              <w:rPr>
                <w:rFonts w:hint="eastAsia"/>
                <w:lang w:eastAsia="zh-CN"/>
              </w:rPr>
              <w:t>能源利用</w:t>
            </w:r>
          </w:p>
        </w:tc>
        <w:tc>
          <w:tcPr>
            <w:tcW w:w="5527" w:type="dxa"/>
            <w:shd w:val="clear" w:color="auto" w:fill="auto"/>
          </w:tcPr>
          <w:p w14:paraId="18ABEB43">
            <w:pPr>
              <w:pStyle w:val="82"/>
              <w:pageBreakBefore w:val="0"/>
              <w:widowControl w:val="0"/>
              <w:kinsoku/>
              <w:wordWrap/>
              <w:topLinePunct w:val="0"/>
              <w:autoSpaceDE/>
              <w:autoSpaceDN/>
              <w:bidi w:val="0"/>
              <w:textAlignment w:val="auto"/>
              <w:outlineLvl w:val="9"/>
              <w:rPr>
                <w:lang w:eastAsia="zh-CN"/>
              </w:rPr>
            </w:pPr>
          </w:p>
        </w:tc>
      </w:tr>
      <w:tr w14:paraId="2F0A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c>
          <w:tcPr>
            <w:tcW w:w="1633" w:type="dxa"/>
            <w:shd w:val="clear" w:color="auto" w:fill="auto"/>
            <w:vAlign w:val="center"/>
          </w:tcPr>
          <w:p w14:paraId="0E93D83A">
            <w:pPr>
              <w:pStyle w:val="82"/>
              <w:pageBreakBefore w:val="0"/>
              <w:widowControl w:val="0"/>
              <w:kinsoku/>
              <w:wordWrap/>
              <w:topLinePunct w:val="0"/>
              <w:autoSpaceDE/>
              <w:autoSpaceDN/>
              <w:bidi w:val="0"/>
              <w:textAlignment w:val="auto"/>
              <w:outlineLvl w:val="9"/>
              <w:rPr>
                <w:lang w:eastAsia="zh-CN"/>
              </w:rPr>
            </w:pPr>
            <w:r>
              <w:rPr>
                <w:rFonts w:hint="eastAsia"/>
                <w:lang w:eastAsia="zh-CN"/>
              </w:rPr>
              <w:t>9</w:t>
            </w:r>
          </w:p>
        </w:tc>
        <w:tc>
          <w:tcPr>
            <w:tcW w:w="1362" w:type="dxa"/>
            <w:shd w:val="clear" w:color="auto" w:fill="auto"/>
            <w:vAlign w:val="center"/>
          </w:tcPr>
          <w:p w14:paraId="0463A8EB">
            <w:pPr>
              <w:pStyle w:val="82"/>
              <w:pageBreakBefore w:val="0"/>
              <w:widowControl w:val="0"/>
              <w:kinsoku/>
              <w:wordWrap/>
              <w:topLinePunct w:val="0"/>
              <w:autoSpaceDE/>
              <w:autoSpaceDN/>
              <w:bidi w:val="0"/>
              <w:textAlignment w:val="auto"/>
              <w:outlineLvl w:val="9"/>
              <w:rPr>
                <w:lang w:eastAsia="zh-CN"/>
              </w:rPr>
            </w:pPr>
            <w:r>
              <w:rPr>
                <w:rFonts w:hint="eastAsia"/>
                <w:lang w:eastAsia="zh-CN"/>
              </w:rPr>
              <w:t>建设性质</w:t>
            </w:r>
          </w:p>
        </w:tc>
        <w:tc>
          <w:tcPr>
            <w:tcW w:w="5527" w:type="dxa"/>
            <w:shd w:val="clear" w:color="auto" w:fill="auto"/>
          </w:tcPr>
          <w:p w14:paraId="42456269">
            <w:pPr>
              <w:pStyle w:val="82"/>
              <w:pageBreakBefore w:val="0"/>
              <w:widowControl w:val="0"/>
              <w:kinsoku/>
              <w:wordWrap/>
              <w:topLinePunct w:val="0"/>
              <w:autoSpaceDE/>
              <w:autoSpaceDN/>
              <w:bidi w:val="0"/>
              <w:textAlignment w:val="auto"/>
              <w:outlineLvl w:val="9"/>
              <w:rPr>
                <w:lang w:eastAsia="zh-CN"/>
              </w:rPr>
            </w:pPr>
            <w:r>
              <w:rPr>
                <w:rFonts w:hint="eastAsia"/>
                <w:lang w:eastAsia="zh-CN"/>
              </w:rPr>
              <w:t>基础设施;公共设施</w:t>
            </w:r>
          </w:p>
        </w:tc>
      </w:tr>
      <w:tr w14:paraId="2471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c>
          <w:tcPr>
            <w:tcW w:w="1633" w:type="dxa"/>
            <w:shd w:val="clear" w:color="auto" w:fill="auto"/>
            <w:vAlign w:val="center"/>
          </w:tcPr>
          <w:p w14:paraId="22CAACA7">
            <w:pPr>
              <w:pStyle w:val="82"/>
              <w:pageBreakBefore w:val="0"/>
              <w:widowControl w:val="0"/>
              <w:kinsoku/>
              <w:wordWrap/>
              <w:topLinePunct w:val="0"/>
              <w:autoSpaceDE/>
              <w:autoSpaceDN/>
              <w:bidi w:val="0"/>
              <w:textAlignment w:val="auto"/>
              <w:outlineLvl w:val="9"/>
              <w:rPr>
                <w:lang w:eastAsia="zh-CN"/>
              </w:rPr>
            </w:pPr>
            <w:r>
              <w:rPr>
                <w:rFonts w:hint="eastAsia"/>
                <w:lang w:eastAsia="zh-CN"/>
              </w:rPr>
              <w:t>10</w:t>
            </w:r>
          </w:p>
        </w:tc>
        <w:tc>
          <w:tcPr>
            <w:tcW w:w="1362" w:type="dxa"/>
            <w:shd w:val="clear" w:color="auto" w:fill="auto"/>
            <w:vAlign w:val="center"/>
          </w:tcPr>
          <w:p w14:paraId="1ECA031F">
            <w:pPr>
              <w:pStyle w:val="82"/>
              <w:pageBreakBefore w:val="0"/>
              <w:widowControl w:val="0"/>
              <w:kinsoku/>
              <w:wordWrap/>
              <w:topLinePunct w:val="0"/>
              <w:autoSpaceDE/>
              <w:autoSpaceDN/>
              <w:bidi w:val="0"/>
              <w:textAlignment w:val="auto"/>
              <w:outlineLvl w:val="9"/>
              <w:rPr>
                <w:lang w:eastAsia="zh-CN"/>
              </w:rPr>
            </w:pPr>
            <w:r>
              <w:rPr>
                <w:rFonts w:hint="eastAsia"/>
                <w:lang w:eastAsia="zh-CN"/>
              </w:rPr>
              <w:t>企业性质</w:t>
            </w:r>
          </w:p>
        </w:tc>
        <w:tc>
          <w:tcPr>
            <w:tcW w:w="5527" w:type="dxa"/>
            <w:shd w:val="clear" w:color="auto" w:fill="auto"/>
          </w:tcPr>
          <w:p w14:paraId="13E6B364">
            <w:pPr>
              <w:pStyle w:val="82"/>
              <w:pageBreakBefore w:val="0"/>
              <w:widowControl w:val="0"/>
              <w:kinsoku/>
              <w:wordWrap/>
              <w:topLinePunct w:val="0"/>
              <w:autoSpaceDE/>
              <w:autoSpaceDN/>
              <w:bidi w:val="0"/>
              <w:textAlignment w:val="auto"/>
              <w:outlineLvl w:val="9"/>
              <w:rPr>
                <w:lang w:eastAsia="zh-CN"/>
              </w:rPr>
            </w:pPr>
          </w:p>
        </w:tc>
      </w:tr>
      <w:tr w14:paraId="4F54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c>
          <w:tcPr>
            <w:tcW w:w="1633" w:type="dxa"/>
            <w:shd w:val="clear" w:color="auto" w:fill="auto"/>
            <w:vAlign w:val="center"/>
          </w:tcPr>
          <w:p w14:paraId="463D4B2F">
            <w:pPr>
              <w:pStyle w:val="82"/>
              <w:pageBreakBefore w:val="0"/>
              <w:widowControl w:val="0"/>
              <w:kinsoku/>
              <w:wordWrap/>
              <w:topLinePunct w:val="0"/>
              <w:autoSpaceDE/>
              <w:autoSpaceDN/>
              <w:bidi w:val="0"/>
              <w:textAlignment w:val="auto"/>
              <w:outlineLvl w:val="9"/>
              <w:rPr>
                <w:lang w:eastAsia="zh-CN"/>
              </w:rPr>
            </w:pPr>
            <w:r>
              <w:rPr>
                <w:rFonts w:hint="eastAsia"/>
                <w:lang w:eastAsia="zh-CN"/>
              </w:rPr>
              <w:t>11</w:t>
            </w:r>
          </w:p>
        </w:tc>
        <w:tc>
          <w:tcPr>
            <w:tcW w:w="1362" w:type="dxa"/>
            <w:shd w:val="clear" w:color="auto" w:fill="auto"/>
            <w:vAlign w:val="center"/>
          </w:tcPr>
          <w:p w14:paraId="70E6F367">
            <w:pPr>
              <w:pStyle w:val="82"/>
              <w:pageBreakBefore w:val="0"/>
              <w:widowControl w:val="0"/>
              <w:kinsoku/>
              <w:wordWrap/>
              <w:topLinePunct w:val="0"/>
              <w:autoSpaceDE/>
              <w:autoSpaceDN/>
              <w:bidi w:val="0"/>
              <w:textAlignment w:val="auto"/>
              <w:outlineLvl w:val="9"/>
              <w:rPr>
                <w:lang w:eastAsia="zh-CN"/>
              </w:rPr>
            </w:pPr>
            <w:r>
              <w:rPr>
                <w:rFonts w:hint="eastAsia"/>
                <w:lang w:eastAsia="zh-CN"/>
              </w:rPr>
              <w:t>园区名称</w:t>
            </w:r>
          </w:p>
        </w:tc>
        <w:tc>
          <w:tcPr>
            <w:tcW w:w="5527" w:type="dxa"/>
            <w:shd w:val="clear" w:color="auto" w:fill="auto"/>
          </w:tcPr>
          <w:p w14:paraId="137F25E4">
            <w:pPr>
              <w:pStyle w:val="82"/>
              <w:pageBreakBefore w:val="0"/>
              <w:widowControl w:val="0"/>
              <w:kinsoku/>
              <w:wordWrap/>
              <w:topLinePunct w:val="0"/>
              <w:autoSpaceDE/>
              <w:autoSpaceDN/>
              <w:bidi w:val="0"/>
              <w:textAlignment w:val="auto"/>
              <w:outlineLvl w:val="9"/>
              <w:rPr>
                <w:lang w:eastAsia="zh-CN"/>
              </w:rPr>
            </w:pPr>
          </w:p>
        </w:tc>
      </w:tr>
      <w:tr w14:paraId="102A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c>
          <w:tcPr>
            <w:tcW w:w="1633" w:type="dxa"/>
            <w:shd w:val="clear" w:color="auto" w:fill="auto"/>
            <w:vAlign w:val="center"/>
          </w:tcPr>
          <w:p w14:paraId="0A509306">
            <w:pPr>
              <w:pStyle w:val="82"/>
              <w:pageBreakBefore w:val="0"/>
              <w:widowControl w:val="0"/>
              <w:kinsoku/>
              <w:wordWrap/>
              <w:topLinePunct w:val="0"/>
              <w:autoSpaceDE/>
              <w:autoSpaceDN/>
              <w:bidi w:val="0"/>
              <w:textAlignment w:val="auto"/>
              <w:outlineLvl w:val="9"/>
              <w:rPr>
                <w:lang w:eastAsia="zh-CN"/>
              </w:rPr>
            </w:pPr>
            <w:r>
              <w:rPr>
                <w:rFonts w:hint="eastAsia"/>
                <w:lang w:eastAsia="zh-CN"/>
              </w:rPr>
              <w:t>12</w:t>
            </w:r>
          </w:p>
        </w:tc>
        <w:tc>
          <w:tcPr>
            <w:tcW w:w="1362" w:type="dxa"/>
            <w:shd w:val="clear" w:color="auto" w:fill="auto"/>
            <w:vAlign w:val="center"/>
          </w:tcPr>
          <w:p w14:paraId="407A83A6">
            <w:pPr>
              <w:pStyle w:val="82"/>
              <w:pageBreakBefore w:val="0"/>
              <w:widowControl w:val="0"/>
              <w:kinsoku/>
              <w:wordWrap/>
              <w:topLinePunct w:val="0"/>
              <w:autoSpaceDE/>
              <w:autoSpaceDN/>
              <w:bidi w:val="0"/>
              <w:textAlignment w:val="auto"/>
              <w:outlineLvl w:val="9"/>
              <w:rPr>
                <w:lang w:eastAsia="zh-CN"/>
              </w:rPr>
            </w:pPr>
            <w:r>
              <w:rPr>
                <w:rFonts w:hint="eastAsia"/>
                <w:lang w:eastAsia="zh-CN"/>
              </w:rPr>
              <w:t>所属行业</w:t>
            </w:r>
          </w:p>
        </w:tc>
        <w:tc>
          <w:tcPr>
            <w:tcW w:w="5527" w:type="dxa"/>
            <w:shd w:val="clear" w:color="auto" w:fill="auto"/>
          </w:tcPr>
          <w:p w14:paraId="2E88375C">
            <w:pPr>
              <w:pStyle w:val="82"/>
              <w:pageBreakBefore w:val="0"/>
              <w:widowControl w:val="0"/>
              <w:kinsoku/>
              <w:wordWrap/>
              <w:topLinePunct w:val="0"/>
              <w:autoSpaceDE/>
              <w:autoSpaceDN/>
              <w:bidi w:val="0"/>
              <w:textAlignment w:val="auto"/>
              <w:outlineLvl w:val="9"/>
              <w:rPr>
                <w:lang w:eastAsia="zh-CN"/>
              </w:rPr>
            </w:pPr>
            <w:r>
              <w:rPr>
                <w:rFonts w:hint="eastAsia"/>
                <w:lang w:eastAsia="zh-CN"/>
              </w:rPr>
              <w:t>电力、热力、燃气及水生产和供应业_水的生产和供应业_自来水生产和供应</w:t>
            </w:r>
          </w:p>
        </w:tc>
      </w:tr>
    </w:tbl>
    <w:p w14:paraId="11B2C760">
      <w:pPr>
        <w:pageBreakBefore w:val="0"/>
        <w:widowControl w:val="0"/>
        <w:kinsoku/>
        <w:wordWrap/>
        <w:topLinePunct w:val="0"/>
        <w:autoSpaceDE/>
        <w:autoSpaceDN/>
        <w:bidi w:val="0"/>
        <w:ind w:firstLine="480"/>
        <w:textAlignment w:val="auto"/>
        <w:outlineLvl w:val="9"/>
        <w:rPr>
          <w:lang w:eastAsia="zh-CN"/>
        </w:rPr>
      </w:pPr>
    </w:p>
    <w:p w14:paraId="254A1336">
      <w:pPr>
        <w:pageBreakBefore w:val="0"/>
        <w:widowControl w:val="0"/>
        <w:kinsoku/>
        <w:wordWrap/>
        <w:topLinePunct w:val="0"/>
        <w:autoSpaceDE/>
        <w:autoSpaceDN/>
        <w:bidi w:val="0"/>
        <w:textAlignment w:val="auto"/>
        <w:outlineLvl w:val="9"/>
        <w:rPr>
          <w:lang w:eastAsia="zh-CN"/>
        </w:rPr>
      </w:pPr>
      <w:r>
        <w:rPr>
          <w:rFonts w:hint="eastAsia"/>
          <w:lang w:eastAsia="zh-CN"/>
        </w:rPr>
        <w:t>项目位置</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 w:type="dxa"/>
          <w:bottom w:w="1" w:type="dxa"/>
          <w:right w:w="1" w:type="dxa"/>
        </w:tblCellMar>
      </w:tblPr>
      <w:tblGrid>
        <w:gridCol w:w="1489"/>
        <w:gridCol w:w="3407"/>
        <w:gridCol w:w="3437"/>
      </w:tblGrid>
      <w:tr w14:paraId="205B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rPr>
          <w:trHeight w:val="285" w:hRule="atLeast"/>
          <w:jc w:val="center"/>
        </w:trPr>
        <w:tc>
          <w:tcPr>
            <w:tcW w:w="893" w:type="pct"/>
            <w:shd w:val="clear" w:color="auto" w:fill="auto"/>
            <w:noWrap/>
            <w:tcMar>
              <w:top w:w="15" w:type="dxa"/>
              <w:left w:w="15" w:type="dxa"/>
              <w:right w:w="15" w:type="dxa"/>
            </w:tcMar>
            <w:vAlign w:val="bottom"/>
          </w:tcPr>
          <w:p w14:paraId="62BE9359">
            <w:pPr>
              <w:pStyle w:val="82"/>
              <w:pageBreakBefore w:val="0"/>
              <w:widowControl w:val="0"/>
              <w:kinsoku/>
              <w:wordWrap/>
              <w:topLinePunct w:val="0"/>
              <w:autoSpaceDE/>
              <w:autoSpaceDN/>
              <w:bidi w:val="0"/>
              <w:textAlignment w:val="auto"/>
              <w:outlineLvl w:val="9"/>
              <w:rPr>
                <w:b/>
                <w:bCs/>
              </w:rPr>
            </w:pPr>
            <w:r>
              <w:rPr>
                <w:rFonts w:hint="eastAsia"/>
                <w:b/>
                <w:bCs/>
                <w:lang w:eastAsia="zh-CN"/>
              </w:rPr>
              <w:t>序号</w:t>
            </w:r>
          </w:p>
        </w:tc>
        <w:tc>
          <w:tcPr>
            <w:tcW w:w="2044" w:type="pct"/>
            <w:shd w:val="clear" w:color="auto" w:fill="auto"/>
            <w:noWrap/>
            <w:tcMar>
              <w:top w:w="15" w:type="dxa"/>
              <w:left w:w="15" w:type="dxa"/>
              <w:right w:w="15" w:type="dxa"/>
            </w:tcMar>
            <w:vAlign w:val="bottom"/>
          </w:tcPr>
          <w:p w14:paraId="0DAF0CA4">
            <w:pPr>
              <w:pStyle w:val="82"/>
              <w:pageBreakBefore w:val="0"/>
              <w:widowControl w:val="0"/>
              <w:kinsoku/>
              <w:wordWrap/>
              <w:topLinePunct w:val="0"/>
              <w:autoSpaceDE/>
              <w:autoSpaceDN/>
              <w:bidi w:val="0"/>
              <w:textAlignment w:val="auto"/>
              <w:outlineLvl w:val="9"/>
              <w:rPr>
                <w:b/>
                <w:bCs/>
              </w:rPr>
            </w:pPr>
            <w:r>
              <w:rPr>
                <w:rFonts w:hint="eastAsia"/>
                <w:b/>
                <w:bCs/>
                <w:lang w:eastAsia="zh-CN"/>
              </w:rPr>
              <w:t>经度</w:t>
            </w:r>
          </w:p>
        </w:tc>
        <w:tc>
          <w:tcPr>
            <w:tcW w:w="2062" w:type="pct"/>
            <w:shd w:val="clear" w:color="auto" w:fill="auto"/>
            <w:noWrap/>
            <w:tcMar>
              <w:top w:w="15" w:type="dxa"/>
              <w:left w:w="15" w:type="dxa"/>
              <w:right w:w="15" w:type="dxa"/>
            </w:tcMar>
            <w:vAlign w:val="bottom"/>
          </w:tcPr>
          <w:p w14:paraId="22169961">
            <w:pPr>
              <w:pStyle w:val="82"/>
              <w:pageBreakBefore w:val="0"/>
              <w:widowControl w:val="0"/>
              <w:kinsoku/>
              <w:wordWrap/>
              <w:topLinePunct w:val="0"/>
              <w:autoSpaceDE/>
              <w:autoSpaceDN/>
              <w:bidi w:val="0"/>
              <w:textAlignment w:val="auto"/>
              <w:outlineLvl w:val="9"/>
              <w:rPr>
                <w:b/>
                <w:bCs/>
              </w:rPr>
            </w:pPr>
            <w:r>
              <w:rPr>
                <w:rFonts w:hint="eastAsia"/>
                <w:b/>
                <w:bCs/>
                <w:lang w:eastAsia="zh-CN"/>
              </w:rPr>
              <w:t>纬度</w:t>
            </w:r>
          </w:p>
        </w:tc>
      </w:tr>
      <w:tr w14:paraId="3A2B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 w:type="dxa"/>
            <w:bottom w:w="1" w:type="dxa"/>
            <w:right w:w="1" w:type="dxa"/>
          </w:tblCellMar>
        </w:tblPrEx>
        <w:trPr>
          <w:trHeight w:val="270" w:hRule="atLeast"/>
          <w:jc w:val="center"/>
        </w:trPr>
        <w:tc>
          <w:tcPr>
            <w:tcW w:w="893" w:type="pct"/>
            <w:shd w:val="clear" w:color="auto" w:fill="auto"/>
            <w:noWrap/>
            <w:tcMar>
              <w:top w:w="15" w:type="dxa"/>
              <w:left w:w="15" w:type="dxa"/>
              <w:right w:w="15" w:type="dxa"/>
            </w:tcMar>
            <w:vAlign w:val="bottom"/>
          </w:tcPr>
          <w:p w14:paraId="3D8BD729">
            <w:pPr>
              <w:pStyle w:val="82"/>
              <w:pageBreakBefore w:val="0"/>
              <w:widowControl w:val="0"/>
              <w:kinsoku/>
              <w:wordWrap/>
              <w:topLinePunct w:val="0"/>
              <w:autoSpaceDE/>
              <w:autoSpaceDN/>
              <w:bidi w:val="0"/>
              <w:textAlignment w:val="auto"/>
              <w:outlineLvl w:val="9"/>
              <w:rPr>
                <w:lang w:eastAsia="zh-CN"/>
              </w:rPr>
            </w:pPr>
            <w:r>
              <w:rPr>
                <w:rFonts w:hint="eastAsia"/>
                <w:lang w:eastAsia="zh-CN"/>
              </w:rPr>
              <w:t>1</w:t>
            </w:r>
          </w:p>
        </w:tc>
        <w:tc>
          <w:tcPr>
            <w:tcW w:w="2044" w:type="pct"/>
            <w:shd w:val="clear" w:color="auto" w:fill="auto"/>
            <w:noWrap/>
            <w:tcMar>
              <w:top w:w="15" w:type="dxa"/>
              <w:left w:w="15" w:type="dxa"/>
              <w:right w:w="15" w:type="dxa"/>
            </w:tcMar>
            <w:vAlign w:val="bottom"/>
          </w:tcPr>
          <w:p w14:paraId="45D40427">
            <w:pPr>
              <w:pStyle w:val="82"/>
              <w:pageBreakBefore w:val="0"/>
              <w:widowControl w:val="0"/>
              <w:kinsoku/>
              <w:wordWrap/>
              <w:topLinePunct w:val="0"/>
              <w:autoSpaceDE/>
              <w:autoSpaceDN/>
              <w:bidi w:val="0"/>
              <w:textAlignment w:val="auto"/>
              <w:outlineLvl w:val="9"/>
              <w:rPr>
                <w:lang w:eastAsia="zh-CN"/>
              </w:rPr>
            </w:pPr>
            <w:r>
              <w:rPr>
                <w:rFonts w:hint="eastAsia"/>
                <w:lang w:eastAsia="zh-CN"/>
              </w:rPr>
              <w:t>113.088793</w:t>
            </w:r>
          </w:p>
        </w:tc>
        <w:tc>
          <w:tcPr>
            <w:tcW w:w="2062" w:type="pct"/>
            <w:shd w:val="clear" w:color="auto" w:fill="auto"/>
            <w:noWrap/>
            <w:tcMar>
              <w:top w:w="15" w:type="dxa"/>
              <w:left w:w="15" w:type="dxa"/>
              <w:right w:w="15" w:type="dxa"/>
            </w:tcMar>
            <w:vAlign w:val="bottom"/>
          </w:tcPr>
          <w:p w14:paraId="5D459A84">
            <w:pPr>
              <w:pStyle w:val="82"/>
              <w:pageBreakBefore w:val="0"/>
              <w:widowControl w:val="0"/>
              <w:kinsoku/>
              <w:wordWrap/>
              <w:topLinePunct w:val="0"/>
              <w:autoSpaceDE/>
              <w:autoSpaceDN/>
              <w:bidi w:val="0"/>
              <w:textAlignment w:val="auto"/>
              <w:outlineLvl w:val="9"/>
              <w:rPr>
                <w:lang w:eastAsia="zh-CN"/>
              </w:rPr>
            </w:pPr>
            <w:r>
              <w:rPr>
                <w:rFonts w:hint="eastAsia"/>
                <w:lang w:eastAsia="zh-CN"/>
              </w:rPr>
              <w:t>29.389045</w:t>
            </w:r>
          </w:p>
        </w:tc>
      </w:tr>
    </w:tbl>
    <w:p w14:paraId="2CAC4244">
      <w:pPr>
        <w:pageBreakBefore w:val="0"/>
        <w:widowControl w:val="0"/>
        <w:kinsoku/>
        <w:wordWrap/>
        <w:topLinePunct w:val="0"/>
        <w:autoSpaceDE/>
        <w:autoSpaceDN/>
        <w:bidi w:val="0"/>
        <w:ind w:firstLine="0" w:firstLineChars="0"/>
        <w:textAlignment w:val="auto"/>
        <w:outlineLvl w:val="9"/>
        <w:rPr>
          <w:lang w:eastAsia="zh-CN"/>
        </w:rPr>
      </w:pPr>
    </w:p>
    <w:p w14:paraId="77CFC51A">
      <w:pPr>
        <w:pageBreakBefore w:val="0"/>
        <w:widowControl w:val="0"/>
        <w:kinsoku/>
        <w:wordWrap/>
        <w:topLinePunct w:val="0"/>
        <w:autoSpaceDE/>
        <w:autoSpaceDN/>
        <w:bidi w:val="0"/>
        <w:textAlignment w:val="auto"/>
        <w:outlineLvl w:val="9"/>
        <w:rPr>
          <w:rFonts w:hint="eastAsia"/>
          <w:b/>
          <w:bCs/>
          <w:sz w:val="24"/>
          <w:szCs w:val="32"/>
          <w:lang w:eastAsia="zh-CN"/>
        </w:rPr>
      </w:pPr>
      <w:r>
        <w:rPr>
          <w:rFonts w:hint="eastAsia"/>
          <w:b/>
          <w:bCs/>
          <w:sz w:val="24"/>
          <w:szCs w:val="32"/>
          <w:lang w:eastAsia="zh-CN"/>
        </w:rPr>
        <w:t>项目研判分析结果</w:t>
      </w:r>
    </w:p>
    <w:p w14:paraId="76F5427F">
      <w:pPr>
        <w:pageBreakBefore w:val="0"/>
        <w:widowControl w:val="0"/>
        <w:kinsoku/>
        <w:wordWrap/>
        <w:topLinePunct w:val="0"/>
        <w:autoSpaceDE/>
        <w:autoSpaceDN/>
        <w:bidi w:val="0"/>
        <w:ind w:firstLine="480"/>
        <w:textAlignment w:val="auto"/>
        <w:outlineLvl w:val="9"/>
        <w:rPr>
          <w:b/>
          <w:bCs/>
          <w:color w:val="FF0000"/>
          <w:lang w:eastAsia="zh-CN"/>
        </w:rPr>
      </w:pPr>
      <w:r>
        <w:rPr>
          <w:rFonts w:ascii="Helvetica" w:hAnsi="Helvetica" w:eastAsia="Helvetica" w:cs="Helvetica"/>
          <w:color w:val="676A6C"/>
          <w:lang w:eastAsia="zh-CN"/>
        </w:rPr>
        <w:t>根据单元管控要求进行项目研判分析，共涉及</w:t>
      </w:r>
      <w:r>
        <w:rPr>
          <w:rFonts w:hint="eastAsia" w:ascii="Helvetica" w:hAnsi="Helvetica" w:cs="Helvetica" w:eastAsiaTheme="minorEastAsia"/>
          <w:color w:val="000000"/>
          <w:lang w:eastAsia="zh-CN"/>
        </w:rPr>
        <w:t>1</w:t>
      </w:r>
      <w:r>
        <w:rPr>
          <w:rFonts w:ascii="Helvetica" w:hAnsi="Helvetica" w:eastAsia="Helvetica" w:cs="Helvetica"/>
          <w:color w:val="676A6C"/>
          <w:lang w:eastAsia="zh-CN"/>
        </w:rPr>
        <w:t>个单元，总计发现问题项</w:t>
      </w:r>
      <w:r>
        <w:rPr>
          <w:rFonts w:hint="eastAsia" w:ascii="Helvetica" w:hAnsi="Helvetica" w:cs="Helvetica" w:eastAsiaTheme="minorEastAsia"/>
          <w:b/>
          <w:color w:val="FF000A"/>
          <w:lang w:eastAsia="zh-CN"/>
        </w:rPr>
        <w:t>0</w:t>
      </w:r>
      <w:r>
        <w:rPr>
          <w:rFonts w:ascii="Helvetica" w:hAnsi="Helvetica" w:eastAsia="Helvetica" w:cs="Helvetica"/>
          <w:color w:val="676A6C"/>
          <w:lang w:eastAsia="zh-CN"/>
        </w:rPr>
        <w:t>个，注意项</w:t>
      </w:r>
      <w:r>
        <w:rPr>
          <w:rFonts w:hint="eastAsia" w:ascii="Helvetica" w:hAnsi="Helvetica" w:cs="Helvetica" w:eastAsiaTheme="minorEastAsia"/>
          <w:b/>
          <w:color w:val="FFC000"/>
          <w:lang w:eastAsia="zh-CN"/>
        </w:rPr>
        <w:t>3</w:t>
      </w:r>
      <w:r>
        <w:rPr>
          <w:rFonts w:ascii="Helvetica" w:hAnsi="Helvetica" w:eastAsia="Helvetica" w:cs="Helvetica"/>
          <w:color w:val="676A6C"/>
          <w:lang w:eastAsia="zh-CN"/>
        </w:rPr>
        <w:t>个，符合项</w:t>
      </w:r>
      <w:r>
        <w:rPr>
          <w:rFonts w:hint="eastAsia" w:ascii="Helvetica" w:hAnsi="Helvetica" w:cs="Helvetica" w:eastAsiaTheme="minorEastAsia"/>
          <w:b/>
          <w:color w:val="00B050"/>
          <w:lang w:eastAsia="zh-CN"/>
        </w:rPr>
        <w:t>0</w:t>
      </w:r>
      <w:r>
        <w:rPr>
          <w:rFonts w:ascii="Helvetica" w:hAnsi="Helvetica" w:eastAsia="Helvetica" w:cs="Helvetica"/>
          <w:color w:val="676A6C"/>
          <w:lang w:eastAsia="zh-CN"/>
        </w:rPr>
        <w:t>个，无关项</w:t>
      </w:r>
      <w:r>
        <w:rPr>
          <w:rFonts w:hint="eastAsia" w:ascii="Helvetica" w:hAnsi="Helvetica" w:cs="Helvetica" w:eastAsiaTheme="minorEastAsia"/>
          <w:b/>
          <w:color w:val="00AFEF"/>
          <w:lang w:eastAsia="zh-CN"/>
        </w:rPr>
        <w:t>10</w:t>
      </w:r>
      <w:r>
        <w:rPr>
          <w:rFonts w:ascii="Helvetica" w:hAnsi="Helvetica" w:eastAsia="Helvetica" w:cs="Helvetica"/>
          <w:color w:val="676A6C"/>
          <w:lang w:eastAsia="zh-CN"/>
        </w:rPr>
        <w:t>个。</w:t>
      </w:r>
      <w:r>
        <w:rPr>
          <w:rFonts w:hint="eastAsia" w:ascii="Helvetica" w:hAnsi="Helvetica" w:cs="Helvetica"/>
          <w:color w:val="676A6C"/>
          <w:lang w:eastAsia="zh-CN"/>
        </w:rPr>
        <w:t>每个涉及到的管控单元研判分析结果详情如下：</w:t>
      </w:r>
    </w:p>
    <w:p w14:paraId="394DA450">
      <w:pPr>
        <w:pStyle w:val="82"/>
        <w:pageBreakBefore w:val="0"/>
        <w:widowControl w:val="0"/>
        <w:kinsoku/>
        <w:wordWrap/>
        <w:topLinePunct w:val="0"/>
        <w:autoSpaceDE/>
        <w:autoSpaceDN/>
        <w:bidi w:val="0"/>
        <w:textAlignment w:val="auto"/>
        <w:outlineLvl w:val="9"/>
      </w:pPr>
      <w:r>
        <w:rPr>
          <w:rFonts w:hint="eastAsia"/>
          <w:lang w:eastAsia="zh-CN"/>
        </w:rPr>
        <w:drawing>
          <wp:inline distT="0" distB="0" distL="0" distR="0">
            <wp:extent cx="5080000" cy="2476500"/>
            <wp:effectExtent l="0" t="0" r="6350" b="0"/>
            <wp:docPr id="124" name="Drawing 0" descr="项目范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Drawing 0" descr="项目范围.png"/>
                    <pic:cNvPicPr>
                      <a:picLocks noChangeAspect="1"/>
                    </pic:cNvPicPr>
                  </pic:nvPicPr>
                  <pic:blipFill>
                    <a:blip r:embed="rId46"/>
                    <a:stretch>
                      <a:fillRect/>
                    </a:stretch>
                  </pic:blipFill>
                  <pic:spPr>
                    <a:xfrm>
                      <a:off x="0" y="0"/>
                      <a:ext cx="5080000" cy="2476500"/>
                    </a:xfrm>
                    <a:prstGeom prst="rect">
                      <a:avLst/>
                    </a:prstGeom>
                  </pic:spPr>
                </pic:pic>
              </a:graphicData>
            </a:graphic>
          </wp:inline>
        </w:drawing>
      </w:r>
    </w:p>
    <w:p w14:paraId="5C27C3C8">
      <w:pPr>
        <w:pStyle w:val="82"/>
        <w:pageBreakBefore w:val="0"/>
        <w:widowControl w:val="0"/>
        <w:kinsoku/>
        <w:wordWrap/>
        <w:topLinePunct w:val="0"/>
        <w:autoSpaceDE/>
        <w:autoSpaceDN/>
        <w:bidi w:val="0"/>
        <w:textAlignment w:val="auto"/>
        <w:outlineLvl w:val="9"/>
        <w:rPr>
          <w:lang w:eastAsia="zh-CN"/>
        </w:rPr>
      </w:pPr>
      <w:r>
        <w:rPr>
          <w:rFonts w:hint="eastAsia"/>
          <w:lang w:eastAsia="zh-CN"/>
        </w:rPr>
        <w:t>项目范围</w:t>
      </w:r>
    </w:p>
    <w:p w14:paraId="5E52004F">
      <w:pPr>
        <w:pStyle w:val="82"/>
        <w:pageBreakBefore w:val="0"/>
        <w:widowControl w:val="0"/>
        <w:kinsoku/>
        <w:wordWrap/>
        <w:topLinePunct w:val="0"/>
        <w:autoSpaceDE/>
        <w:autoSpaceDN/>
        <w:bidi w:val="0"/>
        <w:jc w:val="left"/>
        <w:textAlignment w:val="auto"/>
        <w:outlineLvl w:val="9"/>
        <w:rPr>
          <w:lang w:eastAsia="zh-CN"/>
        </w:rPr>
      </w:pPr>
    </w:p>
    <w:p w14:paraId="530BD5A7">
      <w:pPr>
        <w:pageBreakBefore w:val="0"/>
        <w:widowControl w:val="0"/>
        <w:kinsoku/>
        <w:wordWrap/>
        <w:topLinePunct w:val="0"/>
        <w:autoSpaceDE/>
        <w:autoSpaceDN/>
        <w:bidi w:val="0"/>
        <w:textAlignment w:val="auto"/>
        <w:outlineLvl w:val="9"/>
        <w:rPr>
          <w:rFonts w:hint="eastAsia"/>
          <w:b/>
          <w:bCs/>
          <w:sz w:val="24"/>
          <w:szCs w:val="32"/>
          <w:lang w:eastAsia="zh-CN"/>
        </w:rPr>
      </w:pPr>
      <w:r>
        <w:rPr>
          <w:rFonts w:hint="eastAsia"/>
          <w:b/>
          <w:bCs/>
          <w:sz w:val="24"/>
          <w:szCs w:val="32"/>
          <w:lang w:val="en-US" w:eastAsia="zh-CN"/>
        </w:rPr>
        <w:t>一、岳阳楼</w:t>
      </w:r>
      <w:r>
        <w:rPr>
          <w:rFonts w:hint="eastAsia"/>
          <w:b/>
          <w:bCs/>
          <w:sz w:val="24"/>
          <w:szCs w:val="32"/>
          <w:lang w:eastAsia="zh-CN"/>
        </w:rPr>
        <w:t>街道管控单元</w:t>
      </w:r>
    </w:p>
    <w:p w14:paraId="0746D65B">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管控单元分类：</w:t>
      </w:r>
      <w:r>
        <w:rPr>
          <w:rFonts w:hint="eastAsia"/>
          <w:lang w:eastAsia="zh-CN"/>
        </w:rPr>
        <w:t>重点管控单元；</w:t>
      </w:r>
    </w:p>
    <w:p w14:paraId="7C981017">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行政区划：</w:t>
      </w:r>
      <w:r>
        <w:rPr>
          <w:rFonts w:hint="eastAsia"/>
          <w:lang w:eastAsia="zh-CN"/>
        </w:rPr>
        <w:t>湖南省岳阳市岳阳楼区；</w:t>
      </w:r>
    </w:p>
    <w:p w14:paraId="111D6952">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分析结果统计：</w:t>
      </w:r>
      <w:r>
        <w:rPr>
          <w:rFonts w:hint="eastAsia"/>
          <w:lang w:eastAsia="zh-CN"/>
        </w:rPr>
        <w:t>问题项</w:t>
      </w:r>
      <w:r>
        <w:rPr>
          <w:rFonts w:hint="eastAsia" w:ascii="Helvetica" w:hAnsi="Helvetica" w:cs="Helvetica" w:eastAsiaTheme="minorEastAsia"/>
          <w:b/>
          <w:color w:val="FF000A"/>
          <w:lang w:eastAsia="zh-CN"/>
        </w:rPr>
        <w:t>0</w:t>
      </w:r>
      <w:r>
        <w:rPr>
          <w:rFonts w:hint="eastAsia"/>
          <w:lang w:eastAsia="zh-CN"/>
        </w:rPr>
        <w:t>，注意项</w:t>
      </w:r>
      <w:r>
        <w:rPr>
          <w:rFonts w:hint="eastAsia" w:ascii="Helvetica" w:hAnsi="Helvetica" w:cs="Helvetica" w:eastAsiaTheme="minorEastAsia"/>
          <w:b/>
          <w:color w:val="FFC000"/>
          <w:lang w:eastAsia="zh-CN"/>
        </w:rPr>
        <w:t>3</w:t>
      </w:r>
      <w:r>
        <w:rPr>
          <w:rFonts w:hint="eastAsia"/>
          <w:lang w:eastAsia="zh-CN"/>
        </w:rPr>
        <w:t>，符合项</w:t>
      </w:r>
      <w:r>
        <w:rPr>
          <w:rFonts w:hint="eastAsia" w:ascii="Helvetica" w:hAnsi="Helvetica" w:cs="Helvetica" w:eastAsiaTheme="minorEastAsia"/>
          <w:b/>
          <w:color w:val="00B050"/>
          <w:lang w:eastAsia="zh-CN"/>
        </w:rPr>
        <w:t>0</w:t>
      </w:r>
      <w:r>
        <w:rPr>
          <w:rFonts w:hint="eastAsia"/>
          <w:lang w:eastAsia="zh-CN"/>
        </w:rPr>
        <w:t>，无关项</w:t>
      </w:r>
      <w:r>
        <w:rPr>
          <w:rFonts w:hint="eastAsia" w:ascii="Helvetica" w:hAnsi="Helvetica" w:cs="Helvetica" w:eastAsiaTheme="minorEastAsia"/>
          <w:b/>
          <w:color w:val="00AFEF"/>
          <w:lang w:eastAsia="zh-CN"/>
        </w:rPr>
        <w:t>10</w:t>
      </w:r>
      <w:r>
        <w:rPr>
          <w:rFonts w:hint="eastAsia"/>
          <w:lang w:eastAsia="zh-CN"/>
        </w:rPr>
        <w:t>。</w:t>
      </w:r>
    </w:p>
    <w:p w14:paraId="12856FE1">
      <w:pPr>
        <w:pageBreakBefore w:val="0"/>
        <w:widowControl w:val="0"/>
        <w:kinsoku/>
        <w:wordWrap/>
        <w:topLinePunct w:val="0"/>
        <w:autoSpaceDE/>
        <w:autoSpaceDN/>
        <w:bidi w:val="0"/>
        <w:textAlignment w:val="auto"/>
        <w:outlineLvl w:val="9"/>
        <w:rPr>
          <w:rFonts w:hint="eastAsia"/>
          <w:b/>
          <w:bCs/>
          <w:sz w:val="24"/>
          <w:szCs w:val="32"/>
          <w:lang w:eastAsia="zh-CN"/>
        </w:rPr>
      </w:pPr>
      <w:r>
        <w:rPr>
          <w:rFonts w:hint="eastAsia"/>
          <w:b/>
          <w:bCs/>
          <w:sz w:val="24"/>
          <w:szCs w:val="32"/>
          <w:lang w:eastAsia="zh-CN"/>
        </w:rPr>
        <w:t>（一）空间布局约束</w:t>
      </w:r>
    </w:p>
    <w:p w14:paraId="7BA0D648">
      <w:pPr>
        <w:pageBreakBefore w:val="0"/>
        <w:widowControl w:val="0"/>
        <w:kinsoku/>
        <w:wordWrap/>
        <w:topLinePunct w:val="0"/>
        <w:autoSpaceDE/>
        <w:autoSpaceDN/>
        <w:bidi w:val="0"/>
        <w:ind w:firstLine="480"/>
        <w:textAlignment w:val="auto"/>
        <w:outlineLvl w:val="9"/>
        <w:rPr>
          <w:lang w:eastAsia="zh-CN"/>
        </w:rPr>
      </w:pPr>
      <w:r>
        <w:rPr>
          <w:rFonts w:hint="eastAsia"/>
          <w:lang w:eastAsia="zh-CN"/>
        </w:rPr>
        <w:t>问题项</w:t>
      </w:r>
      <w:r>
        <w:rPr>
          <w:rFonts w:hint="eastAsia" w:ascii="Helvetica" w:hAnsi="Helvetica" w:cs="Helvetica" w:eastAsiaTheme="minorEastAsia"/>
          <w:b/>
          <w:color w:val="FF000A"/>
          <w:lang w:eastAsia="zh-CN"/>
        </w:rPr>
        <w:t>0</w:t>
      </w:r>
      <w:r>
        <w:rPr>
          <w:rFonts w:hint="eastAsia"/>
          <w:lang w:eastAsia="zh-CN"/>
        </w:rPr>
        <w:t>，注意项</w:t>
      </w:r>
      <w:r>
        <w:rPr>
          <w:rFonts w:hint="eastAsia" w:ascii="Helvetica" w:hAnsi="Helvetica" w:cs="Helvetica" w:eastAsiaTheme="minorEastAsia"/>
          <w:b/>
          <w:color w:val="FFC000"/>
          <w:lang w:eastAsia="zh-CN"/>
        </w:rPr>
        <w:t>0</w:t>
      </w:r>
      <w:r>
        <w:rPr>
          <w:rFonts w:hint="eastAsia"/>
          <w:lang w:eastAsia="zh-CN"/>
        </w:rPr>
        <w:t>，符合项</w:t>
      </w:r>
      <w:r>
        <w:rPr>
          <w:rFonts w:hint="eastAsia" w:ascii="Helvetica" w:hAnsi="Helvetica" w:cs="Helvetica" w:eastAsiaTheme="minorEastAsia"/>
          <w:b/>
          <w:color w:val="00B050"/>
          <w:lang w:eastAsia="zh-CN"/>
        </w:rPr>
        <w:t>0</w:t>
      </w:r>
      <w:r>
        <w:rPr>
          <w:rFonts w:hint="eastAsia"/>
          <w:lang w:eastAsia="zh-CN"/>
        </w:rPr>
        <w:t>，无关项</w:t>
      </w:r>
      <w:r>
        <w:rPr>
          <w:rFonts w:hint="eastAsia" w:ascii="Helvetica" w:hAnsi="Helvetica" w:cs="Helvetica" w:eastAsiaTheme="minorEastAsia"/>
          <w:b/>
          <w:color w:val="00AFEF"/>
          <w:lang w:eastAsia="zh-CN"/>
        </w:rPr>
        <w:t>3</w:t>
      </w:r>
    </w:p>
    <w:p w14:paraId="0FF1B666">
      <w:pPr>
        <w:pageBreakBefore w:val="0"/>
        <w:widowControl w:val="0"/>
        <w:numPr>
          <w:ilvl w:val="4"/>
          <w:numId w:val="7"/>
        </w:numPr>
        <w:tabs>
          <w:tab w:val="left" w:pos="0"/>
          <w:tab w:val="left" w:pos="2100"/>
        </w:tabs>
        <w:kinsoku/>
        <w:wordWrap/>
        <w:topLinePunct w:val="0"/>
        <w:autoSpaceDE/>
        <w:autoSpaceDN/>
        <w:bidi w:val="0"/>
        <w:textAlignment w:val="auto"/>
        <w:outlineLvl w:val="9"/>
        <w:rPr>
          <w:lang w:eastAsia="zh-CN"/>
        </w:rPr>
      </w:pPr>
      <w:r>
        <w:rPr>
          <w:rFonts w:hint="eastAsia"/>
          <w:lang w:eastAsia="zh-CN"/>
        </w:rPr>
        <w:t>无关项—1</w:t>
      </w:r>
    </w:p>
    <w:p w14:paraId="22BF7B30">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分析结论：</w:t>
      </w:r>
    </w:p>
    <w:p w14:paraId="1D45EDC6">
      <w:pPr>
        <w:pageBreakBefore w:val="0"/>
        <w:widowControl w:val="0"/>
        <w:kinsoku/>
        <w:wordWrap/>
        <w:topLinePunct w:val="0"/>
        <w:autoSpaceDE/>
        <w:autoSpaceDN/>
        <w:bidi w:val="0"/>
        <w:ind w:firstLine="480"/>
        <w:textAlignment w:val="auto"/>
        <w:outlineLvl w:val="9"/>
        <w:rPr>
          <w:lang w:eastAsia="zh-CN"/>
        </w:rPr>
      </w:pPr>
      <w:r>
        <w:rPr>
          <w:rFonts w:hint="eastAsia"/>
          <w:lang w:eastAsia="zh-CN"/>
        </w:rPr>
        <w:t>该项目与管控要求无关</w:t>
      </w:r>
    </w:p>
    <w:p w14:paraId="1853FEFF">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管控要求：</w:t>
      </w:r>
    </w:p>
    <w:p w14:paraId="5A008218">
      <w:pPr>
        <w:pageBreakBefore w:val="0"/>
        <w:widowControl w:val="0"/>
        <w:kinsoku/>
        <w:wordWrap/>
        <w:topLinePunct w:val="0"/>
        <w:autoSpaceDE/>
        <w:autoSpaceDN/>
        <w:bidi w:val="0"/>
        <w:ind w:firstLine="480"/>
        <w:textAlignment w:val="auto"/>
        <w:outlineLvl w:val="9"/>
        <w:rPr>
          <w:lang w:eastAsia="zh-CN"/>
        </w:rPr>
      </w:pPr>
      <w:r>
        <w:rPr>
          <w:rFonts w:hint="eastAsia"/>
          <w:lang w:eastAsia="zh-CN"/>
        </w:rPr>
        <w:t>（1.1）</w:t>
      </w:r>
      <w:r>
        <w:rPr>
          <w:rFonts w:hint="eastAsia"/>
          <w:lang w:val="en-US" w:eastAsia="zh-CN"/>
        </w:rPr>
        <w:t>岳阳楼</w:t>
      </w:r>
      <w:r>
        <w:rPr>
          <w:rFonts w:hint="eastAsia"/>
          <w:lang w:eastAsia="zh-CN"/>
        </w:rPr>
        <w:t>街道：严禁生活污水、工业废水直排入湖和向湖内倾倒垃圾。</w:t>
      </w:r>
    </w:p>
    <w:p w14:paraId="5D07F901">
      <w:pPr>
        <w:pageBreakBefore w:val="0"/>
        <w:widowControl w:val="0"/>
        <w:numPr>
          <w:ilvl w:val="4"/>
          <w:numId w:val="7"/>
        </w:numPr>
        <w:tabs>
          <w:tab w:val="left" w:pos="0"/>
          <w:tab w:val="left" w:pos="2100"/>
        </w:tabs>
        <w:kinsoku/>
        <w:wordWrap/>
        <w:topLinePunct w:val="0"/>
        <w:autoSpaceDE/>
        <w:autoSpaceDN/>
        <w:bidi w:val="0"/>
        <w:textAlignment w:val="auto"/>
        <w:outlineLvl w:val="9"/>
        <w:rPr>
          <w:lang w:eastAsia="zh-CN"/>
        </w:rPr>
      </w:pPr>
      <w:r>
        <w:rPr>
          <w:rFonts w:hint="eastAsia"/>
          <w:lang w:eastAsia="zh-CN"/>
        </w:rPr>
        <w:t>无关项—2</w:t>
      </w:r>
    </w:p>
    <w:p w14:paraId="4F51CFEA">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分析结论：</w:t>
      </w:r>
    </w:p>
    <w:p w14:paraId="26958F3F">
      <w:pPr>
        <w:pageBreakBefore w:val="0"/>
        <w:widowControl w:val="0"/>
        <w:kinsoku/>
        <w:wordWrap/>
        <w:topLinePunct w:val="0"/>
        <w:autoSpaceDE/>
        <w:autoSpaceDN/>
        <w:bidi w:val="0"/>
        <w:ind w:firstLine="480"/>
        <w:textAlignment w:val="auto"/>
        <w:outlineLvl w:val="9"/>
        <w:rPr>
          <w:lang w:eastAsia="zh-CN"/>
        </w:rPr>
      </w:pPr>
      <w:r>
        <w:rPr>
          <w:rFonts w:hint="eastAsia"/>
          <w:lang w:eastAsia="zh-CN"/>
        </w:rPr>
        <w:t>该项目与管控要求无关</w:t>
      </w:r>
    </w:p>
    <w:p w14:paraId="3F9BD26A">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管控要求：</w:t>
      </w:r>
    </w:p>
    <w:p w14:paraId="79EBCA79">
      <w:pPr>
        <w:pageBreakBefore w:val="0"/>
        <w:widowControl w:val="0"/>
        <w:kinsoku/>
        <w:wordWrap/>
        <w:topLinePunct w:val="0"/>
        <w:autoSpaceDE/>
        <w:autoSpaceDN/>
        <w:bidi w:val="0"/>
        <w:ind w:firstLine="480"/>
        <w:textAlignment w:val="auto"/>
        <w:outlineLvl w:val="9"/>
        <w:rPr>
          <w:lang w:eastAsia="zh-CN"/>
        </w:rPr>
      </w:pPr>
      <w:r>
        <w:rPr>
          <w:rFonts w:hint="eastAsia"/>
          <w:lang w:eastAsia="zh-CN"/>
        </w:rPr>
        <w:t>（1.2）严格落实河长制、湖长制，实施好长江十年禁渔。</w:t>
      </w:r>
    </w:p>
    <w:p w14:paraId="6125D48E">
      <w:pPr>
        <w:pageBreakBefore w:val="0"/>
        <w:widowControl w:val="0"/>
        <w:numPr>
          <w:ilvl w:val="4"/>
          <w:numId w:val="7"/>
        </w:numPr>
        <w:tabs>
          <w:tab w:val="left" w:pos="0"/>
          <w:tab w:val="left" w:pos="2100"/>
        </w:tabs>
        <w:kinsoku/>
        <w:wordWrap/>
        <w:topLinePunct w:val="0"/>
        <w:autoSpaceDE/>
        <w:autoSpaceDN/>
        <w:bidi w:val="0"/>
        <w:textAlignment w:val="auto"/>
        <w:outlineLvl w:val="9"/>
        <w:rPr>
          <w:lang w:eastAsia="zh-CN"/>
        </w:rPr>
      </w:pPr>
      <w:r>
        <w:rPr>
          <w:rFonts w:hint="eastAsia"/>
          <w:lang w:eastAsia="zh-CN"/>
        </w:rPr>
        <w:t>无关项—3</w:t>
      </w:r>
    </w:p>
    <w:p w14:paraId="1A46907D">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分析结论：</w:t>
      </w:r>
    </w:p>
    <w:p w14:paraId="681B6B51">
      <w:pPr>
        <w:pageBreakBefore w:val="0"/>
        <w:widowControl w:val="0"/>
        <w:kinsoku/>
        <w:wordWrap/>
        <w:topLinePunct w:val="0"/>
        <w:autoSpaceDE/>
        <w:autoSpaceDN/>
        <w:bidi w:val="0"/>
        <w:ind w:firstLine="480"/>
        <w:textAlignment w:val="auto"/>
        <w:outlineLvl w:val="9"/>
        <w:rPr>
          <w:lang w:eastAsia="zh-CN"/>
        </w:rPr>
      </w:pPr>
      <w:r>
        <w:rPr>
          <w:rFonts w:hint="eastAsia"/>
          <w:lang w:eastAsia="zh-CN"/>
        </w:rPr>
        <w:t>该项目与管控要求无关</w:t>
      </w:r>
    </w:p>
    <w:p w14:paraId="186C8D51">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管控要求：</w:t>
      </w:r>
    </w:p>
    <w:p w14:paraId="60B8C013">
      <w:pPr>
        <w:pageBreakBefore w:val="0"/>
        <w:widowControl w:val="0"/>
        <w:kinsoku/>
        <w:wordWrap/>
        <w:topLinePunct w:val="0"/>
        <w:autoSpaceDE/>
        <w:autoSpaceDN/>
        <w:bidi w:val="0"/>
        <w:ind w:firstLine="480"/>
        <w:textAlignment w:val="auto"/>
        <w:outlineLvl w:val="9"/>
        <w:rPr>
          <w:lang w:eastAsia="zh-CN"/>
        </w:rPr>
      </w:pPr>
      <w:r>
        <w:rPr>
          <w:rFonts w:hint="eastAsia"/>
          <w:lang w:eastAsia="zh-CN"/>
        </w:rPr>
        <w:t>（1.3）禁止投肥（粪）投饵养殖的范围为全区范围（不含经济技术开发区、南湖新区）内所有天然湖泊和小Ⅱ型以上水库。严禁在全区天然水域内进行投肥（化肥、生物有机肥等）、投粪（生活垃圾、各类畜禽养殖废弃物、沼气池废液废渣等）、投饵等污染水体的行为，严禁进行违法围网、网箱和珍珠养殖。</w:t>
      </w:r>
    </w:p>
    <w:p w14:paraId="0BEA7D5F">
      <w:pPr>
        <w:pageBreakBefore w:val="0"/>
        <w:widowControl w:val="0"/>
        <w:kinsoku/>
        <w:wordWrap/>
        <w:topLinePunct w:val="0"/>
        <w:autoSpaceDE/>
        <w:autoSpaceDN/>
        <w:bidi w:val="0"/>
        <w:textAlignment w:val="auto"/>
        <w:outlineLvl w:val="9"/>
        <w:rPr>
          <w:rFonts w:hint="eastAsia"/>
          <w:b/>
          <w:bCs/>
          <w:sz w:val="24"/>
          <w:szCs w:val="32"/>
          <w:lang w:eastAsia="zh-CN"/>
        </w:rPr>
      </w:pPr>
      <w:r>
        <w:rPr>
          <w:rFonts w:hint="eastAsia"/>
          <w:b/>
          <w:bCs/>
          <w:sz w:val="24"/>
          <w:szCs w:val="32"/>
          <w:lang w:eastAsia="zh-CN"/>
        </w:rPr>
        <w:t>（二）污染物排放管控</w:t>
      </w:r>
    </w:p>
    <w:p w14:paraId="3BD1D2A8">
      <w:pPr>
        <w:pageBreakBefore w:val="0"/>
        <w:widowControl w:val="0"/>
        <w:kinsoku/>
        <w:wordWrap/>
        <w:topLinePunct w:val="0"/>
        <w:autoSpaceDE/>
        <w:autoSpaceDN/>
        <w:bidi w:val="0"/>
        <w:ind w:firstLine="480"/>
        <w:textAlignment w:val="auto"/>
        <w:outlineLvl w:val="9"/>
        <w:rPr>
          <w:lang w:eastAsia="zh-CN"/>
        </w:rPr>
      </w:pPr>
      <w:r>
        <w:rPr>
          <w:rFonts w:hint="eastAsia"/>
          <w:lang w:eastAsia="zh-CN"/>
        </w:rPr>
        <w:t>问题项</w:t>
      </w:r>
      <w:r>
        <w:rPr>
          <w:rFonts w:hint="eastAsia" w:ascii="Helvetica" w:hAnsi="Helvetica" w:cs="Helvetica" w:eastAsiaTheme="minorEastAsia"/>
          <w:b/>
          <w:color w:val="FF000A"/>
          <w:lang w:eastAsia="zh-CN"/>
        </w:rPr>
        <w:t>0</w:t>
      </w:r>
      <w:r>
        <w:rPr>
          <w:rFonts w:hint="eastAsia"/>
          <w:lang w:eastAsia="zh-CN"/>
        </w:rPr>
        <w:t>，注意项</w:t>
      </w:r>
      <w:r>
        <w:rPr>
          <w:rFonts w:hint="eastAsia" w:ascii="Helvetica" w:hAnsi="Helvetica" w:cs="Helvetica" w:eastAsiaTheme="minorEastAsia"/>
          <w:b/>
          <w:color w:val="FFC000"/>
          <w:lang w:eastAsia="zh-CN"/>
        </w:rPr>
        <w:t>3</w:t>
      </w:r>
      <w:r>
        <w:rPr>
          <w:rFonts w:hint="eastAsia"/>
          <w:lang w:eastAsia="zh-CN"/>
        </w:rPr>
        <w:t>，符合项</w:t>
      </w:r>
      <w:r>
        <w:rPr>
          <w:rFonts w:hint="eastAsia" w:ascii="Helvetica" w:hAnsi="Helvetica" w:cs="Helvetica" w:eastAsiaTheme="minorEastAsia"/>
          <w:b/>
          <w:color w:val="00B050"/>
          <w:lang w:eastAsia="zh-CN"/>
        </w:rPr>
        <w:t>0</w:t>
      </w:r>
      <w:r>
        <w:rPr>
          <w:rFonts w:hint="eastAsia"/>
          <w:lang w:eastAsia="zh-CN"/>
        </w:rPr>
        <w:t>，无关项</w:t>
      </w:r>
      <w:r>
        <w:rPr>
          <w:rFonts w:hint="eastAsia" w:ascii="Helvetica" w:hAnsi="Helvetica" w:cs="Helvetica" w:eastAsiaTheme="minorEastAsia"/>
          <w:b/>
          <w:color w:val="00AFEF"/>
          <w:lang w:eastAsia="zh-CN"/>
        </w:rPr>
        <w:t>1</w:t>
      </w:r>
    </w:p>
    <w:p w14:paraId="4674D3BA">
      <w:pPr>
        <w:pageBreakBefore w:val="0"/>
        <w:widowControl w:val="0"/>
        <w:numPr>
          <w:ilvl w:val="4"/>
          <w:numId w:val="7"/>
        </w:numPr>
        <w:tabs>
          <w:tab w:val="left" w:pos="0"/>
          <w:tab w:val="left" w:pos="2100"/>
        </w:tabs>
        <w:kinsoku/>
        <w:wordWrap/>
        <w:topLinePunct w:val="0"/>
        <w:autoSpaceDE/>
        <w:autoSpaceDN/>
        <w:bidi w:val="0"/>
        <w:textAlignment w:val="auto"/>
        <w:outlineLvl w:val="9"/>
        <w:rPr>
          <w:lang w:eastAsia="zh-CN"/>
        </w:rPr>
      </w:pPr>
      <w:r>
        <w:rPr>
          <w:rFonts w:hint="eastAsia"/>
          <w:lang w:eastAsia="zh-CN"/>
        </w:rPr>
        <w:t>注意项—1</w:t>
      </w:r>
    </w:p>
    <w:p w14:paraId="5F67B2AD">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分析结论：</w:t>
      </w:r>
    </w:p>
    <w:p w14:paraId="5BF7E638">
      <w:pPr>
        <w:pageBreakBefore w:val="0"/>
        <w:widowControl w:val="0"/>
        <w:kinsoku/>
        <w:wordWrap/>
        <w:topLinePunct w:val="0"/>
        <w:autoSpaceDE/>
        <w:autoSpaceDN/>
        <w:bidi w:val="0"/>
        <w:ind w:firstLine="480"/>
        <w:textAlignment w:val="auto"/>
        <w:outlineLvl w:val="9"/>
        <w:rPr>
          <w:lang w:eastAsia="zh-CN"/>
        </w:rPr>
      </w:pPr>
      <w:r>
        <w:rPr>
          <w:rFonts w:hint="eastAsia"/>
          <w:lang w:eastAsia="zh-CN"/>
        </w:rPr>
        <w:t>该项目属于</w:t>
      </w:r>
      <w:r>
        <w:rPr>
          <w:rFonts w:hint="eastAsia"/>
          <w:b/>
          <w:bCs/>
          <w:color w:val="FFC000"/>
          <w:lang w:eastAsia="zh-CN"/>
        </w:rPr>
        <w:t>“水污染”</w:t>
      </w:r>
      <w:r>
        <w:rPr>
          <w:rFonts w:hint="eastAsia"/>
          <w:lang w:eastAsia="zh-CN"/>
        </w:rPr>
        <w:t>项目，请进一步核实该项目是否符合管控要求</w:t>
      </w:r>
    </w:p>
    <w:p w14:paraId="6E5674B3">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管控要求：</w:t>
      </w:r>
    </w:p>
    <w:p w14:paraId="2AA2FE67">
      <w:pPr>
        <w:pageBreakBefore w:val="0"/>
        <w:widowControl w:val="0"/>
        <w:kinsoku/>
        <w:wordWrap/>
        <w:topLinePunct w:val="0"/>
        <w:autoSpaceDE/>
        <w:autoSpaceDN/>
        <w:bidi w:val="0"/>
        <w:ind w:firstLine="480"/>
        <w:textAlignment w:val="auto"/>
        <w:outlineLvl w:val="9"/>
        <w:rPr>
          <w:lang w:eastAsia="zh-CN"/>
        </w:rPr>
      </w:pPr>
      <w:r>
        <w:rPr>
          <w:rFonts w:hint="eastAsia"/>
          <w:lang w:eastAsia="zh-CN"/>
        </w:rPr>
        <w:t>（2.1）废气：聚焦臭氧前体物VOCs和氮氧化物，加快推进含VOCs原辅材料源头替代，实施清洁能源替代，强化石化、化工、工业涂装、包装印刷等重点行业及油品储运销VOCs深度治理。</w:t>
      </w:r>
    </w:p>
    <w:p w14:paraId="5C2853C8">
      <w:pPr>
        <w:pageBreakBefore w:val="0"/>
        <w:widowControl w:val="0"/>
        <w:numPr>
          <w:ilvl w:val="4"/>
          <w:numId w:val="7"/>
        </w:numPr>
        <w:tabs>
          <w:tab w:val="left" w:pos="0"/>
          <w:tab w:val="left" w:pos="2100"/>
        </w:tabs>
        <w:kinsoku/>
        <w:wordWrap/>
        <w:topLinePunct w:val="0"/>
        <w:autoSpaceDE/>
        <w:autoSpaceDN/>
        <w:bidi w:val="0"/>
        <w:textAlignment w:val="auto"/>
        <w:outlineLvl w:val="9"/>
        <w:rPr>
          <w:lang w:eastAsia="zh-CN"/>
        </w:rPr>
      </w:pPr>
      <w:r>
        <w:rPr>
          <w:rFonts w:hint="eastAsia"/>
          <w:lang w:eastAsia="zh-CN"/>
        </w:rPr>
        <w:t>注意项—2</w:t>
      </w:r>
    </w:p>
    <w:p w14:paraId="20F1EF8A">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分析结论：</w:t>
      </w:r>
    </w:p>
    <w:p w14:paraId="736C19B1">
      <w:pPr>
        <w:pageBreakBefore w:val="0"/>
        <w:widowControl w:val="0"/>
        <w:kinsoku/>
        <w:wordWrap/>
        <w:topLinePunct w:val="0"/>
        <w:autoSpaceDE/>
        <w:autoSpaceDN/>
        <w:bidi w:val="0"/>
        <w:ind w:firstLine="480"/>
        <w:textAlignment w:val="auto"/>
        <w:outlineLvl w:val="9"/>
        <w:rPr>
          <w:lang w:eastAsia="zh-CN"/>
        </w:rPr>
      </w:pPr>
      <w:r>
        <w:rPr>
          <w:rFonts w:hint="eastAsia"/>
          <w:lang w:eastAsia="zh-CN"/>
        </w:rPr>
        <w:t>该项目属于</w:t>
      </w:r>
      <w:r>
        <w:rPr>
          <w:rFonts w:hint="eastAsia"/>
          <w:b/>
          <w:bCs/>
          <w:color w:val="FFC000"/>
          <w:lang w:eastAsia="zh-CN"/>
        </w:rPr>
        <w:t>“水污染、气污染”</w:t>
      </w:r>
      <w:r>
        <w:rPr>
          <w:rFonts w:hint="eastAsia"/>
          <w:lang w:eastAsia="zh-CN"/>
        </w:rPr>
        <w:t>项目，请进一步核实该项目是否符合管控要求</w:t>
      </w:r>
    </w:p>
    <w:p w14:paraId="13C27D95">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管控要求：</w:t>
      </w:r>
    </w:p>
    <w:p w14:paraId="0C0F4A7B">
      <w:pPr>
        <w:pageBreakBefore w:val="0"/>
        <w:widowControl w:val="0"/>
        <w:kinsoku/>
        <w:wordWrap/>
        <w:topLinePunct w:val="0"/>
        <w:autoSpaceDE/>
        <w:autoSpaceDN/>
        <w:bidi w:val="0"/>
        <w:ind w:firstLine="480"/>
        <w:textAlignment w:val="auto"/>
        <w:outlineLvl w:val="9"/>
        <w:rPr>
          <w:lang w:eastAsia="zh-CN"/>
        </w:rPr>
      </w:pPr>
      <w:r>
        <w:rPr>
          <w:rFonts w:hint="eastAsia"/>
          <w:lang w:eastAsia="zh-CN"/>
        </w:rPr>
        <w:t>（2.2）废水：加快城镇水环境治理设施建设，在城市及乡镇污水处理设施全覆盖的基础上，加速城市老旧管网改造，实施雨污分流，提高生活污水集中收集率；加强农村生活污水治理，加快建设农村污水处理设施，提升农村污水处理率；强化渔业养殖尾水治理，做到养殖尾水资源化利用或达标排放。</w:t>
      </w:r>
    </w:p>
    <w:p w14:paraId="620EA378">
      <w:pPr>
        <w:pageBreakBefore w:val="0"/>
        <w:widowControl w:val="0"/>
        <w:numPr>
          <w:ilvl w:val="4"/>
          <w:numId w:val="7"/>
        </w:numPr>
        <w:tabs>
          <w:tab w:val="left" w:pos="0"/>
          <w:tab w:val="left" w:pos="2100"/>
        </w:tabs>
        <w:kinsoku/>
        <w:wordWrap/>
        <w:topLinePunct w:val="0"/>
        <w:autoSpaceDE/>
        <w:autoSpaceDN/>
        <w:bidi w:val="0"/>
        <w:textAlignment w:val="auto"/>
        <w:outlineLvl w:val="9"/>
        <w:rPr>
          <w:lang w:eastAsia="zh-CN"/>
        </w:rPr>
      </w:pPr>
      <w:r>
        <w:rPr>
          <w:rFonts w:hint="eastAsia"/>
          <w:lang w:eastAsia="zh-CN"/>
        </w:rPr>
        <w:t>注意项—3</w:t>
      </w:r>
    </w:p>
    <w:p w14:paraId="3EEB7BBD">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分析结论：</w:t>
      </w:r>
    </w:p>
    <w:p w14:paraId="62BB83ED">
      <w:pPr>
        <w:pageBreakBefore w:val="0"/>
        <w:widowControl w:val="0"/>
        <w:kinsoku/>
        <w:wordWrap/>
        <w:topLinePunct w:val="0"/>
        <w:autoSpaceDE/>
        <w:autoSpaceDN/>
        <w:bidi w:val="0"/>
        <w:ind w:firstLine="480"/>
        <w:textAlignment w:val="auto"/>
        <w:outlineLvl w:val="9"/>
        <w:rPr>
          <w:lang w:eastAsia="zh-CN"/>
        </w:rPr>
      </w:pPr>
      <w:r>
        <w:rPr>
          <w:rFonts w:hint="eastAsia"/>
          <w:lang w:eastAsia="zh-CN"/>
        </w:rPr>
        <w:t>该项目属于</w:t>
      </w:r>
      <w:r>
        <w:rPr>
          <w:rFonts w:hint="eastAsia"/>
          <w:b/>
          <w:bCs/>
          <w:color w:val="FFC000"/>
          <w:lang w:eastAsia="zh-CN"/>
        </w:rPr>
        <w:t>“固废危废”</w:t>
      </w:r>
      <w:r>
        <w:rPr>
          <w:rFonts w:hint="eastAsia"/>
          <w:lang w:eastAsia="zh-CN"/>
        </w:rPr>
        <w:t>项目，请进一步核实该项目是否符合管控要求</w:t>
      </w:r>
    </w:p>
    <w:p w14:paraId="0633E7E3">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管控要求：</w:t>
      </w:r>
    </w:p>
    <w:p w14:paraId="197E86CD">
      <w:pPr>
        <w:pageBreakBefore w:val="0"/>
        <w:widowControl w:val="0"/>
        <w:kinsoku/>
        <w:wordWrap/>
        <w:topLinePunct w:val="0"/>
        <w:autoSpaceDE/>
        <w:autoSpaceDN/>
        <w:bidi w:val="0"/>
        <w:ind w:firstLine="480"/>
        <w:textAlignment w:val="auto"/>
        <w:outlineLvl w:val="9"/>
        <w:rPr>
          <w:lang w:eastAsia="zh-CN"/>
        </w:rPr>
      </w:pPr>
      <w:r>
        <w:rPr>
          <w:rFonts w:hint="eastAsia"/>
          <w:lang w:eastAsia="zh-CN"/>
        </w:rPr>
        <w:t>（2.3）固体废物：推进农村生活垃圾源头分类收集、减量化。推进强化危险废物监管和利用处置能力改革，逐步建立源头严防、过程严管、后果严惩危险废物监管体系。</w:t>
      </w:r>
    </w:p>
    <w:p w14:paraId="4882EE87">
      <w:pPr>
        <w:pageBreakBefore w:val="0"/>
        <w:widowControl w:val="0"/>
        <w:numPr>
          <w:ilvl w:val="4"/>
          <w:numId w:val="7"/>
        </w:numPr>
        <w:tabs>
          <w:tab w:val="left" w:pos="0"/>
          <w:tab w:val="left" w:pos="2100"/>
        </w:tabs>
        <w:kinsoku/>
        <w:wordWrap/>
        <w:topLinePunct w:val="0"/>
        <w:autoSpaceDE/>
        <w:autoSpaceDN/>
        <w:bidi w:val="0"/>
        <w:textAlignment w:val="auto"/>
        <w:outlineLvl w:val="9"/>
        <w:rPr>
          <w:lang w:eastAsia="zh-CN"/>
        </w:rPr>
      </w:pPr>
      <w:r>
        <w:rPr>
          <w:rFonts w:hint="eastAsia"/>
          <w:lang w:eastAsia="zh-CN"/>
        </w:rPr>
        <w:t>无关项—1</w:t>
      </w:r>
    </w:p>
    <w:p w14:paraId="6583A797">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分析结论：</w:t>
      </w:r>
    </w:p>
    <w:p w14:paraId="4C5777B3">
      <w:pPr>
        <w:pageBreakBefore w:val="0"/>
        <w:widowControl w:val="0"/>
        <w:kinsoku/>
        <w:wordWrap/>
        <w:topLinePunct w:val="0"/>
        <w:autoSpaceDE/>
        <w:autoSpaceDN/>
        <w:bidi w:val="0"/>
        <w:ind w:firstLine="480"/>
        <w:textAlignment w:val="auto"/>
        <w:outlineLvl w:val="9"/>
        <w:rPr>
          <w:lang w:eastAsia="zh-CN"/>
        </w:rPr>
      </w:pPr>
      <w:r>
        <w:rPr>
          <w:rFonts w:hint="eastAsia"/>
          <w:lang w:eastAsia="zh-CN"/>
        </w:rPr>
        <w:t>该项目与管控要求无关</w:t>
      </w:r>
    </w:p>
    <w:p w14:paraId="5428C51C">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管控要求：</w:t>
      </w:r>
    </w:p>
    <w:p w14:paraId="15928180">
      <w:pPr>
        <w:pageBreakBefore w:val="0"/>
        <w:widowControl w:val="0"/>
        <w:kinsoku/>
        <w:wordWrap/>
        <w:topLinePunct w:val="0"/>
        <w:autoSpaceDE/>
        <w:autoSpaceDN/>
        <w:bidi w:val="0"/>
        <w:ind w:firstLine="480"/>
        <w:textAlignment w:val="auto"/>
        <w:outlineLvl w:val="9"/>
        <w:rPr>
          <w:lang w:eastAsia="zh-CN"/>
        </w:rPr>
      </w:pPr>
      <w:r>
        <w:rPr>
          <w:rFonts w:hint="eastAsia"/>
          <w:lang w:eastAsia="zh-CN"/>
        </w:rPr>
        <w:t>（2.4）农业面源：深入推进化肥农药减量增效。科学用药，提高农药利用率。推进农膜秸秆回收利用。推进以种养结合为重点的畜禽养殖废弃物资源利用。</w:t>
      </w:r>
    </w:p>
    <w:p w14:paraId="26BEA932">
      <w:pPr>
        <w:pageBreakBefore w:val="0"/>
        <w:widowControl w:val="0"/>
        <w:kinsoku/>
        <w:wordWrap/>
        <w:topLinePunct w:val="0"/>
        <w:autoSpaceDE/>
        <w:autoSpaceDN/>
        <w:bidi w:val="0"/>
        <w:textAlignment w:val="auto"/>
        <w:outlineLvl w:val="9"/>
        <w:rPr>
          <w:rFonts w:hint="eastAsia"/>
          <w:b/>
          <w:bCs/>
          <w:sz w:val="24"/>
          <w:szCs w:val="32"/>
          <w:lang w:eastAsia="zh-CN"/>
        </w:rPr>
      </w:pPr>
      <w:r>
        <w:rPr>
          <w:rFonts w:hint="eastAsia"/>
          <w:b/>
          <w:bCs/>
          <w:sz w:val="24"/>
          <w:szCs w:val="32"/>
          <w:lang w:eastAsia="zh-CN"/>
        </w:rPr>
        <w:t>（三）</w:t>
      </w:r>
      <w:r>
        <w:rPr>
          <w:rFonts w:hint="default"/>
          <w:b/>
          <w:bCs/>
          <w:sz w:val="24"/>
          <w:szCs w:val="32"/>
          <w:lang w:eastAsia="zh-CN"/>
        </w:rPr>
        <w:t>环境风险防控</w:t>
      </w:r>
    </w:p>
    <w:p w14:paraId="2DD74BC7">
      <w:pPr>
        <w:pageBreakBefore w:val="0"/>
        <w:widowControl w:val="0"/>
        <w:kinsoku/>
        <w:wordWrap/>
        <w:topLinePunct w:val="0"/>
        <w:autoSpaceDE/>
        <w:autoSpaceDN/>
        <w:bidi w:val="0"/>
        <w:ind w:firstLine="480"/>
        <w:textAlignment w:val="auto"/>
        <w:outlineLvl w:val="9"/>
        <w:rPr>
          <w:lang w:eastAsia="zh-CN"/>
        </w:rPr>
      </w:pPr>
      <w:r>
        <w:rPr>
          <w:rFonts w:hint="eastAsia"/>
          <w:lang w:eastAsia="zh-CN"/>
        </w:rPr>
        <w:t>问题项</w:t>
      </w:r>
      <w:r>
        <w:rPr>
          <w:rFonts w:hint="eastAsia" w:ascii="Helvetica" w:hAnsi="Helvetica" w:cs="Helvetica" w:eastAsiaTheme="minorEastAsia"/>
          <w:b/>
          <w:color w:val="FF000A"/>
          <w:lang w:eastAsia="zh-CN"/>
        </w:rPr>
        <w:t>0</w:t>
      </w:r>
      <w:r>
        <w:rPr>
          <w:rFonts w:hint="eastAsia"/>
          <w:lang w:eastAsia="zh-CN"/>
        </w:rPr>
        <w:t>，注意项</w:t>
      </w:r>
      <w:r>
        <w:rPr>
          <w:rFonts w:hint="eastAsia" w:ascii="Helvetica" w:hAnsi="Helvetica" w:cs="Helvetica" w:eastAsiaTheme="minorEastAsia"/>
          <w:b/>
          <w:color w:val="FFC000"/>
          <w:lang w:eastAsia="zh-CN"/>
        </w:rPr>
        <w:t>0</w:t>
      </w:r>
      <w:r>
        <w:rPr>
          <w:rFonts w:hint="eastAsia"/>
          <w:lang w:eastAsia="zh-CN"/>
        </w:rPr>
        <w:t>，符合项</w:t>
      </w:r>
      <w:r>
        <w:rPr>
          <w:rFonts w:hint="eastAsia" w:ascii="Helvetica" w:hAnsi="Helvetica" w:cs="Helvetica" w:eastAsiaTheme="minorEastAsia"/>
          <w:b/>
          <w:color w:val="00B050"/>
          <w:lang w:eastAsia="zh-CN"/>
        </w:rPr>
        <w:t>0</w:t>
      </w:r>
      <w:r>
        <w:rPr>
          <w:rFonts w:hint="eastAsia"/>
          <w:lang w:eastAsia="zh-CN"/>
        </w:rPr>
        <w:t>，无关项</w:t>
      </w:r>
      <w:r>
        <w:rPr>
          <w:rFonts w:hint="eastAsia" w:ascii="Helvetica" w:hAnsi="Helvetica" w:cs="Helvetica" w:eastAsiaTheme="minorEastAsia"/>
          <w:b/>
          <w:color w:val="00AFEF"/>
          <w:lang w:eastAsia="zh-CN"/>
        </w:rPr>
        <w:t>3</w:t>
      </w:r>
    </w:p>
    <w:p w14:paraId="450F15D2">
      <w:pPr>
        <w:pageBreakBefore w:val="0"/>
        <w:widowControl w:val="0"/>
        <w:numPr>
          <w:ilvl w:val="4"/>
          <w:numId w:val="7"/>
        </w:numPr>
        <w:tabs>
          <w:tab w:val="left" w:pos="0"/>
          <w:tab w:val="left" w:pos="2100"/>
        </w:tabs>
        <w:kinsoku/>
        <w:wordWrap/>
        <w:topLinePunct w:val="0"/>
        <w:autoSpaceDE/>
        <w:autoSpaceDN/>
        <w:bidi w:val="0"/>
        <w:textAlignment w:val="auto"/>
        <w:outlineLvl w:val="9"/>
        <w:rPr>
          <w:lang w:eastAsia="zh-CN"/>
        </w:rPr>
      </w:pPr>
      <w:r>
        <w:rPr>
          <w:rFonts w:hint="eastAsia"/>
          <w:lang w:eastAsia="zh-CN"/>
        </w:rPr>
        <w:t>无关项—1</w:t>
      </w:r>
    </w:p>
    <w:p w14:paraId="349EDCC0">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分析结论：</w:t>
      </w:r>
    </w:p>
    <w:p w14:paraId="754083DE">
      <w:pPr>
        <w:pageBreakBefore w:val="0"/>
        <w:widowControl w:val="0"/>
        <w:kinsoku/>
        <w:wordWrap/>
        <w:topLinePunct w:val="0"/>
        <w:autoSpaceDE/>
        <w:autoSpaceDN/>
        <w:bidi w:val="0"/>
        <w:ind w:firstLine="480"/>
        <w:textAlignment w:val="auto"/>
        <w:outlineLvl w:val="9"/>
        <w:rPr>
          <w:lang w:eastAsia="zh-CN"/>
        </w:rPr>
      </w:pPr>
      <w:r>
        <w:rPr>
          <w:rFonts w:hint="eastAsia"/>
          <w:lang w:eastAsia="zh-CN"/>
        </w:rPr>
        <w:t>该项目与管控要求无关</w:t>
      </w:r>
    </w:p>
    <w:p w14:paraId="34AC5475">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管控要求：</w:t>
      </w:r>
    </w:p>
    <w:p w14:paraId="610B1B4E">
      <w:pPr>
        <w:pageBreakBefore w:val="0"/>
        <w:widowControl w:val="0"/>
        <w:kinsoku/>
        <w:wordWrap/>
        <w:topLinePunct w:val="0"/>
        <w:autoSpaceDE/>
        <w:autoSpaceDN/>
        <w:bidi w:val="0"/>
        <w:ind w:firstLine="480"/>
        <w:textAlignment w:val="auto"/>
        <w:outlineLvl w:val="9"/>
        <w:rPr>
          <w:lang w:eastAsia="zh-CN"/>
        </w:rPr>
      </w:pPr>
      <w:r>
        <w:rPr>
          <w:rFonts w:hint="eastAsia"/>
          <w:lang w:eastAsia="zh-CN"/>
        </w:rPr>
        <w:t>（3.1）开展重点涉农街道（乡）受污染耕地土壤重金属成因排查试点，督促开展污染源头风险管控。</w:t>
      </w:r>
    </w:p>
    <w:p w14:paraId="58BFD1A1">
      <w:pPr>
        <w:pageBreakBefore w:val="0"/>
        <w:widowControl w:val="0"/>
        <w:numPr>
          <w:ilvl w:val="4"/>
          <w:numId w:val="7"/>
        </w:numPr>
        <w:tabs>
          <w:tab w:val="left" w:pos="0"/>
          <w:tab w:val="left" w:pos="2100"/>
        </w:tabs>
        <w:kinsoku/>
        <w:wordWrap/>
        <w:topLinePunct w:val="0"/>
        <w:autoSpaceDE/>
        <w:autoSpaceDN/>
        <w:bidi w:val="0"/>
        <w:textAlignment w:val="auto"/>
        <w:outlineLvl w:val="9"/>
        <w:rPr>
          <w:lang w:eastAsia="zh-CN"/>
        </w:rPr>
      </w:pPr>
      <w:r>
        <w:rPr>
          <w:rFonts w:hint="eastAsia"/>
          <w:lang w:eastAsia="zh-CN"/>
        </w:rPr>
        <w:t>无关项—2</w:t>
      </w:r>
    </w:p>
    <w:p w14:paraId="3F9CE10F">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分析结论：</w:t>
      </w:r>
    </w:p>
    <w:p w14:paraId="56F8D2F3">
      <w:pPr>
        <w:pageBreakBefore w:val="0"/>
        <w:widowControl w:val="0"/>
        <w:kinsoku/>
        <w:wordWrap/>
        <w:topLinePunct w:val="0"/>
        <w:autoSpaceDE/>
        <w:autoSpaceDN/>
        <w:bidi w:val="0"/>
        <w:ind w:firstLine="480"/>
        <w:textAlignment w:val="auto"/>
        <w:outlineLvl w:val="9"/>
        <w:rPr>
          <w:lang w:eastAsia="zh-CN"/>
        </w:rPr>
      </w:pPr>
      <w:r>
        <w:rPr>
          <w:rFonts w:hint="eastAsia"/>
          <w:lang w:eastAsia="zh-CN"/>
        </w:rPr>
        <w:t>该项目与管控要求无关</w:t>
      </w:r>
    </w:p>
    <w:p w14:paraId="77355F50">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管控要求：</w:t>
      </w:r>
    </w:p>
    <w:p w14:paraId="19AEBBD2">
      <w:pPr>
        <w:pageBreakBefore w:val="0"/>
        <w:widowControl w:val="0"/>
        <w:kinsoku/>
        <w:wordWrap/>
        <w:topLinePunct w:val="0"/>
        <w:autoSpaceDE/>
        <w:autoSpaceDN/>
        <w:bidi w:val="0"/>
        <w:ind w:firstLine="480"/>
        <w:textAlignment w:val="auto"/>
        <w:outlineLvl w:val="9"/>
        <w:rPr>
          <w:lang w:eastAsia="zh-CN"/>
        </w:rPr>
      </w:pPr>
      <w:r>
        <w:rPr>
          <w:rFonts w:hint="eastAsia"/>
          <w:lang w:eastAsia="zh-CN"/>
        </w:rPr>
        <w:t>（3.2）有效管控建设用地土壤污染风险。严格土壤污染重点监管单位和沿江化工企业搬迁腾退用地土壤污染风险管控。以用途变更为一住两公的地块为重点，依法开展土壤污染状况调查和风险评估。对纳入建设用地土壤污染风险管控和修复名录内的地块，移出名录前，不得核发建设工程规划许可证。从严管控农药、化工等行业中重度污染地块规划用途，确需开发利用的，鼓励用于拓展生态空间。对列入优先监管清单的地块，开展土壤污染调查和风险评估，按要求采取风险防控措施。</w:t>
      </w:r>
    </w:p>
    <w:p w14:paraId="61044B46">
      <w:pPr>
        <w:pageBreakBefore w:val="0"/>
        <w:widowControl w:val="0"/>
        <w:numPr>
          <w:ilvl w:val="4"/>
          <w:numId w:val="7"/>
        </w:numPr>
        <w:tabs>
          <w:tab w:val="left" w:pos="0"/>
          <w:tab w:val="left" w:pos="2100"/>
        </w:tabs>
        <w:kinsoku/>
        <w:wordWrap/>
        <w:topLinePunct w:val="0"/>
        <w:autoSpaceDE/>
        <w:autoSpaceDN/>
        <w:bidi w:val="0"/>
        <w:textAlignment w:val="auto"/>
        <w:outlineLvl w:val="9"/>
        <w:rPr>
          <w:lang w:eastAsia="zh-CN"/>
        </w:rPr>
      </w:pPr>
      <w:r>
        <w:rPr>
          <w:rFonts w:hint="eastAsia"/>
          <w:lang w:eastAsia="zh-CN"/>
        </w:rPr>
        <w:t>无关项—3</w:t>
      </w:r>
    </w:p>
    <w:p w14:paraId="770360E3">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分析结论：</w:t>
      </w:r>
    </w:p>
    <w:p w14:paraId="2A9E19F2">
      <w:pPr>
        <w:pageBreakBefore w:val="0"/>
        <w:widowControl w:val="0"/>
        <w:kinsoku/>
        <w:wordWrap/>
        <w:topLinePunct w:val="0"/>
        <w:autoSpaceDE/>
        <w:autoSpaceDN/>
        <w:bidi w:val="0"/>
        <w:ind w:firstLine="480"/>
        <w:textAlignment w:val="auto"/>
        <w:outlineLvl w:val="9"/>
        <w:rPr>
          <w:lang w:eastAsia="zh-CN"/>
        </w:rPr>
      </w:pPr>
      <w:r>
        <w:rPr>
          <w:rFonts w:hint="eastAsia"/>
          <w:lang w:eastAsia="zh-CN"/>
        </w:rPr>
        <w:t>该项目与管控要求无关</w:t>
      </w:r>
    </w:p>
    <w:p w14:paraId="4E44866D">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管控要求：</w:t>
      </w:r>
    </w:p>
    <w:p w14:paraId="475EA583">
      <w:pPr>
        <w:pageBreakBefore w:val="0"/>
        <w:widowControl w:val="0"/>
        <w:kinsoku/>
        <w:wordWrap/>
        <w:topLinePunct w:val="0"/>
        <w:autoSpaceDE/>
        <w:autoSpaceDN/>
        <w:bidi w:val="0"/>
        <w:ind w:firstLine="480"/>
        <w:textAlignment w:val="auto"/>
        <w:outlineLvl w:val="9"/>
        <w:rPr>
          <w:lang w:eastAsia="zh-CN"/>
        </w:rPr>
      </w:pPr>
      <w:r>
        <w:rPr>
          <w:rFonts w:hint="eastAsia"/>
          <w:lang w:eastAsia="zh-CN"/>
        </w:rPr>
        <w:t>（3.3）推进农用地土壤污染防治和安全利用。开展受污染耕地土壤重金属成因排查试点，督促开展污染源头风险管控。确保受污染耕地安全利用率达到91%。</w:t>
      </w:r>
    </w:p>
    <w:p w14:paraId="6ADBF017">
      <w:pPr>
        <w:pageBreakBefore w:val="0"/>
        <w:widowControl w:val="0"/>
        <w:kinsoku/>
        <w:wordWrap/>
        <w:topLinePunct w:val="0"/>
        <w:autoSpaceDE/>
        <w:autoSpaceDN/>
        <w:bidi w:val="0"/>
        <w:textAlignment w:val="auto"/>
        <w:outlineLvl w:val="9"/>
        <w:rPr>
          <w:rFonts w:hint="eastAsia"/>
          <w:b/>
          <w:bCs/>
          <w:sz w:val="24"/>
          <w:szCs w:val="32"/>
          <w:lang w:eastAsia="zh-CN"/>
        </w:rPr>
      </w:pPr>
      <w:r>
        <w:rPr>
          <w:rFonts w:hint="eastAsia"/>
          <w:b/>
          <w:bCs/>
          <w:sz w:val="24"/>
          <w:szCs w:val="32"/>
          <w:lang w:eastAsia="zh-CN"/>
        </w:rPr>
        <w:t>(四)</w:t>
      </w:r>
      <w:r>
        <w:rPr>
          <w:rFonts w:hint="default"/>
          <w:b/>
          <w:bCs/>
          <w:sz w:val="24"/>
          <w:szCs w:val="32"/>
          <w:lang w:eastAsia="zh-CN"/>
        </w:rPr>
        <w:t>资源开发效率要求</w:t>
      </w:r>
    </w:p>
    <w:p w14:paraId="396C8ED3">
      <w:pPr>
        <w:pageBreakBefore w:val="0"/>
        <w:widowControl w:val="0"/>
        <w:kinsoku/>
        <w:wordWrap/>
        <w:topLinePunct w:val="0"/>
        <w:autoSpaceDE/>
        <w:autoSpaceDN/>
        <w:bidi w:val="0"/>
        <w:ind w:firstLine="480"/>
        <w:textAlignment w:val="auto"/>
        <w:outlineLvl w:val="9"/>
        <w:rPr>
          <w:lang w:eastAsia="zh-CN"/>
        </w:rPr>
      </w:pPr>
      <w:r>
        <w:rPr>
          <w:rFonts w:hint="eastAsia"/>
          <w:lang w:eastAsia="zh-CN"/>
        </w:rPr>
        <w:t>问题项</w:t>
      </w:r>
      <w:r>
        <w:rPr>
          <w:rFonts w:hint="eastAsia" w:ascii="Helvetica" w:hAnsi="Helvetica" w:cs="Helvetica" w:eastAsiaTheme="minorEastAsia"/>
          <w:b/>
          <w:color w:val="FF000A"/>
          <w:lang w:eastAsia="zh-CN"/>
        </w:rPr>
        <w:t>0</w:t>
      </w:r>
      <w:r>
        <w:rPr>
          <w:rFonts w:hint="eastAsia"/>
          <w:lang w:eastAsia="zh-CN"/>
        </w:rPr>
        <w:t>，注意项</w:t>
      </w:r>
      <w:r>
        <w:rPr>
          <w:rFonts w:hint="eastAsia" w:ascii="Helvetica" w:hAnsi="Helvetica" w:cs="Helvetica" w:eastAsiaTheme="minorEastAsia"/>
          <w:b/>
          <w:color w:val="FFC000"/>
          <w:lang w:eastAsia="zh-CN"/>
        </w:rPr>
        <w:t>0</w:t>
      </w:r>
      <w:r>
        <w:rPr>
          <w:rFonts w:hint="eastAsia"/>
          <w:lang w:eastAsia="zh-CN"/>
        </w:rPr>
        <w:t>，符合项</w:t>
      </w:r>
      <w:r>
        <w:rPr>
          <w:rFonts w:hint="eastAsia" w:ascii="Helvetica" w:hAnsi="Helvetica" w:cs="Helvetica" w:eastAsiaTheme="minorEastAsia"/>
          <w:b/>
          <w:color w:val="00B050"/>
          <w:lang w:eastAsia="zh-CN"/>
        </w:rPr>
        <w:t>0</w:t>
      </w:r>
      <w:r>
        <w:rPr>
          <w:rFonts w:hint="eastAsia"/>
          <w:lang w:eastAsia="zh-CN"/>
        </w:rPr>
        <w:t>，无关项</w:t>
      </w:r>
      <w:r>
        <w:rPr>
          <w:rFonts w:hint="eastAsia" w:ascii="Helvetica" w:hAnsi="Helvetica" w:cs="Helvetica" w:eastAsiaTheme="minorEastAsia"/>
          <w:b/>
          <w:color w:val="00AFEF"/>
          <w:lang w:eastAsia="zh-CN"/>
        </w:rPr>
        <w:t>3</w:t>
      </w:r>
    </w:p>
    <w:p w14:paraId="2EBC79E7">
      <w:pPr>
        <w:pageBreakBefore w:val="0"/>
        <w:widowControl w:val="0"/>
        <w:numPr>
          <w:ilvl w:val="4"/>
          <w:numId w:val="7"/>
        </w:numPr>
        <w:tabs>
          <w:tab w:val="left" w:pos="0"/>
          <w:tab w:val="left" w:pos="2100"/>
        </w:tabs>
        <w:kinsoku/>
        <w:wordWrap/>
        <w:topLinePunct w:val="0"/>
        <w:autoSpaceDE/>
        <w:autoSpaceDN/>
        <w:bidi w:val="0"/>
        <w:textAlignment w:val="auto"/>
        <w:outlineLvl w:val="9"/>
        <w:rPr>
          <w:lang w:eastAsia="zh-CN"/>
        </w:rPr>
      </w:pPr>
      <w:r>
        <w:rPr>
          <w:rFonts w:hint="eastAsia"/>
          <w:lang w:eastAsia="zh-CN"/>
        </w:rPr>
        <w:t>无关项—1</w:t>
      </w:r>
    </w:p>
    <w:p w14:paraId="761889F9">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分析结论：</w:t>
      </w:r>
    </w:p>
    <w:p w14:paraId="4BB18326">
      <w:pPr>
        <w:pageBreakBefore w:val="0"/>
        <w:widowControl w:val="0"/>
        <w:kinsoku/>
        <w:wordWrap/>
        <w:topLinePunct w:val="0"/>
        <w:autoSpaceDE/>
        <w:autoSpaceDN/>
        <w:bidi w:val="0"/>
        <w:ind w:firstLine="480"/>
        <w:textAlignment w:val="auto"/>
        <w:outlineLvl w:val="9"/>
        <w:rPr>
          <w:lang w:eastAsia="zh-CN"/>
        </w:rPr>
      </w:pPr>
      <w:r>
        <w:rPr>
          <w:rFonts w:hint="eastAsia"/>
          <w:lang w:eastAsia="zh-CN"/>
        </w:rPr>
        <w:t>该项目与管控要求无关</w:t>
      </w:r>
    </w:p>
    <w:p w14:paraId="3935B129">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管控要求：</w:t>
      </w:r>
    </w:p>
    <w:p w14:paraId="6BF454B5">
      <w:pPr>
        <w:pageBreakBefore w:val="0"/>
        <w:widowControl w:val="0"/>
        <w:kinsoku/>
        <w:wordWrap/>
        <w:topLinePunct w:val="0"/>
        <w:autoSpaceDE/>
        <w:autoSpaceDN/>
        <w:bidi w:val="0"/>
        <w:ind w:firstLine="480"/>
        <w:textAlignment w:val="auto"/>
        <w:outlineLvl w:val="9"/>
        <w:rPr>
          <w:lang w:eastAsia="zh-CN"/>
        </w:rPr>
      </w:pPr>
      <w:r>
        <w:rPr>
          <w:rFonts w:hint="eastAsia"/>
          <w:lang w:eastAsia="zh-CN"/>
        </w:rPr>
        <w:t>（4.1）水资源：2025年，岳阳市楼区用水总量6.04亿立方米，万元地区生产总值用水量比2020年下降13.36%，万元工业增加值用水量比2020年下降4.25%。</w:t>
      </w:r>
    </w:p>
    <w:p w14:paraId="413EA894">
      <w:pPr>
        <w:pageBreakBefore w:val="0"/>
        <w:widowControl w:val="0"/>
        <w:numPr>
          <w:ilvl w:val="4"/>
          <w:numId w:val="7"/>
        </w:numPr>
        <w:tabs>
          <w:tab w:val="left" w:pos="0"/>
          <w:tab w:val="left" w:pos="2100"/>
        </w:tabs>
        <w:kinsoku/>
        <w:wordWrap/>
        <w:topLinePunct w:val="0"/>
        <w:autoSpaceDE/>
        <w:autoSpaceDN/>
        <w:bidi w:val="0"/>
        <w:textAlignment w:val="auto"/>
        <w:outlineLvl w:val="9"/>
        <w:rPr>
          <w:lang w:eastAsia="zh-CN"/>
        </w:rPr>
      </w:pPr>
      <w:r>
        <w:rPr>
          <w:rFonts w:hint="eastAsia"/>
          <w:lang w:eastAsia="zh-CN"/>
        </w:rPr>
        <w:t>无关项—2</w:t>
      </w:r>
    </w:p>
    <w:p w14:paraId="1FCC4FB9">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分析结论：</w:t>
      </w:r>
    </w:p>
    <w:p w14:paraId="72F0C231">
      <w:pPr>
        <w:pageBreakBefore w:val="0"/>
        <w:widowControl w:val="0"/>
        <w:kinsoku/>
        <w:wordWrap/>
        <w:topLinePunct w:val="0"/>
        <w:autoSpaceDE/>
        <w:autoSpaceDN/>
        <w:bidi w:val="0"/>
        <w:ind w:firstLine="480"/>
        <w:textAlignment w:val="auto"/>
        <w:outlineLvl w:val="9"/>
        <w:rPr>
          <w:lang w:eastAsia="zh-CN"/>
        </w:rPr>
      </w:pPr>
      <w:r>
        <w:rPr>
          <w:rFonts w:hint="eastAsia"/>
          <w:lang w:eastAsia="zh-CN"/>
        </w:rPr>
        <w:t>该项目与管控要求无关</w:t>
      </w:r>
    </w:p>
    <w:p w14:paraId="574AB867">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管控要求：</w:t>
      </w:r>
    </w:p>
    <w:p w14:paraId="7960362F">
      <w:pPr>
        <w:pageBreakBefore w:val="0"/>
        <w:widowControl w:val="0"/>
        <w:kinsoku/>
        <w:wordWrap/>
        <w:topLinePunct w:val="0"/>
        <w:autoSpaceDE/>
        <w:autoSpaceDN/>
        <w:bidi w:val="0"/>
        <w:ind w:firstLine="480"/>
        <w:textAlignment w:val="auto"/>
        <w:outlineLvl w:val="9"/>
        <w:rPr>
          <w:lang w:eastAsia="zh-CN"/>
        </w:rPr>
      </w:pPr>
      <w:r>
        <w:rPr>
          <w:rFonts w:hint="eastAsia"/>
          <w:lang w:eastAsia="zh-CN"/>
        </w:rPr>
        <w:t>（4.2）能源：能耗按照各区（岳阳市楼区、经开区、新港区、南湖新区）总综合能源消费量除以各区GDP总和测算，十四五时期能耗强度降低基本目标16%，激励目标16.5%。</w:t>
      </w:r>
    </w:p>
    <w:p w14:paraId="444C941E">
      <w:pPr>
        <w:pageBreakBefore w:val="0"/>
        <w:widowControl w:val="0"/>
        <w:numPr>
          <w:ilvl w:val="4"/>
          <w:numId w:val="7"/>
        </w:numPr>
        <w:tabs>
          <w:tab w:val="left" w:pos="0"/>
          <w:tab w:val="left" w:pos="2100"/>
        </w:tabs>
        <w:kinsoku/>
        <w:wordWrap/>
        <w:topLinePunct w:val="0"/>
        <w:autoSpaceDE/>
        <w:autoSpaceDN/>
        <w:bidi w:val="0"/>
        <w:textAlignment w:val="auto"/>
        <w:outlineLvl w:val="9"/>
        <w:rPr>
          <w:lang w:eastAsia="zh-CN"/>
        </w:rPr>
      </w:pPr>
      <w:r>
        <w:rPr>
          <w:rFonts w:hint="eastAsia"/>
          <w:lang w:eastAsia="zh-CN"/>
        </w:rPr>
        <w:t>无关项—3</w:t>
      </w:r>
    </w:p>
    <w:p w14:paraId="7745A2D7">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分析结论：</w:t>
      </w:r>
    </w:p>
    <w:p w14:paraId="2F3BD405">
      <w:pPr>
        <w:pageBreakBefore w:val="0"/>
        <w:widowControl w:val="0"/>
        <w:kinsoku/>
        <w:wordWrap/>
        <w:topLinePunct w:val="0"/>
        <w:autoSpaceDE/>
        <w:autoSpaceDN/>
        <w:bidi w:val="0"/>
        <w:ind w:firstLine="480"/>
        <w:textAlignment w:val="auto"/>
        <w:outlineLvl w:val="9"/>
        <w:rPr>
          <w:lang w:eastAsia="zh-CN"/>
        </w:rPr>
      </w:pPr>
      <w:r>
        <w:rPr>
          <w:rFonts w:hint="eastAsia"/>
          <w:lang w:eastAsia="zh-CN"/>
        </w:rPr>
        <w:t>该项目与管控要求无关</w:t>
      </w:r>
    </w:p>
    <w:p w14:paraId="7490D75C">
      <w:pPr>
        <w:pageBreakBefore w:val="0"/>
        <w:widowControl w:val="0"/>
        <w:kinsoku/>
        <w:wordWrap/>
        <w:topLinePunct w:val="0"/>
        <w:autoSpaceDE/>
        <w:autoSpaceDN/>
        <w:bidi w:val="0"/>
        <w:ind w:firstLine="482"/>
        <w:textAlignment w:val="auto"/>
        <w:outlineLvl w:val="9"/>
        <w:rPr>
          <w:lang w:eastAsia="zh-CN"/>
        </w:rPr>
      </w:pPr>
      <w:r>
        <w:rPr>
          <w:rFonts w:hint="eastAsia"/>
          <w:b/>
          <w:bCs/>
          <w:lang w:eastAsia="zh-CN"/>
        </w:rPr>
        <w:t>管控要求：</w:t>
      </w:r>
    </w:p>
    <w:p w14:paraId="2E5EAC7A">
      <w:pPr>
        <w:pageBreakBefore w:val="0"/>
        <w:widowControl w:val="0"/>
        <w:kinsoku/>
        <w:wordWrap/>
        <w:topLinePunct w:val="0"/>
        <w:autoSpaceDE/>
        <w:autoSpaceDN/>
        <w:bidi w:val="0"/>
        <w:ind w:firstLine="480"/>
        <w:textAlignment w:val="auto"/>
        <w:outlineLvl w:val="9"/>
        <w:rPr>
          <w:lang w:eastAsia="zh-CN"/>
        </w:rPr>
      </w:pPr>
      <w:r>
        <w:rPr>
          <w:rFonts w:hint="eastAsia"/>
          <w:lang w:eastAsia="zh-CN"/>
        </w:rPr>
        <w:t>（4.3）土地资源：岳阳市楼区耕地保有量52.55平方千米，永久基本农田保护面积30.64平方千米。生态保护红线面积7.05平方千米，城镇开发边界146.96平方千米。</w:t>
      </w:r>
    </w:p>
    <w:p w14:paraId="7A64D0D0">
      <w:pPr>
        <w:rPr>
          <w:rFonts w:hint="eastAsia" w:ascii="宋体" w:hAnsi="宋体" w:cs="宋体"/>
          <w:b/>
          <w:bCs/>
          <w:sz w:val="24"/>
          <w:szCs w:val="24"/>
        </w:rPr>
      </w:pPr>
    </w:p>
    <w:p w14:paraId="22932357">
      <w:pPr>
        <w:rPr>
          <w:rFonts w:hint="eastAsia" w:ascii="宋体" w:hAnsi="宋体" w:cs="宋体"/>
          <w:b/>
          <w:bCs/>
          <w:sz w:val="24"/>
          <w:szCs w:val="24"/>
        </w:rPr>
      </w:pPr>
      <w:r>
        <w:rPr>
          <w:rFonts w:hint="eastAsia" w:ascii="宋体" w:hAnsi="宋体" w:cs="宋体"/>
          <w:b/>
          <w:bCs/>
          <w:sz w:val="24"/>
          <w:szCs w:val="24"/>
        </w:rPr>
        <w:br w:type="page"/>
      </w:r>
    </w:p>
    <w:p w14:paraId="761B201F">
      <w:pPr>
        <w:rPr>
          <w:rFonts w:hint="eastAsia" w:ascii="宋体" w:hAnsi="宋体" w:cs="宋体"/>
          <w:b/>
          <w:bCs/>
          <w:sz w:val="24"/>
          <w:szCs w:val="24"/>
        </w:rPr>
      </w:pPr>
      <w:r>
        <w:rPr>
          <w:rFonts w:hint="eastAsia" w:ascii="宋体" w:hAnsi="宋体" w:cs="宋体"/>
          <w:b/>
          <w:bCs/>
          <w:sz w:val="24"/>
          <w:szCs w:val="24"/>
        </w:rPr>
        <w:t>附件</w:t>
      </w:r>
      <w:r>
        <w:rPr>
          <w:rFonts w:hint="eastAsia" w:ascii="宋体" w:hAnsi="宋体" w:cs="宋体"/>
          <w:b/>
          <w:bCs/>
          <w:sz w:val="24"/>
          <w:szCs w:val="24"/>
          <w:lang w:val="en-US" w:eastAsia="zh-CN"/>
        </w:rPr>
        <w:t>8</w:t>
      </w:r>
      <w:r>
        <w:rPr>
          <w:rFonts w:hint="eastAsia" w:ascii="宋体" w:hAnsi="宋体" w:cs="宋体"/>
          <w:b/>
          <w:bCs/>
          <w:sz w:val="24"/>
          <w:szCs w:val="24"/>
        </w:rPr>
        <w:t xml:space="preserve"> </w:t>
      </w:r>
      <w:r>
        <w:rPr>
          <w:rFonts w:hint="eastAsia" w:ascii="宋体" w:hAnsi="宋体" w:cs="宋体"/>
          <w:b/>
          <w:bCs/>
          <w:sz w:val="24"/>
          <w:szCs w:val="24"/>
          <w:lang w:val="en-US" w:eastAsia="zh-CN"/>
        </w:rPr>
        <w:t>污水排放口接驳工程施工合同</w:t>
      </w:r>
    </w:p>
    <w:p w14:paraId="6392C058">
      <w:pP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drawing>
          <wp:inline distT="0" distB="0" distL="114300" distR="114300">
            <wp:extent cx="5220335" cy="7447280"/>
            <wp:effectExtent l="0" t="0" r="18415" b="1270"/>
            <wp:docPr id="210" name="图片 210" descr="11_00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descr="11_000204"/>
                    <pic:cNvPicPr>
                      <a:picLocks noChangeAspect="1"/>
                    </pic:cNvPicPr>
                  </pic:nvPicPr>
                  <pic:blipFill>
                    <a:blip r:embed="rId47"/>
                    <a:stretch>
                      <a:fillRect/>
                    </a:stretch>
                  </pic:blipFill>
                  <pic:spPr>
                    <a:xfrm>
                      <a:off x="0" y="0"/>
                      <a:ext cx="5220335" cy="7447280"/>
                    </a:xfrm>
                    <a:prstGeom prst="rect">
                      <a:avLst/>
                    </a:prstGeom>
                  </pic:spPr>
                </pic:pic>
              </a:graphicData>
            </a:graphic>
          </wp:inline>
        </w:drawing>
      </w:r>
      <w:r>
        <w:rPr>
          <w:rFonts w:hint="eastAsia" w:ascii="宋体" w:hAnsi="宋体" w:eastAsia="宋体" w:cs="宋体"/>
          <w:b/>
          <w:bCs/>
          <w:sz w:val="24"/>
          <w:szCs w:val="24"/>
          <w:lang w:eastAsia="zh-CN"/>
        </w:rPr>
        <w:drawing>
          <wp:inline distT="0" distB="0" distL="114300" distR="114300">
            <wp:extent cx="5273040" cy="7522210"/>
            <wp:effectExtent l="0" t="0" r="3810" b="2540"/>
            <wp:docPr id="209" name="图片 209" descr="11_00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descr="11_000205"/>
                    <pic:cNvPicPr>
                      <a:picLocks noChangeAspect="1"/>
                    </pic:cNvPicPr>
                  </pic:nvPicPr>
                  <pic:blipFill>
                    <a:blip r:embed="rId48"/>
                    <a:stretch>
                      <a:fillRect/>
                    </a:stretch>
                  </pic:blipFill>
                  <pic:spPr>
                    <a:xfrm>
                      <a:off x="0" y="0"/>
                      <a:ext cx="5273040" cy="7522210"/>
                    </a:xfrm>
                    <a:prstGeom prst="rect">
                      <a:avLst/>
                    </a:prstGeom>
                  </pic:spPr>
                </pic:pic>
              </a:graphicData>
            </a:graphic>
          </wp:inline>
        </w:drawing>
      </w:r>
      <w:r>
        <w:rPr>
          <w:rFonts w:hint="eastAsia" w:ascii="宋体" w:hAnsi="宋体" w:eastAsia="宋体" w:cs="宋体"/>
          <w:b/>
          <w:bCs/>
          <w:sz w:val="24"/>
          <w:szCs w:val="24"/>
          <w:lang w:eastAsia="zh-CN"/>
        </w:rPr>
        <w:drawing>
          <wp:inline distT="0" distB="0" distL="114300" distR="114300">
            <wp:extent cx="5273040" cy="7522210"/>
            <wp:effectExtent l="0" t="0" r="3810" b="2540"/>
            <wp:docPr id="208" name="图片 208" descr="11_000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descr="11_000206"/>
                    <pic:cNvPicPr>
                      <a:picLocks noChangeAspect="1"/>
                    </pic:cNvPicPr>
                  </pic:nvPicPr>
                  <pic:blipFill>
                    <a:blip r:embed="rId49"/>
                    <a:stretch>
                      <a:fillRect/>
                    </a:stretch>
                  </pic:blipFill>
                  <pic:spPr>
                    <a:xfrm>
                      <a:off x="0" y="0"/>
                      <a:ext cx="5273040" cy="7522210"/>
                    </a:xfrm>
                    <a:prstGeom prst="rect">
                      <a:avLst/>
                    </a:prstGeom>
                  </pic:spPr>
                </pic:pic>
              </a:graphicData>
            </a:graphic>
          </wp:inline>
        </w:drawing>
      </w:r>
      <w:r>
        <w:rPr>
          <w:rFonts w:hint="eastAsia" w:ascii="宋体" w:hAnsi="宋体" w:eastAsia="宋体" w:cs="宋体"/>
          <w:b/>
          <w:bCs/>
          <w:sz w:val="24"/>
          <w:szCs w:val="24"/>
          <w:lang w:eastAsia="zh-CN"/>
        </w:rPr>
        <w:drawing>
          <wp:inline distT="0" distB="0" distL="114300" distR="114300">
            <wp:extent cx="5273040" cy="7522210"/>
            <wp:effectExtent l="0" t="0" r="3810" b="2540"/>
            <wp:docPr id="207" name="图片 207" descr="11_000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descr="11_000207"/>
                    <pic:cNvPicPr>
                      <a:picLocks noChangeAspect="1"/>
                    </pic:cNvPicPr>
                  </pic:nvPicPr>
                  <pic:blipFill>
                    <a:blip r:embed="rId50"/>
                    <a:stretch>
                      <a:fillRect/>
                    </a:stretch>
                  </pic:blipFill>
                  <pic:spPr>
                    <a:xfrm>
                      <a:off x="0" y="0"/>
                      <a:ext cx="5273040" cy="7522210"/>
                    </a:xfrm>
                    <a:prstGeom prst="rect">
                      <a:avLst/>
                    </a:prstGeom>
                  </pic:spPr>
                </pic:pic>
              </a:graphicData>
            </a:graphic>
          </wp:inline>
        </w:drawing>
      </w:r>
      <w:r>
        <w:rPr>
          <w:rFonts w:hint="eastAsia" w:ascii="宋体" w:hAnsi="宋体" w:eastAsia="宋体" w:cs="宋体"/>
          <w:b/>
          <w:bCs/>
          <w:sz w:val="24"/>
          <w:szCs w:val="24"/>
          <w:lang w:eastAsia="zh-CN"/>
        </w:rPr>
        <w:drawing>
          <wp:inline distT="0" distB="0" distL="114300" distR="114300">
            <wp:extent cx="5273040" cy="7522210"/>
            <wp:effectExtent l="0" t="0" r="3810" b="2540"/>
            <wp:docPr id="206" name="图片 206" descr="11_00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descr="11_000208"/>
                    <pic:cNvPicPr>
                      <a:picLocks noChangeAspect="1"/>
                    </pic:cNvPicPr>
                  </pic:nvPicPr>
                  <pic:blipFill>
                    <a:blip r:embed="rId51"/>
                    <a:stretch>
                      <a:fillRect/>
                    </a:stretch>
                  </pic:blipFill>
                  <pic:spPr>
                    <a:xfrm>
                      <a:off x="0" y="0"/>
                      <a:ext cx="5273040" cy="7522210"/>
                    </a:xfrm>
                    <a:prstGeom prst="rect">
                      <a:avLst/>
                    </a:prstGeom>
                  </pic:spPr>
                </pic:pic>
              </a:graphicData>
            </a:graphic>
          </wp:inline>
        </w:drawing>
      </w:r>
      <w:r>
        <w:rPr>
          <w:rFonts w:hint="eastAsia" w:ascii="宋体" w:hAnsi="宋体" w:eastAsia="宋体" w:cs="宋体"/>
          <w:b/>
          <w:bCs/>
          <w:sz w:val="24"/>
          <w:szCs w:val="24"/>
          <w:lang w:eastAsia="zh-CN"/>
        </w:rPr>
        <w:drawing>
          <wp:inline distT="0" distB="0" distL="114300" distR="114300">
            <wp:extent cx="5273040" cy="7522210"/>
            <wp:effectExtent l="0" t="0" r="3810" b="2540"/>
            <wp:docPr id="205" name="图片 205" descr="11_000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descr="11_000209"/>
                    <pic:cNvPicPr>
                      <a:picLocks noChangeAspect="1"/>
                    </pic:cNvPicPr>
                  </pic:nvPicPr>
                  <pic:blipFill>
                    <a:blip r:embed="rId52"/>
                    <a:stretch>
                      <a:fillRect/>
                    </a:stretch>
                  </pic:blipFill>
                  <pic:spPr>
                    <a:xfrm>
                      <a:off x="0" y="0"/>
                      <a:ext cx="5273040" cy="7522210"/>
                    </a:xfrm>
                    <a:prstGeom prst="rect">
                      <a:avLst/>
                    </a:prstGeom>
                  </pic:spPr>
                </pic:pic>
              </a:graphicData>
            </a:graphic>
          </wp:inline>
        </w:drawing>
      </w:r>
    </w:p>
    <w:p w14:paraId="341D51A8">
      <w:pPr>
        <w:rPr>
          <w:rFonts w:hint="eastAsia" w:ascii="宋体" w:hAnsi="宋体" w:cs="宋体"/>
          <w:b/>
          <w:bCs/>
          <w:sz w:val="24"/>
          <w:szCs w:val="24"/>
          <w:lang w:val="en-US" w:eastAsia="zh-CN"/>
        </w:rPr>
      </w:pPr>
      <w:r>
        <w:rPr>
          <w:rFonts w:hint="eastAsia" w:ascii="宋体" w:hAnsi="宋体" w:cs="宋体"/>
          <w:b/>
          <w:bCs/>
          <w:sz w:val="24"/>
          <w:szCs w:val="24"/>
          <w:lang w:val="en-US" w:eastAsia="zh-CN"/>
        </w:rPr>
        <w:br w:type="page"/>
      </w:r>
    </w:p>
    <w:p w14:paraId="2877D57B">
      <w:pP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附件9 项目环评报告专家评审意见</w:t>
      </w:r>
    </w:p>
    <w:p w14:paraId="1B876FAB"/>
    <w:p w14:paraId="5688C4F8">
      <w:pPr>
        <w:rPr>
          <w:rFonts w:hint="eastAsia" w:eastAsia="宋体"/>
          <w:lang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eastAsia="宋体"/>
          <w:lang w:eastAsia="zh-CN"/>
        </w:rPr>
        <w:drawing>
          <wp:inline distT="0" distB="0" distL="114300" distR="114300">
            <wp:extent cx="5273040" cy="7522210"/>
            <wp:effectExtent l="0" t="0" r="3810" b="2540"/>
            <wp:docPr id="203" name="图片 203" descr="11_00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descr="11_000199"/>
                    <pic:cNvPicPr>
                      <a:picLocks noChangeAspect="1"/>
                    </pic:cNvPicPr>
                  </pic:nvPicPr>
                  <pic:blipFill>
                    <a:blip r:embed="rId53"/>
                    <a:stretch>
                      <a:fillRect/>
                    </a:stretch>
                  </pic:blipFill>
                  <pic:spPr>
                    <a:xfrm>
                      <a:off x="0" y="0"/>
                      <a:ext cx="5273040" cy="7522210"/>
                    </a:xfrm>
                    <a:prstGeom prst="rect">
                      <a:avLst/>
                    </a:prstGeom>
                  </pic:spPr>
                </pic:pic>
              </a:graphicData>
            </a:graphic>
          </wp:inline>
        </w:drawing>
      </w:r>
      <w:r>
        <w:rPr>
          <w:rFonts w:hint="eastAsia" w:eastAsia="宋体"/>
          <w:lang w:eastAsia="zh-CN"/>
        </w:rPr>
        <w:drawing>
          <wp:inline distT="0" distB="0" distL="114300" distR="114300">
            <wp:extent cx="5273040" cy="7522210"/>
            <wp:effectExtent l="0" t="0" r="3810" b="2540"/>
            <wp:docPr id="199" name="图片 199" descr="11_00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descr="11_000201"/>
                    <pic:cNvPicPr>
                      <a:picLocks noChangeAspect="1"/>
                    </pic:cNvPicPr>
                  </pic:nvPicPr>
                  <pic:blipFill>
                    <a:blip r:embed="rId54"/>
                    <a:stretch>
                      <a:fillRect/>
                    </a:stretch>
                  </pic:blipFill>
                  <pic:spPr>
                    <a:xfrm>
                      <a:off x="0" y="0"/>
                      <a:ext cx="5273040" cy="7522210"/>
                    </a:xfrm>
                    <a:prstGeom prst="rect">
                      <a:avLst/>
                    </a:prstGeom>
                  </pic:spPr>
                </pic:pic>
              </a:graphicData>
            </a:graphic>
          </wp:inline>
        </w:drawing>
      </w:r>
      <w:r>
        <w:rPr>
          <w:rFonts w:hint="eastAsia" w:eastAsia="宋体"/>
          <w:lang w:eastAsia="zh-CN"/>
        </w:rPr>
        <w:drawing>
          <wp:inline distT="0" distB="0" distL="114300" distR="114300">
            <wp:extent cx="5273040" cy="7522210"/>
            <wp:effectExtent l="0" t="0" r="3810" b="2540"/>
            <wp:docPr id="202" name="图片 202" descr="11_00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descr="11_000200"/>
                    <pic:cNvPicPr>
                      <a:picLocks noChangeAspect="1"/>
                    </pic:cNvPicPr>
                  </pic:nvPicPr>
                  <pic:blipFill>
                    <a:blip r:embed="rId55"/>
                    <a:stretch>
                      <a:fillRect/>
                    </a:stretch>
                  </pic:blipFill>
                  <pic:spPr>
                    <a:xfrm>
                      <a:off x="0" y="0"/>
                      <a:ext cx="5273040" cy="7522210"/>
                    </a:xfrm>
                    <a:prstGeom prst="rect">
                      <a:avLst/>
                    </a:prstGeom>
                  </pic:spPr>
                </pic:pic>
              </a:graphicData>
            </a:graphic>
          </wp:inline>
        </w:drawing>
      </w:r>
    </w:p>
    <w:p w14:paraId="647BCA5D">
      <w:pPr>
        <w:pStyle w:val="23"/>
        <w:adjustRightInd w:val="0"/>
        <w:snapToGrid w:val="0"/>
        <w:spacing w:before="0" w:beforeAutospacing="0" w:after="0" w:afterAutospacing="0" w:line="360" w:lineRule="auto"/>
        <w:outlineLvl w:val="0"/>
        <w:rPr>
          <w:rFonts w:ascii="Times New Roman" w:hAnsi="Times New Roman" w:eastAsia="黑体"/>
          <w:snapToGrid w:val="0"/>
          <w:sz w:val="32"/>
          <w:szCs w:val="32"/>
        </w:rPr>
      </w:pPr>
      <w:bookmarkStart w:id="31" w:name="_Toc13163"/>
      <w:bookmarkStart w:id="32" w:name="_Toc98263486"/>
      <w:r>
        <w:rPr>
          <w:rFonts w:hint="eastAsia" w:ascii="Times New Roman" w:hAnsi="Times New Roman" w:eastAsia="黑体"/>
          <w:snapToGrid w:val="0"/>
          <w:sz w:val="32"/>
          <w:szCs w:val="32"/>
        </w:rPr>
        <w:t>附图</w:t>
      </w:r>
      <w:bookmarkEnd w:id="31"/>
      <w:bookmarkEnd w:id="32"/>
    </w:p>
    <w:p w14:paraId="1FF576E4">
      <w:pPr>
        <w:jc w:val="center"/>
        <w:rPr>
          <w:rFonts w:ascii="Times New Roman" w:hAnsi="Times New Roman" w:eastAsia="宋体" w:cs="Times New Roman"/>
        </w:rPr>
      </w:pPr>
      <w:r>
        <w:rPr>
          <w:rFonts w:ascii="宋体" w:hAnsi="宋体" w:cs="宋体"/>
          <w:kern w:val="0"/>
          <w:sz w:val="24"/>
        </w:rPr>
        <mc:AlternateContent>
          <mc:Choice Requires="wpg">
            <w:drawing>
              <wp:anchor distT="0" distB="0" distL="114300" distR="114300" simplePos="0" relativeHeight="251664384" behindDoc="0" locked="0" layoutInCell="1" allowOverlap="1">
                <wp:simplePos x="0" y="0"/>
                <wp:positionH relativeFrom="column">
                  <wp:posOffset>1261745</wp:posOffset>
                </wp:positionH>
                <wp:positionV relativeFrom="paragraph">
                  <wp:posOffset>1529080</wp:posOffset>
                </wp:positionV>
                <wp:extent cx="2543810" cy="923290"/>
                <wp:effectExtent l="4445" t="4445" r="23495" b="5715"/>
                <wp:wrapNone/>
                <wp:docPr id="7" name="组合 7"/>
                <wp:cNvGraphicFramePr/>
                <a:graphic xmlns:a="http://schemas.openxmlformats.org/drawingml/2006/main">
                  <a:graphicData uri="http://schemas.microsoft.com/office/word/2010/wordprocessingGroup">
                    <wpg:wgp>
                      <wpg:cNvGrpSpPr/>
                      <wpg:grpSpPr>
                        <a:xfrm>
                          <a:off x="0" y="0"/>
                          <a:ext cx="2543834" cy="923292"/>
                          <a:chOff x="5769" y="4506"/>
                          <a:chExt cx="3575" cy="1287"/>
                        </a:xfrm>
                      </wpg:grpSpPr>
                      <wps:wsp>
                        <wps:cNvPr id="8" name="流程图: 联系 12"/>
                        <wps:cNvSpPr/>
                        <wps:spPr>
                          <a:xfrm>
                            <a:off x="9174" y="4506"/>
                            <a:ext cx="170" cy="170"/>
                          </a:xfrm>
                          <a:prstGeom prst="flowChartConnector">
                            <a:avLst/>
                          </a:prstGeom>
                          <a:solidFill>
                            <a:srgbClr val="FF0000"/>
                          </a:solidFill>
                          <a:ln w="9525" cap="flat" cmpd="sng">
                            <a:solidFill>
                              <a:srgbClr val="FF0000"/>
                            </a:solidFill>
                            <a:prstDash val="solid"/>
                            <a:headEnd type="none" w="med" len="med"/>
                            <a:tailEnd type="none" w="med" len="med"/>
                          </a:ln>
                        </wps:spPr>
                        <wps:bodyPr upright="1"/>
                      </wps:wsp>
                      <wps:wsp>
                        <wps:cNvPr id="9" name="圆角矩形标注 13"/>
                        <wps:cNvSpPr/>
                        <wps:spPr>
                          <a:xfrm>
                            <a:off x="5769" y="4801"/>
                            <a:ext cx="2465" cy="992"/>
                          </a:xfrm>
                          <a:prstGeom prst="wedgeRoundRectCallout">
                            <a:avLst>
                              <a:gd name="adj1" fmla="val 87934"/>
                              <a:gd name="adj2" fmla="val -69208"/>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16EBB03C">
                              <w:pPr>
                                <w:adjustRightInd w:val="0"/>
                                <w:snapToGrid w:val="0"/>
                                <w:rPr>
                                  <w:b/>
                                  <w:sz w:val="24"/>
                                  <w:szCs w:val="24"/>
                                </w:rPr>
                              </w:pPr>
                              <w:r>
                                <w:rPr>
                                  <w:rFonts w:hint="eastAsia"/>
                                  <w:b/>
                                  <w:sz w:val="24"/>
                                  <w:szCs w:val="24"/>
                                </w:rPr>
                                <w:t>项目所在地</w:t>
                              </w:r>
                            </w:p>
                            <w:p w14:paraId="5D0EDEDD">
                              <w:pPr>
                                <w:adjustRightInd w:val="0"/>
                                <w:snapToGrid w:val="0"/>
                                <w:rPr>
                                  <w:rFonts w:hint="eastAsia"/>
                                  <w:sz w:val="21"/>
                                  <w:szCs w:val="21"/>
                                </w:rPr>
                              </w:pPr>
                              <w:r>
                                <w:rPr>
                                  <w:rFonts w:hint="eastAsia"/>
                                  <w:sz w:val="21"/>
                                  <w:szCs w:val="21"/>
                                </w:rPr>
                                <w:t>东经</w:t>
                              </w:r>
                              <w:r>
                                <w:rPr>
                                  <w:sz w:val="21"/>
                                  <w:szCs w:val="21"/>
                                </w:rPr>
                                <w:t>113</w:t>
                              </w:r>
                              <w:r>
                                <w:rPr>
                                  <w:rFonts w:hint="eastAsia"/>
                                  <w:sz w:val="21"/>
                                  <w:szCs w:val="21"/>
                                </w:rPr>
                                <w:t>度</w:t>
                              </w:r>
                              <w:r>
                                <w:rPr>
                                  <w:rFonts w:hint="eastAsia"/>
                                  <w:sz w:val="21"/>
                                  <w:szCs w:val="21"/>
                                  <w:lang w:val="en-US" w:eastAsia="zh-CN"/>
                                </w:rPr>
                                <w:t>5</w:t>
                              </w:r>
                              <w:r>
                                <w:rPr>
                                  <w:rFonts w:hint="eastAsia"/>
                                  <w:sz w:val="21"/>
                                  <w:szCs w:val="21"/>
                                </w:rPr>
                                <w:t>分</w:t>
                              </w:r>
                              <w:r>
                                <w:rPr>
                                  <w:rFonts w:hint="eastAsia"/>
                                  <w:sz w:val="21"/>
                                  <w:szCs w:val="21"/>
                                  <w:lang w:val="en-US" w:eastAsia="zh-CN"/>
                                </w:rPr>
                                <w:t>19</w:t>
                              </w:r>
                              <w:r>
                                <w:rPr>
                                  <w:sz w:val="21"/>
                                  <w:szCs w:val="21"/>
                                </w:rPr>
                                <w:t>.</w:t>
                              </w:r>
                              <w:r>
                                <w:rPr>
                                  <w:rFonts w:hint="eastAsia"/>
                                  <w:sz w:val="21"/>
                                  <w:szCs w:val="21"/>
                                  <w:lang w:val="en-US" w:eastAsia="zh-CN"/>
                                </w:rPr>
                                <w:t>655</w:t>
                              </w:r>
                              <w:r>
                                <w:rPr>
                                  <w:rFonts w:hint="eastAsia"/>
                                  <w:sz w:val="21"/>
                                  <w:szCs w:val="21"/>
                                </w:rPr>
                                <w:t>秒</w:t>
                              </w:r>
                            </w:p>
                            <w:p w14:paraId="6B4ADCAB">
                              <w:pPr>
                                <w:adjustRightInd w:val="0"/>
                                <w:snapToGrid w:val="0"/>
                                <w:rPr>
                                  <w:szCs w:val="21"/>
                                </w:rPr>
                              </w:pPr>
                              <w:r>
                                <w:rPr>
                                  <w:rFonts w:hint="eastAsia"/>
                                  <w:sz w:val="21"/>
                                  <w:szCs w:val="21"/>
                                </w:rPr>
                                <w:t>北纬</w:t>
                              </w:r>
                              <w:r>
                                <w:rPr>
                                  <w:sz w:val="21"/>
                                  <w:szCs w:val="21"/>
                                </w:rPr>
                                <w:t>29</w:t>
                              </w:r>
                              <w:r>
                                <w:rPr>
                                  <w:rFonts w:hint="eastAsia"/>
                                  <w:sz w:val="21"/>
                                  <w:szCs w:val="21"/>
                                </w:rPr>
                                <w:t>度</w:t>
                              </w:r>
                              <w:r>
                                <w:rPr>
                                  <w:rFonts w:hint="eastAsia"/>
                                  <w:sz w:val="21"/>
                                  <w:szCs w:val="21"/>
                                  <w:lang w:val="en-US" w:eastAsia="zh-CN"/>
                                </w:rPr>
                                <w:t>23</w:t>
                              </w:r>
                              <w:r>
                                <w:rPr>
                                  <w:rFonts w:hint="eastAsia"/>
                                  <w:sz w:val="21"/>
                                  <w:szCs w:val="21"/>
                                </w:rPr>
                                <w:t>分</w:t>
                              </w:r>
                              <w:r>
                                <w:rPr>
                                  <w:rFonts w:hint="eastAsia"/>
                                  <w:sz w:val="21"/>
                                  <w:szCs w:val="21"/>
                                  <w:lang w:val="en-US" w:eastAsia="zh-CN"/>
                                </w:rPr>
                                <w:t>20</w:t>
                              </w:r>
                              <w:r>
                                <w:rPr>
                                  <w:sz w:val="21"/>
                                  <w:szCs w:val="21"/>
                                </w:rPr>
                                <w:t>.</w:t>
                              </w:r>
                              <w:r>
                                <w:rPr>
                                  <w:rFonts w:hint="eastAsia"/>
                                  <w:sz w:val="21"/>
                                  <w:szCs w:val="21"/>
                                  <w:lang w:val="en-US" w:eastAsia="zh-CN"/>
                                </w:rPr>
                                <w:t>561</w:t>
                              </w:r>
                              <w:r>
                                <w:rPr>
                                  <w:rFonts w:hint="eastAsia"/>
                                  <w:sz w:val="21"/>
                                  <w:szCs w:val="21"/>
                                </w:rPr>
                                <w:t>秒</w:t>
                              </w:r>
                            </w:p>
                          </w:txbxContent>
                        </wps:txbx>
                        <wps:bodyPr upright="1"/>
                      </wps:wsp>
                    </wpg:wgp>
                  </a:graphicData>
                </a:graphic>
              </wp:anchor>
            </w:drawing>
          </mc:Choice>
          <mc:Fallback>
            <w:pict>
              <v:group id="_x0000_s1026" o:spid="_x0000_s1026" o:spt="203" style="position:absolute;left:0pt;margin-left:99.35pt;margin-top:120.4pt;height:72.7pt;width:200.3pt;z-index:251664384;mso-width-relative:page;mso-height-relative:page;" coordorigin="5769,4506" coordsize="3575,1287" o:gfxdata="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">
                <o:lock v:ext="edit" aspectratio="f"/>
                <v:shape id="流程图: 联系 12" o:spid="_x0000_s1026" o:spt="120" type="#_x0000_t120" style="position:absolute;left:9174;top:4506;height:170;width:170;" fillcolor="#FF0000" filled="t" stroked="t" coordsize="21600,21600" o:gfxdata="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ynbKbsAAADa&#10;AAAADwAAAAAAAAABACAAAAAiAAAAZHJzL2Rvd25yZXYueG1sUEsBAhQAFAAAAAgAh07iQDMvBZ47&#10;AAAAOQAAABAAAAAAAAAAAQAgAAAACgEAAGRycy9zaGFwZXhtbC54bWxQSwUGAAAAAAYABgBbAQAA&#10;tAMAAAAA&#10;">
                  <v:fill on="t" focussize="0,0"/>
                  <v:stroke color="#FF0000" joinstyle="round"/>
                  <v:imagedata o:title=""/>
                  <o:lock v:ext="edit" aspectratio="f"/>
                </v:shape>
                <v:shape id="圆角矩形标注 13" o:spid="_x0000_s1026" o:spt="62" type="#_x0000_t62" style="position:absolute;left:5769;top:4801;height:992;width:2465;" fillcolor="#FFFFFF" filled="t" stroked="t" coordsize="21600,21600" o:gfxdata="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jcvK8AAAA&#10;2gAAAA8AAAAAAAAAAQAgAAAAIgAAAGRycy9kb3ducmV2LnhtbFBLAQIUABQAAAAIAIdO4kAzLwWe&#10;OwAAADkAAAAQAAAAAAAAAAEAIAAAAAsBAABkcnMvc2hhcGV4bWwueG1sUEsFBgAAAAAGAAYAWwEA&#10;ALUDAAAAAA==&#10;" adj="29794,-4149,14400">
                  <v:fill on="t" focussize="0,0"/>
                  <v:stroke color="#000000" joinstyle="miter"/>
                  <v:imagedata o:title=""/>
                  <o:lock v:ext="edit" aspectratio="f"/>
                  <v:textbox>
                    <w:txbxContent>
                      <w:p w14:paraId="16EBB03C">
                        <w:pPr>
                          <w:adjustRightInd w:val="0"/>
                          <w:snapToGrid w:val="0"/>
                          <w:rPr>
                            <w:b/>
                            <w:sz w:val="24"/>
                            <w:szCs w:val="24"/>
                          </w:rPr>
                        </w:pPr>
                        <w:r>
                          <w:rPr>
                            <w:rFonts w:hint="eastAsia"/>
                            <w:b/>
                            <w:sz w:val="24"/>
                            <w:szCs w:val="24"/>
                          </w:rPr>
                          <w:t>项目所在地</w:t>
                        </w:r>
                      </w:p>
                      <w:p w14:paraId="5D0EDEDD">
                        <w:pPr>
                          <w:adjustRightInd w:val="0"/>
                          <w:snapToGrid w:val="0"/>
                          <w:rPr>
                            <w:rFonts w:hint="eastAsia"/>
                            <w:sz w:val="21"/>
                            <w:szCs w:val="21"/>
                          </w:rPr>
                        </w:pPr>
                        <w:r>
                          <w:rPr>
                            <w:rFonts w:hint="eastAsia"/>
                            <w:sz w:val="21"/>
                            <w:szCs w:val="21"/>
                          </w:rPr>
                          <w:t>东经</w:t>
                        </w:r>
                        <w:r>
                          <w:rPr>
                            <w:sz w:val="21"/>
                            <w:szCs w:val="21"/>
                          </w:rPr>
                          <w:t>113</w:t>
                        </w:r>
                        <w:r>
                          <w:rPr>
                            <w:rFonts w:hint="eastAsia"/>
                            <w:sz w:val="21"/>
                            <w:szCs w:val="21"/>
                          </w:rPr>
                          <w:t>度</w:t>
                        </w:r>
                        <w:r>
                          <w:rPr>
                            <w:rFonts w:hint="eastAsia"/>
                            <w:sz w:val="21"/>
                            <w:szCs w:val="21"/>
                            <w:lang w:val="en-US" w:eastAsia="zh-CN"/>
                          </w:rPr>
                          <w:t>5</w:t>
                        </w:r>
                        <w:r>
                          <w:rPr>
                            <w:rFonts w:hint="eastAsia"/>
                            <w:sz w:val="21"/>
                            <w:szCs w:val="21"/>
                          </w:rPr>
                          <w:t>分</w:t>
                        </w:r>
                        <w:r>
                          <w:rPr>
                            <w:rFonts w:hint="eastAsia"/>
                            <w:sz w:val="21"/>
                            <w:szCs w:val="21"/>
                            <w:lang w:val="en-US" w:eastAsia="zh-CN"/>
                          </w:rPr>
                          <w:t>19</w:t>
                        </w:r>
                        <w:r>
                          <w:rPr>
                            <w:sz w:val="21"/>
                            <w:szCs w:val="21"/>
                          </w:rPr>
                          <w:t>.</w:t>
                        </w:r>
                        <w:r>
                          <w:rPr>
                            <w:rFonts w:hint="eastAsia"/>
                            <w:sz w:val="21"/>
                            <w:szCs w:val="21"/>
                            <w:lang w:val="en-US" w:eastAsia="zh-CN"/>
                          </w:rPr>
                          <w:t>655</w:t>
                        </w:r>
                        <w:r>
                          <w:rPr>
                            <w:rFonts w:hint="eastAsia"/>
                            <w:sz w:val="21"/>
                            <w:szCs w:val="21"/>
                          </w:rPr>
                          <w:t>秒</w:t>
                        </w:r>
                      </w:p>
                      <w:p w14:paraId="6B4ADCAB">
                        <w:pPr>
                          <w:adjustRightInd w:val="0"/>
                          <w:snapToGrid w:val="0"/>
                          <w:rPr>
                            <w:szCs w:val="21"/>
                          </w:rPr>
                        </w:pPr>
                        <w:r>
                          <w:rPr>
                            <w:rFonts w:hint="eastAsia"/>
                            <w:sz w:val="21"/>
                            <w:szCs w:val="21"/>
                          </w:rPr>
                          <w:t>北纬</w:t>
                        </w:r>
                        <w:r>
                          <w:rPr>
                            <w:sz w:val="21"/>
                            <w:szCs w:val="21"/>
                          </w:rPr>
                          <w:t>29</w:t>
                        </w:r>
                        <w:r>
                          <w:rPr>
                            <w:rFonts w:hint="eastAsia"/>
                            <w:sz w:val="21"/>
                            <w:szCs w:val="21"/>
                          </w:rPr>
                          <w:t>度</w:t>
                        </w:r>
                        <w:r>
                          <w:rPr>
                            <w:rFonts w:hint="eastAsia"/>
                            <w:sz w:val="21"/>
                            <w:szCs w:val="21"/>
                            <w:lang w:val="en-US" w:eastAsia="zh-CN"/>
                          </w:rPr>
                          <w:t>23</w:t>
                        </w:r>
                        <w:r>
                          <w:rPr>
                            <w:rFonts w:hint="eastAsia"/>
                            <w:sz w:val="21"/>
                            <w:szCs w:val="21"/>
                          </w:rPr>
                          <w:t>分</w:t>
                        </w:r>
                        <w:r>
                          <w:rPr>
                            <w:rFonts w:hint="eastAsia"/>
                            <w:sz w:val="21"/>
                            <w:szCs w:val="21"/>
                            <w:lang w:val="en-US" w:eastAsia="zh-CN"/>
                          </w:rPr>
                          <w:t>20</w:t>
                        </w:r>
                        <w:r>
                          <w:rPr>
                            <w:sz w:val="21"/>
                            <w:szCs w:val="21"/>
                          </w:rPr>
                          <w:t>.</w:t>
                        </w:r>
                        <w:r>
                          <w:rPr>
                            <w:rFonts w:hint="eastAsia"/>
                            <w:sz w:val="21"/>
                            <w:szCs w:val="21"/>
                            <w:lang w:val="en-US" w:eastAsia="zh-CN"/>
                          </w:rPr>
                          <w:t>561</w:t>
                        </w:r>
                        <w:r>
                          <w:rPr>
                            <w:rFonts w:hint="eastAsia"/>
                            <w:sz w:val="21"/>
                            <w:szCs w:val="21"/>
                          </w:rPr>
                          <w:t>秒</w:t>
                        </w:r>
                      </w:p>
                    </w:txbxContent>
                  </v:textbox>
                </v:shape>
              </v:group>
            </w:pict>
          </mc:Fallback>
        </mc:AlternateContent>
      </w:r>
      <w:r>
        <w:rPr>
          <w:rFonts w:ascii="宋体" w:hAnsi="宋体" w:cs="宋体"/>
          <w:kern w:val="0"/>
          <w:sz w:val="24"/>
        </w:rPr>
        <w:drawing>
          <wp:anchor distT="0" distB="0" distL="114300" distR="114300" simplePos="0" relativeHeight="251661312" behindDoc="0" locked="0" layoutInCell="1" allowOverlap="1">
            <wp:simplePos x="0" y="0"/>
            <wp:positionH relativeFrom="column">
              <wp:posOffset>852805</wp:posOffset>
            </wp:positionH>
            <wp:positionV relativeFrom="paragraph">
              <wp:posOffset>46355</wp:posOffset>
            </wp:positionV>
            <wp:extent cx="666750" cy="95250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666750" cy="952500"/>
                    </a:xfrm>
                    <a:prstGeom prst="rect">
                      <a:avLst/>
                    </a:prstGeom>
                    <a:noFill/>
                  </pic:spPr>
                </pic:pic>
              </a:graphicData>
            </a:graphic>
          </wp:anchor>
        </w:drawing>
      </w:r>
      <w:r>
        <w:drawing>
          <wp:inline distT="0" distB="0" distL="114300" distR="114300">
            <wp:extent cx="7143115" cy="4445000"/>
            <wp:effectExtent l="0" t="0" r="635"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7"/>
                    <a:stretch>
                      <a:fillRect/>
                    </a:stretch>
                  </pic:blipFill>
                  <pic:spPr>
                    <a:xfrm>
                      <a:off x="0" y="0"/>
                      <a:ext cx="7143115" cy="4445000"/>
                    </a:xfrm>
                    <a:prstGeom prst="rect">
                      <a:avLst/>
                    </a:prstGeom>
                    <a:noFill/>
                    <a:ln>
                      <a:noFill/>
                    </a:ln>
                  </pic:spPr>
                </pic:pic>
              </a:graphicData>
            </a:graphic>
          </wp:inline>
        </w:drawing>
      </w:r>
    </w:p>
    <w:p w14:paraId="57872B04">
      <w:pPr>
        <w:jc w:val="center"/>
      </w:pPr>
      <w:r>
        <w:rPr>
          <w:rFonts w:hint="eastAsia" w:eastAsia="方正小标宋_GBK"/>
          <w:b/>
          <w:snapToGrid w:val="0"/>
          <w:kern w:val="0"/>
          <w:sz w:val="24"/>
        </w:rPr>
        <w:t>附图</w:t>
      </w:r>
      <w:r>
        <w:rPr>
          <w:rFonts w:eastAsia="方正小标宋_GBK"/>
          <w:b/>
          <w:snapToGrid w:val="0"/>
          <w:kern w:val="0"/>
          <w:sz w:val="24"/>
        </w:rPr>
        <w:t xml:space="preserve">1 </w:t>
      </w:r>
      <w:r>
        <w:rPr>
          <w:rFonts w:hint="eastAsia" w:eastAsia="方正小标宋_GBK"/>
          <w:b/>
          <w:snapToGrid w:val="0"/>
          <w:kern w:val="0"/>
          <w:sz w:val="24"/>
        </w:rPr>
        <w:t>项目所在地地理位置图</w:t>
      </w:r>
    </w:p>
    <w:p w14:paraId="58ED0CC6">
      <w:pPr>
        <w:jc w:val="center"/>
        <w:rPr>
          <w:rFonts w:hint="eastAsia" w:eastAsia="宋体"/>
          <w:lang w:eastAsia="zh-CN"/>
        </w:rPr>
      </w:pPr>
      <w:r>
        <w:rPr>
          <w:rFonts w:hint="eastAsia" w:eastAsia="宋体"/>
          <w:lang w:eastAsia="zh-CN"/>
        </w:rPr>
        <w:drawing>
          <wp:inline distT="0" distB="0" distL="114300" distR="114300">
            <wp:extent cx="7460615" cy="4805680"/>
            <wp:effectExtent l="0" t="0" r="6985" b="13970"/>
            <wp:docPr id="18" name="图片 18" descr="厂区平面图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厂区平面图副本"/>
                    <pic:cNvPicPr>
                      <a:picLocks noChangeAspect="1"/>
                    </pic:cNvPicPr>
                  </pic:nvPicPr>
                  <pic:blipFill>
                    <a:blip r:embed="rId58"/>
                    <a:stretch>
                      <a:fillRect/>
                    </a:stretch>
                  </pic:blipFill>
                  <pic:spPr>
                    <a:xfrm>
                      <a:off x="0" y="0"/>
                      <a:ext cx="7460615" cy="4805680"/>
                    </a:xfrm>
                    <a:prstGeom prst="rect">
                      <a:avLst/>
                    </a:prstGeom>
                  </pic:spPr>
                </pic:pic>
              </a:graphicData>
            </a:graphic>
          </wp:inline>
        </w:drawing>
      </w:r>
    </w:p>
    <w:p w14:paraId="7BDB2919">
      <w:pPr>
        <w:jc w:val="center"/>
      </w:pPr>
      <w:r>
        <w:rPr>
          <w:rFonts w:hint="eastAsia" w:eastAsia="方正小标宋_GBK"/>
          <w:b/>
          <w:snapToGrid w:val="0"/>
          <w:kern w:val="0"/>
          <w:sz w:val="24"/>
        </w:rPr>
        <w:t>附图</w:t>
      </w:r>
      <w:r>
        <w:rPr>
          <w:rFonts w:hint="eastAsia" w:eastAsia="方正小标宋_GBK"/>
          <w:b/>
          <w:snapToGrid w:val="0"/>
          <w:kern w:val="0"/>
          <w:sz w:val="24"/>
          <w:lang w:val="en-US" w:eastAsia="zh-CN"/>
        </w:rPr>
        <w:t>2</w:t>
      </w:r>
      <w:r>
        <w:rPr>
          <w:rFonts w:eastAsia="方正小标宋_GBK"/>
          <w:b/>
          <w:snapToGrid w:val="0"/>
          <w:kern w:val="0"/>
          <w:sz w:val="24"/>
        </w:rPr>
        <w:t xml:space="preserve"> </w:t>
      </w:r>
      <w:r>
        <w:rPr>
          <w:rFonts w:hint="eastAsia" w:eastAsia="方正小标宋_GBK"/>
          <w:b/>
          <w:snapToGrid w:val="0"/>
          <w:kern w:val="0"/>
          <w:sz w:val="24"/>
        </w:rPr>
        <w:t>项目</w:t>
      </w:r>
      <w:r>
        <w:rPr>
          <w:rFonts w:hint="eastAsia" w:eastAsia="方正小标宋_GBK"/>
          <w:b/>
          <w:snapToGrid w:val="0"/>
          <w:kern w:val="0"/>
          <w:sz w:val="24"/>
          <w:lang w:val="en-US" w:eastAsia="zh-CN"/>
        </w:rPr>
        <w:t>厂区平面布局示意</w:t>
      </w:r>
      <w:r>
        <w:rPr>
          <w:rFonts w:hint="eastAsia" w:eastAsia="方正小标宋_GBK"/>
          <w:b/>
          <w:snapToGrid w:val="0"/>
          <w:kern w:val="0"/>
          <w:sz w:val="24"/>
        </w:rPr>
        <w:t>图</w:t>
      </w:r>
    </w:p>
    <w:p w14:paraId="187065B8">
      <w:pPr>
        <w:jc w:val="center"/>
      </w:pPr>
      <w:r>
        <w:rPr>
          <w:sz w:val="24"/>
        </w:rPr>
        <mc:AlternateContent>
          <mc:Choice Requires="wps">
            <w:drawing>
              <wp:anchor distT="0" distB="0" distL="114300" distR="114300" simplePos="0" relativeHeight="251682816" behindDoc="0" locked="0" layoutInCell="1" allowOverlap="1">
                <wp:simplePos x="0" y="0"/>
                <wp:positionH relativeFrom="column">
                  <wp:posOffset>4288155</wp:posOffset>
                </wp:positionH>
                <wp:positionV relativeFrom="paragraph">
                  <wp:posOffset>3872865</wp:posOffset>
                </wp:positionV>
                <wp:extent cx="1182370" cy="300355"/>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407B14">
                            <w:pPr>
                              <w:rPr>
                                <w:rFonts w:hint="default" w:eastAsia="宋体"/>
                                <w:b/>
                                <w:bCs/>
                                <w:sz w:val="18"/>
                                <w:szCs w:val="18"/>
                                <w:lang w:val="en-US" w:eastAsia="zh-CN"/>
                              </w:rPr>
                            </w:pPr>
                            <w:r>
                              <w:rPr>
                                <w:rFonts w:hint="eastAsia" w:cs="Times New Roman"/>
                                <w:b/>
                                <w:bCs/>
                                <w:kern w:val="2"/>
                                <w:sz w:val="18"/>
                                <w:szCs w:val="18"/>
                                <w:lang w:val="en-US" w:eastAsia="zh-CN" w:bidi="ar"/>
                              </w:rPr>
                              <w:t>青年提幼儿园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7.65pt;margin-top:304.95pt;height:23.65pt;width:93.1pt;z-index:251682816;mso-width-relative:page;mso-height-relative:page;" filled="f" stroked="f" coordsize="21600,21600" o:gfxdata="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rtK9jbAAAACwEAAA8AAAAAAAAAAQAgAAAAIgAA&#10;AGRycy9kb3ducmV2LnhtbFBLAQIUABQAAAAIAIdO4kBZSOMhPgIAAGgEAAAOAAAAAAAAAAEAIAAA&#10;ACoBAABkcnMvZTJvRG9jLnhtbFBLBQYAAAAABgAGAFkBAADaBQAAAAA=&#10;">
                <v:fill on="f" focussize="0,0"/>
                <v:stroke on="f" weight="0.5pt"/>
                <v:imagedata o:title=""/>
                <o:lock v:ext="edit" aspectratio="f"/>
                <v:textbox>
                  <w:txbxContent>
                    <w:p w14:paraId="4E407B14">
                      <w:pPr>
                        <w:rPr>
                          <w:rFonts w:hint="default" w:eastAsia="宋体"/>
                          <w:b/>
                          <w:bCs/>
                          <w:sz w:val="18"/>
                          <w:szCs w:val="18"/>
                          <w:lang w:val="en-US" w:eastAsia="zh-CN"/>
                        </w:rPr>
                      </w:pPr>
                      <w:r>
                        <w:rPr>
                          <w:rFonts w:hint="eastAsia" w:cs="Times New Roman"/>
                          <w:b/>
                          <w:bCs/>
                          <w:kern w:val="2"/>
                          <w:sz w:val="18"/>
                          <w:szCs w:val="18"/>
                          <w:lang w:val="en-US" w:eastAsia="zh-CN" w:bidi="ar"/>
                        </w:rPr>
                        <w:t>青年提幼儿园</w:t>
                      </w:r>
                    </w:p>
                  </w:txbxContent>
                </v:textbox>
              </v:shap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4667885</wp:posOffset>
                </wp:positionH>
                <wp:positionV relativeFrom="paragraph">
                  <wp:posOffset>3821430</wp:posOffset>
                </wp:positionV>
                <wp:extent cx="122555" cy="122555"/>
                <wp:effectExtent l="6350" t="6350" r="23495" b="23495"/>
                <wp:wrapNone/>
                <wp:docPr id="74" name="椭圆 74"/>
                <wp:cNvGraphicFramePr/>
                <a:graphic xmlns:a="http://schemas.openxmlformats.org/drawingml/2006/main">
                  <a:graphicData uri="http://schemas.microsoft.com/office/word/2010/wordprocessingShape">
                    <wps:wsp>
                      <wps:cNvSpPr/>
                      <wps:spPr>
                        <a:xfrm>
                          <a:off x="0" y="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7.55pt;margin-top:300.9pt;height:9.65pt;width:9.65pt;z-index:251671552;v-text-anchor:middle;mso-width-relative:page;mso-height-relative:page;" fillcolor="#000000" filled="t" stroked="t" coordsize="21600,21600" o:gfxdata="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qAeia1wAAAAsB&#10;AAAPAAAAAAAAAAEAIAAAACIAAABkcnMvZG93bnJldi54bWxQSwECFAAUAAAACACHTuJAkYrUwo4C&#10;AAAuBQAADgAAAAAAAAABACAAAAAmAQAAZHJzL2Uyb0RvYy54bWxQSwUGAAAAAAYABgBZAQAAJgYA&#10;AAAA&#1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4218940</wp:posOffset>
                </wp:positionH>
                <wp:positionV relativeFrom="paragraph">
                  <wp:posOffset>3569970</wp:posOffset>
                </wp:positionV>
                <wp:extent cx="122555" cy="122555"/>
                <wp:effectExtent l="6350" t="6350" r="23495" b="23495"/>
                <wp:wrapNone/>
                <wp:docPr id="75" name="椭圆 75"/>
                <wp:cNvGraphicFramePr/>
                <a:graphic xmlns:a="http://schemas.openxmlformats.org/drawingml/2006/main">
                  <a:graphicData uri="http://schemas.microsoft.com/office/word/2010/wordprocessingShape">
                    <wps:wsp>
                      <wps:cNvSpPr/>
                      <wps:spPr>
                        <a:xfrm>
                          <a:off x="0" y="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2.2pt;margin-top:281.1pt;height:9.65pt;width:9.65pt;z-index:251672576;v-text-anchor:middle;mso-width-relative:page;mso-height-relative:page;" fillcolor="#000000" filled="t" stroked="t" coordsize="21600,21600" o:gfxdata="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8vOnr2AAAAAsB&#10;AAAPAAAAAAAAAAEAIAAAACIAAABkcnMvZG93bnJldi54bWxQSwECFAAUAAAACACHTuJAiIHnaI0C&#10;AAAuBQAADgAAAAAAAAABACAAAAAnAQAAZHJzL2Uyb0RvYy54bWxQSwUGAAAAAAYABgBZAQAAJgYA&#10;AAAA&#1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81792" behindDoc="0" locked="0" layoutInCell="1" allowOverlap="1">
                <wp:simplePos x="0" y="0"/>
                <wp:positionH relativeFrom="column">
                  <wp:posOffset>4057015</wp:posOffset>
                </wp:positionH>
                <wp:positionV relativeFrom="paragraph">
                  <wp:posOffset>3267075</wp:posOffset>
                </wp:positionV>
                <wp:extent cx="1182370" cy="300355"/>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F5B88">
                            <w:pPr>
                              <w:rPr>
                                <w:rFonts w:hint="default" w:eastAsia="宋体"/>
                                <w:b/>
                                <w:bCs/>
                                <w:sz w:val="18"/>
                                <w:szCs w:val="18"/>
                                <w:lang w:val="en-US" w:eastAsia="zh-CN"/>
                              </w:rPr>
                            </w:pPr>
                            <w:r>
                              <w:rPr>
                                <w:rFonts w:hint="eastAsia" w:cs="Times New Roman"/>
                                <w:b/>
                                <w:bCs/>
                                <w:kern w:val="2"/>
                                <w:sz w:val="18"/>
                                <w:szCs w:val="18"/>
                                <w:lang w:val="en-US" w:eastAsia="zh-CN" w:bidi="ar"/>
                              </w:rPr>
                              <w:t>际华幼儿园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9.45pt;margin-top:257.25pt;height:23.65pt;width:93.1pt;z-index:251681792;mso-width-relative:page;mso-height-relative:page;" filled="f" stroked="f" coordsize="21600,21600" o:gfxdata="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TH5N/cAAAACwEAAA8AAAAAAAAAAQAgAAAAIgAA&#10;AGRycy9kb3ducmV2LnhtbFBLAQIUABQAAAAIAIdO4kDMM7WqPQIAAGgEAAAOAAAAAAAAAAEAIAAA&#10;ACsBAABkcnMvZTJvRG9jLnhtbFBLBQYAAAAABgAGAFkBAADaBQAAAAA=&#10;">
                <v:fill on="f" focussize="0,0"/>
                <v:stroke on="f" weight="0.5pt"/>
                <v:imagedata o:title=""/>
                <o:lock v:ext="edit" aspectratio="f"/>
                <v:textbox>
                  <w:txbxContent>
                    <w:p w14:paraId="7C7F5B88">
                      <w:pPr>
                        <w:rPr>
                          <w:rFonts w:hint="default" w:eastAsia="宋体"/>
                          <w:b/>
                          <w:bCs/>
                          <w:sz w:val="18"/>
                          <w:szCs w:val="18"/>
                          <w:lang w:val="en-US" w:eastAsia="zh-CN"/>
                        </w:rPr>
                      </w:pPr>
                      <w:r>
                        <w:rPr>
                          <w:rFonts w:hint="eastAsia" w:cs="Times New Roman"/>
                          <w:b/>
                          <w:bCs/>
                          <w:kern w:val="2"/>
                          <w:sz w:val="18"/>
                          <w:szCs w:val="18"/>
                          <w:lang w:val="en-US" w:eastAsia="zh-CN" w:bidi="ar"/>
                        </w:rPr>
                        <w:t>际华幼儿园</w:t>
                      </w:r>
                    </w:p>
                  </w:txbxContent>
                </v:textbox>
              </v:shape>
            </w:pict>
          </mc:Fallback>
        </mc:AlternateContent>
      </w:r>
      <w:r>
        <w:rPr>
          <w:sz w:val="24"/>
        </w:rPr>
        <mc:AlternateContent>
          <mc:Choice Requires="wps">
            <w:drawing>
              <wp:anchor distT="0" distB="0" distL="114300" distR="114300" simplePos="0" relativeHeight="251680768" behindDoc="0" locked="0" layoutInCell="1" allowOverlap="1">
                <wp:simplePos x="0" y="0"/>
                <wp:positionH relativeFrom="column">
                  <wp:posOffset>4124960</wp:posOffset>
                </wp:positionH>
                <wp:positionV relativeFrom="paragraph">
                  <wp:posOffset>1443990</wp:posOffset>
                </wp:positionV>
                <wp:extent cx="1182370" cy="300355"/>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022A7E">
                            <w:pPr>
                              <w:rPr>
                                <w:rFonts w:hint="default" w:eastAsia="宋体"/>
                                <w:b/>
                                <w:bCs/>
                                <w:sz w:val="18"/>
                                <w:szCs w:val="18"/>
                                <w:lang w:val="en-US" w:eastAsia="zh-CN"/>
                              </w:rPr>
                            </w:pPr>
                            <w:r>
                              <w:rPr>
                                <w:rFonts w:hint="eastAsia" w:cs="Times New Roman"/>
                                <w:b/>
                                <w:bCs/>
                                <w:kern w:val="2"/>
                                <w:sz w:val="18"/>
                                <w:szCs w:val="18"/>
                                <w:lang w:val="en-US" w:eastAsia="zh-CN" w:bidi="ar"/>
                              </w:rPr>
                              <w:t>金</w:t>
                            </w:r>
                            <w:r>
                              <w:rPr>
                                <w:rFonts w:hint="eastAsia" w:ascii="Times New Roman" w:hAnsi="Times New Roman" w:eastAsia="宋体" w:cs="Times New Roman"/>
                                <w:b/>
                                <w:bCs/>
                                <w:kern w:val="2"/>
                                <w:sz w:val="18"/>
                                <w:szCs w:val="18"/>
                                <w:lang w:val="en-US" w:eastAsia="zh-CN" w:bidi="ar"/>
                              </w:rPr>
                              <w:t>茂洞庭</w:t>
                            </w:r>
                            <w:r>
                              <w:rPr>
                                <w:rFonts w:hint="eastAsia" w:cs="Times New Roman"/>
                                <w:b/>
                                <w:bCs/>
                                <w:kern w:val="2"/>
                                <w:sz w:val="18"/>
                                <w:szCs w:val="18"/>
                                <w:lang w:val="en-US" w:eastAsia="zh-CN" w:bidi="ar"/>
                              </w:rPr>
                              <w:t>生态新城</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4.8pt;margin-top:113.7pt;height:23.65pt;width:93.1pt;z-index:251680768;mso-width-relative:page;mso-height-relative:page;" filled="f" stroked="f" coordsize="21600,21600" o:gfxdata="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hq/ms3QAAAAsBAAAPAAAAAAAAAAEAIAAAACIA&#10;AABkcnMvZG93bnJldi54bWxQSwECFAAUAAAACACHTuJApV30rD0CAABoBAAADgAAAAAAAAABACAA&#10;AAAsAQAAZHJzL2Uyb0RvYy54bWxQSwUGAAAAAAYABgBZAQAA2wUAAAAA&#10;">
                <v:fill on="f" focussize="0,0"/>
                <v:stroke on="f" weight="0.5pt"/>
                <v:imagedata o:title=""/>
                <o:lock v:ext="edit" aspectratio="f"/>
                <v:textbox>
                  <w:txbxContent>
                    <w:p w14:paraId="34022A7E">
                      <w:pPr>
                        <w:rPr>
                          <w:rFonts w:hint="default" w:eastAsia="宋体"/>
                          <w:b/>
                          <w:bCs/>
                          <w:sz w:val="18"/>
                          <w:szCs w:val="18"/>
                          <w:lang w:val="en-US" w:eastAsia="zh-CN"/>
                        </w:rPr>
                      </w:pPr>
                      <w:r>
                        <w:rPr>
                          <w:rFonts w:hint="eastAsia" w:cs="Times New Roman"/>
                          <w:b/>
                          <w:bCs/>
                          <w:kern w:val="2"/>
                          <w:sz w:val="18"/>
                          <w:szCs w:val="18"/>
                          <w:lang w:val="en-US" w:eastAsia="zh-CN" w:bidi="ar"/>
                        </w:rPr>
                        <w:t>金</w:t>
                      </w:r>
                      <w:r>
                        <w:rPr>
                          <w:rFonts w:hint="eastAsia" w:ascii="Times New Roman" w:hAnsi="Times New Roman" w:eastAsia="宋体" w:cs="Times New Roman"/>
                          <w:b/>
                          <w:bCs/>
                          <w:kern w:val="2"/>
                          <w:sz w:val="18"/>
                          <w:szCs w:val="18"/>
                          <w:lang w:val="en-US" w:eastAsia="zh-CN" w:bidi="ar"/>
                        </w:rPr>
                        <w:t>茂洞庭</w:t>
                      </w:r>
                      <w:r>
                        <w:rPr>
                          <w:rFonts w:hint="eastAsia" w:cs="Times New Roman"/>
                          <w:b/>
                          <w:bCs/>
                          <w:kern w:val="2"/>
                          <w:sz w:val="18"/>
                          <w:szCs w:val="18"/>
                          <w:lang w:val="en-US" w:eastAsia="zh-CN" w:bidi="ar"/>
                        </w:rPr>
                        <w:t>生态新城</w:t>
                      </w:r>
                    </w:p>
                  </w:txbxContent>
                </v:textbox>
              </v:shape>
            </w:pict>
          </mc:Fallback>
        </mc:AlternateContent>
      </w:r>
      <w:r>
        <w:rPr>
          <w:sz w:val="24"/>
        </w:rPr>
        <mc:AlternateContent>
          <mc:Choice Requires="wps">
            <w:drawing>
              <wp:anchor distT="0" distB="0" distL="114300" distR="114300" simplePos="0" relativeHeight="251679744" behindDoc="0" locked="0" layoutInCell="1" allowOverlap="1">
                <wp:simplePos x="0" y="0"/>
                <wp:positionH relativeFrom="column">
                  <wp:posOffset>3029585</wp:posOffset>
                </wp:positionH>
                <wp:positionV relativeFrom="paragraph">
                  <wp:posOffset>1763395</wp:posOffset>
                </wp:positionV>
                <wp:extent cx="1066800" cy="300355"/>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06680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DFD37">
                            <w:pPr>
                              <w:rPr>
                                <w:rFonts w:hint="default" w:eastAsia="宋体"/>
                                <w:b/>
                                <w:bCs/>
                                <w:sz w:val="18"/>
                                <w:szCs w:val="18"/>
                                <w:lang w:val="en-US" w:eastAsia="zh-CN"/>
                              </w:rPr>
                            </w:pPr>
                            <w:r>
                              <w:rPr>
                                <w:rFonts w:hint="eastAsia" w:ascii="Times New Roman" w:hAnsi="Times New Roman" w:eastAsia="宋体" w:cs="Times New Roman"/>
                                <w:b/>
                                <w:bCs/>
                                <w:kern w:val="2"/>
                                <w:sz w:val="18"/>
                                <w:szCs w:val="18"/>
                                <w:lang w:val="en-US" w:eastAsia="zh-CN" w:bidi="ar"/>
                              </w:rPr>
                              <w:t>洞庭书香苑小区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55pt;margin-top:138.85pt;height:23.65pt;width:84pt;z-index:251679744;mso-width-relative:page;mso-height-relative:page;" filled="f" stroked="f" coordsize="21600,21600" o:gfxdata="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IrxJy3AAAAAsBAAAPAAAAAAAAAAEAIAAAACIAAABk&#10;cnMvZG93bnJldi54bWxQSwECFAAUAAAACACHTuJA/kOnTTsCAABoBAAADgAAAAAAAAABACAAAAAr&#10;AQAAZHJzL2Uyb0RvYy54bWxQSwUGAAAAAAYABgBZAQAA2AUAAAAA&#10;">
                <v:fill on="f" focussize="0,0"/>
                <v:stroke on="f" weight="0.5pt"/>
                <v:imagedata o:title=""/>
                <o:lock v:ext="edit" aspectratio="f"/>
                <v:textbox>
                  <w:txbxContent>
                    <w:p w14:paraId="653DFD37">
                      <w:pPr>
                        <w:rPr>
                          <w:rFonts w:hint="default" w:eastAsia="宋体"/>
                          <w:b/>
                          <w:bCs/>
                          <w:sz w:val="18"/>
                          <w:szCs w:val="18"/>
                          <w:lang w:val="en-US" w:eastAsia="zh-CN"/>
                        </w:rPr>
                      </w:pPr>
                      <w:r>
                        <w:rPr>
                          <w:rFonts w:hint="eastAsia" w:ascii="Times New Roman" w:hAnsi="Times New Roman" w:eastAsia="宋体" w:cs="Times New Roman"/>
                          <w:b/>
                          <w:bCs/>
                          <w:kern w:val="2"/>
                          <w:sz w:val="18"/>
                          <w:szCs w:val="18"/>
                          <w:lang w:val="en-US" w:eastAsia="zh-CN" w:bidi="ar"/>
                        </w:rPr>
                        <w:t>洞庭书香苑小区</w:t>
                      </w:r>
                    </w:p>
                  </w:txbxContent>
                </v:textbox>
              </v:shape>
            </w:pict>
          </mc:Fallback>
        </mc:AlternateContent>
      </w:r>
      <w:r>
        <w:rPr>
          <w:sz w:val="24"/>
        </w:rPr>
        <mc:AlternateContent>
          <mc:Choice Requires="wps">
            <w:drawing>
              <wp:anchor distT="0" distB="0" distL="114300" distR="114300" simplePos="0" relativeHeight="251678720" behindDoc="0" locked="0" layoutInCell="1" allowOverlap="1">
                <wp:simplePos x="0" y="0"/>
                <wp:positionH relativeFrom="column">
                  <wp:posOffset>3736975</wp:posOffset>
                </wp:positionH>
                <wp:positionV relativeFrom="paragraph">
                  <wp:posOffset>2171700</wp:posOffset>
                </wp:positionV>
                <wp:extent cx="1066800" cy="300355"/>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06680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BA492">
                            <w:pPr>
                              <w:rPr>
                                <w:rFonts w:hint="default" w:eastAsia="宋体"/>
                                <w:b/>
                                <w:bCs/>
                                <w:sz w:val="18"/>
                                <w:szCs w:val="21"/>
                                <w:lang w:val="en-US" w:eastAsia="zh-CN"/>
                              </w:rPr>
                            </w:pPr>
                            <w:r>
                              <w:rPr>
                                <w:rFonts w:hint="eastAsia"/>
                                <w:b/>
                                <w:bCs/>
                                <w:sz w:val="18"/>
                                <w:szCs w:val="21"/>
                                <w:lang w:val="en-US" w:eastAsia="zh-CN"/>
                              </w:rPr>
                              <w:t>原3517家属区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25pt;margin-top:171pt;height:23.65pt;width:84pt;z-index:251678720;mso-width-relative:page;mso-height-relative:page;" filled="f" stroked="f" coordsize="21600,21600" o:gfxdata="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&#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xrxnZ2wAAAAsBAAAPAAAAAAAAAAEAIAAAACIAAABk&#10;cnMvZG93bnJldi54bWxQSwECFAAUAAAACACHTuJAAMksCzwCAABoBAAADgAAAAAAAAABACAAAAAq&#10;AQAAZHJzL2Uyb0RvYy54bWxQSwUGAAAAAAYABgBZAQAA2AUAAAAA&#10;">
                <v:fill on="f" focussize="0,0"/>
                <v:stroke on="f" weight="0.5pt"/>
                <v:imagedata o:title=""/>
                <o:lock v:ext="edit" aspectratio="f"/>
                <v:textbox>
                  <w:txbxContent>
                    <w:p w14:paraId="6ACBA492">
                      <w:pPr>
                        <w:rPr>
                          <w:rFonts w:hint="default" w:eastAsia="宋体"/>
                          <w:b/>
                          <w:bCs/>
                          <w:sz w:val="18"/>
                          <w:szCs w:val="21"/>
                          <w:lang w:val="en-US" w:eastAsia="zh-CN"/>
                        </w:rPr>
                      </w:pPr>
                      <w:r>
                        <w:rPr>
                          <w:rFonts w:hint="eastAsia"/>
                          <w:b/>
                          <w:bCs/>
                          <w:sz w:val="18"/>
                          <w:szCs w:val="21"/>
                          <w:lang w:val="en-US" w:eastAsia="zh-CN"/>
                        </w:rPr>
                        <w:t>原3517家属区</w:t>
                      </w:r>
                    </w:p>
                  </w:txbxContent>
                </v:textbox>
              </v:shape>
            </w:pict>
          </mc:Fallback>
        </mc:AlternateContent>
      </w:r>
      <w:r>
        <w:rPr>
          <w:sz w:val="24"/>
        </w:rPr>
        <mc:AlternateContent>
          <mc:Choice Requires="wps">
            <w:drawing>
              <wp:anchor distT="0" distB="0" distL="114300" distR="114300" simplePos="0" relativeHeight="251677696" behindDoc="0" locked="0" layoutInCell="1" allowOverlap="1">
                <wp:simplePos x="0" y="0"/>
                <wp:positionH relativeFrom="column">
                  <wp:posOffset>3090545</wp:posOffset>
                </wp:positionH>
                <wp:positionV relativeFrom="paragraph">
                  <wp:posOffset>2688590</wp:posOffset>
                </wp:positionV>
                <wp:extent cx="1066800" cy="300355"/>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06680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FB623A">
                            <w:pPr>
                              <w:rPr>
                                <w:rFonts w:hint="default" w:eastAsia="宋体"/>
                                <w:b/>
                                <w:bCs/>
                                <w:sz w:val="18"/>
                                <w:szCs w:val="21"/>
                                <w:lang w:val="en-US" w:eastAsia="zh-CN"/>
                              </w:rPr>
                            </w:pPr>
                            <w:r>
                              <w:rPr>
                                <w:rFonts w:hint="eastAsia"/>
                                <w:b/>
                                <w:bCs/>
                                <w:sz w:val="18"/>
                                <w:szCs w:val="21"/>
                                <w:lang w:val="en-US" w:eastAsia="zh-CN"/>
                              </w:rPr>
                              <w:t>岳阳市第一中学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35pt;margin-top:211.7pt;height:23.65pt;width:84pt;z-index:251677696;mso-width-relative:page;mso-height-relative:page;" filled="f" stroked="f" coordsize="21600,21600" o:gfxdata="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&#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XS6Vu2wAAAAsBAAAPAAAAAAAAAAEAIAAAACIAAABk&#10;cnMvZG93bnJldi54bWxQSwECFAAUAAAACACHTuJAlbJ6gDwCAABoBAAADgAAAAAAAAABACAAAAAq&#10;AQAAZHJzL2Uyb0RvYy54bWxQSwUGAAAAAAYABgBZAQAA2AUAAAAA&#10;">
                <v:fill on="f" focussize="0,0"/>
                <v:stroke on="f" weight="0.5pt"/>
                <v:imagedata o:title=""/>
                <o:lock v:ext="edit" aspectratio="f"/>
                <v:textbox>
                  <w:txbxContent>
                    <w:p w14:paraId="57FB623A">
                      <w:pPr>
                        <w:rPr>
                          <w:rFonts w:hint="default" w:eastAsia="宋体"/>
                          <w:b/>
                          <w:bCs/>
                          <w:sz w:val="18"/>
                          <w:szCs w:val="21"/>
                          <w:lang w:val="en-US" w:eastAsia="zh-CN"/>
                        </w:rPr>
                      </w:pPr>
                      <w:r>
                        <w:rPr>
                          <w:rFonts w:hint="eastAsia"/>
                          <w:b/>
                          <w:bCs/>
                          <w:sz w:val="18"/>
                          <w:szCs w:val="21"/>
                          <w:lang w:val="en-US" w:eastAsia="zh-CN"/>
                        </w:rPr>
                        <w:t>岳阳市第一中学</w:t>
                      </w:r>
                    </w:p>
                  </w:txbxContent>
                </v:textbox>
              </v:shape>
            </w:pict>
          </mc:Fallback>
        </mc:AlternateContent>
      </w:r>
      <w:r>
        <w:rPr>
          <w:sz w:val="24"/>
        </w:rPr>
        <mc:AlternateContent>
          <mc:Choice Requires="wps">
            <w:drawing>
              <wp:anchor distT="0" distB="0" distL="114300" distR="114300" simplePos="0" relativeHeight="251676672" behindDoc="0" locked="0" layoutInCell="1" allowOverlap="1">
                <wp:simplePos x="0" y="0"/>
                <wp:positionH relativeFrom="column">
                  <wp:posOffset>2192020</wp:posOffset>
                </wp:positionH>
                <wp:positionV relativeFrom="paragraph">
                  <wp:posOffset>2178685</wp:posOffset>
                </wp:positionV>
                <wp:extent cx="1019810" cy="537845"/>
                <wp:effectExtent l="0" t="0" r="0" b="0"/>
                <wp:wrapNone/>
                <wp:docPr id="79" name="文本框 79"/>
                <wp:cNvGraphicFramePr/>
                <a:graphic xmlns:a="http://schemas.openxmlformats.org/drawingml/2006/main">
                  <a:graphicData uri="http://schemas.microsoft.com/office/word/2010/wordprocessingShape">
                    <wps:wsp>
                      <wps:cNvSpPr txBox="1"/>
                      <wps:spPr>
                        <a:xfrm>
                          <a:off x="2235200" y="3639820"/>
                          <a:ext cx="1019810" cy="5378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5A0C65">
                            <w:pPr>
                              <w:rPr>
                                <w:rFonts w:hint="eastAsia"/>
                                <w:b/>
                                <w:bCs/>
                                <w:sz w:val="18"/>
                                <w:szCs w:val="21"/>
                                <w:lang w:val="en-US" w:eastAsia="zh-CN"/>
                              </w:rPr>
                            </w:pPr>
                            <w:r>
                              <w:rPr>
                                <w:rFonts w:hint="eastAsia"/>
                                <w:b/>
                                <w:bCs/>
                                <w:sz w:val="18"/>
                                <w:szCs w:val="21"/>
                                <w:lang w:val="en-US" w:eastAsia="zh-CN"/>
                              </w:rPr>
                              <w:t>东洞庭湖管理局</w:t>
                            </w:r>
                          </w:p>
                          <w:p w14:paraId="58BEFDEC">
                            <w:pPr>
                              <w:rPr>
                                <w:rFonts w:hint="default" w:eastAsia="宋体"/>
                                <w:b/>
                                <w:bCs/>
                                <w:sz w:val="18"/>
                                <w:szCs w:val="21"/>
                                <w:lang w:val="en-US" w:eastAsia="zh-CN"/>
                              </w:rPr>
                            </w:pPr>
                            <w:r>
                              <w:rPr>
                                <w:rFonts w:hint="eastAsia"/>
                                <w:b/>
                                <w:bCs/>
                                <w:sz w:val="18"/>
                                <w:szCs w:val="21"/>
                                <w:lang w:val="en-US" w:eastAsia="zh-CN"/>
                              </w:rPr>
                              <w:t>家属区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2.6pt;margin-top:171.55pt;height:42.35pt;width:80.3pt;z-index:251676672;mso-width-relative:page;mso-height-relative:page;" filled="f" stroked="f" coordsize="21600,21600" o:gfxdata="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8Bmop9wAAAALAQAADwAAAAAA&#10;AAABACAAAAAiAAAAZHJzL2Rvd25yZXYueG1sUEsBAhQAFAAAAAgAh07iQBYgliVIAgAAdAQAAA4A&#10;AAAAAAAAAQAgAAAAKwEAAGRycy9lMm9Eb2MueG1sUEsFBgAAAAAGAAYAWQEAAOUFAAAAAA==&#10;">
                <v:fill on="f" focussize="0,0"/>
                <v:stroke on="f" weight="0.5pt"/>
                <v:imagedata o:title=""/>
                <o:lock v:ext="edit" aspectratio="f"/>
                <v:textbox>
                  <w:txbxContent>
                    <w:p w14:paraId="655A0C65">
                      <w:pPr>
                        <w:rPr>
                          <w:rFonts w:hint="eastAsia"/>
                          <w:b/>
                          <w:bCs/>
                          <w:sz w:val="18"/>
                          <w:szCs w:val="21"/>
                          <w:lang w:val="en-US" w:eastAsia="zh-CN"/>
                        </w:rPr>
                      </w:pPr>
                      <w:r>
                        <w:rPr>
                          <w:rFonts w:hint="eastAsia"/>
                          <w:b/>
                          <w:bCs/>
                          <w:sz w:val="18"/>
                          <w:szCs w:val="21"/>
                          <w:lang w:val="en-US" w:eastAsia="zh-CN"/>
                        </w:rPr>
                        <w:t>东洞庭湖管理局</w:t>
                      </w:r>
                    </w:p>
                    <w:p w14:paraId="58BEFDEC">
                      <w:pPr>
                        <w:rPr>
                          <w:rFonts w:hint="default" w:eastAsia="宋体"/>
                          <w:b/>
                          <w:bCs/>
                          <w:sz w:val="18"/>
                          <w:szCs w:val="21"/>
                          <w:lang w:val="en-US" w:eastAsia="zh-CN"/>
                        </w:rPr>
                      </w:pPr>
                      <w:r>
                        <w:rPr>
                          <w:rFonts w:hint="eastAsia"/>
                          <w:b/>
                          <w:bCs/>
                          <w:sz w:val="18"/>
                          <w:szCs w:val="21"/>
                          <w:lang w:val="en-US" w:eastAsia="zh-CN"/>
                        </w:rPr>
                        <w:t>家属区</w:t>
                      </w:r>
                    </w:p>
                  </w:txbxContent>
                </v:textbox>
              </v:shap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1858645</wp:posOffset>
                </wp:positionH>
                <wp:positionV relativeFrom="paragraph">
                  <wp:posOffset>1666875</wp:posOffset>
                </wp:positionV>
                <wp:extent cx="930910" cy="298450"/>
                <wp:effectExtent l="6350" t="6350" r="567690" b="361950"/>
                <wp:wrapNone/>
                <wp:docPr id="78" name="圆角矩形标注 78"/>
                <wp:cNvGraphicFramePr/>
                <a:graphic xmlns:a="http://schemas.openxmlformats.org/drawingml/2006/main">
                  <a:graphicData uri="http://schemas.microsoft.com/office/word/2010/wordprocessingShape">
                    <wps:wsp>
                      <wps:cNvSpPr/>
                      <wps:spPr>
                        <a:xfrm>
                          <a:off x="2773045" y="2809875"/>
                          <a:ext cx="930910" cy="298450"/>
                        </a:xfrm>
                        <a:prstGeom prst="wedgeRoundRectCallout">
                          <a:avLst>
                            <a:gd name="adj1" fmla="val 104597"/>
                            <a:gd name="adj2" fmla="val 162354"/>
                            <a:gd name="adj3" fmla="val 16667"/>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2D891397">
                            <w:pPr>
                              <w:jc w:val="center"/>
                              <w:rPr>
                                <w:rFonts w:hint="default" w:eastAsia="宋体"/>
                                <w:color w:val="auto"/>
                                <w:lang w:val="en-US" w:eastAsia="zh-CN"/>
                              </w:rPr>
                            </w:pPr>
                            <w:r>
                              <w:rPr>
                                <w:rFonts w:hint="default" w:ascii="Times New Roman" w:hAnsi="Times New Roman" w:cs="Times New Roman"/>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146.35pt;margin-top:131.25pt;height:23.5pt;width:73.3pt;z-index:251675648;v-text-anchor:middle;mso-width-relative:page;mso-height-relative:page;" filled="f" stroked="t" coordsize="21600,21600" o:gfxdata="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pFgKt&#10;2wAAAAsBAAAPAAAAAAAAAAEAIAAAACIAAABkcnMvZG93bnJldi54bWxQSwECFAAUAAAACACHTuJA&#10;zkhK8skCAAB3BQAADgAAAAAAAAABACAAAAAqAQAAZHJzL2Uyb0RvYy54bWxQSwUGAAAAAAYABgBZ&#10;AQAAZQYAAAAA&#10;" adj="33393,45868,14400">
                <v:fill on="f" focussize="0,0"/>
                <v:stroke weight="1pt" color="#000000 [3213]" miterlimit="8" joinstyle="miter"/>
                <v:imagedata o:title=""/>
                <o:lock v:ext="edit" aspectratio="f"/>
                <v:textbox>
                  <w:txbxContent>
                    <w:p w14:paraId="2D891397">
                      <w:pPr>
                        <w:jc w:val="center"/>
                        <w:rPr>
                          <w:rFonts w:hint="default" w:eastAsia="宋体"/>
                          <w:color w:val="auto"/>
                          <w:lang w:val="en-US" w:eastAsia="zh-CN"/>
                        </w:rPr>
                      </w:pPr>
                      <w:r>
                        <w:rPr>
                          <w:rFonts w:hint="default" w:ascii="Times New Roman" w:hAnsi="Times New Roman" w:cs="Times New Roman"/>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项目所在地</w:t>
                      </w:r>
                    </w:p>
                  </w:txbxContent>
                </v:textbox>
              </v:shape>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4538345</wp:posOffset>
                </wp:positionH>
                <wp:positionV relativeFrom="paragraph">
                  <wp:posOffset>1379220</wp:posOffset>
                </wp:positionV>
                <wp:extent cx="122555" cy="122555"/>
                <wp:effectExtent l="6350" t="6350" r="23495" b="23495"/>
                <wp:wrapNone/>
                <wp:docPr id="77" name="椭圆 77"/>
                <wp:cNvGraphicFramePr/>
                <a:graphic xmlns:a="http://schemas.openxmlformats.org/drawingml/2006/main">
                  <a:graphicData uri="http://schemas.microsoft.com/office/word/2010/wordprocessingShape">
                    <wps:wsp>
                      <wps:cNvSpPr/>
                      <wps:spPr>
                        <a:xfrm>
                          <a:off x="0" y="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7.35pt;margin-top:108.6pt;height:9.65pt;width:9.65pt;z-index:251674624;v-text-anchor:middle;mso-width-relative:page;mso-height-relative:page;" fillcolor="#000000" filled="t" stroked="t" coordsize="21600,21600" o:gfxdata="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ORBsU1wAAAAsB&#10;AAAPAAAAAAAAAAEAIAAAACIAAABkcnMvZG93bnJldi54bWxQSwECFAAUAAAACACHTuJA+5Hw544C&#10;AAAuBQAADgAAAAAAAAABACAAAAAmAQAAZHJzL2Uyb0RvYy54bWxQSwUGAAAAAAYABgBZAQAAJgYA&#10;AAAA&#1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73600" behindDoc="0" locked="0" layoutInCell="1" allowOverlap="1">
                <wp:simplePos x="0" y="0"/>
                <wp:positionH relativeFrom="column">
                  <wp:posOffset>3211830</wp:posOffset>
                </wp:positionH>
                <wp:positionV relativeFrom="paragraph">
                  <wp:posOffset>2038985</wp:posOffset>
                </wp:positionV>
                <wp:extent cx="122555" cy="122555"/>
                <wp:effectExtent l="6350" t="6350" r="23495" b="23495"/>
                <wp:wrapNone/>
                <wp:docPr id="76" name="椭圆 76"/>
                <wp:cNvGraphicFramePr/>
                <a:graphic xmlns:a="http://schemas.openxmlformats.org/drawingml/2006/main">
                  <a:graphicData uri="http://schemas.microsoft.com/office/word/2010/wordprocessingShape">
                    <wps:wsp>
                      <wps:cNvSpPr/>
                      <wps:spPr>
                        <a:xfrm>
                          <a:off x="0" y="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52.9pt;margin-top:160.55pt;height:9.65pt;width:9.65pt;z-index:251673600;v-text-anchor:middle;mso-width-relative:page;mso-height-relative:page;" fillcolor="#000000" filled="t" stroked="t" coordsize="21600,21600" o:gfxdata="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JrfMutcAAAAL&#10;AQAADwAAAAAAAAABACAAAAAiAAAAZHJzL2Rvd25yZXYueG1sUEsBAhQAFAAAAAgAh07iQOKaw02P&#10;AgAALgUAAA4AAAAAAAAAAQAgAAAAJgEAAGRycy9lMm9Eb2MueG1sUEsFBgAAAAAGAAYAWQEAACcG&#10;AAAAAA==&#1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3192145</wp:posOffset>
                </wp:positionH>
                <wp:positionV relativeFrom="paragraph">
                  <wp:posOffset>2225675</wp:posOffset>
                </wp:positionV>
                <wp:extent cx="319405" cy="128270"/>
                <wp:effectExtent l="6350" t="6350" r="17145" b="17780"/>
                <wp:wrapNone/>
                <wp:docPr id="69" name="矩形 69"/>
                <wp:cNvGraphicFramePr/>
                <a:graphic xmlns:a="http://schemas.openxmlformats.org/drawingml/2006/main">
                  <a:graphicData uri="http://schemas.microsoft.com/office/word/2010/wordprocessingShape">
                    <wps:wsp>
                      <wps:cNvSpPr/>
                      <wps:spPr>
                        <a:xfrm>
                          <a:off x="4024630" y="3558540"/>
                          <a:ext cx="319405" cy="128270"/>
                        </a:xfrm>
                        <a:prstGeom prst="rect">
                          <a:avLst/>
                        </a:prstGeom>
                        <a:solidFill>
                          <a:srgbClr val="CB4757"/>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1.35pt;margin-top:175.25pt;height:10.1pt;width:25.15pt;z-index:251666432;v-text-anchor:middle;mso-width-relative:page;mso-height-relative:page;" fillcolor="#CB4757" filled="t" stroked="t" coordsize="21600,21600" o:gfxdata="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f&#10;5yJd2QAAAAsBAAAPAAAAAAAAAAEAIAAAACIAAABkcnMvZG93bnJldi54bWxQSwECFAAUAAAACACH&#10;TuJA+oJgZJUCAAAjBQAADgAAAAAAAAABACAAAAAoAQAAZHJzL2Uyb0RvYy54bWxQSwUGAAAAAAYA&#10;BgBZAQAALwYAAAAA&#10;">
                <v:fill on="t" focussize="0,0"/>
                <v:stroke weight="1pt" color="#2E54A1 [2404]" miterlimit="8" joinstyle="miter"/>
                <v:imagedata o:title=""/>
                <o:lock v:ext="edit" aspectratio="f"/>
              </v:rect>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3708400</wp:posOffset>
                </wp:positionH>
                <wp:positionV relativeFrom="paragraph">
                  <wp:posOffset>2224405</wp:posOffset>
                </wp:positionV>
                <wp:extent cx="122555" cy="122555"/>
                <wp:effectExtent l="6350" t="6350" r="23495" b="23495"/>
                <wp:wrapNone/>
                <wp:docPr id="73" name="椭圆 73"/>
                <wp:cNvGraphicFramePr/>
                <a:graphic xmlns:a="http://schemas.openxmlformats.org/drawingml/2006/main">
                  <a:graphicData uri="http://schemas.microsoft.com/office/word/2010/wordprocessingShape">
                    <wps:wsp>
                      <wps:cNvSpPr/>
                      <wps:spPr>
                        <a:xfrm>
                          <a:off x="0" y="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2pt;margin-top:175.15pt;height:9.65pt;width:9.65pt;z-index:251670528;v-text-anchor:middle;mso-width-relative:page;mso-height-relative:page;" fillcolor="#000000" filled="t" stroked="t" coordsize="21600,21600" o:gfxdata="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MPSHVnYAAAA&#10;CwEAAA8AAAAAAAAAAQAgAAAAIgAAAGRycy9kb3ducmV2LnhtbFBLAQIUABQAAAAIAIdO4kBct68i&#10;jwIAAC4FAAAOAAAAAAAAAAEAIAAAACcBAABkcnMvZTJvRG9jLnhtbFBLBQYAAAAABgAGAFkBAAAo&#10;BgAAAAA=&#1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3456940</wp:posOffset>
                </wp:positionH>
                <wp:positionV relativeFrom="paragraph">
                  <wp:posOffset>2646680</wp:posOffset>
                </wp:positionV>
                <wp:extent cx="122555" cy="122555"/>
                <wp:effectExtent l="6350" t="6350" r="23495" b="23495"/>
                <wp:wrapNone/>
                <wp:docPr id="72" name="椭圆 72"/>
                <wp:cNvGraphicFramePr/>
                <a:graphic xmlns:a="http://schemas.openxmlformats.org/drawingml/2006/main">
                  <a:graphicData uri="http://schemas.microsoft.com/office/word/2010/wordprocessingShape">
                    <wps:wsp>
                      <wps:cNvSpPr/>
                      <wps:spPr>
                        <a:xfrm>
                          <a:off x="0" y="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2.2pt;margin-top:208.4pt;height:9.65pt;width:9.65pt;z-index:251669504;v-text-anchor:middle;mso-width-relative:page;mso-height-relative:page;" fillcolor="#000000" filled="t" stroked="t" coordsize="21600,21600" o:gfxdata="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F5er51wAAAAsB&#10;AAAPAAAAAAAAAAEAIAAAACIAAABkcnMvZG93bnJldi54bWxQSwECFAAUAAAACACHTuJARbyciI4C&#10;AAAuBQAADgAAAAAAAAABACAAAAAmAQAAZHJzL2Uyb0RvYy54bWxQSwUGAAAAAAYABgBZAQAAJgYA&#10;AAAA&#1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column">
                  <wp:posOffset>2865120</wp:posOffset>
                </wp:positionH>
                <wp:positionV relativeFrom="paragraph">
                  <wp:posOffset>2381250</wp:posOffset>
                </wp:positionV>
                <wp:extent cx="122555" cy="122555"/>
                <wp:effectExtent l="6350" t="6350" r="23495" b="23495"/>
                <wp:wrapNone/>
                <wp:docPr id="71" name="椭圆 71"/>
                <wp:cNvGraphicFramePr/>
                <a:graphic xmlns:a="http://schemas.openxmlformats.org/drawingml/2006/main">
                  <a:graphicData uri="http://schemas.microsoft.com/office/word/2010/wordprocessingShape">
                    <wps:wsp>
                      <wps:cNvSpPr/>
                      <wps:spPr>
                        <a:xfrm>
                          <a:off x="0" y="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5.6pt;margin-top:187.5pt;height:9.65pt;width:9.65pt;z-index:251668480;v-text-anchor:middle;mso-width-relative:page;mso-height-relative:page;" fillcolor="#000000" filled="t" stroked="t" coordsize="21600,21600" o:gfxdata="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FHkbh7XAAAACwEA&#10;AA8AAAAAAAAAAQAgAAAAIgAAAGRycy9kb3ducmV2LnhtbFBLAQIUABQAAAAIAIdO4kAvp7itjQIA&#10;AC4FAAAOAAAAAAAAAAEAIAAAACYBAABkcnMvZTJvRG9jLnhtbFBLBQYAAAAABgAGAFkBAAAlBgAA&#10;AAA=&#10;">
                <v:fill on="t" focussize="0,0"/>
                <v:stroke weight="1pt" color="#2E54A1 [2404]" miterlimit="8" joinstyle="miter"/>
                <v:imagedata o:title=""/>
                <o:lock v:ext="edit" aspectratio="f"/>
              </v:shape>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4028440</wp:posOffset>
                </wp:positionH>
                <wp:positionV relativeFrom="paragraph">
                  <wp:posOffset>1210945</wp:posOffset>
                </wp:positionV>
                <wp:extent cx="122555" cy="122555"/>
                <wp:effectExtent l="6350" t="6350" r="23495" b="23495"/>
                <wp:wrapNone/>
                <wp:docPr id="70" name="椭圆 70"/>
                <wp:cNvGraphicFramePr/>
                <a:graphic xmlns:a="http://schemas.openxmlformats.org/drawingml/2006/main">
                  <a:graphicData uri="http://schemas.microsoft.com/office/word/2010/wordprocessingShape">
                    <wps:wsp>
                      <wps:cNvSpPr/>
                      <wps:spPr>
                        <a:xfrm>
                          <a:off x="3275965" y="2667000"/>
                          <a:ext cx="122555" cy="122555"/>
                        </a:xfrm>
                        <a:prstGeom prst="ellipse">
                          <a:avLst/>
                        </a:prstGeom>
                        <a:solidFill>
                          <a:sysClr val="windowText" lastClr="00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7.2pt;margin-top:95.35pt;height:9.65pt;width:9.65pt;z-index:251667456;v-text-anchor:middle;mso-width-relative:page;mso-height-relative:page;" fillcolor="#000000" filled="t" stroked="t" coordsize="21600,21600" o:gfxdata="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CDEGE1wAAAAsBAAAPAAAAAAAAAAEAIAAAACIAAABkcnMvZG93bnJldi54bWxQSwECFAAUAAAA&#10;CACHTuJAa26SK5oCAAA6BQAADgAAAAAAAAABACAAAAAmAQAAZHJzL2Uyb0RvYy54bWxQSwUGAAAA&#10;AAYABgBZAQAAMgYAAAAA&#10;">
                <v:fill on="t" focussize="0,0"/>
                <v:stroke weight="1pt" color="#2E54A1 [2404]" miterlimit="8" joinstyle="miter"/>
                <v:imagedata o:title=""/>
                <o:lock v:ext="edit" aspectratio="f"/>
              </v:shape>
            </w:pict>
          </mc:Fallback>
        </mc:AlternateContent>
      </w:r>
      <w:r>
        <w:rPr>
          <w:rFonts w:ascii="宋体" w:hAnsi="宋体" w:cs="宋体"/>
          <w:kern w:val="0"/>
          <w:sz w:val="24"/>
        </w:rPr>
        <w:drawing>
          <wp:anchor distT="0" distB="0" distL="114300" distR="114300" simplePos="0" relativeHeight="251665408" behindDoc="0" locked="0" layoutInCell="1" allowOverlap="1">
            <wp:simplePos x="0" y="0"/>
            <wp:positionH relativeFrom="column">
              <wp:posOffset>770255</wp:posOffset>
            </wp:positionH>
            <wp:positionV relativeFrom="paragraph">
              <wp:posOffset>60325</wp:posOffset>
            </wp:positionV>
            <wp:extent cx="488315" cy="698500"/>
            <wp:effectExtent l="0" t="0" r="6985" b="6350"/>
            <wp:wrapNone/>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488315" cy="698500"/>
                    </a:xfrm>
                    <a:prstGeom prst="rect">
                      <a:avLst/>
                    </a:prstGeom>
                    <a:noFill/>
                  </pic:spPr>
                </pic:pic>
              </a:graphicData>
            </a:graphic>
          </wp:anchor>
        </w:drawing>
      </w:r>
      <w:r>
        <w:drawing>
          <wp:inline distT="0" distB="0" distL="114300" distR="114300">
            <wp:extent cx="7336155" cy="4834890"/>
            <wp:effectExtent l="0" t="0" r="17145" b="3810"/>
            <wp:docPr id="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
                    <pic:cNvPicPr>
                      <a:picLocks noChangeAspect="1"/>
                    </pic:cNvPicPr>
                  </pic:nvPicPr>
                  <pic:blipFill>
                    <a:blip r:embed="rId59"/>
                    <a:stretch>
                      <a:fillRect/>
                    </a:stretch>
                  </pic:blipFill>
                  <pic:spPr>
                    <a:xfrm>
                      <a:off x="0" y="0"/>
                      <a:ext cx="7336155" cy="4834890"/>
                    </a:xfrm>
                    <a:prstGeom prst="rect">
                      <a:avLst/>
                    </a:prstGeom>
                    <a:noFill/>
                    <a:ln>
                      <a:noFill/>
                    </a:ln>
                  </pic:spPr>
                </pic:pic>
              </a:graphicData>
            </a:graphic>
          </wp:inline>
        </w:drawing>
      </w:r>
    </w:p>
    <w:p w14:paraId="7A937075">
      <w:pPr>
        <w:jc w:val="center"/>
      </w:pPr>
      <w:r>
        <w:rPr>
          <w:rFonts w:hint="default" w:eastAsia="方正小标宋_GBK"/>
          <w:b/>
          <w:snapToGrid w:val="0"/>
          <w:kern w:val="0"/>
          <w:sz w:val="24"/>
          <w:lang w:val="en-US" w:eastAsia="zh-CN"/>
        </w:rPr>
        <w:t>附图</w:t>
      </w:r>
      <w:r>
        <w:rPr>
          <w:rFonts w:hint="eastAsia" w:eastAsia="方正小标宋_GBK"/>
          <w:b/>
          <w:snapToGrid w:val="0"/>
          <w:kern w:val="0"/>
          <w:sz w:val="24"/>
          <w:lang w:val="en-US" w:eastAsia="zh-CN"/>
        </w:rPr>
        <w:t>3</w:t>
      </w:r>
      <w:r>
        <w:rPr>
          <w:rFonts w:hint="default" w:eastAsia="方正小标宋_GBK"/>
          <w:b/>
          <w:snapToGrid w:val="0"/>
          <w:kern w:val="0"/>
          <w:sz w:val="24"/>
          <w:lang w:val="en-US" w:eastAsia="zh-CN"/>
        </w:rPr>
        <w:t xml:space="preserve">   </w:t>
      </w:r>
      <w:r>
        <w:rPr>
          <w:rFonts w:hint="eastAsia" w:eastAsia="方正小标宋_GBK"/>
          <w:b/>
          <w:snapToGrid w:val="0"/>
          <w:kern w:val="0"/>
          <w:sz w:val="24"/>
          <w:lang w:val="en-US" w:eastAsia="zh-CN"/>
        </w:rPr>
        <w:t>项目周边主要环境保护目标分布</w:t>
      </w:r>
      <w:r>
        <w:rPr>
          <w:rFonts w:hint="default" w:eastAsia="方正小标宋_GBK"/>
          <w:b/>
          <w:snapToGrid w:val="0"/>
          <w:kern w:val="0"/>
          <w:sz w:val="24"/>
          <w:lang w:val="en-US" w:eastAsia="zh-CN"/>
        </w:rPr>
        <w:t>示意图</w:t>
      </w:r>
      <w:r>
        <w:rPr>
          <w:rFonts w:hint="eastAsia" w:eastAsia="方正小标宋_GBK"/>
          <w:b w:val="0"/>
          <w:bCs/>
          <w:snapToGrid w:val="0"/>
          <w:kern w:val="0"/>
          <w:sz w:val="24"/>
          <w:lang w:val="en-US" w:eastAsia="zh-CN"/>
        </w:rPr>
        <w:t>（500m范围）</w:t>
      </w:r>
    </w:p>
    <w:p w14:paraId="4D7E69B9">
      <w:pPr>
        <w:jc w:val="center"/>
      </w:pPr>
      <w:r>
        <w:rPr>
          <w:sz w:val="24"/>
        </w:rPr>
        <mc:AlternateContent>
          <mc:Choice Requires="wps">
            <w:drawing>
              <wp:anchor distT="0" distB="0" distL="114300" distR="114300" simplePos="0" relativeHeight="251700224" behindDoc="0" locked="0" layoutInCell="1" allowOverlap="1">
                <wp:simplePos x="0" y="0"/>
                <wp:positionH relativeFrom="column">
                  <wp:posOffset>4003675</wp:posOffset>
                </wp:positionH>
                <wp:positionV relativeFrom="paragraph">
                  <wp:posOffset>1329690</wp:posOffset>
                </wp:positionV>
                <wp:extent cx="1182370" cy="300355"/>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028F1">
                            <w:pPr>
                              <w:rPr>
                                <w:rFonts w:hint="default" w:eastAsia="宋体"/>
                                <w:b/>
                                <w:bCs/>
                                <w:sz w:val="21"/>
                                <w:szCs w:val="21"/>
                                <w:lang w:val="en-US" w:eastAsia="zh-CN"/>
                              </w:rPr>
                            </w:pPr>
                            <w:r>
                              <w:rPr>
                                <w:rFonts w:hint="default" w:eastAsia="宋体"/>
                                <w:b/>
                                <w:bCs/>
                                <w:sz w:val="21"/>
                                <w:szCs w:val="21"/>
                                <w:lang w:val="en-US" w:eastAsia="zh-CN"/>
                              </w:rPr>
                              <w:t>洞庭书香苑</w:t>
                            </w:r>
                            <w:r>
                              <w:rPr>
                                <w:rFonts w:hint="eastAsia"/>
                                <w:b/>
                                <w:bCs/>
                                <w:sz w:val="21"/>
                                <w:szCs w:val="21"/>
                                <w:lang w:val="en-US" w:eastAsia="zh-CN"/>
                              </w:rPr>
                              <w:t>小区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25pt;margin-top:104.7pt;height:23.65pt;width:93.1pt;z-index:251700224;mso-width-relative:page;mso-height-relative:page;" filled="f" stroked="f" coordsize="21600,21600" o:gfxdata="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8/EjQ9sAAAALAQAADwAAAAAAAAABACAAAAAiAAAA&#10;ZHJzL2Rvd25yZXYueG1sUEsBAhQAFAAAAAgAh07iQImdBBw9AgAAagQAAA4AAAAAAAAAAQAgAAAA&#10;KgEAAGRycy9lMm9Eb2MueG1sUEsFBgAAAAAGAAYAWQEAANkFAAAAAA==&#10;">
                <v:fill on="f" focussize="0,0"/>
                <v:stroke on="f" weight="0.5pt"/>
                <v:imagedata o:title=""/>
                <o:lock v:ext="edit" aspectratio="f"/>
                <v:textbox>
                  <w:txbxContent>
                    <w:p w14:paraId="09B028F1">
                      <w:pPr>
                        <w:rPr>
                          <w:rFonts w:hint="default" w:eastAsia="宋体"/>
                          <w:b/>
                          <w:bCs/>
                          <w:sz w:val="21"/>
                          <w:szCs w:val="21"/>
                          <w:lang w:val="en-US" w:eastAsia="zh-CN"/>
                        </w:rPr>
                      </w:pPr>
                      <w:r>
                        <w:rPr>
                          <w:rFonts w:hint="default" w:eastAsia="宋体"/>
                          <w:b/>
                          <w:bCs/>
                          <w:sz w:val="21"/>
                          <w:szCs w:val="21"/>
                          <w:lang w:val="en-US" w:eastAsia="zh-CN"/>
                        </w:rPr>
                        <w:t>洞庭书香苑</w:t>
                      </w:r>
                      <w:r>
                        <w:rPr>
                          <w:rFonts w:hint="eastAsia"/>
                          <w:b/>
                          <w:bCs/>
                          <w:sz w:val="21"/>
                          <w:szCs w:val="21"/>
                          <w:lang w:val="en-US" w:eastAsia="zh-CN"/>
                        </w:rPr>
                        <w:t>小区</w:t>
                      </w:r>
                    </w:p>
                  </w:txbxContent>
                </v:textbox>
              </v:shape>
            </w:pict>
          </mc:Fallback>
        </mc:AlternateContent>
      </w:r>
      <w:r>
        <w:rPr>
          <w:sz w:val="24"/>
        </w:rPr>
        <mc:AlternateContent>
          <mc:Choice Requires="wps">
            <w:drawing>
              <wp:anchor distT="0" distB="0" distL="114300" distR="114300" simplePos="0" relativeHeight="251701248" behindDoc="0" locked="0" layoutInCell="1" allowOverlap="1">
                <wp:simplePos x="0" y="0"/>
                <wp:positionH relativeFrom="column">
                  <wp:posOffset>5760085</wp:posOffset>
                </wp:positionH>
                <wp:positionV relativeFrom="paragraph">
                  <wp:posOffset>2250440</wp:posOffset>
                </wp:positionV>
                <wp:extent cx="1182370" cy="300355"/>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C624DE">
                            <w:pPr>
                              <w:rPr>
                                <w:rFonts w:hint="default" w:eastAsia="宋体"/>
                                <w:b/>
                                <w:bCs/>
                                <w:sz w:val="21"/>
                                <w:szCs w:val="21"/>
                                <w:lang w:val="en-US" w:eastAsia="zh-CN"/>
                              </w:rPr>
                            </w:pPr>
                            <w:r>
                              <w:rPr>
                                <w:rFonts w:hint="default" w:eastAsia="宋体"/>
                                <w:b/>
                                <w:bCs/>
                                <w:sz w:val="21"/>
                                <w:szCs w:val="21"/>
                                <w:lang w:val="en-US" w:eastAsia="zh-CN"/>
                              </w:rPr>
                              <w:t>原3517家属区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3.55pt;margin-top:177.2pt;height:23.65pt;width:93.1pt;z-index:251701248;mso-width-relative:page;mso-height-relative:page;" filled="f" stroked="f" coordsize="21600,21600" o:gfxdata="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paqsq3QAAAAwBAAAPAAAAAAAAAAEAIAAAACIA&#10;AABkcnMvZG93bnJldi54bWxQSwECFAAUAAAACACHTuJAG3o7jz0CAABqBAAADgAAAAAAAAABACAA&#10;AAAsAQAAZHJzL2Uyb0RvYy54bWxQSwUGAAAAAAYABgBZAQAA2wUAAAAA&#10;">
                <v:fill on="f" focussize="0,0"/>
                <v:stroke on="f" weight="0.5pt"/>
                <v:imagedata o:title=""/>
                <o:lock v:ext="edit" aspectratio="f"/>
                <v:textbox>
                  <w:txbxContent>
                    <w:p w14:paraId="0BC624DE">
                      <w:pPr>
                        <w:rPr>
                          <w:rFonts w:hint="default" w:eastAsia="宋体"/>
                          <w:b/>
                          <w:bCs/>
                          <w:sz w:val="21"/>
                          <w:szCs w:val="21"/>
                          <w:lang w:val="en-US" w:eastAsia="zh-CN"/>
                        </w:rPr>
                      </w:pPr>
                      <w:r>
                        <w:rPr>
                          <w:rFonts w:hint="default" w:eastAsia="宋体"/>
                          <w:b/>
                          <w:bCs/>
                          <w:sz w:val="21"/>
                          <w:szCs w:val="21"/>
                          <w:lang w:val="en-US" w:eastAsia="zh-CN"/>
                        </w:rPr>
                        <w:t>原3517家属区</w:t>
                      </w:r>
                    </w:p>
                  </w:txbxContent>
                </v:textbox>
              </v:shape>
            </w:pict>
          </mc:Fallback>
        </mc:AlternateContent>
      </w:r>
      <w:r>
        <w:rPr>
          <w:sz w:val="24"/>
        </w:rPr>
        <mc:AlternateContent>
          <mc:Choice Requires="wps">
            <w:drawing>
              <wp:anchor distT="0" distB="0" distL="114300" distR="114300" simplePos="0" relativeHeight="251703296" behindDoc="0" locked="0" layoutInCell="1" allowOverlap="1">
                <wp:simplePos x="0" y="0"/>
                <wp:positionH relativeFrom="column">
                  <wp:posOffset>4023995</wp:posOffset>
                </wp:positionH>
                <wp:positionV relativeFrom="paragraph">
                  <wp:posOffset>3371850</wp:posOffset>
                </wp:positionV>
                <wp:extent cx="1182370" cy="300355"/>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EDBB1">
                            <w:pPr>
                              <w:rPr>
                                <w:rFonts w:hint="default" w:eastAsia="宋体"/>
                                <w:b/>
                                <w:bCs/>
                                <w:sz w:val="21"/>
                                <w:szCs w:val="21"/>
                                <w:lang w:val="en-US" w:eastAsia="zh-CN"/>
                              </w:rPr>
                            </w:pPr>
                            <w:r>
                              <w:rPr>
                                <w:rFonts w:hint="default" w:eastAsia="宋体"/>
                                <w:b/>
                                <w:bCs/>
                                <w:sz w:val="21"/>
                                <w:szCs w:val="21"/>
                                <w:lang w:val="en-US" w:eastAsia="zh-CN"/>
                              </w:rPr>
                              <w:t>岳阳市第一中学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85pt;margin-top:265.5pt;height:23.65pt;width:93.1pt;z-index:251703296;mso-width-relative:page;mso-height-relative:page;" filled="f" stroked="f" coordsize="21600,21600" o:gfxdata="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7Li9LcAAAACwEAAA8AAAAAAAAAAQAgAAAAIgAA&#10;AGRycy9kb3ducmV2LnhtbFBLAQIUABQAAAAIAIdO4kDsVArhPQIAAGoEAAAOAAAAAAAAAAEAIAAA&#10;ACsBAABkcnMvZTJvRG9jLnhtbFBLBQYAAAAABgAGAFkBAADaBQAAAAA=&#10;">
                <v:fill on="f" focussize="0,0"/>
                <v:stroke on="f" weight="0.5pt"/>
                <v:imagedata o:title=""/>
                <o:lock v:ext="edit" aspectratio="f"/>
                <v:textbox>
                  <w:txbxContent>
                    <w:p w14:paraId="015EDBB1">
                      <w:pPr>
                        <w:rPr>
                          <w:rFonts w:hint="default" w:eastAsia="宋体"/>
                          <w:b/>
                          <w:bCs/>
                          <w:sz w:val="21"/>
                          <w:szCs w:val="21"/>
                          <w:lang w:val="en-US" w:eastAsia="zh-CN"/>
                        </w:rPr>
                      </w:pPr>
                      <w:r>
                        <w:rPr>
                          <w:rFonts w:hint="default" w:eastAsia="宋体"/>
                          <w:b/>
                          <w:bCs/>
                          <w:sz w:val="21"/>
                          <w:szCs w:val="21"/>
                          <w:lang w:val="en-US" w:eastAsia="zh-CN"/>
                        </w:rPr>
                        <w:t>岳阳市第一中学</w:t>
                      </w:r>
                    </w:p>
                  </w:txbxContent>
                </v:textbox>
              </v:shape>
            </w:pict>
          </mc:Fallback>
        </mc:AlternateContent>
      </w:r>
      <w:r>
        <w:rPr>
          <w:sz w:val="24"/>
        </w:rPr>
        <mc:AlternateContent>
          <mc:Choice Requires="wps">
            <w:drawing>
              <wp:anchor distT="0" distB="0" distL="114300" distR="114300" simplePos="0" relativeHeight="251704320" behindDoc="0" locked="0" layoutInCell="1" allowOverlap="1">
                <wp:simplePos x="0" y="0"/>
                <wp:positionH relativeFrom="column">
                  <wp:posOffset>2298700</wp:posOffset>
                </wp:positionH>
                <wp:positionV relativeFrom="paragraph">
                  <wp:posOffset>3033395</wp:posOffset>
                </wp:positionV>
                <wp:extent cx="1182370" cy="300355"/>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F9C602">
                            <w:pPr>
                              <w:rPr>
                                <w:rFonts w:hint="default" w:eastAsia="宋体"/>
                                <w:b/>
                                <w:bCs/>
                                <w:sz w:val="21"/>
                                <w:szCs w:val="21"/>
                                <w:lang w:val="en-US" w:eastAsia="zh-CN"/>
                              </w:rPr>
                            </w:pPr>
                            <w:r>
                              <w:rPr>
                                <w:rFonts w:hint="default" w:eastAsia="宋体"/>
                                <w:b/>
                                <w:bCs/>
                                <w:sz w:val="21"/>
                                <w:szCs w:val="21"/>
                                <w:lang w:val="en-US" w:eastAsia="zh-CN"/>
                              </w:rPr>
                              <w:t>东洞庭湖管理局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pt;margin-top:238.85pt;height:23.65pt;width:93.1pt;z-index:251704320;mso-width-relative:page;mso-height-relative:page;" filled="f" stroked="f" coordsize="21600,21600" o:gfxdata="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fQieR3QAAAAsBAAAPAAAAAAAAAAEAIAAAACIA&#10;AABkcnMvZG93bnJldi54bWxQSwECFAAUAAAACACHTuJAfrM1cj0CAABqBAAADgAAAAAAAAABACAA&#10;AAAsAQAAZHJzL2Uyb0RvYy54bWxQSwUGAAAAAAYABgBZAQAA2wUAAAAA&#10;">
                <v:fill on="f" focussize="0,0"/>
                <v:stroke on="f" weight="0.5pt"/>
                <v:imagedata o:title=""/>
                <o:lock v:ext="edit" aspectratio="f"/>
                <v:textbox>
                  <w:txbxContent>
                    <w:p w14:paraId="4AF9C602">
                      <w:pPr>
                        <w:rPr>
                          <w:rFonts w:hint="default" w:eastAsia="宋体"/>
                          <w:b/>
                          <w:bCs/>
                          <w:sz w:val="21"/>
                          <w:szCs w:val="21"/>
                          <w:lang w:val="en-US" w:eastAsia="zh-CN"/>
                        </w:rPr>
                      </w:pPr>
                      <w:r>
                        <w:rPr>
                          <w:rFonts w:hint="default" w:eastAsia="宋体"/>
                          <w:b/>
                          <w:bCs/>
                          <w:sz w:val="21"/>
                          <w:szCs w:val="21"/>
                          <w:lang w:val="en-US" w:eastAsia="zh-CN"/>
                        </w:rPr>
                        <w:t>东洞庭湖管理局</w:t>
                      </w:r>
                    </w:p>
                  </w:txbxContent>
                </v:textbox>
              </v:shape>
            </w:pict>
          </mc:Fallback>
        </mc:AlternateContent>
      </w:r>
      <w:r>
        <w:rPr>
          <w:sz w:val="24"/>
        </w:rPr>
        <mc:AlternateContent>
          <mc:Choice Requires="wps">
            <w:drawing>
              <wp:anchor distT="0" distB="0" distL="114300" distR="114300" simplePos="0" relativeHeight="251699200" behindDoc="0" locked="0" layoutInCell="1" allowOverlap="1">
                <wp:simplePos x="0" y="0"/>
                <wp:positionH relativeFrom="column">
                  <wp:posOffset>4445635</wp:posOffset>
                </wp:positionH>
                <wp:positionV relativeFrom="paragraph">
                  <wp:posOffset>1648460</wp:posOffset>
                </wp:positionV>
                <wp:extent cx="122555" cy="122555"/>
                <wp:effectExtent l="0" t="0" r="10795" b="10795"/>
                <wp:wrapNone/>
                <wp:docPr id="103" name="椭圆 103"/>
                <wp:cNvGraphicFramePr/>
                <a:graphic xmlns:a="http://schemas.openxmlformats.org/drawingml/2006/main">
                  <a:graphicData uri="http://schemas.microsoft.com/office/word/2010/wordprocessingShape">
                    <wps:wsp>
                      <wps:cNvSpPr/>
                      <wps:spPr>
                        <a:xfrm>
                          <a:off x="0" y="0"/>
                          <a:ext cx="122555" cy="122555"/>
                        </a:xfrm>
                        <a:prstGeom prst="ellipse">
                          <a:avLst/>
                        </a:prstGeom>
                        <a:solidFill>
                          <a:srgbClr val="FF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0.05pt;margin-top:129.8pt;height:9.65pt;width:9.65pt;z-index:251699200;v-text-anchor:middle;mso-width-relative:page;mso-height-relative:page;" fillcolor="#FF0000" filled="t" stroked="f" coordsize="21600,21600" o:gfxdata="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bdqNptgAAAALAQAADwAAAAAAAAABACAAAAAiAAAAZHJzL2Rvd25yZXYueG1s&#10;UEsBAhQAFAAAAAgAh07iQHupuuRqAgAA0QQAAA4AAAAAAAAAAQAgAAAAJwEAAGRycy9lMm9Eb2Mu&#10;eG1sUEsFBgAAAAAGAAYAWQEAAAMGAAAAAA==&#10;">
                <v:fill on="t" focussize="0,0"/>
                <v:stroke on="f" weight="1pt" miterlimit="8" joinstyle="miter"/>
                <v:imagedata o:title=""/>
                <o:lock v:ext="edit" aspectratio="f"/>
              </v:shape>
            </w:pict>
          </mc:Fallback>
        </mc:AlternateContent>
      </w:r>
      <w:r>
        <w:rPr>
          <w:sz w:val="24"/>
        </w:rPr>
        <mc:AlternateContent>
          <mc:Choice Requires="wps">
            <w:drawing>
              <wp:anchor distT="0" distB="0" distL="114300" distR="114300" simplePos="0" relativeHeight="251702272" behindDoc="0" locked="0" layoutInCell="1" allowOverlap="1">
                <wp:simplePos x="0" y="0"/>
                <wp:positionH relativeFrom="column">
                  <wp:posOffset>5853430</wp:posOffset>
                </wp:positionH>
                <wp:positionV relativeFrom="paragraph">
                  <wp:posOffset>2156460</wp:posOffset>
                </wp:positionV>
                <wp:extent cx="122555" cy="122555"/>
                <wp:effectExtent l="0" t="0" r="10795" b="10795"/>
                <wp:wrapNone/>
                <wp:docPr id="102" name="椭圆 102"/>
                <wp:cNvGraphicFramePr/>
                <a:graphic xmlns:a="http://schemas.openxmlformats.org/drawingml/2006/main">
                  <a:graphicData uri="http://schemas.microsoft.com/office/word/2010/wordprocessingShape">
                    <wps:wsp>
                      <wps:cNvSpPr/>
                      <wps:spPr>
                        <a:xfrm>
                          <a:off x="0" y="0"/>
                          <a:ext cx="122555" cy="122555"/>
                        </a:xfrm>
                        <a:prstGeom prst="ellipse">
                          <a:avLst/>
                        </a:prstGeom>
                        <a:solidFill>
                          <a:srgbClr val="FF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60.9pt;margin-top:169.8pt;height:9.65pt;width:9.65pt;z-index:251702272;v-text-anchor:middle;mso-width-relative:page;mso-height-relative:page;" fillcolor="#FF0000" filled="t" stroked="f" coordsize="21600,21600" o:gfxdata="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Pn/ii2AAAAAsBAAAPAAAAAAAAAAEAIAAAACIAAABkcnMvZG93bnJldi54bWxQ&#10;SwECFAAUAAAACACHTuJAly38rWkCAADRBAAADgAAAAAAAAABACAAAAAnAQAAZHJzL2Uyb0RvYy54&#10;bWxQSwUGAAAAAAYABgBZAQAAAgYAAAAA&#10;">
                <v:fill on="t" focussize="0,0"/>
                <v:stroke on="f" weight="1pt" miterlimit="8" joinstyle="miter"/>
                <v:imagedata o:title=""/>
                <o:lock v:ext="edit" aspectratio="f"/>
              </v:shape>
            </w:pict>
          </mc:Fallback>
        </mc:AlternateContent>
      </w:r>
      <w:r>
        <w:rPr>
          <w:sz w:val="24"/>
        </w:rPr>
        <mc:AlternateContent>
          <mc:Choice Requires="wps">
            <w:drawing>
              <wp:anchor distT="0" distB="0" distL="114300" distR="114300" simplePos="0" relativeHeight="251698176" behindDoc="0" locked="0" layoutInCell="1" allowOverlap="1">
                <wp:simplePos x="0" y="0"/>
                <wp:positionH relativeFrom="column">
                  <wp:posOffset>4519930</wp:posOffset>
                </wp:positionH>
                <wp:positionV relativeFrom="paragraph">
                  <wp:posOffset>3256915</wp:posOffset>
                </wp:positionV>
                <wp:extent cx="122555" cy="122555"/>
                <wp:effectExtent l="0" t="0" r="10795" b="10795"/>
                <wp:wrapNone/>
                <wp:docPr id="101" name="椭圆 101"/>
                <wp:cNvGraphicFramePr/>
                <a:graphic xmlns:a="http://schemas.openxmlformats.org/drawingml/2006/main">
                  <a:graphicData uri="http://schemas.microsoft.com/office/word/2010/wordprocessingShape">
                    <wps:wsp>
                      <wps:cNvSpPr/>
                      <wps:spPr>
                        <a:xfrm>
                          <a:off x="0" y="0"/>
                          <a:ext cx="122555" cy="122555"/>
                        </a:xfrm>
                        <a:prstGeom prst="ellipse">
                          <a:avLst/>
                        </a:prstGeom>
                        <a:solidFill>
                          <a:srgbClr val="FF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5.9pt;margin-top:256.45pt;height:9.65pt;width:9.65pt;z-index:251698176;v-text-anchor:middle;mso-width-relative:page;mso-height-relative:page;" fillcolor="#FF0000" filled="t" stroked="f" coordsize="21600,21600" o:gfxdata="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NmOqX2AAAAAsBAAAPAAAAAAAAAAEAIAAAACIAAABkcnMvZG93bnJldi54bWxQ&#10;SwECFAAUAAAACACHTuJAo6A3dmkCAADRBAAADgAAAAAAAAABACAAAAAnAQAAZHJzL2Uyb0RvYy54&#10;bWxQSwUGAAAAAAYABgBZAQAAAgYAAAAA&#10;">
                <v:fill on="t" focussize="0,0"/>
                <v:stroke on="f" weight="1pt" miterlimit="8" joinstyle="miter"/>
                <v:imagedata o:title=""/>
                <o:lock v:ext="edit" aspectratio="f"/>
              </v:shape>
            </w:pict>
          </mc:Fallback>
        </mc:AlternateContent>
      </w:r>
      <w:r>
        <w:rPr>
          <w:sz w:val="24"/>
        </w:rPr>
        <mc:AlternateContent>
          <mc:Choice Requires="wps">
            <w:drawing>
              <wp:anchor distT="0" distB="0" distL="114300" distR="114300" simplePos="0" relativeHeight="251697152" behindDoc="0" locked="0" layoutInCell="1" allowOverlap="1">
                <wp:simplePos x="0" y="0"/>
                <wp:positionH relativeFrom="column">
                  <wp:posOffset>3006090</wp:posOffset>
                </wp:positionH>
                <wp:positionV relativeFrom="paragraph">
                  <wp:posOffset>2875915</wp:posOffset>
                </wp:positionV>
                <wp:extent cx="122555" cy="122555"/>
                <wp:effectExtent l="0" t="0" r="10795" b="10795"/>
                <wp:wrapNone/>
                <wp:docPr id="100" name="椭圆 100"/>
                <wp:cNvGraphicFramePr/>
                <a:graphic xmlns:a="http://schemas.openxmlformats.org/drawingml/2006/main">
                  <a:graphicData uri="http://schemas.microsoft.com/office/word/2010/wordprocessingShape">
                    <wps:wsp>
                      <wps:cNvSpPr/>
                      <wps:spPr>
                        <a:xfrm>
                          <a:off x="0" y="0"/>
                          <a:ext cx="122555" cy="122555"/>
                        </a:xfrm>
                        <a:prstGeom prst="ellipse">
                          <a:avLst/>
                        </a:prstGeom>
                        <a:solidFill>
                          <a:srgbClr val="FF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6.7pt;margin-top:226.45pt;height:9.65pt;width:9.65pt;z-index:251697152;v-text-anchor:middle;mso-width-relative:page;mso-height-relative:page;" fillcolor="#FF0000" filled="t" stroked="f" coordsize="21600,21600" o:gfxdata="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1dTdW2AAAAAsBAAAPAAAAAAAAAAEAIAAAACIAAABkcnMvZG93bnJldi54bWxQ&#10;SwECFAAUAAAACACHTuJATyRxP2kCAADRBAAADgAAAAAAAAABACAAAAAnAQAAZHJzL2Uyb0RvYy54&#10;bWxQSwUGAAAAAAYABgBZAQAAAgYAAAAA&#10;">
                <v:fill on="t" focussize="0,0"/>
                <v:stroke on="f" weight="1pt" miterlimit="8" joinstyle="miter"/>
                <v:imagedata o:title=""/>
                <o:lock v:ext="edit" aspectratio="f"/>
              </v:shape>
            </w:pict>
          </mc:Fallback>
        </mc:AlternateContent>
      </w:r>
      <w:r>
        <w:rPr>
          <w:sz w:val="24"/>
        </w:rPr>
        <mc:AlternateContent>
          <mc:Choice Requires="wps">
            <w:drawing>
              <wp:anchor distT="0" distB="0" distL="114300" distR="114300" simplePos="0" relativeHeight="251696128" behindDoc="0" locked="0" layoutInCell="1" allowOverlap="1">
                <wp:simplePos x="0" y="0"/>
                <wp:positionH relativeFrom="column">
                  <wp:posOffset>4086860</wp:posOffset>
                </wp:positionH>
                <wp:positionV relativeFrom="paragraph">
                  <wp:posOffset>2387600</wp:posOffset>
                </wp:positionV>
                <wp:extent cx="1182370" cy="300355"/>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18237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96B43F">
                            <w:pPr>
                              <w:rPr>
                                <w:rFonts w:hint="default" w:eastAsia="宋体"/>
                                <w:b/>
                                <w:bCs/>
                                <w:sz w:val="21"/>
                                <w:szCs w:val="21"/>
                                <w:lang w:val="en-US" w:eastAsia="zh-CN"/>
                              </w:rPr>
                            </w:pPr>
                            <w:r>
                              <w:rPr>
                                <w:rFonts w:hint="eastAsia" w:cs="Times New Roman"/>
                                <w:b/>
                                <w:bCs/>
                                <w:kern w:val="2"/>
                                <w:sz w:val="21"/>
                                <w:szCs w:val="21"/>
                                <w:lang w:val="en-US" w:eastAsia="zh-CN" w:bidi="ar"/>
                              </w:rPr>
                              <w:t>项目所在地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1.8pt;margin-top:188pt;height:23.65pt;width:93.1pt;z-index:251696128;mso-width-relative:page;mso-height-relative:page;" filled="f" stroked="f" coordsize="21600,21600" o:gfxdata="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jCTlLcAAAACwEAAA8AAAAAAAAAAQAgAAAAIgAA&#10;AGRycy9kb3ducmV2LnhtbFBLAQIUABQAAAAIAIdO4kBQVFJgPQIAAGgEAAAOAAAAAAAAAAEAIAAA&#10;ACsBAABkcnMvZTJvRG9jLnhtbFBLBQYAAAAABgAGAFkBAADaBQAAAAA=&#10;">
                <v:fill on="f" focussize="0,0"/>
                <v:stroke on="f" weight="0.5pt"/>
                <v:imagedata o:title=""/>
                <o:lock v:ext="edit" aspectratio="f"/>
                <v:textbox>
                  <w:txbxContent>
                    <w:p w14:paraId="3B96B43F">
                      <w:pPr>
                        <w:rPr>
                          <w:rFonts w:hint="default" w:eastAsia="宋体"/>
                          <w:b/>
                          <w:bCs/>
                          <w:sz w:val="21"/>
                          <w:szCs w:val="21"/>
                          <w:lang w:val="en-US" w:eastAsia="zh-CN"/>
                        </w:rPr>
                      </w:pPr>
                      <w:r>
                        <w:rPr>
                          <w:rFonts w:hint="eastAsia" w:cs="Times New Roman"/>
                          <w:b/>
                          <w:bCs/>
                          <w:kern w:val="2"/>
                          <w:sz w:val="21"/>
                          <w:szCs w:val="21"/>
                          <w:lang w:val="en-US" w:eastAsia="zh-CN" w:bidi="ar"/>
                        </w:rPr>
                        <w:t>项目所在地</w:t>
                      </w:r>
                    </w:p>
                  </w:txbxContent>
                </v:textbox>
              </v:shape>
            </w:pict>
          </mc:Fallback>
        </mc:AlternateContent>
      </w:r>
      <w:r>
        <w:rPr>
          <w:sz w:val="24"/>
        </w:rPr>
        <mc:AlternateContent>
          <mc:Choice Requires="wps">
            <w:drawing>
              <wp:anchor distT="0" distB="0" distL="114300" distR="114300" simplePos="0" relativeHeight="251695104" behindDoc="0" locked="0" layoutInCell="1" allowOverlap="1">
                <wp:simplePos x="0" y="0"/>
                <wp:positionH relativeFrom="column">
                  <wp:posOffset>3802380</wp:posOffset>
                </wp:positionH>
                <wp:positionV relativeFrom="paragraph">
                  <wp:posOffset>3167380</wp:posOffset>
                </wp:positionV>
                <wp:extent cx="793750" cy="222250"/>
                <wp:effectExtent l="3810" t="13970" r="21590" b="30480"/>
                <wp:wrapNone/>
                <wp:docPr id="98" name="直接连接符 98"/>
                <wp:cNvGraphicFramePr/>
                <a:graphic xmlns:a="http://schemas.openxmlformats.org/drawingml/2006/main">
                  <a:graphicData uri="http://schemas.microsoft.com/office/word/2010/wordprocessingShape">
                    <wps:wsp>
                      <wps:cNvCnPr/>
                      <wps:spPr>
                        <a:xfrm flipV="1">
                          <a:off x="0" y="0"/>
                          <a:ext cx="793750" cy="222250"/>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99.4pt;margin-top:249.4pt;height:17.5pt;width:62.5pt;z-index:251695104;mso-width-relative:page;mso-height-relative:page;" filled="f" stroked="t" coordsize="21600,21600" o:gfxdata="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cmN2X2AAAAAsBAAAPAAAAAAAAAAEAIAAAACIAAABkcnMvZG93bnJldi54bWxQSwECFAAUAAAA&#10;CACHTuJA7tt9ve4BAADCAwAADgAAAAAAAAABACAAAAAnAQAAZHJzL2Uyb0RvYy54bWxQSwUGAAAA&#10;AAYABgBZAQAAhwU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94080" behindDoc="0" locked="0" layoutInCell="1" allowOverlap="1">
                <wp:simplePos x="0" y="0"/>
                <wp:positionH relativeFrom="column">
                  <wp:posOffset>3464560</wp:posOffset>
                </wp:positionH>
                <wp:positionV relativeFrom="paragraph">
                  <wp:posOffset>3389630</wp:posOffset>
                </wp:positionV>
                <wp:extent cx="370205" cy="20955"/>
                <wp:effectExtent l="635" t="13970" r="10160" b="22225"/>
                <wp:wrapNone/>
                <wp:docPr id="97" name="直接连接符 97"/>
                <wp:cNvGraphicFramePr/>
                <a:graphic xmlns:a="http://schemas.openxmlformats.org/drawingml/2006/main">
                  <a:graphicData uri="http://schemas.microsoft.com/office/word/2010/wordprocessingShape">
                    <wps:wsp>
                      <wps:cNvCnPr/>
                      <wps:spPr>
                        <a:xfrm flipV="1">
                          <a:off x="0" y="0"/>
                          <a:ext cx="370205" cy="20955"/>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72.8pt;margin-top:266.9pt;height:1.65pt;width:29.15pt;z-index:251694080;mso-width-relative:page;mso-height-relative:page;" filled="f" stroked="t" coordsize="21600,21600" o:gfxdata="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N0sAl2gAAAAsBAAAPAAAAAAAAAAEAIAAAACIAAABkcnMvZG93bnJldi54bWxQSwECFAAU&#10;AAAACACHTuJAFfjdPe8BAADBAwAADgAAAAAAAAABACAAAAApAQAAZHJzL2Uyb0RvYy54bWxQSwUG&#10;AAAAAAYABgBZAQAAigU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93056" behindDoc="0" locked="0" layoutInCell="1" allowOverlap="1">
                <wp:simplePos x="0" y="0"/>
                <wp:positionH relativeFrom="column">
                  <wp:posOffset>4596130</wp:posOffset>
                </wp:positionH>
                <wp:positionV relativeFrom="paragraph">
                  <wp:posOffset>3178175</wp:posOffset>
                </wp:positionV>
                <wp:extent cx="803910" cy="63500"/>
                <wp:effectExtent l="1270" t="13970" r="13970" b="17780"/>
                <wp:wrapNone/>
                <wp:docPr id="96" name="直接连接符 96"/>
                <wp:cNvGraphicFramePr/>
                <a:graphic xmlns:a="http://schemas.openxmlformats.org/drawingml/2006/main">
                  <a:graphicData uri="http://schemas.microsoft.com/office/word/2010/wordprocessingShape">
                    <wps:wsp>
                      <wps:cNvCnPr/>
                      <wps:spPr>
                        <a:xfrm>
                          <a:off x="0" y="0"/>
                          <a:ext cx="803910" cy="63500"/>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61.9pt;margin-top:250.25pt;height:5pt;width:63.3pt;z-index:251693056;mso-width-relative:page;mso-height-relative:page;" filled="f" stroked="t" coordsize="21600,21600" o:gfxdata="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38IEA&#10;1wAAAAsBAAAPAAAAAAAAAAEAIAAAACIAAABkcnMvZG93bnJldi54bWxQSwECFAAUAAAACACHTuJA&#10;qgZYVekBAAC3AwAADgAAAAAAAAABACAAAAAmAQAAZHJzL2Uyb0RvYy54bWxQSwUGAAAAAAYABgBZ&#10;AQAAgQU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91008" behindDoc="0" locked="0" layoutInCell="1" allowOverlap="1">
                <wp:simplePos x="0" y="0"/>
                <wp:positionH relativeFrom="column">
                  <wp:posOffset>5654040</wp:posOffset>
                </wp:positionH>
                <wp:positionV relativeFrom="paragraph">
                  <wp:posOffset>1714500</wp:posOffset>
                </wp:positionV>
                <wp:extent cx="21590" cy="1026160"/>
                <wp:effectExtent l="13970" t="0" r="21590" b="2540"/>
                <wp:wrapNone/>
                <wp:docPr id="94" name="直接连接符 94"/>
                <wp:cNvGraphicFramePr/>
                <a:graphic xmlns:a="http://schemas.openxmlformats.org/drawingml/2006/main">
                  <a:graphicData uri="http://schemas.microsoft.com/office/word/2010/wordprocessingShape">
                    <wps:wsp>
                      <wps:cNvCnPr/>
                      <wps:spPr>
                        <a:xfrm>
                          <a:off x="0" y="0"/>
                          <a:ext cx="21590" cy="1026160"/>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45.2pt;margin-top:135pt;height:80.8pt;width:1.7pt;z-index:251691008;mso-width-relative:page;mso-height-relative:page;" filled="f" stroked="t" coordsize="21600,21600" o:gfxdata="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UX&#10;WmjZAAAACwEAAA8AAAAAAAAAAQAgAAAAIgAAAGRycy9kb3ducmV2LnhtbFBLAQIUABQAAAAIAIdO&#10;4kBwmDP06QEAALgDAAAOAAAAAAAAAAEAIAAAACgBAABkcnMvZTJvRG9jLnhtbFBLBQYAAAAABgAG&#10;AFkBAACDBQ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92032" behindDoc="0" locked="0" layoutInCell="1" allowOverlap="1">
                <wp:simplePos x="0" y="0"/>
                <wp:positionH relativeFrom="column">
                  <wp:posOffset>5389880</wp:posOffset>
                </wp:positionH>
                <wp:positionV relativeFrom="paragraph">
                  <wp:posOffset>2700020</wp:posOffset>
                </wp:positionV>
                <wp:extent cx="285115" cy="541655"/>
                <wp:effectExtent l="12700" t="6350" r="26035" b="23495"/>
                <wp:wrapNone/>
                <wp:docPr id="95" name="直接连接符 95"/>
                <wp:cNvGraphicFramePr/>
                <a:graphic xmlns:a="http://schemas.openxmlformats.org/drawingml/2006/main">
                  <a:graphicData uri="http://schemas.microsoft.com/office/word/2010/wordprocessingShape">
                    <wps:wsp>
                      <wps:cNvCnPr/>
                      <wps:spPr>
                        <a:xfrm flipH="1">
                          <a:off x="0" y="0"/>
                          <a:ext cx="285115" cy="541655"/>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424.4pt;margin-top:212.6pt;height:42.65pt;width:22.45pt;z-index:251692032;mso-width-relative:page;mso-height-relative:page;" filled="f" stroked="t" coordsize="21600,21600" o:gfxdata="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IR4jv2wAAAAsBAAAPAAAAAAAAAAEAIAAAACIAAABkcnMvZG93bnJldi54bWxQSwECFAAU&#10;AAAACACHTuJAmVFTZO4BAADCAwAADgAAAAAAAAABACAAAAAqAQAAZHJzL2Uyb0RvYy54bWxQSwUG&#10;AAAAAAYABgBZAQAAigU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85888" behindDoc="0" locked="0" layoutInCell="1" allowOverlap="1">
                <wp:simplePos x="0" y="0"/>
                <wp:positionH relativeFrom="column">
                  <wp:posOffset>3422650</wp:posOffset>
                </wp:positionH>
                <wp:positionV relativeFrom="paragraph">
                  <wp:posOffset>2352040</wp:posOffset>
                </wp:positionV>
                <wp:extent cx="370205" cy="20955"/>
                <wp:effectExtent l="635" t="13970" r="10160" b="22225"/>
                <wp:wrapNone/>
                <wp:docPr id="89" name="直接连接符 89"/>
                <wp:cNvGraphicFramePr/>
                <a:graphic xmlns:a="http://schemas.openxmlformats.org/drawingml/2006/main">
                  <a:graphicData uri="http://schemas.microsoft.com/office/word/2010/wordprocessingShape">
                    <wps:wsp>
                      <wps:cNvCnPr/>
                      <wps:spPr>
                        <a:xfrm flipV="1">
                          <a:off x="0" y="0"/>
                          <a:ext cx="370205" cy="20955"/>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69.5pt;margin-top:185.2pt;height:1.65pt;width:29.15pt;z-index:251685888;mso-width-relative:page;mso-height-relative:page;" filled="f" stroked="t" coordsize="21600,21600" o:gfxdata="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bPMnvaAAAACwEAAA8AAAAAAAAAAQAgAAAAIgAAAGRycy9kb3ducmV2LnhtbFBLAQIUABQA&#10;AAAIAIdO4kBIx4uU7gEAAMEDAAAOAAAAAAAAAAEAIAAAACkBAABkcnMvZTJvRG9jLnhtbFBLBQYA&#10;AAAABgAGAFkBAACJBQ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89984" behindDoc="0" locked="0" layoutInCell="1" allowOverlap="1">
                <wp:simplePos x="0" y="0"/>
                <wp:positionH relativeFrom="column">
                  <wp:posOffset>4744720</wp:posOffset>
                </wp:positionH>
                <wp:positionV relativeFrom="paragraph">
                  <wp:posOffset>1738630</wp:posOffset>
                </wp:positionV>
                <wp:extent cx="909320" cy="31115"/>
                <wp:effectExtent l="635" t="13970" r="4445" b="31115"/>
                <wp:wrapNone/>
                <wp:docPr id="93" name="直接连接符 93"/>
                <wp:cNvGraphicFramePr/>
                <a:graphic xmlns:a="http://schemas.openxmlformats.org/drawingml/2006/main">
                  <a:graphicData uri="http://schemas.microsoft.com/office/word/2010/wordprocessingShape">
                    <wps:wsp>
                      <wps:cNvCnPr/>
                      <wps:spPr>
                        <a:xfrm flipV="1">
                          <a:off x="0" y="0"/>
                          <a:ext cx="909320" cy="31115"/>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73.6pt;margin-top:136.9pt;height:2.45pt;width:71.6pt;z-index:251689984;mso-width-relative:page;mso-height-relative:page;" filled="f" stroked="t" coordsize="21600,21600" o:gfxdata="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3C0TYdoAAAALAQAADwAAAAAAAAABACAAAAAiAAAAZHJzL2Rvd25yZXYueG1sUEsBAhQA&#10;FAAAAAgAh07iQA20sqjwAQAAwQMAAA4AAAAAAAAAAQAgAAAAKQEAAGRycy9lMm9Eb2MueG1sUEsF&#10;BgAAAAAGAAYAWQEAAIsFA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88960" behindDoc="0" locked="0" layoutInCell="1" allowOverlap="1">
                <wp:simplePos x="0" y="0"/>
                <wp:positionH relativeFrom="column">
                  <wp:posOffset>4733290</wp:posOffset>
                </wp:positionH>
                <wp:positionV relativeFrom="paragraph">
                  <wp:posOffset>1757680</wp:posOffset>
                </wp:positionV>
                <wp:extent cx="10795" cy="160655"/>
                <wp:effectExtent l="13970" t="1270" r="32385" b="9525"/>
                <wp:wrapNone/>
                <wp:docPr id="92" name="直接连接符 92"/>
                <wp:cNvGraphicFramePr/>
                <a:graphic xmlns:a="http://schemas.openxmlformats.org/drawingml/2006/main">
                  <a:graphicData uri="http://schemas.microsoft.com/office/word/2010/wordprocessingShape">
                    <wps:wsp>
                      <wps:cNvCnPr/>
                      <wps:spPr>
                        <a:xfrm flipH="1">
                          <a:off x="0" y="0"/>
                          <a:ext cx="10795" cy="160655"/>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72.7pt;margin-top:138.4pt;height:12.65pt;width:0.85pt;z-index:251688960;mso-width-relative:page;mso-height-relative:page;" filled="f" stroked="t" coordsize="21600,21600" o:gfxdata="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OAAlXbAAAACwEAAA8AAAAAAAAAAQAgAAAAIgAAAGRycy9kb3ducmV2LnhtbFBLAQIU&#10;ABQAAAAIAIdO4kBD1xEz8AEAAMEDAAAOAAAAAAAAAAEAIAAAACoBAABkcnMvZTJvRG9jLnhtbFBL&#10;BQYAAAAABgAGAFkBAACMBQ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87936" behindDoc="0" locked="0" layoutInCell="1" allowOverlap="1">
                <wp:simplePos x="0" y="0"/>
                <wp:positionH relativeFrom="column">
                  <wp:posOffset>3823335</wp:posOffset>
                </wp:positionH>
                <wp:positionV relativeFrom="paragraph">
                  <wp:posOffset>1854835</wp:posOffset>
                </wp:positionV>
                <wp:extent cx="909955" cy="42545"/>
                <wp:effectExtent l="635" t="13970" r="3810" b="19685"/>
                <wp:wrapNone/>
                <wp:docPr id="91" name="直接连接符 91"/>
                <wp:cNvGraphicFramePr/>
                <a:graphic xmlns:a="http://schemas.openxmlformats.org/drawingml/2006/main">
                  <a:graphicData uri="http://schemas.microsoft.com/office/word/2010/wordprocessingShape">
                    <wps:wsp>
                      <wps:cNvCnPr/>
                      <wps:spPr>
                        <a:xfrm>
                          <a:off x="0" y="0"/>
                          <a:ext cx="909955" cy="42545"/>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01.05pt;margin-top:146.05pt;height:3.35pt;width:71.65pt;z-index:251687936;mso-width-relative:page;mso-height-relative:page;" filled="f" stroked="t" coordsize="21600,21600" o:gfxdata="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a3ohTX&#10;AAAACwEAAA8AAAAAAAAAAQAgAAAAIgAAAGRycy9kb3ducmV2LnhtbFBLAQIUABQAAAAIAIdO4kCE&#10;ZaIf6AEAALcDAAAOAAAAAAAAAAEAIAAAACYBAABkcnMvZTJvRG9jLnhtbFBLBQYAAAAABgAGAFkB&#10;AACABQAAAAA=&#10;">
                <v:fill on="f" focussize="0,0"/>
                <v:stroke weight="2.25pt" color="#000000 [3213]" miterlimit="8" joinstyle="miter"/>
                <v:imagedata o:title=""/>
                <o:lock v:ext="edit" aspectratio="f"/>
              </v:line>
            </w:pict>
          </mc:Fallback>
        </mc:AlternateContent>
      </w:r>
      <w:r>
        <w:drawing>
          <wp:inline distT="0" distB="0" distL="114300" distR="114300">
            <wp:extent cx="7127240" cy="4817745"/>
            <wp:effectExtent l="0" t="0" r="16510" b="1905"/>
            <wp:docPr id="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
                    <pic:cNvPicPr>
                      <a:picLocks noChangeAspect="1"/>
                    </pic:cNvPicPr>
                  </pic:nvPicPr>
                  <pic:blipFill>
                    <a:blip r:embed="rId60"/>
                    <a:stretch>
                      <a:fillRect/>
                    </a:stretch>
                  </pic:blipFill>
                  <pic:spPr>
                    <a:xfrm>
                      <a:off x="0" y="0"/>
                      <a:ext cx="7127240" cy="4817745"/>
                    </a:xfrm>
                    <a:prstGeom prst="rect">
                      <a:avLst/>
                    </a:prstGeom>
                    <a:noFill/>
                    <a:ln>
                      <a:noFill/>
                    </a:ln>
                  </pic:spPr>
                </pic:pic>
              </a:graphicData>
            </a:graphic>
          </wp:inline>
        </w:drawing>
      </w:r>
      <w:r>
        <w:rPr>
          <w:sz w:val="24"/>
        </w:rPr>
        <mc:AlternateContent>
          <mc:Choice Requires="wps">
            <w:drawing>
              <wp:anchor distT="0" distB="0" distL="114300" distR="114300" simplePos="0" relativeHeight="251686912" behindDoc="0" locked="0" layoutInCell="1" allowOverlap="1">
                <wp:simplePos x="0" y="0"/>
                <wp:positionH relativeFrom="column">
                  <wp:posOffset>3791585</wp:posOffset>
                </wp:positionH>
                <wp:positionV relativeFrom="paragraph">
                  <wp:posOffset>1852930</wp:posOffset>
                </wp:positionV>
                <wp:extent cx="10160" cy="499745"/>
                <wp:effectExtent l="13970" t="0" r="33020" b="14605"/>
                <wp:wrapNone/>
                <wp:docPr id="90" name="直接连接符 90"/>
                <wp:cNvGraphicFramePr/>
                <a:graphic xmlns:a="http://schemas.openxmlformats.org/drawingml/2006/main">
                  <a:graphicData uri="http://schemas.microsoft.com/office/word/2010/wordprocessingShape">
                    <wps:wsp>
                      <wps:cNvCnPr/>
                      <wps:spPr>
                        <a:xfrm flipH="1">
                          <a:off x="0" y="0"/>
                          <a:ext cx="10160" cy="499745"/>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98.55pt;margin-top:145.9pt;height:39.35pt;width:0.8pt;z-index:251686912;mso-width-relative:page;mso-height-relative:page;" filled="f" stroked="t" coordsize="21600,21600" o:gfxdata="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hCP5s2wAAAAsBAAAPAAAAAAAAAAEAIAAAACIAAABkcnMvZG93bnJldi54bWxQSwEC&#10;FAAUAAAACACHTuJADo8uXPEBAADBAwAADgAAAAAAAAABACAAAAAqAQAAZHJzL2Uyb0RvYy54bWxQ&#10;SwUGAAAAAAYABgBZAQAAjQUAAAAA&#10;">
                <v:fill on="f" focussize="0,0"/>
                <v:stroke weight="2.25pt" color="#000000 [3213]" miterlimit="8" joinstyle="miter"/>
                <v:imagedata o:title=""/>
                <o:lock v:ext="edit" aspectratio="f"/>
              </v:line>
            </w:pict>
          </mc:Fallback>
        </mc:AlternateContent>
      </w:r>
      <w:r>
        <w:rPr>
          <w:sz w:val="24"/>
        </w:rPr>
        <mc:AlternateContent>
          <mc:Choice Requires="wps">
            <w:drawing>
              <wp:anchor distT="0" distB="0" distL="114300" distR="114300" simplePos="0" relativeHeight="251684864" behindDoc="0" locked="0" layoutInCell="1" allowOverlap="1">
                <wp:simplePos x="0" y="0"/>
                <wp:positionH relativeFrom="column">
                  <wp:posOffset>3420745</wp:posOffset>
                </wp:positionH>
                <wp:positionV relativeFrom="paragraph">
                  <wp:posOffset>2392680</wp:posOffset>
                </wp:positionV>
                <wp:extent cx="21590" cy="1026160"/>
                <wp:effectExtent l="13970" t="0" r="21590" b="2540"/>
                <wp:wrapNone/>
                <wp:docPr id="88" name="直接连接符 88"/>
                <wp:cNvGraphicFramePr/>
                <a:graphic xmlns:a="http://schemas.openxmlformats.org/drawingml/2006/main">
                  <a:graphicData uri="http://schemas.microsoft.com/office/word/2010/wordprocessingShape">
                    <wps:wsp>
                      <wps:cNvCnPr/>
                      <wps:spPr>
                        <a:xfrm>
                          <a:off x="4335145" y="3535680"/>
                          <a:ext cx="21590" cy="1026160"/>
                        </a:xfrm>
                        <a:prstGeom prst="line">
                          <a:avLst/>
                        </a:prstGeom>
                        <a:ln w="28575"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69.35pt;margin-top:188.4pt;height:80.8pt;width:1.7pt;z-index:251684864;mso-width-relative:page;mso-height-relative:page;" filled="f" stroked="t" coordsize="21600,21600" o:gfxdata="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ahJo3YAAAACwEAAA8AAAAAAAAAAQAgAAAAIgAAAGRycy9kb3ducmV2LnhtbFBL&#10;AQIUABQAAAAIAIdO4kBbN9cA9gEAAMQDAAAOAAAAAAAAAAEAIAAAACcBAABkcnMvZTJvRG9jLnht&#10;bFBLBQYAAAAABgAGAFkBAACPBQAAAAA=&#10;">
                <v:fill on="f" focussize="0,0"/>
                <v:stroke weight="2.25pt" color="#000000 [3213]" miterlimit="8" joinstyle="miter"/>
                <v:imagedata o:title=""/>
                <o:lock v:ext="edit" aspectratio="f"/>
              </v:line>
            </w:pict>
          </mc:Fallback>
        </mc:AlternateContent>
      </w:r>
      <w:r>
        <w:rPr>
          <w:rFonts w:ascii="宋体" w:hAnsi="宋体" w:cs="宋体"/>
          <w:kern w:val="0"/>
          <w:sz w:val="24"/>
        </w:rPr>
        <w:drawing>
          <wp:anchor distT="0" distB="0" distL="114300" distR="114300" simplePos="0" relativeHeight="251683840" behindDoc="0" locked="0" layoutInCell="1" allowOverlap="1">
            <wp:simplePos x="0" y="0"/>
            <wp:positionH relativeFrom="column">
              <wp:posOffset>876300</wp:posOffset>
            </wp:positionH>
            <wp:positionV relativeFrom="paragraph">
              <wp:posOffset>78105</wp:posOffset>
            </wp:positionV>
            <wp:extent cx="488315" cy="698500"/>
            <wp:effectExtent l="0" t="0" r="6985" b="6350"/>
            <wp:wrapNone/>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488315" cy="698500"/>
                    </a:xfrm>
                    <a:prstGeom prst="rect">
                      <a:avLst/>
                    </a:prstGeom>
                    <a:noFill/>
                  </pic:spPr>
                </pic:pic>
              </a:graphicData>
            </a:graphic>
          </wp:anchor>
        </w:drawing>
      </w:r>
    </w:p>
    <w:p w14:paraId="68B8D63C">
      <w:pPr>
        <w:jc w:val="center"/>
      </w:pPr>
      <w:r>
        <w:rPr>
          <w:rFonts w:hint="default" w:eastAsia="方正小标宋_GBK"/>
          <w:b/>
          <w:snapToGrid w:val="0"/>
          <w:kern w:val="0"/>
          <w:sz w:val="24"/>
          <w:lang w:val="en-US" w:eastAsia="zh-CN"/>
        </w:rPr>
        <w:t>附图</w:t>
      </w:r>
      <w:r>
        <w:rPr>
          <w:rFonts w:hint="eastAsia" w:eastAsia="方正小标宋_GBK"/>
          <w:b/>
          <w:snapToGrid w:val="0"/>
          <w:kern w:val="0"/>
          <w:sz w:val="24"/>
          <w:lang w:val="en-US" w:eastAsia="zh-CN"/>
        </w:rPr>
        <w:t>4</w:t>
      </w:r>
      <w:r>
        <w:rPr>
          <w:rFonts w:hint="default" w:eastAsia="方正小标宋_GBK"/>
          <w:b/>
          <w:snapToGrid w:val="0"/>
          <w:kern w:val="0"/>
          <w:sz w:val="24"/>
          <w:lang w:val="en-US" w:eastAsia="zh-CN"/>
        </w:rPr>
        <w:t xml:space="preserve">   </w:t>
      </w:r>
      <w:r>
        <w:rPr>
          <w:rFonts w:hint="eastAsia" w:eastAsia="方正小标宋_GBK"/>
          <w:b/>
          <w:snapToGrid w:val="0"/>
          <w:kern w:val="0"/>
          <w:sz w:val="24"/>
          <w:lang w:val="en-US" w:eastAsia="zh-CN"/>
        </w:rPr>
        <w:t>项目周边声环境质量监测布点</w:t>
      </w:r>
      <w:r>
        <w:rPr>
          <w:rFonts w:hint="default" w:eastAsia="方正小标宋_GBK"/>
          <w:b/>
          <w:snapToGrid w:val="0"/>
          <w:kern w:val="0"/>
          <w:sz w:val="24"/>
          <w:lang w:val="en-US" w:eastAsia="zh-CN"/>
        </w:rPr>
        <w:t>图</w:t>
      </w:r>
    </w:p>
    <w:p w14:paraId="405BB9D9">
      <w:pPr>
        <w:jc w:val="center"/>
        <w:rPr>
          <w:rFonts w:hint="default" w:eastAsia="宋体"/>
          <w:lang w:val="en-US" w:eastAsia="zh-CN"/>
        </w:rPr>
      </w:pPr>
      <w:r>
        <w:rPr>
          <w:sz w:val="21"/>
        </w:rPr>
        <mc:AlternateContent>
          <mc:Choice Requires="wps">
            <w:drawing>
              <wp:anchor distT="0" distB="0" distL="114300" distR="114300" simplePos="0" relativeHeight="251767808" behindDoc="0" locked="0" layoutInCell="1" allowOverlap="1">
                <wp:simplePos x="0" y="0"/>
                <wp:positionH relativeFrom="column">
                  <wp:posOffset>6942455</wp:posOffset>
                </wp:positionH>
                <wp:positionV relativeFrom="paragraph">
                  <wp:posOffset>4391025</wp:posOffset>
                </wp:positionV>
                <wp:extent cx="1239520" cy="317500"/>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1239520" cy="317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9D49FF">
                            <w:pPr>
                              <w:rPr>
                                <w:rFonts w:hint="default" w:eastAsia="宋体"/>
                                <w:b/>
                                <w:bCs/>
                                <w:sz w:val="15"/>
                                <w:szCs w:val="18"/>
                                <w:lang w:val="en-US" w:eastAsia="zh-CN"/>
                              </w:rPr>
                            </w:pPr>
                            <w:r>
                              <w:rPr>
                                <w:rFonts w:hint="eastAsia"/>
                                <w:b/>
                                <w:bCs/>
                                <w:sz w:val="15"/>
                                <w:szCs w:val="18"/>
                                <w:lang w:val="en-US" w:eastAsia="zh-CN"/>
                              </w:rPr>
                              <w:t>环境风险保护目标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6.65pt;margin-top:345.75pt;height:25pt;width:97.6pt;z-index:251767808;mso-width-relative:page;mso-height-relative:page;" filled="f" stroked="f" coordsize="21600,21600" o:gfxdata="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JakG33QAAAA0BAAAPAAAAAAAAAAEAIAAAACIA&#10;AABkcnMvZG93bnJldi54bWxQSwECFAAUAAAACACHTuJAPFW6dz0CAABqBAAADgAAAAAAAAABACAA&#10;AAAsAQAAZHJzL2Uyb0RvYy54bWxQSwUGAAAAAAYABgBZAQAA2wUAAAAA&#10;">
                <v:fill on="f" focussize="0,0"/>
                <v:stroke on="f" weight="0.5pt"/>
                <v:imagedata o:title=""/>
                <o:lock v:ext="edit" aspectratio="f"/>
                <v:textbox>
                  <w:txbxContent>
                    <w:p w14:paraId="5A9D49FF">
                      <w:pPr>
                        <w:rPr>
                          <w:rFonts w:hint="default" w:eastAsia="宋体"/>
                          <w:b/>
                          <w:bCs/>
                          <w:sz w:val="15"/>
                          <w:szCs w:val="18"/>
                          <w:lang w:val="en-US" w:eastAsia="zh-CN"/>
                        </w:rPr>
                      </w:pPr>
                      <w:r>
                        <w:rPr>
                          <w:rFonts w:hint="eastAsia"/>
                          <w:b/>
                          <w:bCs/>
                          <w:sz w:val="15"/>
                          <w:szCs w:val="18"/>
                          <w:lang w:val="en-US" w:eastAsia="zh-CN"/>
                        </w:rPr>
                        <w:t>环境风险保护目标</w:t>
                      </w:r>
                    </w:p>
                  </w:txbxContent>
                </v:textbox>
              </v:shape>
            </w:pict>
          </mc:Fallback>
        </mc:AlternateContent>
      </w:r>
      <w:r>
        <w:rPr>
          <w:sz w:val="24"/>
        </w:rPr>
        <mc:AlternateContent>
          <mc:Choice Requires="wps">
            <w:drawing>
              <wp:anchor distT="0" distB="0" distL="114300" distR="114300" simplePos="0" relativeHeight="251766784" behindDoc="0" locked="0" layoutInCell="1" allowOverlap="1">
                <wp:simplePos x="0" y="0"/>
                <wp:positionH relativeFrom="column">
                  <wp:posOffset>6828790</wp:posOffset>
                </wp:positionH>
                <wp:positionV relativeFrom="paragraph">
                  <wp:posOffset>4436745</wp:posOffset>
                </wp:positionV>
                <wp:extent cx="158750" cy="158750"/>
                <wp:effectExtent l="6350" t="6350" r="6350" b="6350"/>
                <wp:wrapNone/>
                <wp:docPr id="127" name="矩形 127"/>
                <wp:cNvGraphicFramePr/>
                <a:graphic xmlns:a="http://schemas.openxmlformats.org/drawingml/2006/main">
                  <a:graphicData uri="http://schemas.microsoft.com/office/word/2010/wordprocessingShape">
                    <wps:wsp>
                      <wps:cNvSpPr/>
                      <wps:spPr>
                        <a:xfrm>
                          <a:off x="7743190" y="5039995"/>
                          <a:ext cx="158750" cy="158750"/>
                        </a:xfrm>
                        <a:prstGeom prst="rect">
                          <a:avLst/>
                        </a:prstGeom>
                        <a:solidFill>
                          <a:schemeClr val="accent5"/>
                        </a:solid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098DEB2F">
                            <w:pPr>
                              <w:jc w:val="center"/>
                              <w:rPr>
                                <w:color w:val="00FF00"/>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7.7pt;margin-top:349.35pt;height:12.5pt;width:12.5pt;z-index:251766784;v-text-anchor:middle;mso-width-relative:page;mso-height-relative:page;" fillcolor="#30C0B4 [3208]" filled="t" stroked="t" coordsize="21600,21600" o:gfxdata="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rQDAr9wAAAANAQAADwAAAAAA&#10;AAABACAAAAAiAAAAZHJzL2Rvd25yZXYueG1sUEsBAhQAFAAAAAgAh07iQIUNRjCBAgAADgUAAA4A&#10;AAAAAAAAAQAgAAAAKwEAAGRycy9lMm9Eb2MueG1sUEsFBgAAAAAGAAYAWQEAAB4GAAAAAA==&#10;">
                <v:fill on="t" focussize="0,0"/>
                <v:stroke weight="1pt" color="#000000 [3213]" miterlimit="8" joinstyle="miter"/>
                <v:imagedata o:title=""/>
                <o:lock v:ext="edit" aspectratio="f"/>
                <v:textbox>
                  <w:txbxContent>
                    <w:p w14:paraId="098DEB2F">
                      <w:pPr>
                        <w:jc w:val="center"/>
                        <w:rPr>
                          <w:color w:val="00FF00"/>
                        </w:rPr>
                      </w:pPr>
                    </w:p>
                  </w:txbxContent>
                </v:textbox>
              </v:rect>
            </w:pict>
          </mc:Fallback>
        </mc:AlternateContent>
      </w:r>
      <w:r>
        <w:rPr>
          <w:rFonts w:ascii="宋体" w:hAnsi="宋体" w:cs="宋体"/>
          <w:kern w:val="0"/>
          <w:sz w:val="24"/>
        </w:rPr>
        <w:drawing>
          <wp:anchor distT="0" distB="0" distL="114300" distR="114300" simplePos="0" relativeHeight="251760640" behindDoc="0" locked="0" layoutInCell="1" allowOverlap="1">
            <wp:simplePos x="0" y="0"/>
            <wp:positionH relativeFrom="column">
              <wp:posOffset>1733550</wp:posOffset>
            </wp:positionH>
            <wp:positionV relativeFrom="paragraph">
              <wp:posOffset>57150</wp:posOffset>
            </wp:positionV>
            <wp:extent cx="488315" cy="698500"/>
            <wp:effectExtent l="0" t="0" r="6985" b="6350"/>
            <wp:wrapNone/>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488315" cy="698500"/>
                    </a:xfrm>
                    <a:prstGeom prst="rect">
                      <a:avLst/>
                    </a:prstGeom>
                    <a:noFill/>
                  </pic:spPr>
                </pic:pic>
              </a:graphicData>
            </a:graphic>
          </wp:anchor>
        </w:drawing>
      </w:r>
      <w:r>
        <w:drawing>
          <wp:inline distT="0" distB="0" distL="114300" distR="114300">
            <wp:extent cx="5397500" cy="4828540"/>
            <wp:effectExtent l="0" t="0" r="0" b="0"/>
            <wp:docPr id="14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6"/>
                    <pic:cNvPicPr>
                      <a:picLocks noChangeAspect="1"/>
                    </pic:cNvPicPr>
                  </pic:nvPicPr>
                  <pic:blipFill>
                    <a:blip r:embed="rId61"/>
                    <a:srcRect l="4019" t="2172" r="40249" b="7150"/>
                    <a:stretch>
                      <a:fillRect/>
                    </a:stretch>
                  </pic:blipFill>
                  <pic:spPr>
                    <a:xfrm>
                      <a:off x="0" y="0"/>
                      <a:ext cx="5397500" cy="4828540"/>
                    </a:xfrm>
                    <a:prstGeom prst="rect">
                      <a:avLst/>
                    </a:prstGeom>
                    <a:noFill/>
                    <a:ln>
                      <a:noFill/>
                    </a:ln>
                  </pic:spPr>
                </pic:pic>
              </a:graphicData>
            </a:graphic>
          </wp:inline>
        </w:drawing>
      </w:r>
      <w:r>
        <w:rPr>
          <w:rFonts w:hint="eastAsia"/>
          <w:lang w:val="en-US" w:eastAsia="zh-CN"/>
        </w:rPr>
        <w:t xml:space="preserve">    比例：1:42000</w:t>
      </w:r>
    </w:p>
    <w:p w14:paraId="2306AC4C">
      <w:pPr>
        <w:jc w:val="center"/>
        <w:rPr>
          <w:rFonts w:hint="eastAsia" w:eastAsia="方正小标宋_GBK"/>
          <w:b w:val="0"/>
          <w:bCs/>
          <w:snapToGrid w:val="0"/>
          <w:kern w:val="0"/>
          <w:sz w:val="24"/>
          <w:lang w:val="en-US" w:eastAsia="zh-CN"/>
        </w:rPr>
      </w:pPr>
      <w:r>
        <w:rPr>
          <w:rFonts w:hint="default" w:eastAsia="方正小标宋_GBK"/>
          <w:b/>
          <w:snapToGrid w:val="0"/>
          <w:kern w:val="0"/>
          <w:sz w:val="24"/>
          <w:lang w:val="en-US" w:eastAsia="zh-CN"/>
        </w:rPr>
        <w:t>附图</w:t>
      </w:r>
      <w:r>
        <w:rPr>
          <w:rFonts w:hint="eastAsia" w:eastAsia="方正小标宋_GBK"/>
          <w:b/>
          <w:snapToGrid w:val="0"/>
          <w:kern w:val="0"/>
          <w:sz w:val="24"/>
          <w:lang w:val="en-US" w:eastAsia="zh-CN"/>
        </w:rPr>
        <w:t>5</w:t>
      </w:r>
      <w:r>
        <w:rPr>
          <w:rFonts w:hint="default" w:eastAsia="方正小标宋_GBK"/>
          <w:b/>
          <w:snapToGrid w:val="0"/>
          <w:kern w:val="0"/>
          <w:sz w:val="24"/>
          <w:lang w:val="en-US" w:eastAsia="zh-CN"/>
        </w:rPr>
        <w:t xml:space="preserve">   </w:t>
      </w:r>
      <w:r>
        <w:rPr>
          <w:rFonts w:hint="eastAsia" w:eastAsia="方正小标宋_GBK"/>
          <w:b/>
          <w:snapToGrid w:val="0"/>
          <w:kern w:val="0"/>
          <w:sz w:val="24"/>
          <w:lang w:val="en-US" w:eastAsia="zh-CN"/>
        </w:rPr>
        <w:t>项目周边主要环境风险保护目标分布</w:t>
      </w:r>
      <w:r>
        <w:rPr>
          <w:rFonts w:hint="default" w:eastAsia="方正小标宋_GBK"/>
          <w:b/>
          <w:snapToGrid w:val="0"/>
          <w:kern w:val="0"/>
          <w:sz w:val="24"/>
          <w:lang w:val="en-US" w:eastAsia="zh-CN"/>
        </w:rPr>
        <w:t>示意图</w:t>
      </w:r>
    </w:p>
    <w:p w14:paraId="6D6FF738">
      <w:pPr>
        <w:jc w:val="center"/>
        <w:rPr>
          <w:rFonts w:hint="eastAsia" w:eastAsia="宋体"/>
          <w:lang w:eastAsia="zh-CN"/>
        </w:rPr>
      </w:pPr>
      <w:r>
        <w:rPr>
          <w:sz w:val="21"/>
        </w:rPr>
        <mc:AlternateContent>
          <mc:Choice Requires="wps">
            <w:drawing>
              <wp:anchor distT="0" distB="0" distL="114300" distR="114300" simplePos="0" relativeHeight="251765760" behindDoc="0" locked="0" layoutInCell="1" allowOverlap="1">
                <wp:simplePos x="0" y="0"/>
                <wp:positionH relativeFrom="column">
                  <wp:posOffset>2158365</wp:posOffset>
                </wp:positionH>
                <wp:positionV relativeFrom="paragraph">
                  <wp:posOffset>4196715</wp:posOffset>
                </wp:positionV>
                <wp:extent cx="1239520" cy="317500"/>
                <wp:effectExtent l="0" t="0" r="0" b="0"/>
                <wp:wrapNone/>
                <wp:docPr id="179" name="文本框 179"/>
                <wp:cNvGraphicFramePr/>
                <a:graphic xmlns:a="http://schemas.openxmlformats.org/drawingml/2006/main">
                  <a:graphicData uri="http://schemas.microsoft.com/office/word/2010/wordprocessingShape">
                    <wps:wsp>
                      <wps:cNvSpPr txBox="1"/>
                      <wps:spPr>
                        <a:xfrm>
                          <a:off x="7724140" y="2561590"/>
                          <a:ext cx="1239520" cy="317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2F5342">
                            <w:pPr>
                              <w:rPr>
                                <w:rFonts w:hint="default" w:eastAsia="宋体"/>
                                <w:b/>
                                <w:bCs/>
                                <w:sz w:val="15"/>
                                <w:szCs w:val="18"/>
                                <w:lang w:val="en-US" w:eastAsia="zh-CN"/>
                              </w:rPr>
                            </w:pPr>
                            <w:r>
                              <w:rPr>
                                <w:rFonts w:hint="eastAsia"/>
                                <w:b/>
                                <w:bCs/>
                                <w:sz w:val="15"/>
                                <w:szCs w:val="18"/>
                                <w:lang w:val="en-US" w:eastAsia="zh-CN"/>
                              </w:rPr>
                              <w:t>环境风险源（危险单元）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95pt;margin-top:330.45pt;height:25pt;width:97.6pt;z-index:251765760;mso-width-relative:page;mso-height-relative:page;" filled="f" stroked="f" coordsize="21600,21600" o:gfxdata="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Ys0UE9sAAAALAQAADwAAAAAA&#10;AAABACAAAAAiAAAAZHJzL2Rvd25yZXYueG1sUEsBAhQAFAAAAAgAh07iQLrKKdtJAgAAdgQAAA4A&#10;AAAAAAAAAQAgAAAAKgEAAGRycy9lMm9Eb2MueG1sUEsFBgAAAAAGAAYAWQEAAOUFAAAAAA==&#10;">
                <v:fill on="f" focussize="0,0"/>
                <v:stroke on="f" weight="0.5pt"/>
                <v:imagedata o:title=""/>
                <o:lock v:ext="edit" aspectratio="f"/>
                <v:textbox>
                  <w:txbxContent>
                    <w:p w14:paraId="622F5342">
                      <w:pPr>
                        <w:rPr>
                          <w:rFonts w:hint="default" w:eastAsia="宋体"/>
                          <w:b/>
                          <w:bCs/>
                          <w:sz w:val="15"/>
                          <w:szCs w:val="18"/>
                          <w:lang w:val="en-US" w:eastAsia="zh-CN"/>
                        </w:rPr>
                      </w:pPr>
                      <w:r>
                        <w:rPr>
                          <w:rFonts w:hint="eastAsia"/>
                          <w:b/>
                          <w:bCs/>
                          <w:sz w:val="15"/>
                          <w:szCs w:val="18"/>
                          <w:lang w:val="en-US" w:eastAsia="zh-CN"/>
                        </w:rPr>
                        <w:t>环境风险源（危险单元）</w:t>
                      </w:r>
                    </w:p>
                  </w:txbxContent>
                </v:textbox>
              </v:shape>
            </w:pict>
          </mc:Fallback>
        </mc:AlternateContent>
      </w:r>
      <w:r>
        <w:rPr>
          <w:sz w:val="21"/>
        </w:rPr>
        <mc:AlternateContent>
          <mc:Choice Requires="wps">
            <w:drawing>
              <wp:anchor distT="0" distB="0" distL="114300" distR="114300" simplePos="0" relativeHeight="251764736" behindDoc="0" locked="0" layoutInCell="1" allowOverlap="1">
                <wp:simplePos x="0" y="0"/>
                <wp:positionH relativeFrom="column">
                  <wp:posOffset>2103120</wp:posOffset>
                </wp:positionH>
                <wp:positionV relativeFrom="paragraph">
                  <wp:posOffset>4307840</wp:posOffset>
                </wp:positionV>
                <wp:extent cx="80645" cy="80645"/>
                <wp:effectExtent l="6350" t="6350" r="8255" b="8255"/>
                <wp:wrapNone/>
                <wp:docPr id="176" name="椭圆 176"/>
                <wp:cNvGraphicFramePr/>
                <a:graphic xmlns:a="http://schemas.openxmlformats.org/drawingml/2006/main">
                  <a:graphicData uri="http://schemas.microsoft.com/office/word/2010/wordprocessingShape">
                    <wps:wsp>
                      <wps:cNvSpPr/>
                      <wps:spPr>
                        <a:xfrm>
                          <a:off x="0" y="0"/>
                          <a:ext cx="80645" cy="80645"/>
                        </a:xfrm>
                        <a:prstGeom prst="ellipse">
                          <a:avLst/>
                        </a:prstGeom>
                        <a:solidFill>
                          <a:schemeClr val="accent6"/>
                        </a:solidFill>
                      </wps:spPr>
                      <wps:style>
                        <a:lnRef idx="2">
                          <a:schemeClr val="accent1">
                            <a:lumMod val="75000"/>
                          </a:schemeClr>
                        </a:lnRef>
                        <a:fillRef idx="1">
                          <a:schemeClr val="accent1"/>
                        </a:fillRef>
                        <a:effectRef idx="0">
                          <a:srgbClr val="FFFFFF"/>
                        </a:effectRef>
                        <a:fontRef idx="minor">
                          <a:schemeClr val="lt1"/>
                        </a:fontRef>
                      </wps:style>
                      <wps:txbx>
                        <w:txbxContent>
                          <w:p w14:paraId="4419CC0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65.6pt;margin-top:339.2pt;height:6.35pt;width:6.35pt;z-index:251764736;v-text-anchor:middle;mso-width-relative:page;mso-height-relative:page;" fillcolor="#E54C5E [3209]" filled="t" stroked="t" coordsize="21600,21600" o:gfxdata="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UapvKtwAAAAL&#10;AQAADwAAAAAAAAABACAAAAAiAAAAZHJzL2Rvd25yZXYueG1sUEsBAhQAFAAAAAgAh07iQOh7WNqK&#10;AgAAJQUAAA4AAAAAAAAAAQAgAAAAKwEAAGRycy9lMm9Eb2MueG1sUEsFBgAAAAAGAAYAWQEAACcG&#10;AAAAAA==&#10;">
                <v:fill on="t" focussize="0,0"/>
                <v:stroke weight="1pt" color="#2E54A1 [2404]" miterlimit="8" joinstyle="miter"/>
                <v:imagedata o:title=""/>
                <o:lock v:ext="edit" aspectratio="f"/>
                <v:textbox>
                  <w:txbxContent>
                    <w:p w14:paraId="4419CC0C">
                      <w:pPr>
                        <w:jc w:val="center"/>
                      </w:pPr>
                    </w:p>
                  </w:txbxContent>
                </v:textbox>
              </v:shape>
            </w:pict>
          </mc:Fallback>
        </mc:AlternateContent>
      </w:r>
      <w:r>
        <w:rPr>
          <w:sz w:val="21"/>
        </w:rPr>
        <mc:AlternateContent>
          <mc:Choice Requires="wps">
            <w:drawing>
              <wp:anchor distT="0" distB="0" distL="114300" distR="114300" simplePos="0" relativeHeight="251763712" behindDoc="0" locked="0" layoutInCell="1" allowOverlap="1">
                <wp:simplePos x="0" y="0"/>
                <wp:positionH relativeFrom="column">
                  <wp:posOffset>6746875</wp:posOffset>
                </wp:positionH>
                <wp:positionV relativeFrom="paragraph">
                  <wp:posOffset>217805</wp:posOffset>
                </wp:positionV>
                <wp:extent cx="135890" cy="135890"/>
                <wp:effectExtent l="6350" t="6350" r="10160" b="10160"/>
                <wp:wrapNone/>
                <wp:docPr id="175" name="椭圆 175"/>
                <wp:cNvGraphicFramePr/>
                <a:graphic xmlns:a="http://schemas.openxmlformats.org/drawingml/2006/main">
                  <a:graphicData uri="http://schemas.microsoft.com/office/word/2010/wordprocessingShape">
                    <wps:wsp>
                      <wps:cNvSpPr/>
                      <wps:spPr>
                        <a:xfrm>
                          <a:off x="0" y="0"/>
                          <a:ext cx="135890" cy="135890"/>
                        </a:xfrm>
                        <a:prstGeom prst="ellipse">
                          <a:avLst/>
                        </a:prstGeom>
                        <a:solidFill>
                          <a:schemeClr val="accent6"/>
                        </a:solidFill>
                      </wps:spPr>
                      <wps:style>
                        <a:lnRef idx="2">
                          <a:schemeClr val="accent1">
                            <a:lumMod val="75000"/>
                          </a:schemeClr>
                        </a:lnRef>
                        <a:fillRef idx="1">
                          <a:schemeClr val="accent1"/>
                        </a:fillRef>
                        <a:effectRef idx="0">
                          <a:srgbClr val="FFFFFF"/>
                        </a:effectRef>
                        <a:fontRef idx="minor">
                          <a:schemeClr val="lt1"/>
                        </a:fontRef>
                      </wps:style>
                      <wps:txbx>
                        <w:txbxContent>
                          <w:p w14:paraId="5BD1BD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31.25pt;margin-top:17.15pt;height:10.7pt;width:10.7pt;z-index:251763712;v-text-anchor:middle;mso-width-relative:page;mso-height-relative:page;" fillcolor="#E54C5E [3209]" filled="t" stroked="t" coordsize="21600,21600" o:gfxdata="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NlceyrcAAAA&#10;CwEAAA8AAAAAAAAAAQAgAAAAIgAAAGRycy9kb3ducmV2LnhtbFBLAQIUABQAAAAIAIdO4kB18dud&#10;iwIAACcFAAAOAAAAAAAAAAEAIAAAACsBAABkcnMvZTJvRG9jLnhtbFBLBQYAAAAABgAGAFkBAAAo&#10;BgAAAAA=&#10;">
                <v:fill on="t" focussize="0,0"/>
                <v:stroke weight="1pt" color="#2E54A1 [2404]" miterlimit="8" joinstyle="miter"/>
                <v:imagedata o:title=""/>
                <o:lock v:ext="edit" aspectratio="f"/>
                <v:textbox>
                  <w:txbxContent>
                    <w:p w14:paraId="5BD1BD23">
                      <w:pPr>
                        <w:jc w:val="center"/>
                      </w:pPr>
                    </w:p>
                  </w:txbxContent>
                </v:textbox>
              </v:shape>
            </w:pict>
          </mc:Fallback>
        </mc:AlternateContent>
      </w:r>
      <w:r>
        <w:rPr>
          <w:sz w:val="21"/>
        </w:rPr>
        <mc:AlternateContent>
          <mc:Choice Requires="wps">
            <w:drawing>
              <wp:anchor distT="0" distB="0" distL="114300" distR="114300" simplePos="0" relativeHeight="251762688" behindDoc="0" locked="0" layoutInCell="1" allowOverlap="1">
                <wp:simplePos x="0" y="0"/>
                <wp:positionH relativeFrom="column">
                  <wp:posOffset>1690370</wp:posOffset>
                </wp:positionH>
                <wp:positionV relativeFrom="paragraph">
                  <wp:posOffset>2275840</wp:posOffset>
                </wp:positionV>
                <wp:extent cx="135890" cy="135890"/>
                <wp:effectExtent l="6350" t="6350" r="10160" b="10160"/>
                <wp:wrapNone/>
                <wp:docPr id="174" name="椭圆 174"/>
                <wp:cNvGraphicFramePr/>
                <a:graphic xmlns:a="http://schemas.openxmlformats.org/drawingml/2006/main">
                  <a:graphicData uri="http://schemas.microsoft.com/office/word/2010/wordprocessingShape">
                    <wps:wsp>
                      <wps:cNvSpPr/>
                      <wps:spPr>
                        <a:xfrm>
                          <a:off x="0" y="0"/>
                          <a:ext cx="135890" cy="135890"/>
                        </a:xfrm>
                        <a:prstGeom prst="ellipse">
                          <a:avLst/>
                        </a:prstGeom>
                        <a:solidFill>
                          <a:schemeClr val="accent6"/>
                        </a:solidFill>
                      </wps:spPr>
                      <wps:style>
                        <a:lnRef idx="2">
                          <a:schemeClr val="accent1">
                            <a:lumMod val="75000"/>
                          </a:schemeClr>
                        </a:lnRef>
                        <a:fillRef idx="1">
                          <a:schemeClr val="accent1"/>
                        </a:fillRef>
                        <a:effectRef idx="0">
                          <a:srgbClr val="FFFFFF"/>
                        </a:effectRef>
                        <a:fontRef idx="minor">
                          <a:schemeClr val="lt1"/>
                        </a:fontRef>
                      </wps:style>
                      <wps:txbx>
                        <w:txbxContent>
                          <w:p w14:paraId="2F7D956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33.1pt;margin-top:179.2pt;height:10.7pt;width:10.7pt;z-index:251762688;v-text-anchor:middle;mso-width-relative:page;mso-height-relative:page;" fillcolor="#E54C5E [3209]" filled="t" stroked="t" coordsize="21600,21600" o:gfxdata="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NuZjAvcAAAA&#10;CwEAAA8AAAAAAAAAAQAgAAAAIgAAAGRycy9kb3ducmV2LnhtbFBLAQIUABQAAAAIAIdO4kAwLaFG&#10;iwIAACcFAAAOAAAAAAAAAAEAIAAAACsBAABkcnMvZTJvRG9jLnhtbFBLBQYAAAAABgAGAFkBAAAo&#10;BgAAAAA=&#10;">
                <v:fill on="t" focussize="0,0"/>
                <v:stroke weight="1pt" color="#2E54A1 [2404]" miterlimit="8" joinstyle="miter"/>
                <v:imagedata o:title=""/>
                <o:lock v:ext="edit" aspectratio="f"/>
                <v:textbox>
                  <w:txbxContent>
                    <w:p w14:paraId="2F7D9565">
                      <w:pPr>
                        <w:jc w:val="center"/>
                      </w:pPr>
                    </w:p>
                  </w:txbxContent>
                </v:textbox>
              </v:shape>
            </w:pict>
          </mc:Fallback>
        </mc:AlternateContent>
      </w:r>
      <w:r>
        <w:rPr>
          <w:sz w:val="21"/>
        </w:rPr>
        <mc:AlternateContent>
          <mc:Choice Requires="wps">
            <w:drawing>
              <wp:anchor distT="0" distB="0" distL="114300" distR="114300" simplePos="0" relativeHeight="251761664" behindDoc="0" locked="0" layoutInCell="1" allowOverlap="1">
                <wp:simplePos x="0" y="0"/>
                <wp:positionH relativeFrom="column">
                  <wp:posOffset>4500245</wp:posOffset>
                </wp:positionH>
                <wp:positionV relativeFrom="paragraph">
                  <wp:posOffset>3347085</wp:posOffset>
                </wp:positionV>
                <wp:extent cx="135890" cy="135890"/>
                <wp:effectExtent l="6350" t="6350" r="10160" b="10160"/>
                <wp:wrapNone/>
                <wp:docPr id="156" name="椭圆 156"/>
                <wp:cNvGraphicFramePr/>
                <a:graphic xmlns:a="http://schemas.openxmlformats.org/drawingml/2006/main">
                  <a:graphicData uri="http://schemas.microsoft.com/office/word/2010/wordprocessingShape">
                    <wps:wsp>
                      <wps:cNvSpPr/>
                      <wps:spPr>
                        <a:xfrm>
                          <a:off x="7867015" y="2553335"/>
                          <a:ext cx="135890" cy="135890"/>
                        </a:xfrm>
                        <a:prstGeom prst="ellipse">
                          <a:avLst/>
                        </a:prstGeom>
                        <a:solidFill>
                          <a:schemeClr val="accent6"/>
                        </a:solidFill>
                      </wps:spPr>
                      <wps:style>
                        <a:lnRef idx="2">
                          <a:schemeClr val="accent1">
                            <a:lumMod val="75000"/>
                          </a:schemeClr>
                        </a:lnRef>
                        <a:fillRef idx="1">
                          <a:schemeClr val="accent1"/>
                        </a:fillRef>
                        <a:effectRef idx="0">
                          <a:srgbClr val="FFFFFF"/>
                        </a:effectRef>
                        <a:fontRef idx="minor">
                          <a:schemeClr val="lt1"/>
                        </a:fontRef>
                      </wps:style>
                      <wps:txbx>
                        <w:txbxContent>
                          <w:p w14:paraId="3C2F890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4.35pt;margin-top:263.55pt;height:10.7pt;width:10.7pt;z-index:251761664;v-text-anchor:middle;mso-width-relative:page;mso-height-relative:page;" fillcolor="#E54C5E [3209]" filled="t" stroked="t" coordsize="21600,21600" o:gfxdata="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gZHp/bAAAACwEAAA8AAAAAAAAAAQAgAAAAIgAAAGRycy9kb3ducmV2LnhtbFBLAQIUABQA&#10;AAAIAIdO4kDf9/8FmAIAADMFAAAOAAAAAAAAAAEAIAAAACoBAABkcnMvZTJvRG9jLnhtbFBLBQYA&#10;AAAABgAGAFkBAAA0BgAAAAA=&#10;">
                <v:fill on="t" focussize="0,0"/>
                <v:stroke weight="1pt" color="#2E54A1 [2404]" miterlimit="8" joinstyle="miter"/>
                <v:imagedata o:title=""/>
                <o:lock v:ext="edit" aspectratio="f"/>
                <v:textbox>
                  <w:txbxContent>
                    <w:p w14:paraId="3C2F8901">
                      <w:pPr>
                        <w:jc w:val="center"/>
                      </w:pPr>
                    </w:p>
                  </w:txbxContent>
                </v:textbox>
              </v:shape>
            </w:pict>
          </mc:Fallback>
        </mc:AlternateContent>
      </w:r>
      <w:r>
        <w:rPr>
          <w:rFonts w:hint="eastAsia" w:eastAsia="宋体"/>
          <w:lang w:eastAsia="zh-CN"/>
        </w:rPr>
        <w:drawing>
          <wp:inline distT="0" distB="0" distL="114300" distR="114300">
            <wp:extent cx="7460615" cy="4805680"/>
            <wp:effectExtent l="0" t="0" r="6985" b="13970"/>
            <wp:docPr id="151" name="图片 151" descr="厂区平面图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厂区平面图副本"/>
                    <pic:cNvPicPr>
                      <a:picLocks noChangeAspect="1"/>
                    </pic:cNvPicPr>
                  </pic:nvPicPr>
                  <pic:blipFill>
                    <a:blip r:embed="rId58"/>
                    <a:stretch>
                      <a:fillRect/>
                    </a:stretch>
                  </pic:blipFill>
                  <pic:spPr>
                    <a:xfrm>
                      <a:off x="0" y="0"/>
                      <a:ext cx="7460615" cy="4805680"/>
                    </a:xfrm>
                    <a:prstGeom prst="rect">
                      <a:avLst/>
                    </a:prstGeom>
                  </pic:spPr>
                </pic:pic>
              </a:graphicData>
            </a:graphic>
          </wp:inline>
        </w:drawing>
      </w:r>
    </w:p>
    <w:p w14:paraId="1D295FA4">
      <w:pPr>
        <w:jc w:val="center"/>
        <w:rPr>
          <w:rFonts w:hint="eastAsia" w:eastAsia="方正小标宋_GBK"/>
          <w:b w:val="0"/>
          <w:bCs/>
          <w:snapToGrid w:val="0"/>
          <w:kern w:val="0"/>
          <w:sz w:val="24"/>
          <w:lang w:val="en-US" w:eastAsia="zh-CN"/>
        </w:rPr>
      </w:pPr>
      <w:r>
        <w:rPr>
          <w:rFonts w:hint="eastAsia" w:eastAsia="方正小标宋_GBK"/>
          <w:b/>
          <w:snapToGrid w:val="0"/>
          <w:kern w:val="0"/>
          <w:sz w:val="24"/>
        </w:rPr>
        <w:t>附图</w:t>
      </w:r>
      <w:r>
        <w:rPr>
          <w:rFonts w:hint="eastAsia" w:eastAsia="方正小标宋_GBK"/>
          <w:b/>
          <w:snapToGrid w:val="0"/>
          <w:kern w:val="0"/>
          <w:sz w:val="24"/>
          <w:lang w:val="en-US" w:eastAsia="zh-CN"/>
        </w:rPr>
        <w:t xml:space="preserve">6   </w:t>
      </w:r>
      <w:r>
        <w:rPr>
          <w:rFonts w:eastAsia="方正小标宋_GBK"/>
          <w:b/>
          <w:snapToGrid w:val="0"/>
          <w:kern w:val="0"/>
          <w:sz w:val="24"/>
        </w:rPr>
        <w:t xml:space="preserve"> </w:t>
      </w:r>
      <w:r>
        <w:rPr>
          <w:rFonts w:hint="eastAsia" w:eastAsia="方正小标宋_GBK"/>
          <w:b/>
          <w:snapToGrid w:val="0"/>
          <w:kern w:val="0"/>
          <w:sz w:val="24"/>
        </w:rPr>
        <w:t>项目</w:t>
      </w:r>
      <w:r>
        <w:rPr>
          <w:rFonts w:hint="eastAsia" w:eastAsia="方正小标宋_GBK"/>
          <w:b/>
          <w:snapToGrid w:val="0"/>
          <w:kern w:val="0"/>
          <w:sz w:val="24"/>
          <w:lang w:val="en-US" w:eastAsia="zh-CN"/>
        </w:rPr>
        <w:t>厂区内主要环境风险源分布示意</w:t>
      </w:r>
      <w:r>
        <w:rPr>
          <w:rFonts w:hint="eastAsia" w:eastAsia="方正小标宋_GBK"/>
          <w:b/>
          <w:snapToGrid w:val="0"/>
          <w:kern w:val="0"/>
          <w:sz w:val="24"/>
        </w:rPr>
        <w:t>图</w:t>
      </w:r>
    </w:p>
    <w:p w14:paraId="4855F610">
      <w:p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9FFBD73"/>
    <w:p w14:paraId="012EB92D">
      <w:pPr>
        <w:pStyle w:val="23"/>
        <w:adjustRightInd w:val="0"/>
        <w:snapToGrid w:val="0"/>
        <w:spacing w:before="0" w:beforeAutospacing="0" w:after="0" w:afterAutospacing="0" w:line="360" w:lineRule="auto"/>
        <w:outlineLvl w:val="0"/>
        <w:rPr>
          <w:rFonts w:hint="eastAsia" w:ascii="Times New Roman" w:hAnsi="Times New Roman" w:eastAsia="黑体"/>
          <w:snapToGrid w:val="0"/>
          <w:sz w:val="32"/>
          <w:szCs w:val="32"/>
          <w:lang w:eastAsia="zh-CN"/>
        </w:rPr>
      </w:pPr>
      <w:r>
        <w:rPr>
          <w:rFonts w:hint="eastAsia" w:ascii="Times New Roman" w:hAnsi="Times New Roman" w:eastAsia="黑体"/>
          <w:snapToGrid w:val="0"/>
          <w:sz w:val="32"/>
          <w:szCs w:val="32"/>
        </w:rPr>
        <w:t>附</w:t>
      </w:r>
      <w:r>
        <w:rPr>
          <w:rFonts w:hint="eastAsia" w:ascii="Times New Roman" w:hAnsi="Times New Roman" w:eastAsia="黑体"/>
          <w:snapToGrid w:val="0"/>
          <w:sz w:val="32"/>
          <w:szCs w:val="32"/>
          <w:lang w:val="en-US" w:eastAsia="zh-CN"/>
        </w:rPr>
        <w:t>录</w:t>
      </w:r>
    </w:p>
    <w:p w14:paraId="74427CAC">
      <w:pPr>
        <w:pStyle w:val="23"/>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4479C29C">
      <w:pPr>
        <w:widowControl w:val="0"/>
        <w:adjustRightInd w:val="0"/>
        <w:snapToGrid w:val="0"/>
        <w:spacing w:line="360" w:lineRule="auto"/>
        <w:jc w:val="center"/>
        <w:rPr>
          <w:rFonts w:hint="default" w:ascii="Times New Roman" w:hAnsi="Times New Roman" w:cs="Times New Roman"/>
          <w:b/>
          <w:bCs/>
          <w:color w:val="auto"/>
          <w:sz w:val="48"/>
          <w:szCs w:val="48"/>
        </w:rPr>
      </w:pPr>
      <w:r>
        <w:rPr>
          <w:rFonts w:hint="eastAsia" w:cs="Times New Roman"/>
          <w:b/>
          <w:bCs/>
          <w:color w:val="auto"/>
          <w:sz w:val="48"/>
          <w:szCs w:val="48"/>
          <w:lang w:val="en-US" w:eastAsia="zh-CN"/>
        </w:rPr>
        <w:t>岳阳</w:t>
      </w:r>
      <w:r>
        <w:rPr>
          <w:rFonts w:hint="default" w:ascii="Times New Roman" w:hAnsi="Times New Roman" w:cs="Times New Roman"/>
          <w:b/>
          <w:bCs/>
          <w:color w:val="auto"/>
          <w:sz w:val="48"/>
          <w:szCs w:val="48"/>
        </w:rPr>
        <w:t>市制水一厂建设项目</w:t>
      </w:r>
    </w:p>
    <w:p w14:paraId="011D208E">
      <w:pPr>
        <w:widowControl w:val="0"/>
        <w:adjustRightInd w:val="0"/>
        <w:snapToGrid w:val="0"/>
        <w:spacing w:line="360" w:lineRule="auto"/>
        <w:jc w:val="center"/>
        <w:rPr>
          <w:rFonts w:hint="default" w:ascii="Times New Roman" w:hAnsi="Times New Roman" w:eastAsia="黑体" w:cs="Times New Roman"/>
          <w:snapToGrid w:val="0"/>
          <w:sz w:val="32"/>
          <w:szCs w:val="32"/>
        </w:rPr>
      </w:pPr>
      <w:r>
        <w:rPr>
          <w:rFonts w:hint="default" w:ascii="Times New Roman" w:hAnsi="Times New Roman" w:cs="Times New Roman"/>
          <w:b/>
          <w:bCs/>
          <w:color w:val="auto"/>
          <w:sz w:val="48"/>
          <w:szCs w:val="48"/>
        </w:rPr>
        <w:t>环境风险专项评价</w:t>
      </w:r>
    </w:p>
    <w:p w14:paraId="11440C53">
      <w:pPr>
        <w:pStyle w:val="23"/>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0553B1BD">
      <w:pPr>
        <w:pStyle w:val="23"/>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31EA17DB">
      <w:pPr>
        <w:pStyle w:val="23"/>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2B762B4B">
      <w:pPr>
        <w:pStyle w:val="23"/>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660E7332">
      <w:pPr>
        <w:pStyle w:val="23"/>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418F3A5C">
      <w:pPr>
        <w:pStyle w:val="23"/>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08CE4508">
      <w:pPr>
        <w:pStyle w:val="23"/>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0076B7A6">
      <w:pPr>
        <w:pStyle w:val="23"/>
        <w:adjustRightInd w:val="0"/>
        <w:snapToGrid w:val="0"/>
        <w:spacing w:before="0" w:beforeAutospacing="0" w:after="0" w:afterAutospacing="0" w:line="648" w:lineRule="auto"/>
        <w:outlineLvl w:val="9"/>
        <w:rPr>
          <w:rFonts w:hint="default" w:ascii="Times New Roman" w:hAnsi="Times New Roman" w:eastAsia="黑体" w:cs="Times New Roman"/>
          <w:snapToGrid w:val="0"/>
          <w:sz w:val="32"/>
          <w:szCs w:val="32"/>
        </w:rPr>
      </w:pPr>
    </w:p>
    <w:p w14:paraId="3B732A27">
      <w:pPr>
        <w:widowControl w:val="0"/>
        <w:adjustRightInd w:val="0"/>
        <w:snapToGrid w:val="0"/>
        <w:spacing w:line="360" w:lineRule="auto"/>
        <w:jc w:val="center"/>
        <w:rPr>
          <w:rFonts w:hint="default" w:ascii="Times New Roman" w:hAnsi="Times New Roman" w:cs="Times New Roman"/>
          <w:color w:val="auto"/>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r>
        <w:rPr>
          <w:rFonts w:hint="default" w:ascii="Times New Roman" w:hAnsi="Times New Roman" w:cs="Times New Roman"/>
          <w:b/>
          <w:bCs/>
          <w:color w:val="auto"/>
          <w:sz w:val="32"/>
          <w:szCs w:val="32"/>
        </w:rPr>
        <w:t>编制日期：202</w:t>
      </w:r>
      <w:r>
        <w:rPr>
          <w:rFonts w:hint="default" w:ascii="Times New Roman" w:hAnsi="Times New Roman" w:cs="Times New Roman"/>
          <w:b/>
          <w:bCs/>
          <w:color w:val="auto"/>
          <w:sz w:val="32"/>
          <w:szCs w:val="32"/>
          <w:lang w:val="en-US" w:eastAsia="zh-CN"/>
        </w:rPr>
        <w:t>6</w:t>
      </w:r>
      <w:r>
        <w:rPr>
          <w:rFonts w:hint="default" w:ascii="Times New Roman" w:hAnsi="Times New Roman" w:cs="Times New Roman"/>
          <w:b/>
          <w:bCs/>
          <w:color w:val="auto"/>
          <w:sz w:val="32"/>
          <w:szCs w:val="32"/>
        </w:rPr>
        <w:t>年</w:t>
      </w:r>
      <w:r>
        <w:rPr>
          <w:rFonts w:hint="eastAsia" w:cs="Times New Roman"/>
          <w:b/>
          <w:bCs/>
          <w:color w:val="auto"/>
          <w:sz w:val="32"/>
          <w:szCs w:val="32"/>
          <w:lang w:val="en-US" w:eastAsia="zh-CN"/>
        </w:rPr>
        <w:t>8</w:t>
      </w:r>
      <w:r>
        <w:rPr>
          <w:rFonts w:hint="default" w:ascii="Times New Roman" w:hAnsi="Times New Roman" w:cs="Times New Roman"/>
          <w:b/>
          <w:bCs/>
          <w:color w:val="auto"/>
          <w:sz w:val="32"/>
          <w:szCs w:val="32"/>
        </w:rPr>
        <w:t>月</w:t>
      </w:r>
    </w:p>
    <w:p w14:paraId="4E056414">
      <w:pPr>
        <w:widowControl w:val="0"/>
        <w:adjustRightInd w:val="0"/>
        <w:snapToGrid w:val="0"/>
        <w:spacing w:line="360" w:lineRule="auto"/>
        <w:jc w:val="center"/>
        <w:rPr>
          <w:rFonts w:hint="default" w:ascii="Times New Roman" w:hAnsi="Times New Roman" w:eastAsia="宋体" w:cs="Times New Roman"/>
          <w:color w:val="auto"/>
          <w:lang w:val="en-US" w:eastAsia="zh-CN"/>
        </w:rPr>
      </w:pPr>
      <w:r>
        <w:rPr>
          <w:rFonts w:hint="default" w:ascii="Times New Roman" w:hAnsi="Times New Roman" w:cs="Times New Roman"/>
          <w:b/>
          <w:bCs/>
          <w:color w:val="auto"/>
          <w:sz w:val="32"/>
          <w:szCs w:val="32"/>
          <w:lang w:val="en-US" w:eastAsia="zh-CN"/>
        </w:rPr>
        <w:t>环境风险专项评价</w:t>
      </w:r>
    </w:p>
    <w:p w14:paraId="6E00EB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环境风险分析及评价的主要目的就是查出可导致潜在环境事故发生的诱发因素，通过控制这些事故因素出现的条件，从而最终将综合环境污染风险降到尽可能低的水平；在环境事故不可避免而突发时，则保证已有相应的环境事故应急措施，从而最终将事故导致的损失降到尽可能低的水平。环境风险分析的主要任务是进行风险因素识别，查出可导致潜在环境事故的诱发因素，估计这些事故因素出现的条件，如有可能则估计其出现的概率。风险评价的主要任务则是针对风险因素，评价这些事故因素的可控制性及事故的严重程度。事故风险应急管理的主要任务是针对环境风险因素和可能发生的事故，评估拟采用的事故应急措施，必要时提出建立相应的事故应急措施。</w:t>
      </w:r>
    </w:p>
    <w:p w14:paraId="5EB0B0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32"/>
        </w:rPr>
      </w:pPr>
    </w:p>
    <w:p w14:paraId="15CC46E6">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default" w:ascii="Times New Roman" w:hAnsi="Times New Roman" w:cs="Times New Roman"/>
          <w:b/>
          <w:color w:val="auto"/>
          <w:sz w:val="30"/>
          <w:szCs w:val="30"/>
        </w:rPr>
      </w:pPr>
      <w:bookmarkStart w:id="33" w:name="_Toc24774"/>
      <w:bookmarkStart w:id="34" w:name="_Toc672"/>
      <w:bookmarkStart w:id="35" w:name="_Toc12652"/>
      <w:bookmarkStart w:id="36" w:name="_Toc16727"/>
      <w:bookmarkStart w:id="37" w:name="_Toc20840"/>
      <w:r>
        <w:rPr>
          <w:rFonts w:hint="default" w:ascii="Times New Roman" w:hAnsi="Times New Roman" w:cs="Times New Roman"/>
          <w:b/>
          <w:color w:val="auto"/>
          <w:sz w:val="30"/>
          <w:szCs w:val="30"/>
        </w:rPr>
        <w:t>1</w:t>
      </w:r>
      <w:r>
        <w:rPr>
          <w:rFonts w:hint="eastAsia" w:ascii="Times New Roman" w:hAnsi="Times New Roman" w:cs="Times New Roman"/>
          <w:b/>
          <w:color w:val="auto"/>
          <w:sz w:val="30"/>
          <w:szCs w:val="30"/>
          <w:lang w:eastAsia="zh-CN"/>
        </w:rPr>
        <w:t>、</w:t>
      </w:r>
      <w:r>
        <w:rPr>
          <w:rFonts w:hint="default" w:ascii="Times New Roman" w:hAnsi="Times New Roman" w:cs="Times New Roman"/>
          <w:b/>
          <w:color w:val="auto"/>
          <w:sz w:val="30"/>
          <w:szCs w:val="30"/>
        </w:rPr>
        <w:t>评价原则</w:t>
      </w:r>
      <w:bookmarkEnd w:id="33"/>
      <w:bookmarkEnd w:id="34"/>
      <w:bookmarkEnd w:id="35"/>
      <w:bookmarkEnd w:id="36"/>
      <w:bookmarkEnd w:id="37"/>
    </w:p>
    <w:p w14:paraId="3A4D9C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按照《建设项目环境风险评价技术导则》（HJ169-2018）的要求，环境风险评价应以突发性事故导致的危险物质环境急性损害防控为目标，对建设项目的环境风险进行分析、预测和评估，提出环境风险预防、控制、减缓措施，明确环境风险监控及应急要求，为建设项目环境风险防控提供科学依据。</w:t>
      </w:r>
    </w:p>
    <w:p w14:paraId="66EAB3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32"/>
        </w:rPr>
      </w:pPr>
    </w:p>
    <w:p w14:paraId="3D41145A">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default" w:ascii="Times New Roman" w:hAnsi="Times New Roman" w:cs="Times New Roman"/>
          <w:b/>
          <w:color w:val="auto"/>
          <w:sz w:val="30"/>
          <w:szCs w:val="30"/>
        </w:rPr>
      </w:pPr>
      <w:bookmarkStart w:id="38" w:name="_Toc17342"/>
      <w:bookmarkStart w:id="39" w:name="_Toc26112"/>
      <w:bookmarkStart w:id="40" w:name="_Toc15264"/>
      <w:bookmarkStart w:id="41" w:name="_Toc6546"/>
      <w:r>
        <w:rPr>
          <w:rFonts w:hint="default" w:ascii="Times New Roman" w:hAnsi="Times New Roman" w:cs="Times New Roman"/>
          <w:b/>
          <w:color w:val="auto"/>
          <w:sz w:val="30"/>
          <w:szCs w:val="30"/>
        </w:rPr>
        <w:t>2</w:t>
      </w:r>
      <w:r>
        <w:rPr>
          <w:rFonts w:hint="eastAsia" w:ascii="Times New Roman" w:hAnsi="Times New Roman" w:cs="Times New Roman"/>
          <w:b/>
          <w:color w:val="auto"/>
          <w:sz w:val="30"/>
          <w:szCs w:val="30"/>
          <w:lang w:eastAsia="zh-CN"/>
        </w:rPr>
        <w:t>、</w:t>
      </w:r>
      <w:r>
        <w:rPr>
          <w:rFonts w:hint="default" w:ascii="Times New Roman" w:hAnsi="Times New Roman" w:cs="Times New Roman"/>
          <w:b/>
          <w:color w:val="auto"/>
          <w:sz w:val="30"/>
          <w:szCs w:val="30"/>
        </w:rPr>
        <w:t>评价目的及重点</w:t>
      </w:r>
      <w:bookmarkEnd w:id="38"/>
      <w:bookmarkEnd w:id="39"/>
      <w:bookmarkEnd w:id="40"/>
      <w:bookmarkEnd w:id="41"/>
    </w:p>
    <w:p w14:paraId="3933A9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32"/>
          <w:lang w:val="en-US" w:eastAsia="zh-CN"/>
        </w:rPr>
      </w:pPr>
      <w:r>
        <w:rPr>
          <w:rFonts w:hint="default" w:ascii="Times New Roman" w:hAnsi="Times New Roman" w:cs="Times New Roman"/>
          <w:color w:val="auto"/>
          <w:sz w:val="24"/>
          <w:szCs w:val="32"/>
          <w:lang w:val="en-US" w:eastAsia="zh-CN"/>
        </w:rPr>
        <w:t>环境风险是指突发性事故造成的重大环境污染的事件，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所造成的人身安全、环境影响及其损害程度，提出合理可行的防范、应急与减缓措施，以使建设项目事故率、损失和环境影响达到可接受水平。</w:t>
      </w:r>
    </w:p>
    <w:p w14:paraId="20C857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32"/>
          <w:lang w:val="en-US" w:eastAsia="zh-CN"/>
        </w:rPr>
      </w:pPr>
    </w:p>
    <w:p w14:paraId="2B4BA9D5">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default" w:ascii="Times New Roman" w:hAnsi="Times New Roman" w:cs="Times New Roman"/>
          <w:color w:val="auto"/>
        </w:rPr>
      </w:pPr>
      <w:bookmarkStart w:id="42" w:name="_Toc3954"/>
      <w:bookmarkStart w:id="43" w:name="_Toc15724"/>
      <w:bookmarkStart w:id="44" w:name="_Toc5548"/>
      <w:bookmarkStart w:id="45" w:name="_Toc27520"/>
      <w:r>
        <w:rPr>
          <w:rFonts w:hint="default" w:ascii="Times New Roman" w:hAnsi="Times New Roman" w:cs="Times New Roman"/>
          <w:b/>
          <w:color w:val="auto"/>
          <w:sz w:val="30"/>
          <w:szCs w:val="30"/>
        </w:rPr>
        <w:t>3</w:t>
      </w:r>
      <w:r>
        <w:rPr>
          <w:rFonts w:hint="eastAsia" w:ascii="Times New Roman" w:hAnsi="Times New Roman" w:cs="Times New Roman"/>
          <w:b/>
          <w:color w:val="auto"/>
          <w:sz w:val="30"/>
          <w:szCs w:val="30"/>
          <w:lang w:eastAsia="zh-CN"/>
        </w:rPr>
        <w:t>、</w:t>
      </w:r>
      <w:r>
        <w:rPr>
          <w:rFonts w:hint="default" w:ascii="Times New Roman" w:hAnsi="Times New Roman" w:cs="Times New Roman"/>
          <w:b/>
          <w:color w:val="auto"/>
          <w:sz w:val="30"/>
          <w:szCs w:val="30"/>
        </w:rPr>
        <w:t>风险评价</w:t>
      </w:r>
      <w:bookmarkEnd w:id="42"/>
      <w:bookmarkEnd w:id="43"/>
      <w:bookmarkEnd w:id="44"/>
      <w:bookmarkEnd w:id="45"/>
    </w:p>
    <w:p w14:paraId="4B647320">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bookmarkStart w:id="46" w:name="_Toc27359"/>
      <w:bookmarkStart w:id="47" w:name="_Toc1086"/>
      <w:r>
        <w:rPr>
          <w:rFonts w:hint="default" w:ascii="Times New Roman" w:hAnsi="Times New Roman" w:cs="Times New Roman"/>
          <w:b/>
          <w:color w:val="auto"/>
          <w:sz w:val="28"/>
          <w:szCs w:val="28"/>
        </w:rPr>
        <w:t>3.1风险源调查</w:t>
      </w:r>
      <w:bookmarkEnd w:id="46"/>
      <w:bookmarkEnd w:id="47"/>
    </w:p>
    <w:p w14:paraId="799015DE">
      <w:pPr>
        <w:keepNext w:val="0"/>
        <w:keepLines w:val="0"/>
        <w:pageBreakBefore w:val="0"/>
        <w:kinsoku/>
        <w:wordWrap/>
        <w:overflowPunct/>
        <w:topLinePunct w:val="0"/>
        <w:autoSpaceDE/>
        <w:autoSpaceDN/>
        <w:bidi w:val="0"/>
        <w:snapToGrid w:val="0"/>
        <w:spacing w:line="360" w:lineRule="auto"/>
        <w:ind w:firstLine="482" w:firstLineChars="200"/>
        <w:textAlignment w:val="auto"/>
        <w:rPr>
          <w:rFonts w:hint="default" w:ascii="Times New Roman" w:hAnsi="Times New Roman" w:cs="Times New Roman"/>
          <w:bCs/>
          <w:sz w:val="24"/>
          <w:szCs w:val="24"/>
        </w:rPr>
      </w:pPr>
      <w:r>
        <w:rPr>
          <w:rFonts w:hint="default" w:ascii="Times New Roman" w:hAnsi="Times New Roman" w:cs="Times New Roman"/>
          <w:b/>
          <w:bCs w:val="0"/>
          <w:sz w:val="24"/>
          <w:szCs w:val="24"/>
          <w:lang w:val="en-US" w:eastAsia="zh-CN"/>
        </w:rPr>
        <w:t>1、</w:t>
      </w:r>
      <w:r>
        <w:rPr>
          <w:rFonts w:hint="default" w:ascii="Times New Roman" w:hAnsi="Times New Roman" w:cs="Times New Roman"/>
          <w:b/>
          <w:bCs w:val="0"/>
          <w:sz w:val="24"/>
          <w:szCs w:val="24"/>
        </w:rPr>
        <w:t>环境风险调查</w:t>
      </w:r>
    </w:p>
    <w:p w14:paraId="568E94AA">
      <w:pPr>
        <w:widowControl w:val="0"/>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（1）风险物质</w:t>
      </w:r>
    </w:p>
    <w:p w14:paraId="3B7F79C0">
      <w:pPr>
        <w:widowControl w:val="0"/>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按照《建设项目环境风险评价技术导则》（HJ169-2018）中的</w:t>
      </w:r>
      <w:r>
        <w:rPr>
          <w:rFonts w:hint="eastAsia" w:ascii="Times New Roman" w:hAnsi="Times New Roman" w:cs="Times New Roman"/>
          <w:color w:val="auto"/>
          <w:sz w:val="24"/>
          <w:szCs w:val="24"/>
          <w:lang w:val="en-US" w:eastAsia="zh-CN"/>
        </w:rPr>
        <w:t>环境风险</w:t>
      </w:r>
      <w:r>
        <w:rPr>
          <w:rFonts w:hint="default" w:ascii="Times New Roman" w:hAnsi="Times New Roman" w:cs="Times New Roman"/>
          <w:color w:val="auto"/>
          <w:sz w:val="24"/>
          <w:szCs w:val="24"/>
        </w:rPr>
        <w:t>物质</w:t>
      </w:r>
      <w:r>
        <w:rPr>
          <w:rFonts w:hint="eastAsia" w:ascii="Times New Roman" w:hAnsi="Times New Roman" w:cs="Times New Roman"/>
          <w:color w:val="auto"/>
          <w:sz w:val="24"/>
          <w:szCs w:val="24"/>
          <w:lang w:val="en-US" w:eastAsia="zh-CN"/>
        </w:rPr>
        <w:t>计本项目实际涉及化学品物质情况</w:t>
      </w:r>
      <w:r>
        <w:rPr>
          <w:rFonts w:hint="default" w:ascii="Times New Roman" w:hAnsi="Times New Roman" w:cs="Times New Roman"/>
          <w:color w:val="auto"/>
          <w:sz w:val="24"/>
          <w:szCs w:val="24"/>
        </w:rPr>
        <w:t>，识别出本项目的环境风险物质。</w:t>
      </w:r>
    </w:p>
    <w:p w14:paraId="56A7AD00">
      <w:pPr>
        <w:widowControl w:val="0"/>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物质风险识别范围：</w:t>
      </w:r>
      <w:r>
        <w:rPr>
          <w:rFonts w:hint="default" w:ascii="Times New Roman" w:hAnsi="Times New Roman" w:cs="Times New Roman"/>
          <w:color w:val="auto"/>
          <w:sz w:val="24"/>
          <w:szCs w:val="24"/>
          <w:lang w:val="en-US" w:eastAsia="zh-CN"/>
        </w:rPr>
        <w:t>本项目涉及到且相对独立的单元，具体为</w:t>
      </w:r>
      <w:r>
        <w:rPr>
          <w:rFonts w:hint="eastAsia" w:ascii="Times New Roman" w:hAnsi="Times New Roman" w:cs="Times New Roman"/>
          <w:color w:val="auto"/>
          <w:sz w:val="24"/>
          <w:szCs w:val="24"/>
          <w:lang w:val="en-US" w:eastAsia="zh-CN"/>
        </w:rPr>
        <w:t>净水</w:t>
      </w:r>
      <w:r>
        <w:rPr>
          <w:rFonts w:hint="default" w:ascii="Times New Roman" w:hAnsi="Times New Roman" w:cs="Times New Roman"/>
          <w:color w:val="auto"/>
          <w:sz w:val="24"/>
          <w:szCs w:val="24"/>
          <w:lang w:val="en-US" w:eastAsia="zh-CN"/>
        </w:rPr>
        <w:t>生产</w:t>
      </w:r>
      <w:r>
        <w:rPr>
          <w:rFonts w:hint="eastAsia" w:ascii="Times New Roman" w:hAnsi="Times New Roman" w:cs="Times New Roman"/>
          <w:color w:val="auto"/>
          <w:sz w:val="24"/>
          <w:szCs w:val="24"/>
          <w:lang w:val="en-US" w:eastAsia="zh-CN"/>
        </w:rPr>
        <w:t>线</w:t>
      </w:r>
      <w:r>
        <w:rPr>
          <w:rFonts w:hint="default" w:ascii="Times New Roman" w:hAnsi="Times New Roman" w:cs="Times New Roman"/>
          <w:color w:val="auto"/>
          <w:sz w:val="24"/>
          <w:szCs w:val="24"/>
          <w:lang w:val="en-US" w:eastAsia="zh-CN"/>
        </w:rPr>
        <w:t>车间、仓库和</w:t>
      </w:r>
      <w:r>
        <w:rPr>
          <w:rFonts w:hint="eastAsia" w:ascii="Times New Roman" w:hAnsi="Times New Roman" w:cs="Times New Roman"/>
          <w:color w:val="auto"/>
          <w:sz w:val="24"/>
          <w:szCs w:val="24"/>
          <w:lang w:val="en-US" w:eastAsia="zh-CN"/>
        </w:rPr>
        <w:t>厂区</w:t>
      </w:r>
      <w:r>
        <w:rPr>
          <w:rFonts w:hint="default" w:ascii="Times New Roman" w:hAnsi="Times New Roman" w:cs="Times New Roman"/>
          <w:color w:val="auto"/>
          <w:sz w:val="24"/>
          <w:szCs w:val="24"/>
          <w:lang w:val="en-US" w:eastAsia="zh-CN"/>
        </w:rPr>
        <w:t>危废暂存库</w:t>
      </w:r>
      <w:r>
        <w:rPr>
          <w:rFonts w:hint="eastAsia" w:ascii="Times New Roman" w:hAnsi="Times New Roman" w:cs="Times New Roman"/>
          <w:color w:val="auto"/>
          <w:sz w:val="24"/>
          <w:szCs w:val="24"/>
          <w:lang w:val="en-US" w:eastAsia="zh-CN"/>
        </w:rPr>
        <w:t>单元</w:t>
      </w:r>
      <w:r>
        <w:rPr>
          <w:rFonts w:hint="default" w:ascii="Times New Roman" w:hAnsi="Times New Roman" w:cs="Times New Roman"/>
          <w:color w:val="auto"/>
          <w:sz w:val="24"/>
          <w:szCs w:val="24"/>
          <w:lang w:val="en-US" w:eastAsia="zh-CN"/>
        </w:rPr>
        <w:t>内的</w:t>
      </w:r>
      <w:r>
        <w:rPr>
          <w:rFonts w:hint="eastAsia" w:ascii="Times New Roman" w:hAnsi="Times New Roman" w:cs="Times New Roman"/>
          <w:color w:val="auto"/>
          <w:sz w:val="24"/>
          <w:szCs w:val="24"/>
          <w:lang w:val="en-US" w:eastAsia="zh-CN"/>
        </w:rPr>
        <w:t>储存和使用的</w:t>
      </w:r>
      <w:r>
        <w:rPr>
          <w:rFonts w:hint="default" w:ascii="Times New Roman" w:hAnsi="Times New Roman" w:cs="Times New Roman"/>
          <w:color w:val="auto"/>
          <w:sz w:val="24"/>
          <w:szCs w:val="24"/>
        </w:rPr>
        <w:t>主要原材料及辅助材料、中间产品、最终产品以及生产过程排放的“三废”污染物等。</w:t>
      </w:r>
    </w:p>
    <w:p w14:paraId="2C6A6E5C">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表</w:t>
      </w:r>
      <w:r>
        <w:rPr>
          <w:rFonts w:hint="default" w:ascii="Times New Roman" w:hAnsi="Times New Roman" w:cs="Times New Roman"/>
          <w:color w:val="auto"/>
          <w:sz w:val="24"/>
          <w:szCs w:val="24"/>
          <w:lang w:val="en-US" w:eastAsia="zh-CN"/>
        </w:rPr>
        <w:t xml:space="preserve">3-1 </w:t>
      </w:r>
      <w:r>
        <w:rPr>
          <w:rFonts w:hint="default" w:ascii="Times New Roman" w:hAnsi="Times New Roman" w:cs="Times New Roman"/>
          <w:color w:val="auto"/>
          <w:sz w:val="24"/>
          <w:szCs w:val="24"/>
        </w:rPr>
        <w:t xml:space="preserve"> 项目突发环境事件风险物质Q值确定表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205"/>
        <w:gridCol w:w="1532"/>
        <w:gridCol w:w="1443"/>
        <w:gridCol w:w="1793"/>
      </w:tblGrid>
      <w:tr w14:paraId="67E2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26C024E3">
            <w:pPr>
              <w:pStyle w:val="57"/>
              <w:spacing w:line="240" w:lineRule="auto"/>
              <w:ind w:firstLine="0" w:firstLineChars="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危险物质名称</w:t>
            </w:r>
          </w:p>
        </w:tc>
        <w:tc>
          <w:tcPr>
            <w:tcW w:w="1294" w:type="pct"/>
            <w:noWrap w:val="0"/>
            <w:vAlign w:val="center"/>
          </w:tcPr>
          <w:p w14:paraId="478EFF84">
            <w:pPr>
              <w:pStyle w:val="57"/>
              <w:spacing w:line="240" w:lineRule="auto"/>
              <w:ind w:firstLine="0" w:firstLineChars="0"/>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cs="Times New Roman"/>
                <w:b/>
                <w:bCs/>
                <w:color w:val="auto"/>
                <w:sz w:val="21"/>
                <w:szCs w:val="21"/>
                <w:highlight w:val="none"/>
                <w:u w:val="none" w:color="auto"/>
              </w:rPr>
              <w:t>最大存在</w:t>
            </w:r>
            <w:r>
              <w:rPr>
                <w:rFonts w:hint="eastAsia" w:ascii="Times New Roman" w:hAnsi="Times New Roman" w:cs="Times New Roman"/>
                <w:b/>
                <w:bCs/>
                <w:color w:val="auto"/>
                <w:sz w:val="21"/>
                <w:szCs w:val="21"/>
                <w:highlight w:val="none"/>
                <w:u w:val="none" w:color="auto"/>
                <w:lang w:val="en-US" w:eastAsia="zh-CN"/>
              </w:rPr>
              <w:t>/储存</w:t>
            </w:r>
            <w:r>
              <w:rPr>
                <w:rFonts w:hint="default" w:ascii="Times New Roman" w:hAnsi="Times New Roman" w:cs="Times New Roman"/>
                <w:b/>
                <w:bCs/>
                <w:color w:val="auto"/>
                <w:sz w:val="21"/>
                <w:szCs w:val="21"/>
                <w:highlight w:val="none"/>
                <w:u w:val="none" w:color="auto"/>
              </w:rPr>
              <w:t>量q</w:t>
            </w:r>
            <w:r>
              <w:rPr>
                <w:rFonts w:hint="default" w:ascii="Times New Roman" w:hAnsi="Times New Roman" w:cs="Times New Roman"/>
                <w:b/>
                <w:bCs/>
                <w:color w:val="auto"/>
                <w:sz w:val="21"/>
                <w:szCs w:val="21"/>
                <w:highlight w:val="none"/>
                <w:u w:val="none" w:color="auto"/>
                <w:vertAlign w:val="subscript"/>
              </w:rPr>
              <w:t>n</w:t>
            </w:r>
            <w:r>
              <w:rPr>
                <w:rFonts w:hint="default" w:ascii="Times New Roman" w:hAnsi="Times New Roman" w:cs="Times New Roman"/>
                <w:b/>
                <w:bCs/>
                <w:color w:val="auto"/>
                <w:sz w:val="21"/>
                <w:szCs w:val="21"/>
                <w:highlight w:val="none"/>
                <w:u w:val="none" w:color="auto"/>
              </w:rPr>
              <w:t>/t</w:t>
            </w:r>
          </w:p>
        </w:tc>
        <w:tc>
          <w:tcPr>
            <w:tcW w:w="899" w:type="pct"/>
            <w:noWrap w:val="0"/>
            <w:vAlign w:val="center"/>
          </w:tcPr>
          <w:p w14:paraId="1E8680A0">
            <w:pPr>
              <w:pStyle w:val="57"/>
              <w:spacing w:line="240" w:lineRule="auto"/>
              <w:ind w:firstLine="0" w:firstLineChars="0"/>
              <w:rPr>
                <w:rFonts w:hint="default" w:ascii="Times New Roman" w:hAnsi="Times New Roman" w:eastAsia="宋体" w:cs="Times New Roman"/>
                <w:b/>
                <w:bCs/>
                <w:color w:val="auto"/>
                <w:kern w:val="2"/>
                <w:sz w:val="21"/>
                <w:szCs w:val="21"/>
                <w:highlight w:val="none"/>
                <w:u w:val="none" w:color="auto"/>
                <w:lang w:val="en-US" w:eastAsia="zh-CN" w:bidi="ar-SA"/>
              </w:rPr>
            </w:pPr>
            <w:r>
              <w:rPr>
                <w:rFonts w:hint="default" w:ascii="Times New Roman" w:hAnsi="Times New Roman" w:cs="Times New Roman"/>
                <w:b/>
                <w:bCs/>
                <w:color w:val="auto"/>
                <w:sz w:val="21"/>
                <w:szCs w:val="21"/>
                <w:highlight w:val="none"/>
                <w:u w:val="none" w:color="auto"/>
              </w:rPr>
              <w:t>临界量Q</w:t>
            </w:r>
            <w:r>
              <w:rPr>
                <w:rFonts w:hint="default" w:ascii="Times New Roman" w:hAnsi="Times New Roman" w:cs="Times New Roman"/>
                <w:b/>
                <w:bCs/>
                <w:color w:val="auto"/>
                <w:sz w:val="21"/>
                <w:szCs w:val="21"/>
                <w:highlight w:val="none"/>
                <w:u w:val="none" w:color="auto"/>
                <w:vertAlign w:val="subscript"/>
              </w:rPr>
              <w:t>n</w:t>
            </w:r>
            <w:r>
              <w:rPr>
                <w:rFonts w:hint="default" w:ascii="Times New Roman" w:hAnsi="Times New Roman" w:cs="Times New Roman"/>
                <w:b/>
                <w:bCs/>
                <w:color w:val="auto"/>
                <w:sz w:val="21"/>
                <w:szCs w:val="21"/>
                <w:highlight w:val="none"/>
                <w:u w:val="none" w:color="auto"/>
              </w:rPr>
              <w:t>/t</w:t>
            </w:r>
          </w:p>
        </w:tc>
        <w:tc>
          <w:tcPr>
            <w:tcW w:w="846" w:type="pct"/>
            <w:noWrap w:val="0"/>
            <w:vAlign w:val="center"/>
          </w:tcPr>
          <w:p w14:paraId="13248C37">
            <w:pPr>
              <w:pStyle w:val="57"/>
              <w:spacing w:line="240" w:lineRule="auto"/>
              <w:ind w:firstLine="0" w:firstLineChars="0"/>
              <w:jc w:val="center"/>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cs="Times New Roman"/>
                <w:b/>
                <w:bCs/>
                <w:color w:val="auto"/>
                <w:sz w:val="21"/>
                <w:szCs w:val="21"/>
                <w:highlight w:val="none"/>
                <w:u w:val="none" w:color="auto"/>
                <w:lang w:val="en-US" w:eastAsia="zh-CN"/>
              </w:rPr>
              <w:t>储存位置</w:t>
            </w:r>
          </w:p>
        </w:tc>
        <w:tc>
          <w:tcPr>
            <w:tcW w:w="1052" w:type="pct"/>
            <w:noWrap w:val="0"/>
            <w:vAlign w:val="center"/>
          </w:tcPr>
          <w:p w14:paraId="7B9B0840">
            <w:pPr>
              <w:pStyle w:val="57"/>
              <w:spacing w:line="240" w:lineRule="auto"/>
              <w:ind w:firstLine="0" w:firstLineChars="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Q值q</w:t>
            </w:r>
            <w:r>
              <w:rPr>
                <w:rFonts w:hint="default" w:ascii="Times New Roman" w:hAnsi="Times New Roman" w:cs="Times New Roman"/>
                <w:b/>
                <w:bCs/>
                <w:color w:val="auto"/>
                <w:sz w:val="21"/>
                <w:szCs w:val="21"/>
                <w:highlight w:val="none"/>
                <w:u w:val="none" w:color="auto"/>
                <w:vertAlign w:val="subscript"/>
              </w:rPr>
              <w:t>n</w:t>
            </w:r>
            <w:r>
              <w:rPr>
                <w:rFonts w:hint="default" w:ascii="Times New Roman" w:hAnsi="Times New Roman" w:cs="Times New Roman"/>
                <w:b/>
                <w:bCs/>
                <w:color w:val="auto"/>
                <w:sz w:val="21"/>
                <w:szCs w:val="21"/>
                <w:highlight w:val="none"/>
                <w:u w:val="none" w:color="auto"/>
              </w:rPr>
              <w:t>/Q</w:t>
            </w:r>
            <w:r>
              <w:rPr>
                <w:rFonts w:hint="default" w:ascii="Times New Roman" w:hAnsi="Times New Roman" w:cs="Times New Roman"/>
                <w:b/>
                <w:bCs/>
                <w:color w:val="auto"/>
                <w:sz w:val="21"/>
                <w:szCs w:val="21"/>
                <w:highlight w:val="none"/>
                <w:u w:val="none" w:color="auto"/>
                <w:vertAlign w:val="subscript"/>
              </w:rPr>
              <w:t>n</w:t>
            </w:r>
          </w:p>
        </w:tc>
      </w:tr>
      <w:tr w14:paraId="6401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73A455C3">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液氯</w:t>
            </w:r>
          </w:p>
        </w:tc>
        <w:tc>
          <w:tcPr>
            <w:tcW w:w="1294" w:type="pct"/>
            <w:noWrap w:val="0"/>
            <w:vAlign w:val="center"/>
          </w:tcPr>
          <w:p w14:paraId="50EBC0AE">
            <w:pPr>
              <w:jc w:val="center"/>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15</w:t>
            </w:r>
          </w:p>
        </w:tc>
        <w:tc>
          <w:tcPr>
            <w:tcW w:w="899" w:type="pct"/>
            <w:noWrap w:val="0"/>
            <w:vAlign w:val="center"/>
          </w:tcPr>
          <w:p w14:paraId="786E6833">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1</w:t>
            </w:r>
          </w:p>
        </w:tc>
        <w:tc>
          <w:tcPr>
            <w:tcW w:w="846" w:type="pct"/>
            <w:noWrap w:val="0"/>
            <w:vAlign w:val="center"/>
          </w:tcPr>
          <w:p w14:paraId="143846C3">
            <w:pPr>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氯气专用存放</w:t>
            </w:r>
            <w:r>
              <w:rPr>
                <w:rFonts w:hint="default" w:ascii="Times New Roman" w:hAnsi="Times New Roman" w:cs="Times New Roman"/>
                <w:color w:val="auto"/>
                <w:sz w:val="21"/>
                <w:szCs w:val="21"/>
                <w:highlight w:val="none"/>
                <w:u w:val="none" w:color="auto"/>
                <w:lang w:val="en-US" w:eastAsia="zh-CN"/>
              </w:rPr>
              <w:t>区</w:t>
            </w:r>
          </w:p>
        </w:tc>
        <w:tc>
          <w:tcPr>
            <w:tcW w:w="1052" w:type="pct"/>
            <w:noWrap w:val="0"/>
            <w:vAlign w:val="center"/>
          </w:tcPr>
          <w:p w14:paraId="5E88ED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15</w:t>
            </w:r>
          </w:p>
        </w:tc>
      </w:tr>
      <w:tr w14:paraId="38E8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shd w:val="clear" w:color="auto" w:fill="auto"/>
            <w:noWrap w:val="0"/>
            <w:vAlign w:val="center"/>
          </w:tcPr>
          <w:p w14:paraId="4D4A8E9A">
            <w:pPr>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sz w:val="21"/>
                <w:szCs w:val="21"/>
                <w:highlight w:val="none"/>
                <w:u w:val="none" w:color="auto"/>
                <w:lang w:val="en-US" w:eastAsia="zh-CN"/>
              </w:rPr>
              <w:t>氯气</w:t>
            </w:r>
          </w:p>
        </w:tc>
        <w:tc>
          <w:tcPr>
            <w:tcW w:w="1294" w:type="pct"/>
            <w:shd w:val="clear" w:color="auto" w:fill="auto"/>
            <w:noWrap w:val="0"/>
            <w:vAlign w:val="center"/>
          </w:tcPr>
          <w:p w14:paraId="5D6FC710">
            <w:pPr>
              <w:jc w:val="center"/>
              <w:rPr>
                <w:rFonts w:hint="eastAsia"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cs="Times New Roman"/>
                <w:color w:val="auto"/>
                <w:sz w:val="21"/>
                <w:szCs w:val="21"/>
                <w:highlight w:val="none"/>
                <w:u w:val="none" w:color="auto"/>
                <w:vertAlign w:val="baseline"/>
                <w:lang w:val="en-US" w:eastAsia="zh-CN"/>
              </w:rPr>
              <w:t>0.0277</w:t>
            </w:r>
          </w:p>
        </w:tc>
        <w:tc>
          <w:tcPr>
            <w:tcW w:w="899" w:type="pct"/>
            <w:shd w:val="clear" w:color="auto" w:fill="auto"/>
            <w:noWrap w:val="0"/>
            <w:vAlign w:val="center"/>
          </w:tcPr>
          <w:p w14:paraId="05EF0734">
            <w:pPr>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lang w:val="en-US" w:eastAsia="zh-CN"/>
              </w:rPr>
              <w:t>1</w:t>
            </w:r>
          </w:p>
        </w:tc>
        <w:tc>
          <w:tcPr>
            <w:tcW w:w="846" w:type="pct"/>
            <w:shd w:val="clear" w:color="auto" w:fill="auto"/>
            <w:noWrap w:val="0"/>
            <w:vAlign w:val="center"/>
          </w:tcPr>
          <w:p w14:paraId="1516E2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加氯</w:t>
            </w:r>
            <w:r>
              <w:rPr>
                <w:rFonts w:hint="default" w:ascii="Times New Roman" w:hAnsi="Times New Roman" w:eastAsia="宋体" w:cs="Times New Roman"/>
                <w:b w:val="0"/>
                <w:bCs w:val="0"/>
                <w:color w:val="auto"/>
                <w:sz w:val="21"/>
                <w:szCs w:val="21"/>
                <w:highlight w:val="none"/>
                <w:u w:val="none" w:color="auto"/>
                <w:lang w:val="en-US" w:eastAsia="zh-CN"/>
              </w:rPr>
              <w:t>间</w:t>
            </w:r>
          </w:p>
          <w:p w14:paraId="1E5B897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b w:val="0"/>
                <w:bCs w:val="0"/>
                <w:color w:val="auto"/>
                <w:sz w:val="21"/>
                <w:szCs w:val="21"/>
                <w:highlight w:val="none"/>
                <w:u w:val="none" w:color="auto"/>
                <w:lang w:val="en-US" w:eastAsia="zh-CN"/>
              </w:rPr>
              <w:t>（在线量）</w:t>
            </w:r>
            <w:r>
              <w:rPr>
                <w:rFonts w:hint="default" w:ascii="Times New Roman" w:hAnsi="Times New Roman" w:cs="Times New Roman"/>
                <w:color w:val="auto"/>
                <w:sz w:val="21"/>
                <w:szCs w:val="21"/>
                <w:highlight w:val="none"/>
                <w:u w:val="none" w:color="auto"/>
                <w:vertAlign w:val="superscript"/>
                <w:lang w:val="en-US" w:eastAsia="zh-CN"/>
              </w:rPr>
              <w:t>[</w:t>
            </w:r>
            <w:r>
              <w:rPr>
                <w:rFonts w:hint="eastAsia" w:ascii="Times New Roman" w:hAnsi="Times New Roman" w:cs="Times New Roman"/>
                <w:color w:val="auto"/>
                <w:sz w:val="21"/>
                <w:szCs w:val="21"/>
                <w:highlight w:val="none"/>
                <w:u w:val="none" w:color="auto"/>
                <w:vertAlign w:val="superscript"/>
                <w:lang w:val="en-US" w:eastAsia="zh-CN"/>
              </w:rPr>
              <w:t>1</w:t>
            </w:r>
            <w:r>
              <w:rPr>
                <w:rFonts w:hint="default" w:ascii="Times New Roman" w:hAnsi="Times New Roman" w:cs="Times New Roman"/>
                <w:color w:val="auto"/>
                <w:sz w:val="21"/>
                <w:szCs w:val="21"/>
                <w:highlight w:val="none"/>
                <w:u w:val="none" w:color="auto"/>
                <w:vertAlign w:val="superscript"/>
                <w:lang w:val="en-US" w:eastAsia="zh-CN"/>
              </w:rPr>
              <w:t>]</w:t>
            </w:r>
          </w:p>
        </w:tc>
        <w:tc>
          <w:tcPr>
            <w:tcW w:w="1052" w:type="pct"/>
            <w:shd w:val="clear" w:color="auto" w:fill="auto"/>
            <w:noWrap w:val="0"/>
            <w:vAlign w:val="center"/>
          </w:tcPr>
          <w:p w14:paraId="192AD714">
            <w:pPr>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sz w:val="21"/>
                <w:szCs w:val="21"/>
                <w:highlight w:val="none"/>
                <w:u w:val="none" w:color="auto"/>
                <w:lang w:val="en-US" w:eastAsia="zh-CN"/>
              </w:rPr>
              <w:t>0.0277</w:t>
            </w:r>
          </w:p>
        </w:tc>
      </w:tr>
      <w:tr w14:paraId="0452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7B15CB14">
            <w:pPr>
              <w:jc w:val="center"/>
              <w:rPr>
                <w:rFonts w:hint="eastAsia" w:ascii="Times New Roman" w:hAnsi="Times New Roman" w:cs="Times New Roman"/>
                <w:color w:val="auto"/>
                <w:sz w:val="21"/>
                <w:szCs w:val="21"/>
                <w:highlight w:val="none"/>
                <w:u w:val="none" w:color="auto"/>
                <w:lang w:val="en-US" w:eastAsia="zh-CN"/>
              </w:rPr>
            </w:pPr>
            <w:r>
              <w:rPr>
                <w:rFonts w:hint="eastAsia"/>
                <w:lang w:val="en-US" w:eastAsia="zh-CN"/>
              </w:rPr>
              <w:t>聚合氯化铝</w:t>
            </w:r>
          </w:p>
        </w:tc>
        <w:tc>
          <w:tcPr>
            <w:tcW w:w="1294" w:type="pct"/>
            <w:noWrap w:val="0"/>
            <w:vAlign w:val="center"/>
          </w:tcPr>
          <w:p w14:paraId="1B0CEAB0">
            <w:pPr>
              <w:jc w:val="center"/>
              <w:rPr>
                <w:rFonts w:hint="default" w:ascii="Times New Roman" w:hAnsi="Times New Roman" w:cs="Times New Roman"/>
                <w:color w:val="auto"/>
                <w:sz w:val="21"/>
                <w:szCs w:val="21"/>
                <w:highlight w:val="none"/>
                <w:u w:val="none" w:color="auto"/>
                <w:vertAlign w:val="baseline"/>
                <w:lang w:val="en-US" w:eastAsia="zh-CN"/>
              </w:rPr>
            </w:pPr>
            <w:r>
              <w:rPr>
                <w:rFonts w:hint="eastAsia" w:ascii="Times New Roman" w:hAnsi="Times New Roman" w:cs="Times New Roman"/>
                <w:color w:val="auto"/>
                <w:sz w:val="21"/>
                <w:szCs w:val="21"/>
                <w:highlight w:val="none"/>
                <w:u w:val="none" w:color="auto"/>
                <w:vertAlign w:val="baseline"/>
                <w:lang w:val="en-US" w:eastAsia="zh-CN"/>
              </w:rPr>
              <w:t>110</w:t>
            </w:r>
          </w:p>
        </w:tc>
        <w:tc>
          <w:tcPr>
            <w:tcW w:w="899" w:type="pct"/>
            <w:noWrap w:val="0"/>
            <w:vAlign w:val="center"/>
          </w:tcPr>
          <w:p w14:paraId="7E6EADEE">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500</w:t>
            </w:r>
          </w:p>
        </w:tc>
        <w:tc>
          <w:tcPr>
            <w:tcW w:w="846" w:type="pct"/>
            <w:noWrap w:val="0"/>
            <w:vAlign w:val="center"/>
          </w:tcPr>
          <w:p w14:paraId="583C79FB">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净水剂储罐区</w:t>
            </w:r>
          </w:p>
        </w:tc>
        <w:tc>
          <w:tcPr>
            <w:tcW w:w="1052" w:type="pct"/>
            <w:noWrap w:val="0"/>
            <w:vAlign w:val="center"/>
          </w:tcPr>
          <w:p w14:paraId="531BF5C0">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0.22</w:t>
            </w:r>
          </w:p>
        </w:tc>
      </w:tr>
      <w:tr w14:paraId="066D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1542D246">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盐酸（37%）</w:t>
            </w:r>
          </w:p>
        </w:tc>
        <w:tc>
          <w:tcPr>
            <w:tcW w:w="1294" w:type="pct"/>
            <w:noWrap w:val="0"/>
            <w:vAlign w:val="center"/>
          </w:tcPr>
          <w:p w14:paraId="71B90436">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0.000595</w:t>
            </w:r>
          </w:p>
        </w:tc>
        <w:tc>
          <w:tcPr>
            <w:tcW w:w="899" w:type="pct"/>
            <w:noWrap w:val="0"/>
            <w:vAlign w:val="center"/>
          </w:tcPr>
          <w:p w14:paraId="0FA5F984">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7.5</w:t>
            </w:r>
          </w:p>
        </w:tc>
        <w:tc>
          <w:tcPr>
            <w:tcW w:w="846" w:type="pct"/>
            <w:vMerge w:val="restart"/>
            <w:noWrap w:val="0"/>
            <w:vAlign w:val="center"/>
          </w:tcPr>
          <w:p w14:paraId="7331606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cs="Times New Roman"/>
                <w:b w:val="0"/>
                <w:bCs/>
                <w:color w:val="auto"/>
                <w:sz w:val="21"/>
                <w:szCs w:val="21"/>
                <w:u w:val="none"/>
                <w:lang w:val="en-US" w:eastAsia="zh-CN"/>
              </w:rPr>
              <w:t>化验分析室危化品试剂</w:t>
            </w:r>
            <w:r>
              <w:rPr>
                <w:rFonts w:hint="eastAsia" w:ascii="Times New Roman" w:hAnsi="Times New Roman" w:eastAsia="宋体" w:cs="Times New Roman"/>
                <w:b w:val="0"/>
                <w:bCs/>
                <w:color w:val="auto"/>
                <w:sz w:val="21"/>
                <w:szCs w:val="21"/>
                <w:u w:val="none"/>
                <w:lang w:val="en-US" w:eastAsia="zh-CN"/>
              </w:rPr>
              <w:t>储存区</w:t>
            </w:r>
          </w:p>
        </w:tc>
        <w:tc>
          <w:tcPr>
            <w:tcW w:w="1052" w:type="pct"/>
            <w:noWrap w:val="0"/>
            <w:vAlign w:val="center"/>
          </w:tcPr>
          <w:p w14:paraId="7FFC8AEE">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0.00008</w:t>
            </w:r>
          </w:p>
        </w:tc>
      </w:tr>
      <w:tr w14:paraId="79F4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3CD410E8">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硝酸（68%）</w:t>
            </w:r>
          </w:p>
        </w:tc>
        <w:tc>
          <w:tcPr>
            <w:tcW w:w="1294" w:type="pct"/>
            <w:noWrap w:val="0"/>
            <w:vAlign w:val="center"/>
          </w:tcPr>
          <w:p w14:paraId="4A04E2A8">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0.00042</w:t>
            </w:r>
          </w:p>
        </w:tc>
        <w:tc>
          <w:tcPr>
            <w:tcW w:w="899" w:type="pct"/>
            <w:noWrap w:val="0"/>
            <w:vAlign w:val="center"/>
          </w:tcPr>
          <w:p w14:paraId="1E08B580">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7.5</w:t>
            </w:r>
          </w:p>
        </w:tc>
        <w:tc>
          <w:tcPr>
            <w:tcW w:w="846" w:type="pct"/>
            <w:vMerge w:val="continue"/>
            <w:noWrap w:val="0"/>
            <w:vAlign w:val="center"/>
          </w:tcPr>
          <w:p w14:paraId="32B338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p>
        </w:tc>
        <w:tc>
          <w:tcPr>
            <w:tcW w:w="1052" w:type="pct"/>
            <w:noWrap w:val="0"/>
            <w:vAlign w:val="center"/>
          </w:tcPr>
          <w:p w14:paraId="72875411">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0.000056</w:t>
            </w:r>
          </w:p>
        </w:tc>
      </w:tr>
      <w:tr w14:paraId="2803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62E4F102">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硫酸（98%）</w:t>
            </w:r>
          </w:p>
        </w:tc>
        <w:tc>
          <w:tcPr>
            <w:tcW w:w="1294" w:type="pct"/>
            <w:noWrap w:val="0"/>
            <w:vAlign w:val="center"/>
          </w:tcPr>
          <w:p w14:paraId="0F7ABA4F">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0.00736</w:t>
            </w:r>
          </w:p>
        </w:tc>
        <w:tc>
          <w:tcPr>
            <w:tcW w:w="899" w:type="pct"/>
            <w:noWrap w:val="0"/>
            <w:vAlign w:val="center"/>
          </w:tcPr>
          <w:p w14:paraId="26CE7993">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10</w:t>
            </w:r>
          </w:p>
        </w:tc>
        <w:tc>
          <w:tcPr>
            <w:tcW w:w="846" w:type="pct"/>
            <w:vMerge w:val="continue"/>
            <w:noWrap w:val="0"/>
            <w:vAlign w:val="center"/>
          </w:tcPr>
          <w:p w14:paraId="1535FD1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p>
        </w:tc>
        <w:tc>
          <w:tcPr>
            <w:tcW w:w="1052" w:type="pct"/>
            <w:noWrap w:val="0"/>
            <w:vAlign w:val="center"/>
          </w:tcPr>
          <w:p w14:paraId="620E9C4E">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0.000736</w:t>
            </w:r>
          </w:p>
        </w:tc>
      </w:tr>
      <w:tr w14:paraId="479E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4C4C059A">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氨水（29%）</w:t>
            </w:r>
          </w:p>
        </w:tc>
        <w:tc>
          <w:tcPr>
            <w:tcW w:w="1294" w:type="pct"/>
            <w:noWrap w:val="0"/>
            <w:vAlign w:val="center"/>
          </w:tcPr>
          <w:p w14:paraId="0C10E633">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0.00045</w:t>
            </w:r>
          </w:p>
        </w:tc>
        <w:tc>
          <w:tcPr>
            <w:tcW w:w="899" w:type="pct"/>
            <w:noWrap w:val="0"/>
            <w:vAlign w:val="center"/>
          </w:tcPr>
          <w:p w14:paraId="77510FFA">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10</w:t>
            </w:r>
          </w:p>
        </w:tc>
        <w:tc>
          <w:tcPr>
            <w:tcW w:w="846" w:type="pct"/>
            <w:vMerge w:val="continue"/>
            <w:noWrap w:val="0"/>
            <w:vAlign w:val="center"/>
          </w:tcPr>
          <w:p w14:paraId="7D11895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p>
        </w:tc>
        <w:tc>
          <w:tcPr>
            <w:tcW w:w="1052" w:type="pct"/>
            <w:noWrap w:val="0"/>
            <w:vAlign w:val="center"/>
          </w:tcPr>
          <w:p w14:paraId="29DAF9D0">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0.000045</w:t>
            </w:r>
          </w:p>
        </w:tc>
      </w:tr>
      <w:tr w14:paraId="5D0D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008300A0">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氢氧化钠（32%）</w:t>
            </w:r>
          </w:p>
        </w:tc>
        <w:tc>
          <w:tcPr>
            <w:tcW w:w="1294" w:type="pct"/>
            <w:noWrap w:val="0"/>
            <w:vAlign w:val="center"/>
          </w:tcPr>
          <w:p w14:paraId="14D0DDD7">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0.000675</w:t>
            </w:r>
          </w:p>
        </w:tc>
        <w:tc>
          <w:tcPr>
            <w:tcW w:w="899" w:type="pct"/>
            <w:noWrap w:val="0"/>
            <w:vAlign w:val="center"/>
          </w:tcPr>
          <w:p w14:paraId="02614042">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50</w:t>
            </w:r>
          </w:p>
        </w:tc>
        <w:tc>
          <w:tcPr>
            <w:tcW w:w="846" w:type="pct"/>
            <w:vMerge w:val="continue"/>
            <w:noWrap w:val="0"/>
            <w:vAlign w:val="center"/>
          </w:tcPr>
          <w:p w14:paraId="0F375B7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p>
        </w:tc>
        <w:tc>
          <w:tcPr>
            <w:tcW w:w="1052" w:type="pct"/>
            <w:noWrap w:val="0"/>
            <w:vAlign w:val="center"/>
          </w:tcPr>
          <w:p w14:paraId="4DDF8974">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0.0000135</w:t>
            </w:r>
          </w:p>
        </w:tc>
      </w:tr>
      <w:tr w14:paraId="7B905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2A5A84BE">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医用酒精消毒液（75%）</w:t>
            </w:r>
          </w:p>
        </w:tc>
        <w:tc>
          <w:tcPr>
            <w:tcW w:w="1294" w:type="pct"/>
            <w:noWrap w:val="0"/>
            <w:vAlign w:val="center"/>
          </w:tcPr>
          <w:p w14:paraId="3B796120">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0.00085</w:t>
            </w:r>
          </w:p>
        </w:tc>
        <w:tc>
          <w:tcPr>
            <w:tcW w:w="899" w:type="pct"/>
            <w:noWrap w:val="0"/>
            <w:vAlign w:val="center"/>
          </w:tcPr>
          <w:p w14:paraId="18E659D8">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500</w:t>
            </w:r>
          </w:p>
        </w:tc>
        <w:tc>
          <w:tcPr>
            <w:tcW w:w="846" w:type="pct"/>
            <w:vMerge w:val="continue"/>
            <w:noWrap w:val="0"/>
            <w:vAlign w:val="center"/>
          </w:tcPr>
          <w:p w14:paraId="46B1BF8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p>
        </w:tc>
        <w:tc>
          <w:tcPr>
            <w:tcW w:w="1052" w:type="pct"/>
            <w:noWrap w:val="0"/>
            <w:vAlign w:val="center"/>
          </w:tcPr>
          <w:p w14:paraId="0D456AF0">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0.0000017</w:t>
            </w:r>
          </w:p>
        </w:tc>
      </w:tr>
      <w:tr w14:paraId="0CD1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79F73C4C">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冰醋酸（99%）</w:t>
            </w:r>
          </w:p>
        </w:tc>
        <w:tc>
          <w:tcPr>
            <w:tcW w:w="1294" w:type="pct"/>
            <w:noWrap w:val="0"/>
            <w:vAlign w:val="center"/>
          </w:tcPr>
          <w:p w14:paraId="34A6C1F1">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0.000105</w:t>
            </w:r>
          </w:p>
        </w:tc>
        <w:tc>
          <w:tcPr>
            <w:tcW w:w="899" w:type="pct"/>
            <w:noWrap w:val="0"/>
            <w:vAlign w:val="center"/>
          </w:tcPr>
          <w:p w14:paraId="1769E2FC">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50</w:t>
            </w:r>
          </w:p>
        </w:tc>
        <w:tc>
          <w:tcPr>
            <w:tcW w:w="846" w:type="pct"/>
            <w:vMerge w:val="continue"/>
            <w:noWrap w:val="0"/>
            <w:vAlign w:val="center"/>
          </w:tcPr>
          <w:p w14:paraId="1FEEFF1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u w:val="none" w:color="auto"/>
                <w:lang w:val="en-US" w:eastAsia="zh-CN"/>
              </w:rPr>
            </w:pPr>
          </w:p>
        </w:tc>
        <w:tc>
          <w:tcPr>
            <w:tcW w:w="1052" w:type="pct"/>
            <w:noWrap w:val="0"/>
            <w:vAlign w:val="center"/>
          </w:tcPr>
          <w:p w14:paraId="430091B0">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0.0000021</w:t>
            </w:r>
          </w:p>
        </w:tc>
      </w:tr>
      <w:tr w14:paraId="704B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4891D00C">
            <w:pPr>
              <w:pStyle w:val="48"/>
              <w:keepNext w:val="0"/>
              <w:keepLines w:val="0"/>
              <w:pageBreakBefore w:val="0"/>
              <w:kinsoku/>
              <w:wordWrap/>
              <w:topLinePunct w:val="0"/>
              <w:bidi w:val="0"/>
              <w:adjustRightInd/>
              <w:spacing w:before="0" w:beforeLines="0" w:after="0" w:afterLines="0" w:line="240" w:lineRule="auto"/>
              <w:ind w:right="0" w:rightChars="0" w:firstLine="0" w:firstLineChars="0"/>
              <w:jc w:val="center"/>
              <w:textAlignment w:val="auto"/>
              <w:rPr>
                <w:rFonts w:hint="default" w:ascii="Times New Roman" w:hAnsi="Times New Roman" w:eastAsia="宋体" w:cs="Times New Roman"/>
                <w:kern w:val="0"/>
                <w:sz w:val="21"/>
                <w:szCs w:val="21"/>
                <w:u w:val="none" w:color="auto"/>
                <w:lang w:val="en-US" w:eastAsia="zh-CN" w:bidi="ar-SA"/>
              </w:rPr>
            </w:pPr>
            <w:r>
              <w:rPr>
                <w:rFonts w:hint="default" w:ascii="Times New Roman" w:hAnsi="Times New Roman" w:cs="Times New Roman"/>
                <w:sz w:val="21"/>
                <w:szCs w:val="21"/>
                <w:u w:val="none" w:color="auto"/>
                <w:lang w:val="en-US" w:eastAsia="zh-CN"/>
              </w:rPr>
              <w:t>废机油</w:t>
            </w:r>
          </w:p>
        </w:tc>
        <w:tc>
          <w:tcPr>
            <w:tcW w:w="1294" w:type="pct"/>
            <w:noWrap w:val="0"/>
            <w:vAlign w:val="center"/>
          </w:tcPr>
          <w:p w14:paraId="60C2942A">
            <w:pPr>
              <w:keepNext w:val="0"/>
              <w:keepLines w:val="0"/>
              <w:widowControl/>
              <w:suppressLineNumbers w:val="0"/>
              <w:jc w:val="center"/>
              <w:textAlignment w:val="center"/>
              <w:rPr>
                <w:rFonts w:hint="default" w:ascii="Times New Roman" w:hAnsi="Times New Roman" w:eastAsia="宋体" w:cs="Times New Roman"/>
                <w:color w:val="auto"/>
                <w:kern w:val="2"/>
                <w:sz w:val="21"/>
                <w:szCs w:val="21"/>
                <w:u w:val="none" w:color="auto"/>
                <w:lang w:val="en-US" w:eastAsia="zh-CN" w:bidi="ar-SA"/>
              </w:rPr>
            </w:pPr>
            <w:r>
              <w:rPr>
                <w:rFonts w:hint="eastAsia" w:cs="Times New Roman"/>
                <w:i w:val="0"/>
                <w:iCs w:val="0"/>
                <w:color w:val="auto"/>
                <w:kern w:val="0"/>
                <w:sz w:val="21"/>
                <w:szCs w:val="21"/>
                <w:u w:val="none" w:color="auto"/>
                <w:lang w:val="en-US" w:eastAsia="zh-CN" w:bidi="ar"/>
              </w:rPr>
              <w:t>0.1</w:t>
            </w:r>
          </w:p>
        </w:tc>
        <w:tc>
          <w:tcPr>
            <w:tcW w:w="899" w:type="pct"/>
            <w:noWrap w:val="0"/>
            <w:vAlign w:val="center"/>
          </w:tcPr>
          <w:p w14:paraId="7A2AC4E2">
            <w:pPr>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2500</w:t>
            </w:r>
          </w:p>
        </w:tc>
        <w:tc>
          <w:tcPr>
            <w:tcW w:w="846" w:type="pct"/>
            <w:vMerge w:val="restart"/>
            <w:noWrap w:val="0"/>
            <w:vAlign w:val="center"/>
          </w:tcPr>
          <w:p w14:paraId="6BF2B9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color w:val="auto"/>
                <w:sz w:val="21"/>
                <w:szCs w:val="21"/>
                <w:u w:val="none" w:color="auto"/>
                <w:lang w:val="en-US" w:eastAsia="zh-CN"/>
              </w:rPr>
              <w:t>危废暂存库</w:t>
            </w:r>
            <w:r>
              <w:rPr>
                <w:rFonts w:hint="default" w:ascii="Times New Roman" w:hAnsi="Times New Roman" w:cs="Times New Roman"/>
                <w:color w:val="auto"/>
                <w:sz w:val="21"/>
                <w:szCs w:val="21"/>
                <w:highlight w:val="none"/>
                <w:u w:val="none" w:color="auto"/>
                <w:vertAlign w:val="superscript"/>
                <w:lang w:val="en-US" w:eastAsia="zh-CN"/>
              </w:rPr>
              <w:t>[3]</w:t>
            </w:r>
          </w:p>
        </w:tc>
        <w:tc>
          <w:tcPr>
            <w:tcW w:w="1052" w:type="pct"/>
            <w:noWrap w:val="0"/>
            <w:vAlign w:val="center"/>
          </w:tcPr>
          <w:p w14:paraId="54BFB628">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0.0006</w:t>
            </w:r>
          </w:p>
        </w:tc>
      </w:tr>
      <w:tr w14:paraId="76A8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13CC2126">
            <w:pPr>
              <w:pStyle w:val="48"/>
              <w:keepNext w:val="0"/>
              <w:keepLines w:val="0"/>
              <w:pageBreakBefore w:val="0"/>
              <w:kinsoku/>
              <w:wordWrap/>
              <w:topLinePunct w:val="0"/>
              <w:bidi w:val="0"/>
              <w:adjustRightInd/>
              <w:spacing w:before="0" w:beforeLines="0" w:after="0" w:afterLines="0" w:line="240" w:lineRule="auto"/>
              <w:ind w:right="0" w:rightChars="0" w:firstLine="0" w:firstLineChars="0"/>
              <w:jc w:val="center"/>
              <w:textAlignment w:val="auto"/>
              <w:rPr>
                <w:rFonts w:hint="default" w:ascii="Times New Roman" w:hAnsi="Times New Roman" w:eastAsia="宋体" w:cs="Times New Roman"/>
                <w:kern w:val="0"/>
                <w:sz w:val="21"/>
                <w:szCs w:val="21"/>
                <w:u w:val="none" w:color="auto"/>
                <w:lang w:val="en-US" w:eastAsia="zh-CN" w:bidi="ar-SA"/>
              </w:rPr>
            </w:pPr>
            <w:r>
              <w:rPr>
                <w:rFonts w:hint="default" w:ascii="Times New Roman" w:hAnsi="Times New Roman" w:cs="Times New Roman"/>
                <w:sz w:val="21"/>
                <w:szCs w:val="21"/>
                <w:u w:val="none" w:color="auto"/>
                <w:lang w:val="en-US" w:eastAsia="zh-CN"/>
              </w:rPr>
              <w:t>含油抹布</w:t>
            </w:r>
          </w:p>
        </w:tc>
        <w:tc>
          <w:tcPr>
            <w:tcW w:w="1294" w:type="pct"/>
            <w:noWrap w:val="0"/>
            <w:vAlign w:val="center"/>
          </w:tcPr>
          <w:p w14:paraId="58D726F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u w:val="none" w:color="auto"/>
                <w:lang w:val="en-US" w:eastAsia="zh-CN" w:bidi="ar-SA"/>
              </w:rPr>
            </w:pPr>
            <w:r>
              <w:rPr>
                <w:rFonts w:hint="default" w:ascii="Times New Roman" w:hAnsi="Times New Roman" w:eastAsia="宋体" w:cs="Times New Roman"/>
                <w:i w:val="0"/>
                <w:iCs w:val="0"/>
                <w:color w:val="auto"/>
                <w:kern w:val="0"/>
                <w:sz w:val="21"/>
                <w:szCs w:val="21"/>
                <w:u w:val="none" w:color="auto"/>
                <w:lang w:val="en-US" w:eastAsia="zh-CN" w:bidi="ar"/>
              </w:rPr>
              <w:t>0.0</w:t>
            </w:r>
            <w:r>
              <w:rPr>
                <w:rFonts w:hint="eastAsia" w:cs="Times New Roman"/>
                <w:i w:val="0"/>
                <w:iCs w:val="0"/>
                <w:color w:val="auto"/>
                <w:kern w:val="0"/>
                <w:sz w:val="21"/>
                <w:szCs w:val="21"/>
                <w:u w:val="none" w:color="auto"/>
                <w:lang w:val="en-US" w:eastAsia="zh-CN" w:bidi="ar"/>
              </w:rPr>
              <w:t>0</w:t>
            </w:r>
            <w:r>
              <w:rPr>
                <w:rFonts w:hint="eastAsia" w:ascii="Times New Roman" w:hAnsi="Times New Roman" w:eastAsia="宋体" w:cs="Times New Roman"/>
                <w:i w:val="0"/>
                <w:iCs w:val="0"/>
                <w:color w:val="auto"/>
                <w:kern w:val="0"/>
                <w:sz w:val="21"/>
                <w:szCs w:val="21"/>
                <w:u w:val="none" w:color="auto"/>
                <w:lang w:val="en-US" w:eastAsia="zh-CN" w:bidi="ar"/>
              </w:rPr>
              <w:t>5</w:t>
            </w:r>
          </w:p>
        </w:tc>
        <w:tc>
          <w:tcPr>
            <w:tcW w:w="899" w:type="pct"/>
            <w:noWrap w:val="0"/>
            <w:vAlign w:val="center"/>
          </w:tcPr>
          <w:p w14:paraId="01722D64">
            <w:pPr>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50</w:t>
            </w:r>
          </w:p>
        </w:tc>
        <w:tc>
          <w:tcPr>
            <w:tcW w:w="846" w:type="pct"/>
            <w:vMerge w:val="continue"/>
            <w:noWrap w:val="0"/>
            <w:vAlign w:val="center"/>
          </w:tcPr>
          <w:p w14:paraId="4AE6DBB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yellow"/>
                <w:u w:val="none" w:color="auto"/>
                <w:lang w:val="en-US" w:eastAsia="zh-CN"/>
              </w:rPr>
            </w:pPr>
          </w:p>
        </w:tc>
        <w:tc>
          <w:tcPr>
            <w:tcW w:w="1052" w:type="pct"/>
            <w:noWrap w:val="0"/>
            <w:vAlign w:val="center"/>
          </w:tcPr>
          <w:p w14:paraId="04CDABEF">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w:t>
            </w:r>
            <w:r>
              <w:rPr>
                <w:rFonts w:hint="eastAsia" w:cs="Times New Roman"/>
                <w:color w:val="auto"/>
                <w:sz w:val="21"/>
                <w:szCs w:val="21"/>
                <w:highlight w:val="none"/>
                <w:u w:val="none" w:color="auto"/>
                <w:lang w:val="en-US" w:eastAsia="zh-CN"/>
              </w:rPr>
              <w:t>0</w:t>
            </w:r>
            <w:r>
              <w:rPr>
                <w:rFonts w:hint="eastAsia" w:ascii="Times New Roman" w:hAnsi="Times New Roman" w:cs="Times New Roman"/>
                <w:color w:val="auto"/>
                <w:sz w:val="21"/>
                <w:szCs w:val="21"/>
                <w:highlight w:val="none"/>
                <w:u w:val="none" w:color="auto"/>
                <w:lang w:val="en-US" w:eastAsia="zh-CN"/>
              </w:rPr>
              <w:t>1</w:t>
            </w:r>
          </w:p>
        </w:tc>
      </w:tr>
      <w:tr w14:paraId="7770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73F97507">
            <w:pPr>
              <w:pStyle w:val="48"/>
              <w:keepNext w:val="0"/>
              <w:keepLines w:val="0"/>
              <w:pageBreakBefore w:val="0"/>
              <w:kinsoku/>
              <w:wordWrap/>
              <w:topLinePunct w:val="0"/>
              <w:bidi w:val="0"/>
              <w:adjustRightInd/>
              <w:spacing w:before="0" w:beforeLines="0" w:after="0" w:afterLines="0" w:line="240" w:lineRule="auto"/>
              <w:ind w:right="0" w:rightChars="0" w:firstLine="0" w:firstLineChars="0"/>
              <w:jc w:val="center"/>
              <w:textAlignment w:val="auto"/>
              <w:rPr>
                <w:rFonts w:hint="default" w:ascii="Times New Roman" w:hAnsi="Times New Roman" w:cs="Times New Roman"/>
                <w:sz w:val="21"/>
                <w:szCs w:val="21"/>
                <w:u w:val="none" w:color="auto"/>
                <w:lang w:val="en-US" w:eastAsia="zh-CN"/>
              </w:rPr>
            </w:pPr>
            <w:r>
              <w:rPr>
                <w:rFonts w:hint="eastAsia" w:ascii="Times New Roman" w:hAnsi="Times New Roman" w:cs="Times New Roman"/>
                <w:sz w:val="21"/>
                <w:szCs w:val="21"/>
                <w:u w:val="none" w:color="auto"/>
                <w:lang w:val="en-US" w:eastAsia="zh-CN"/>
              </w:rPr>
              <w:t>实验室废液</w:t>
            </w:r>
          </w:p>
        </w:tc>
        <w:tc>
          <w:tcPr>
            <w:tcW w:w="1294" w:type="pct"/>
            <w:noWrap w:val="0"/>
            <w:vAlign w:val="center"/>
          </w:tcPr>
          <w:p w14:paraId="78B5BE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eastAsia" w:cs="Times New Roman"/>
                <w:i w:val="0"/>
                <w:iCs w:val="0"/>
                <w:color w:val="auto"/>
                <w:kern w:val="0"/>
                <w:sz w:val="21"/>
                <w:szCs w:val="21"/>
                <w:u w:val="none" w:color="auto"/>
                <w:lang w:val="en-US" w:eastAsia="zh-CN" w:bidi="ar"/>
              </w:rPr>
              <w:t>0.01</w:t>
            </w:r>
          </w:p>
        </w:tc>
        <w:tc>
          <w:tcPr>
            <w:tcW w:w="899" w:type="pct"/>
            <w:noWrap w:val="0"/>
            <w:vAlign w:val="center"/>
          </w:tcPr>
          <w:p w14:paraId="7ADA6E8F">
            <w:pPr>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50</w:t>
            </w:r>
          </w:p>
        </w:tc>
        <w:tc>
          <w:tcPr>
            <w:tcW w:w="846" w:type="pct"/>
            <w:vMerge w:val="continue"/>
            <w:noWrap w:val="0"/>
            <w:vAlign w:val="center"/>
          </w:tcPr>
          <w:p w14:paraId="7DC21E1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yellow"/>
                <w:u w:val="none" w:color="auto"/>
                <w:lang w:val="en-US" w:eastAsia="zh-CN"/>
              </w:rPr>
            </w:pPr>
          </w:p>
        </w:tc>
        <w:tc>
          <w:tcPr>
            <w:tcW w:w="1052" w:type="pct"/>
            <w:noWrap w:val="0"/>
            <w:vAlign w:val="center"/>
          </w:tcPr>
          <w:p w14:paraId="24B02055">
            <w:pPr>
              <w:jc w:val="center"/>
              <w:rPr>
                <w:rFonts w:hint="eastAsia"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0.0002</w:t>
            </w:r>
          </w:p>
        </w:tc>
      </w:tr>
      <w:tr w14:paraId="7DB1B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7" w:type="pct"/>
            <w:noWrap w:val="0"/>
            <w:vAlign w:val="center"/>
          </w:tcPr>
          <w:p w14:paraId="3CDAF871">
            <w:pPr>
              <w:pStyle w:val="48"/>
              <w:keepNext w:val="0"/>
              <w:keepLines w:val="0"/>
              <w:pageBreakBefore w:val="0"/>
              <w:kinsoku/>
              <w:wordWrap/>
              <w:topLinePunct w:val="0"/>
              <w:bidi w:val="0"/>
              <w:adjustRightInd/>
              <w:spacing w:before="0" w:beforeLines="0" w:after="0" w:afterLines="0" w:line="240" w:lineRule="auto"/>
              <w:ind w:right="0" w:rightChars="0" w:firstLine="0" w:firstLineChars="0"/>
              <w:jc w:val="center"/>
              <w:textAlignment w:val="auto"/>
              <w:rPr>
                <w:rFonts w:hint="default" w:ascii="Times New Roman" w:hAnsi="Times New Roman" w:eastAsia="宋体" w:cs="Times New Roman"/>
                <w:kern w:val="0"/>
                <w:sz w:val="21"/>
                <w:szCs w:val="21"/>
                <w:u w:val="none" w:color="auto"/>
                <w:lang w:val="en-US" w:eastAsia="zh-CN" w:bidi="ar-SA"/>
              </w:rPr>
            </w:pPr>
            <w:r>
              <w:rPr>
                <w:rFonts w:hint="default" w:ascii="Times New Roman" w:hAnsi="Times New Roman" w:cs="Times New Roman"/>
                <w:sz w:val="21"/>
                <w:szCs w:val="21"/>
                <w:u w:val="none" w:color="auto"/>
                <w:lang w:val="zh-CN"/>
              </w:rPr>
              <w:t>废油桶</w:t>
            </w:r>
          </w:p>
        </w:tc>
        <w:tc>
          <w:tcPr>
            <w:tcW w:w="1294" w:type="pct"/>
            <w:noWrap w:val="0"/>
            <w:vAlign w:val="center"/>
          </w:tcPr>
          <w:p w14:paraId="72BA32A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u w:val="none" w:color="auto"/>
                <w:lang w:val="en-US" w:eastAsia="zh-CN" w:bidi="ar-SA"/>
              </w:rPr>
            </w:pPr>
            <w:r>
              <w:rPr>
                <w:rFonts w:hint="eastAsia" w:ascii="Times New Roman" w:hAnsi="Times New Roman" w:eastAsia="宋体" w:cs="Times New Roman"/>
                <w:i w:val="0"/>
                <w:iCs w:val="0"/>
                <w:color w:val="auto"/>
                <w:kern w:val="0"/>
                <w:sz w:val="21"/>
                <w:szCs w:val="21"/>
                <w:u w:val="none" w:color="auto"/>
                <w:lang w:val="en-US" w:eastAsia="zh-CN" w:bidi="ar"/>
              </w:rPr>
              <w:t>0.01</w:t>
            </w:r>
          </w:p>
        </w:tc>
        <w:tc>
          <w:tcPr>
            <w:tcW w:w="899" w:type="pct"/>
            <w:noWrap w:val="0"/>
            <w:vAlign w:val="center"/>
          </w:tcPr>
          <w:p w14:paraId="6BA396BB">
            <w:pPr>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50</w:t>
            </w:r>
          </w:p>
        </w:tc>
        <w:tc>
          <w:tcPr>
            <w:tcW w:w="846" w:type="pct"/>
            <w:vMerge w:val="continue"/>
            <w:noWrap w:val="0"/>
            <w:vAlign w:val="center"/>
          </w:tcPr>
          <w:p w14:paraId="42ADA84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yellow"/>
                <w:u w:val="none" w:color="auto"/>
                <w:lang w:val="en-US" w:eastAsia="zh-CN"/>
              </w:rPr>
            </w:pPr>
          </w:p>
        </w:tc>
        <w:tc>
          <w:tcPr>
            <w:tcW w:w="1052" w:type="pct"/>
            <w:noWrap w:val="0"/>
            <w:vAlign w:val="center"/>
          </w:tcPr>
          <w:p w14:paraId="77216C9A">
            <w:pPr>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0.0002</w:t>
            </w:r>
          </w:p>
        </w:tc>
      </w:tr>
      <w:tr w14:paraId="7C2D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947" w:type="pct"/>
            <w:gridSpan w:val="4"/>
            <w:noWrap w:val="0"/>
            <w:vAlign w:val="center"/>
          </w:tcPr>
          <w:p w14:paraId="639DAEF0">
            <w:pPr>
              <w:pStyle w:val="57"/>
              <w:spacing w:line="240" w:lineRule="auto"/>
              <w:ind w:firstLine="0" w:firstLineChars="0"/>
              <w:rPr>
                <w:rFonts w:hint="default" w:ascii="Times New Roman" w:hAnsi="Times New Roman" w:eastAsia="宋体" w:cs="Times New Roman"/>
                <w:b w:val="0"/>
                <w:bCs w:val="0"/>
                <w:color w:val="auto"/>
                <w:sz w:val="21"/>
                <w:szCs w:val="21"/>
                <w:highlight w:val="yellow"/>
                <w:u w:val="none" w:color="auto"/>
                <w:lang w:val="en-US" w:eastAsia="zh-CN"/>
              </w:rPr>
            </w:pPr>
            <w:r>
              <w:rPr>
                <w:rFonts w:hint="default" w:ascii="Times New Roman" w:hAnsi="Times New Roman" w:cs="Times New Roman"/>
                <w:color w:val="auto"/>
                <w:sz w:val="21"/>
                <w:szCs w:val="21"/>
                <w:highlight w:val="none"/>
                <w:u w:val="none" w:color="auto"/>
              </w:rPr>
              <w:t>Q值∑</w:t>
            </w:r>
          </w:p>
        </w:tc>
        <w:tc>
          <w:tcPr>
            <w:tcW w:w="1052" w:type="pct"/>
            <w:noWrap w:val="0"/>
            <w:vAlign w:val="center"/>
          </w:tcPr>
          <w:p w14:paraId="452EB7AB">
            <w:pPr>
              <w:keepNext w:val="0"/>
              <w:keepLines w:val="0"/>
              <w:widowControl/>
              <w:suppressLineNumbers w:val="0"/>
              <w:jc w:val="center"/>
              <w:textAlignment w:val="center"/>
              <w:rPr>
                <w:rFonts w:hint="default" w:ascii="Times New Roman" w:hAnsi="Times New Roman" w:cs="Times New Roman"/>
                <w:color w:val="auto"/>
                <w:sz w:val="21"/>
                <w:szCs w:val="21"/>
                <w:highlight w:val="none"/>
                <w:u w:val="none" w:color="auto"/>
              </w:rPr>
            </w:pPr>
            <w:r>
              <w:rPr>
                <w:rFonts w:hint="eastAsia" w:ascii="Times New Roman" w:hAnsi="Times New Roman" w:cs="Times New Roman"/>
                <w:color w:val="auto"/>
                <w:sz w:val="21"/>
                <w:szCs w:val="21"/>
                <w:highlight w:val="none"/>
                <w:u w:val="none" w:color="auto"/>
                <w:lang w:val="en-US" w:eastAsia="zh-CN"/>
              </w:rPr>
              <w:fldChar w:fldCharType="begin"/>
            </w:r>
            <w:r>
              <w:rPr>
                <w:rFonts w:hint="eastAsia" w:ascii="Times New Roman" w:hAnsi="Times New Roman" w:cs="Times New Roman"/>
                <w:color w:val="auto"/>
                <w:sz w:val="21"/>
                <w:szCs w:val="21"/>
                <w:highlight w:val="none"/>
                <w:u w:val="none" w:color="auto"/>
                <w:lang w:val="en-US" w:eastAsia="zh-CN"/>
              </w:rPr>
              <w:instrText xml:space="preserve"> = sum(E2:E15) \* MERGEFORMAT </w:instrText>
            </w:r>
            <w:r>
              <w:rPr>
                <w:rFonts w:hint="eastAsia" w:ascii="Times New Roman" w:hAnsi="Times New Roman" w:cs="Times New Roman"/>
                <w:color w:val="auto"/>
                <w:sz w:val="21"/>
                <w:szCs w:val="21"/>
                <w:highlight w:val="none"/>
                <w:u w:val="none" w:color="auto"/>
                <w:lang w:val="en-US" w:eastAsia="zh-CN"/>
              </w:rPr>
              <w:fldChar w:fldCharType="separate"/>
            </w:r>
            <w:r>
              <w:rPr>
                <w:rFonts w:hint="eastAsia" w:ascii="Times New Roman" w:hAnsi="Times New Roman" w:cs="Times New Roman"/>
                <w:color w:val="auto"/>
                <w:sz w:val="21"/>
                <w:szCs w:val="21"/>
                <w:highlight w:val="none"/>
                <w:u w:val="none" w:color="auto"/>
                <w:lang w:val="en-US" w:eastAsia="zh-CN"/>
              </w:rPr>
              <w:t>15.2497343</w:t>
            </w:r>
            <w:r>
              <w:rPr>
                <w:rFonts w:hint="eastAsia" w:ascii="Times New Roman" w:hAnsi="Times New Roman" w:cs="Times New Roman"/>
                <w:color w:val="auto"/>
                <w:sz w:val="21"/>
                <w:szCs w:val="21"/>
                <w:highlight w:val="none"/>
                <w:u w:val="none" w:color="auto"/>
                <w:lang w:val="en-US" w:eastAsia="zh-CN"/>
              </w:rPr>
              <w:fldChar w:fldCharType="end"/>
            </w:r>
          </w:p>
        </w:tc>
      </w:tr>
      <w:tr w14:paraId="21CF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000" w:type="pct"/>
            <w:gridSpan w:val="5"/>
            <w:noWrap w:val="0"/>
            <w:vAlign w:val="center"/>
          </w:tcPr>
          <w:p w14:paraId="1866797E">
            <w:pPr>
              <w:pStyle w:val="20"/>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i w:val="0"/>
                <w:iCs w:val="0"/>
                <w:color w:val="000000"/>
                <w:kern w:val="0"/>
                <w:sz w:val="21"/>
                <w:szCs w:val="21"/>
                <w:u w:val="none" w:color="auto"/>
                <w:lang w:val="en-US" w:eastAsia="zh-CN" w:bidi="ar"/>
              </w:rPr>
            </w:pPr>
            <w:r>
              <w:rPr>
                <w:rFonts w:hint="eastAsia" w:ascii="Times New Roman" w:hAnsi="Times New Roman" w:eastAsia="宋体" w:cs="Times New Roman"/>
                <w:i w:val="0"/>
                <w:iCs w:val="0"/>
                <w:color w:val="000000"/>
                <w:kern w:val="0"/>
                <w:sz w:val="21"/>
                <w:szCs w:val="21"/>
                <w:u w:val="none" w:color="auto"/>
                <w:lang w:val="en-US" w:eastAsia="zh-CN" w:bidi="ar"/>
              </w:rPr>
              <w:t>注：</w:t>
            </w:r>
            <w:r>
              <w:rPr>
                <w:rFonts w:hint="default" w:ascii="Times New Roman" w:hAnsi="Times New Roman" w:cs="Times New Roman"/>
                <w:color w:val="auto"/>
                <w:sz w:val="21"/>
                <w:szCs w:val="21"/>
                <w:highlight w:val="none"/>
                <w:u w:val="none" w:color="auto"/>
                <w:vertAlign w:val="superscript"/>
                <w:lang w:val="en-US" w:eastAsia="zh-CN"/>
              </w:rPr>
              <w:t>[</w:t>
            </w:r>
            <w:r>
              <w:rPr>
                <w:rFonts w:hint="eastAsia" w:ascii="Times New Roman" w:hAnsi="Times New Roman" w:cs="Times New Roman"/>
                <w:color w:val="auto"/>
                <w:sz w:val="21"/>
                <w:szCs w:val="21"/>
                <w:highlight w:val="none"/>
                <w:u w:val="none" w:color="auto"/>
                <w:vertAlign w:val="superscript"/>
                <w:lang w:val="en-US" w:eastAsia="zh-CN"/>
              </w:rPr>
              <w:t>1</w:t>
            </w:r>
            <w:r>
              <w:rPr>
                <w:rFonts w:hint="default" w:ascii="Times New Roman" w:hAnsi="Times New Roman" w:cs="Times New Roman"/>
                <w:color w:val="auto"/>
                <w:sz w:val="21"/>
                <w:szCs w:val="21"/>
                <w:highlight w:val="none"/>
                <w:u w:val="none" w:color="auto"/>
                <w:vertAlign w:val="superscript"/>
                <w:lang w:val="en-US" w:eastAsia="zh-CN"/>
              </w:rPr>
              <w:t>]</w:t>
            </w:r>
            <w:r>
              <w:rPr>
                <w:rFonts w:hint="default" w:ascii="Times New Roman" w:hAnsi="Times New Roman" w:cs="Times New Roman"/>
                <w:sz w:val="21"/>
                <w:szCs w:val="21"/>
                <w:lang w:val="en-US" w:eastAsia="zh-CN"/>
              </w:rPr>
              <w:t>生产</w:t>
            </w:r>
            <w:r>
              <w:rPr>
                <w:rFonts w:hint="eastAsia" w:cs="Times New Roman"/>
                <w:sz w:val="21"/>
                <w:szCs w:val="21"/>
                <w:lang w:val="en-US" w:eastAsia="zh-CN"/>
              </w:rPr>
              <w:t>区加氯</w:t>
            </w:r>
            <w:r>
              <w:rPr>
                <w:rFonts w:hint="default" w:ascii="Times New Roman" w:hAnsi="Times New Roman" w:cs="Times New Roman"/>
                <w:sz w:val="21"/>
                <w:szCs w:val="21"/>
                <w:lang w:val="en-US" w:eastAsia="zh-CN"/>
              </w:rPr>
              <w:t>间在线量按照</w:t>
            </w:r>
            <w:r>
              <w:rPr>
                <w:rFonts w:hint="eastAsia" w:cs="Times New Roman"/>
                <w:sz w:val="21"/>
                <w:szCs w:val="21"/>
                <w:lang w:val="en-US" w:eastAsia="zh-CN"/>
              </w:rPr>
              <w:t>当天1h</w:t>
            </w:r>
            <w:r>
              <w:rPr>
                <w:rFonts w:hint="default" w:ascii="Times New Roman" w:hAnsi="Times New Roman" w:cs="Times New Roman"/>
                <w:sz w:val="21"/>
                <w:szCs w:val="21"/>
                <w:lang w:val="en-US" w:eastAsia="zh-CN"/>
              </w:rPr>
              <w:t>投加量计算</w:t>
            </w:r>
            <w:r>
              <w:rPr>
                <w:rFonts w:hint="eastAsia" w:cs="Times New Roman"/>
                <w:sz w:val="21"/>
                <w:szCs w:val="21"/>
                <w:lang w:val="en-US" w:eastAsia="zh-CN"/>
              </w:rPr>
              <w:t>：</w:t>
            </w:r>
            <w:r>
              <w:rPr>
                <w:rFonts w:hint="default" w:ascii="Times New Roman" w:hAnsi="Times New Roman" w:cs="Times New Roman"/>
                <w:color w:val="auto"/>
                <w:sz w:val="21"/>
                <w:szCs w:val="21"/>
                <w:u w:val="none" w:color="auto"/>
                <w:lang w:val="en-US" w:eastAsia="zh-CN"/>
              </w:rPr>
              <w:t>液</w:t>
            </w:r>
            <w:r>
              <w:rPr>
                <w:rFonts w:hint="eastAsia" w:cs="Times New Roman"/>
                <w:color w:val="auto"/>
                <w:sz w:val="21"/>
                <w:szCs w:val="21"/>
                <w:u w:val="none" w:color="auto"/>
                <w:lang w:val="en-US" w:eastAsia="zh-CN"/>
              </w:rPr>
              <w:t>氯经气化生成氯气与压力水混合形成氯水进行加氯过程；净水生产线采用两次加氯工艺（预加氯浓度1.0~2.5mg/L、滤后投加浓度通常为‌0.5~2.0mg/L‌‌），加氯总量一般不超过3.5mg/L（避免消毒副产物超标），则加氯间设备氯气</w:t>
            </w:r>
            <w:r>
              <w:rPr>
                <w:rFonts w:hint="default" w:ascii="Times New Roman" w:hAnsi="Times New Roman" w:cs="Times New Roman"/>
                <w:color w:val="auto"/>
                <w:sz w:val="21"/>
                <w:szCs w:val="21"/>
                <w:u w:val="none" w:color="auto"/>
                <w:lang w:val="en-US" w:eastAsia="zh-CN"/>
              </w:rPr>
              <w:t>在线量</w:t>
            </w:r>
            <w:r>
              <w:rPr>
                <w:rFonts w:hint="eastAsia" w:cs="Times New Roman"/>
                <w:color w:val="auto"/>
                <w:sz w:val="21"/>
                <w:szCs w:val="21"/>
                <w:u w:val="none" w:color="auto"/>
                <w:lang w:val="en-US" w:eastAsia="zh-CN"/>
              </w:rPr>
              <w:t>=190000m3×3.5 mg/L÷24=27.7kg</w:t>
            </w:r>
            <w:r>
              <w:rPr>
                <w:rFonts w:hint="default" w:ascii="Times New Roman" w:hAnsi="Times New Roman" w:cs="Times New Roman"/>
                <w:color w:val="auto"/>
                <w:sz w:val="21"/>
                <w:szCs w:val="21"/>
                <w:u w:val="none" w:color="auto"/>
                <w:lang w:eastAsia="zh-CN"/>
              </w:rPr>
              <w:t>，</w:t>
            </w:r>
            <w:r>
              <w:rPr>
                <w:rFonts w:hint="default" w:ascii="Times New Roman" w:hAnsi="Times New Roman" w:cs="Times New Roman"/>
                <w:color w:val="auto"/>
                <w:sz w:val="21"/>
                <w:szCs w:val="21"/>
                <w:u w:val="none" w:color="auto"/>
                <w:lang w:val="en-US" w:eastAsia="zh-CN"/>
              </w:rPr>
              <w:t>折纯为</w:t>
            </w:r>
            <w:r>
              <w:rPr>
                <w:rFonts w:hint="eastAsia" w:cs="Times New Roman"/>
                <w:color w:val="auto"/>
                <w:sz w:val="21"/>
                <w:szCs w:val="21"/>
                <w:u w:val="none" w:color="auto"/>
                <w:lang w:val="en-US" w:eastAsia="zh-CN"/>
              </w:rPr>
              <w:t>0.0277</w:t>
            </w:r>
            <w:r>
              <w:rPr>
                <w:rFonts w:hint="default" w:ascii="Times New Roman" w:hAnsi="Times New Roman" w:cs="Times New Roman"/>
                <w:color w:val="auto"/>
                <w:sz w:val="21"/>
                <w:szCs w:val="21"/>
                <w:u w:val="none" w:color="auto"/>
                <w:lang w:val="en-US" w:eastAsia="zh-CN"/>
              </w:rPr>
              <w:t>t。</w:t>
            </w:r>
          </w:p>
        </w:tc>
      </w:tr>
    </w:tbl>
    <w:p w14:paraId="58A907B8">
      <w:pPr>
        <w:rPr>
          <w:rFonts w:hint="eastAsia"/>
          <w:lang w:val="en-US" w:eastAsia="zh-CN"/>
        </w:rPr>
      </w:pPr>
    </w:p>
    <w:p w14:paraId="61D0268C">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企业涉及</w:t>
      </w:r>
      <w:r>
        <w:rPr>
          <w:rFonts w:hint="eastAsia" w:ascii="Times New Roman" w:hAnsi="Times New Roman" w:cs="Times New Roman"/>
          <w:color w:val="auto"/>
          <w:sz w:val="24"/>
          <w:szCs w:val="32"/>
          <w:lang w:val="en-US" w:eastAsia="zh-CN"/>
        </w:rPr>
        <w:t>主要</w:t>
      </w:r>
      <w:r>
        <w:rPr>
          <w:rFonts w:hint="default" w:ascii="Times New Roman" w:hAnsi="Times New Roman" w:cs="Times New Roman"/>
          <w:color w:val="auto"/>
          <w:sz w:val="24"/>
          <w:szCs w:val="32"/>
        </w:rPr>
        <w:t>环境风险物质</w:t>
      </w:r>
      <w:r>
        <w:rPr>
          <w:rFonts w:hint="default" w:ascii="Times New Roman" w:hAnsi="Times New Roman" w:cs="Times New Roman"/>
          <w:color w:val="auto"/>
          <w:sz w:val="24"/>
          <w:szCs w:val="32"/>
          <w:lang w:val="en-US" w:eastAsia="zh-CN"/>
        </w:rPr>
        <w:t>理化性质</w:t>
      </w:r>
      <w:r>
        <w:rPr>
          <w:rFonts w:hint="default" w:ascii="Times New Roman" w:hAnsi="Times New Roman" w:cs="Times New Roman"/>
          <w:color w:val="auto"/>
          <w:sz w:val="24"/>
          <w:szCs w:val="32"/>
        </w:rPr>
        <w:t>详见下</w:t>
      </w:r>
      <w:r>
        <w:rPr>
          <w:rFonts w:hint="eastAsia" w:ascii="Times New Roman" w:hAnsi="Times New Roman" w:cs="Times New Roman"/>
          <w:color w:val="auto"/>
          <w:sz w:val="24"/>
          <w:szCs w:val="32"/>
          <w:lang w:val="en-US" w:eastAsia="zh-CN"/>
        </w:rPr>
        <w:t>列</w:t>
      </w:r>
      <w:r>
        <w:rPr>
          <w:rFonts w:hint="default" w:ascii="Times New Roman" w:hAnsi="Times New Roman" w:cs="Times New Roman"/>
          <w:color w:val="auto"/>
          <w:sz w:val="24"/>
          <w:szCs w:val="32"/>
        </w:rPr>
        <w:t>表。</w:t>
      </w:r>
    </w:p>
    <w:p w14:paraId="277844D5">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bookmarkStart w:id="48" w:name="_Toc205176102"/>
      <w:r>
        <w:rPr>
          <w:rFonts w:hint="default" w:ascii="Times New Roman" w:hAnsi="Times New Roman" w:eastAsia="宋体" w:cs="Times New Roman"/>
          <w:color w:val="auto"/>
          <w:sz w:val="24"/>
          <w:szCs w:val="24"/>
        </w:rPr>
        <w:t>液</w:t>
      </w:r>
      <w:r>
        <w:rPr>
          <w:rFonts w:hint="eastAsia" w:cs="Times New Roman"/>
          <w:color w:val="auto"/>
          <w:sz w:val="24"/>
          <w:szCs w:val="24"/>
          <w:lang w:val="en-US" w:eastAsia="zh-CN"/>
        </w:rPr>
        <w:t>氯</w:t>
      </w:r>
      <w:r>
        <w:rPr>
          <w:rFonts w:hint="default" w:ascii="Times New Roman" w:hAnsi="Times New Roman" w:eastAsia="宋体" w:cs="Times New Roman"/>
          <w:color w:val="auto"/>
          <w:sz w:val="24"/>
          <w:szCs w:val="24"/>
        </w:rPr>
        <w:t>理化性质及危险特性</w:t>
      </w:r>
      <w:bookmarkEnd w:id="48"/>
      <w:r>
        <w:rPr>
          <w:rFonts w:hint="default" w:ascii="Times New Roman" w:hAnsi="Times New Roman" w:eastAsia="宋体" w:cs="Times New Roman"/>
          <w:color w:val="auto"/>
          <w:sz w:val="24"/>
          <w:szCs w:val="24"/>
        </w:rPr>
        <w:t>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
        <w:gridCol w:w="1498"/>
        <w:gridCol w:w="977"/>
        <w:gridCol w:w="327"/>
        <w:gridCol w:w="332"/>
        <w:gridCol w:w="1096"/>
        <w:gridCol w:w="895"/>
        <w:gridCol w:w="2188"/>
        <w:gridCol w:w="765"/>
      </w:tblGrid>
      <w:tr w14:paraId="0E73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59" w:type="pct"/>
            <w:vMerge w:val="restart"/>
            <w:tcBorders>
              <w:tl2br w:val="nil"/>
              <w:tr2bl w:val="nil"/>
            </w:tcBorders>
            <w:noWrap w:val="0"/>
            <w:vAlign w:val="center"/>
          </w:tcPr>
          <w:p w14:paraId="2150EC26">
            <w:pPr>
              <w:rPr>
                <w:rFonts w:hint="default" w:ascii="Times New Roman" w:hAnsi="Times New Roman" w:cs="Times New Roman"/>
                <w:sz w:val="21"/>
                <w:szCs w:val="21"/>
              </w:rPr>
            </w:pPr>
            <w:r>
              <w:rPr>
                <w:rFonts w:hint="default" w:ascii="Times New Roman" w:hAnsi="Times New Roman" w:cs="Times New Roman"/>
                <w:sz w:val="21"/>
                <w:szCs w:val="21"/>
              </w:rPr>
              <w:t>标识</w:t>
            </w:r>
          </w:p>
        </w:tc>
        <w:tc>
          <w:tcPr>
            <w:tcW w:w="3007" w:type="pct"/>
            <w:gridSpan w:val="6"/>
            <w:tcBorders>
              <w:tl2br w:val="nil"/>
              <w:tr2bl w:val="nil"/>
            </w:tcBorders>
            <w:noWrap w:val="0"/>
            <w:vAlign w:val="center"/>
          </w:tcPr>
          <w:p w14:paraId="7577289F">
            <w:pPr>
              <w:rPr>
                <w:rFonts w:hint="default" w:ascii="Times New Roman" w:hAnsi="Times New Roman" w:cs="Times New Roman"/>
                <w:sz w:val="21"/>
                <w:szCs w:val="21"/>
              </w:rPr>
            </w:pPr>
            <w:r>
              <w:rPr>
                <w:rFonts w:hint="default" w:ascii="Times New Roman" w:hAnsi="Times New Roman" w:cs="Times New Roman"/>
                <w:sz w:val="21"/>
                <w:szCs w:val="21"/>
              </w:rPr>
              <w:t>中文名：氯；液氯；氯气</w:t>
            </w:r>
          </w:p>
        </w:tc>
        <w:tc>
          <w:tcPr>
            <w:tcW w:w="1733" w:type="pct"/>
            <w:gridSpan w:val="2"/>
            <w:tcBorders>
              <w:tl2br w:val="nil"/>
              <w:tr2bl w:val="nil"/>
            </w:tcBorders>
            <w:noWrap w:val="0"/>
            <w:vAlign w:val="center"/>
          </w:tcPr>
          <w:p w14:paraId="6E1FBB2A">
            <w:pPr>
              <w:rPr>
                <w:rFonts w:hint="default" w:ascii="Times New Roman" w:hAnsi="Times New Roman" w:cs="Times New Roman"/>
                <w:sz w:val="21"/>
                <w:szCs w:val="21"/>
              </w:rPr>
            </w:pPr>
            <w:r>
              <w:rPr>
                <w:rFonts w:hint="default" w:ascii="Times New Roman" w:hAnsi="Times New Roman" w:cs="Times New Roman"/>
                <w:sz w:val="21"/>
                <w:szCs w:val="21"/>
              </w:rPr>
              <w:t>危险货物编号：23002</w:t>
            </w:r>
          </w:p>
        </w:tc>
      </w:tr>
      <w:tr w14:paraId="389F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9" w:type="pct"/>
            <w:vMerge w:val="continue"/>
            <w:tcBorders>
              <w:tl2br w:val="nil"/>
              <w:tr2bl w:val="nil"/>
            </w:tcBorders>
            <w:noWrap w:val="0"/>
            <w:vAlign w:val="center"/>
          </w:tcPr>
          <w:p w14:paraId="65D8798B">
            <w:pPr>
              <w:rPr>
                <w:rFonts w:hint="default" w:ascii="Times New Roman" w:hAnsi="Times New Roman" w:cs="Times New Roman"/>
                <w:sz w:val="21"/>
                <w:szCs w:val="21"/>
              </w:rPr>
            </w:pPr>
          </w:p>
        </w:tc>
        <w:tc>
          <w:tcPr>
            <w:tcW w:w="3007" w:type="pct"/>
            <w:gridSpan w:val="6"/>
            <w:tcBorders>
              <w:tl2br w:val="nil"/>
              <w:tr2bl w:val="nil"/>
            </w:tcBorders>
            <w:noWrap w:val="0"/>
            <w:vAlign w:val="center"/>
          </w:tcPr>
          <w:p w14:paraId="0CAD75D6">
            <w:pPr>
              <w:rPr>
                <w:rFonts w:hint="default" w:ascii="Times New Roman" w:hAnsi="Times New Roman" w:cs="Times New Roman"/>
                <w:sz w:val="21"/>
                <w:szCs w:val="21"/>
              </w:rPr>
            </w:pPr>
            <w:r>
              <w:rPr>
                <w:rFonts w:hint="default" w:ascii="Times New Roman" w:hAnsi="Times New Roman" w:cs="Times New Roman"/>
                <w:sz w:val="21"/>
                <w:szCs w:val="21"/>
              </w:rPr>
              <w:t>英文名：chlorine</w:t>
            </w:r>
          </w:p>
        </w:tc>
        <w:tc>
          <w:tcPr>
            <w:tcW w:w="1733" w:type="pct"/>
            <w:gridSpan w:val="2"/>
            <w:tcBorders>
              <w:tl2br w:val="nil"/>
              <w:tr2bl w:val="nil"/>
            </w:tcBorders>
            <w:noWrap w:val="0"/>
            <w:vAlign w:val="center"/>
          </w:tcPr>
          <w:p w14:paraId="5CA31A1D">
            <w:pPr>
              <w:rPr>
                <w:rFonts w:hint="default" w:ascii="Times New Roman" w:hAnsi="Times New Roman" w:cs="Times New Roman"/>
                <w:sz w:val="21"/>
                <w:szCs w:val="21"/>
              </w:rPr>
            </w:pPr>
            <w:r>
              <w:rPr>
                <w:rFonts w:hint="default" w:ascii="Times New Roman" w:hAnsi="Times New Roman" w:cs="Times New Roman"/>
                <w:sz w:val="21"/>
                <w:szCs w:val="21"/>
              </w:rPr>
              <w:t>UN编号：1017</w:t>
            </w:r>
          </w:p>
        </w:tc>
      </w:tr>
      <w:tr w14:paraId="5470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59" w:type="pct"/>
            <w:vMerge w:val="continue"/>
            <w:tcBorders>
              <w:tl2br w:val="nil"/>
              <w:tr2bl w:val="nil"/>
            </w:tcBorders>
            <w:noWrap w:val="0"/>
            <w:vAlign w:val="center"/>
          </w:tcPr>
          <w:p w14:paraId="36BFA04E">
            <w:pPr>
              <w:rPr>
                <w:rFonts w:hint="default" w:ascii="Times New Roman" w:hAnsi="Times New Roman" w:cs="Times New Roman"/>
                <w:sz w:val="21"/>
                <w:szCs w:val="21"/>
              </w:rPr>
            </w:pPr>
          </w:p>
        </w:tc>
        <w:tc>
          <w:tcPr>
            <w:tcW w:w="1644" w:type="pct"/>
            <w:gridSpan w:val="3"/>
            <w:tcBorders>
              <w:tl2br w:val="nil"/>
              <w:tr2bl w:val="nil"/>
            </w:tcBorders>
            <w:noWrap w:val="0"/>
            <w:vAlign w:val="center"/>
          </w:tcPr>
          <w:p w14:paraId="513F4B34">
            <w:pPr>
              <w:rPr>
                <w:rFonts w:hint="default" w:ascii="Times New Roman" w:hAnsi="Times New Roman" w:cs="Times New Roman"/>
                <w:sz w:val="21"/>
                <w:szCs w:val="21"/>
              </w:rPr>
            </w:pPr>
            <w:r>
              <w:rPr>
                <w:rFonts w:hint="default" w:ascii="Times New Roman" w:hAnsi="Times New Roman" w:cs="Times New Roman"/>
                <w:sz w:val="21"/>
                <w:szCs w:val="21"/>
              </w:rPr>
              <w:t>分子式：Cl</w:t>
            </w:r>
            <w:r>
              <w:rPr>
                <w:rFonts w:hint="default" w:ascii="Times New Roman" w:hAnsi="Times New Roman" w:cs="Times New Roman"/>
                <w:sz w:val="21"/>
                <w:szCs w:val="21"/>
                <w:vertAlign w:val="subscript"/>
              </w:rPr>
              <w:t>2</w:t>
            </w:r>
          </w:p>
        </w:tc>
        <w:tc>
          <w:tcPr>
            <w:tcW w:w="1362" w:type="pct"/>
            <w:gridSpan w:val="3"/>
            <w:tcBorders>
              <w:tl2br w:val="nil"/>
              <w:tr2bl w:val="nil"/>
            </w:tcBorders>
            <w:noWrap w:val="0"/>
            <w:vAlign w:val="center"/>
          </w:tcPr>
          <w:p w14:paraId="1E7394AF">
            <w:pPr>
              <w:rPr>
                <w:rFonts w:hint="default" w:ascii="Times New Roman" w:hAnsi="Times New Roman" w:cs="Times New Roman"/>
                <w:sz w:val="21"/>
                <w:szCs w:val="21"/>
              </w:rPr>
            </w:pPr>
            <w:r>
              <w:rPr>
                <w:rFonts w:hint="default" w:ascii="Times New Roman" w:hAnsi="Times New Roman" w:cs="Times New Roman"/>
                <w:sz w:val="21"/>
                <w:szCs w:val="21"/>
              </w:rPr>
              <w:t>分子量：70.91</w:t>
            </w:r>
          </w:p>
        </w:tc>
        <w:tc>
          <w:tcPr>
            <w:tcW w:w="1733" w:type="pct"/>
            <w:gridSpan w:val="2"/>
            <w:tcBorders>
              <w:tl2br w:val="nil"/>
              <w:tr2bl w:val="nil"/>
            </w:tcBorders>
            <w:noWrap w:val="0"/>
            <w:vAlign w:val="center"/>
          </w:tcPr>
          <w:p w14:paraId="18C4EAD5">
            <w:pPr>
              <w:rPr>
                <w:rFonts w:hint="default" w:ascii="Times New Roman" w:hAnsi="Times New Roman" w:cs="Times New Roman"/>
                <w:sz w:val="21"/>
                <w:szCs w:val="21"/>
              </w:rPr>
            </w:pPr>
            <w:r>
              <w:rPr>
                <w:rFonts w:hint="default" w:ascii="Times New Roman" w:hAnsi="Times New Roman" w:cs="Times New Roman"/>
                <w:sz w:val="21"/>
                <w:szCs w:val="21"/>
              </w:rPr>
              <w:t>CAS号：7782-50-5</w:t>
            </w:r>
          </w:p>
        </w:tc>
      </w:tr>
      <w:tr w14:paraId="450D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59" w:type="pct"/>
            <w:vMerge w:val="restart"/>
            <w:tcBorders>
              <w:tl2br w:val="nil"/>
              <w:tr2bl w:val="nil"/>
            </w:tcBorders>
            <w:noWrap w:val="0"/>
            <w:vAlign w:val="center"/>
          </w:tcPr>
          <w:p w14:paraId="10E6AB7B">
            <w:pPr>
              <w:rPr>
                <w:rFonts w:hint="default" w:ascii="Times New Roman" w:hAnsi="Times New Roman" w:cs="Times New Roman"/>
                <w:sz w:val="21"/>
                <w:szCs w:val="21"/>
              </w:rPr>
            </w:pPr>
            <w:r>
              <w:rPr>
                <w:rFonts w:hint="default" w:ascii="Times New Roman" w:hAnsi="Times New Roman" w:cs="Times New Roman"/>
                <w:sz w:val="21"/>
                <w:szCs w:val="21"/>
              </w:rPr>
              <w:t>理化性质</w:t>
            </w:r>
          </w:p>
        </w:tc>
        <w:tc>
          <w:tcPr>
            <w:tcW w:w="879" w:type="pct"/>
            <w:tcBorders>
              <w:tl2br w:val="nil"/>
              <w:tr2bl w:val="nil"/>
            </w:tcBorders>
            <w:noWrap w:val="0"/>
            <w:vAlign w:val="center"/>
          </w:tcPr>
          <w:p w14:paraId="4652E263">
            <w:pPr>
              <w:jc w:val="center"/>
              <w:rPr>
                <w:rFonts w:hint="default" w:ascii="Times New Roman" w:hAnsi="Times New Roman" w:cs="Times New Roman"/>
                <w:sz w:val="21"/>
                <w:szCs w:val="21"/>
              </w:rPr>
            </w:pPr>
            <w:r>
              <w:rPr>
                <w:rFonts w:hint="default" w:ascii="Times New Roman" w:hAnsi="Times New Roman" w:cs="Times New Roman"/>
                <w:sz w:val="21"/>
                <w:szCs w:val="21"/>
              </w:rPr>
              <w:t>外观与性状</w:t>
            </w:r>
          </w:p>
        </w:tc>
        <w:tc>
          <w:tcPr>
            <w:tcW w:w="3860" w:type="pct"/>
            <w:gridSpan w:val="7"/>
            <w:tcBorders>
              <w:tl2br w:val="nil"/>
              <w:tr2bl w:val="nil"/>
            </w:tcBorders>
            <w:noWrap w:val="0"/>
            <w:vAlign w:val="center"/>
          </w:tcPr>
          <w:p w14:paraId="7582B30A">
            <w:pPr>
              <w:rPr>
                <w:rFonts w:hint="default" w:ascii="Times New Roman" w:hAnsi="Times New Roman" w:cs="Times New Roman"/>
                <w:sz w:val="21"/>
                <w:szCs w:val="21"/>
              </w:rPr>
            </w:pPr>
            <w:r>
              <w:rPr>
                <w:rFonts w:hint="default" w:ascii="Times New Roman" w:hAnsi="Times New Roman" w:cs="Times New Roman"/>
                <w:sz w:val="21"/>
                <w:szCs w:val="21"/>
              </w:rPr>
              <w:t>黄绿色有强刺激性气味气体；液态氯为金黄色。</w:t>
            </w:r>
          </w:p>
        </w:tc>
      </w:tr>
      <w:tr w14:paraId="3B95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259" w:type="pct"/>
            <w:vMerge w:val="continue"/>
            <w:tcBorders>
              <w:tl2br w:val="nil"/>
              <w:tr2bl w:val="nil"/>
            </w:tcBorders>
            <w:noWrap w:val="0"/>
            <w:vAlign w:val="center"/>
          </w:tcPr>
          <w:p w14:paraId="745AF0DE">
            <w:pPr>
              <w:rPr>
                <w:rFonts w:hint="default" w:ascii="Times New Roman" w:hAnsi="Times New Roman" w:cs="Times New Roman"/>
                <w:sz w:val="21"/>
                <w:szCs w:val="21"/>
              </w:rPr>
            </w:pPr>
          </w:p>
        </w:tc>
        <w:tc>
          <w:tcPr>
            <w:tcW w:w="879" w:type="pct"/>
            <w:tcBorders>
              <w:tl2br w:val="nil"/>
              <w:tr2bl w:val="nil"/>
            </w:tcBorders>
            <w:noWrap w:val="0"/>
            <w:vAlign w:val="center"/>
          </w:tcPr>
          <w:p w14:paraId="274258CD">
            <w:pPr>
              <w:jc w:val="center"/>
              <w:rPr>
                <w:rFonts w:hint="default" w:ascii="Times New Roman" w:hAnsi="Times New Roman" w:cs="Times New Roman"/>
                <w:sz w:val="21"/>
                <w:szCs w:val="21"/>
              </w:rPr>
            </w:pPr>
            <w:r>
              <w:rPr>
                <w:rFonts w:hint="default" w:ascii="Times New Roman" w:hAnsi="Times New Roman" w:cs="Times New Roman"/>
                <w:sz w:val="21"/>
                <w:szCs w:val="21"/>
              </w:rPr>
              <w:t>熔点（℃）</w:t>
            </w:r>
          </w:p>
        </w:tc>
        <w:tc>
          <w:tcPr>
            <w:tcW w:w="573" w:type="pct"/>
            <w:tcBorders>
              <w:tl2br w:val="nil"/>
              <w:tr2bl w:val="nil"/>
            </w:tcBorders>
            <w:noWrap w:val="0"/>
            <w:vAlign w:val="center"/>
          </w:tcPr>
          <w:p w14:paraId="701F39C5">
            <w:pPr>
              <w:jc w:val="center"/>
              <w:rPr>
                <w:rFonts w:hint="default" w:ascii="Times New Roman" w:hAnsi="Times New Roman" w:cs="Times New Roman"/>
                <w:sz w:val="21"/>
                <w:szCs w:val="21"/>
              </w:rPr>
            </w:pPr>
            <w:r>
              <w:rPr>
                <w:rFonts w:hint="default" w:ascii="Times New Roman" w:hAnsi="Times New Roman" w:cs="Times New Roman"/>
                <w:sz w:val="21"/>
                <w:szCs w:val="21"/>
              </w:rPr>
              <w:t>-102</w:t>
            </w:r>
          </w:p>
        </w:tc>
        <w:tc>
          <w:tcPr>
            <w:tcW w:w="1030" w:type="pct"/>
            <w:gridSpan w:val="3"/>
            <w:tcBorders>
              <w:tl2br w:val="nil"/>
              <w:tr2bl w:val="nil"/>
            </w:tcBorders>
            <w:noWrap w:val="0"/>
            <w:vAlign w:val="center"/>
          </w:tcPr>
          <w:p w14:paraId="13C9C97C">
            <w:pPr>
              <w:jc w:val="center"/>
              <w:rPr>
                <w:rFonts w:hint="default" w:ascii="Times New Roman" w:hAnsi="Times New Roman" w:cs="Times New Roman"/>
                <w:sz w:val="21"/>
                <w:szCs w:val="21"/>
              </w:rPr>
            </w:pPr>
            <w:r>
              <w:rPr>
                <w:rFonts w:hint="default" w:ascii="Times New Roman" w:hAnsi="Times New Roman" w:cs="Times New Roman"/>
                <w:sz w:val="21"/>
                <w:szCs w:val="21"/>
              </w:rPr>
              <w:t>相对密度(水=1)</w:t>
            </w:r>
          </w:p>
        </w:tc>
        <w:tc>
          <w:tcPr>
            <w:tcW w:w="522" w:type="pct"/>
            <w:tcBorders>
              <w:tl2br w:val="nil"/>
              <w:tr2bl w:val="nil"/>
            </w:tcBorders>
            <w:noWrap w:val="0"/>
            <w:vAlign w:val="center"/>
          </w:tcPr>
          <w:p w14:paraId="435449E7">
            <w:pPr>
              <w:jc w:val="center"/>
              <w:rPr>
                <w:rFonts w:hint="default" w:ascii="Times New Roman" w:hAnsi="Times New Roman" w:cs="Times New Roman"/>
                <w:sz w:val="21"/>
                <w:szCs w:val="21"/>
              </w:rPr>
            </w:pPr>
            <w:r>
              <w:rPr>
                <w:rFonts w:hint="default" w:ascii="Times New Roman" w:hAnsi="Times New Roman" w:cs="Times New Roman"/>
                <w:sz w:val="21"/>
                <w:szCs w:val="21"/>
              </w:rPr>
              <w:t>3.214</w:t>
            </w:r>
          </w:p>
        </w:tc>
        <w:tc>
          <w:tcPr>
            <w:tcW w:w="1284" w:type="pct"/>
            <w:tcBorders>
              <w:tl2br w:val="nil"/>
              <w:tr2bl w:val="nil"/>
            </w:tcBorders>
            <w:noWrap w:val="0"/>
            <w:vAlign w:val="center"/>
          </w:tcPr>
          <w:p w14:paraId="09BD69E9">
            <w:pPr>
              <w:jc w:val="center"/>
              <w:rPr>
                <w:rFonts w:hint="default" w:ascii="Times New Roman" w:hAnsi="Times New Roman" w:cs="Times New Roman"/>
                <w:sz w:val="21"/>
                <w:szCs w:val="21"/>
              </w:rPr>
            </w:pPr>
            <w:r>
              <w:rPr>
                <w:rFonts w:hint="default" w:ascii="Times New Roman" w:hAnsi="Times New Roman" w:cs="Times New Roman"/>
                <w:sz w:val="21"/>
                <w:szCs w:val="21"/>
              </w:rPr>
              <w:t>相对密度(空气=1)</w:t>
            </w:r>
          </w:p>
        </w:tc>
        <w:tc>
          <w:tcPr>
            <w:tcW w:w="448" w:type="pct"/>
            <w:tcBorders>
              <w:tl2br w:val="nil"/>
              <w:tr2bl w:val="nil"/>
            </w:tcBorders>
            <w:noWrap w:val="0"/>
            <w:vAlign w:val="center"/>
          </w:tcPr>
          <w:p w14:paraId="2A417462">
            <w:pPr>
              <w:jc w:val="center"/>
              <w:rPr>
                <w:rFonts w:hint="default" w:ascii="Times New Roman" w:hAnsi="Times New Roman" w:cs="Times New Roman"/>
                <w:sz w:val="21"/>
                <w:szCs w:val="21"/>
              </w:rPr>
            </w:pPr>
            <w:r>
              <w:rPr>
                <w:rFonts w:hint="default" w:ascii="Times New Roman" w:hAnsi="Times New Roman" w:cs="Times New Roman"/>
                <w:sz w:val="21"/>
                <w:szCs w:val="21"/>
              </w:rPr>
              <w:t>2.49</w:t>
            </w:r>
          </w:p>
        </w:tc>
      </w:tr>
      <w:tr w14:paraId="1437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259" w:type="pct"/>
            <w:vMerge w:val="continue"/>
            <w:tcBorders>
              <w:tl2br w:val="nil"/>
              <w:tr2bl w:val="nil"/>
            </w:tcBorders>
            <w:noWrap w:val="0"/>
            <w:vAlign w:val="center"/>
          </w:tcPr>
          <w:p w14:paraId="1FFED5C4">
            <w:pPr>
              <w:rPr>
                <w:rFonts w:hint="default" w:ascii="Times New Roman" w:hAnsi="Times New Roman" w:cs="Times New Roman"/>
                <w:sz w:val="21"/>
                <w:szCs w:val="21"/>
              </w:rPr>
            </w:pPr>
          </w:p>
        </w:tc>
        <w:tc>
          <w:tcPr>
            <w:tcW w:w="879" w:type="pct"/>
            <w:tcBorders>
              <w:tl2br w:val="nil"/>
              <w:tr2bl w:val="nil"/>
            </w:tcBorders>
            <w:noWrap w:val="0"/>
            <w:vAlign w:val="center"/>
          </w:tcPr>
          <w:p w14:paraId="2E6DB583">
            <w:pPr>
              <w:jc w:val="center"/>
              <w:rPr>
                <w:rFonts w:hint="default" w:ascii="Times New Roman" w:hAnsi="Times New Roman" w:cs="Times New Roman"/>
                <w:sz w:val="21"/>
                <w:szCs w:val="21"/>
              </w:rPr>
            </w:pPr>
            <w:r>
              <w:rPr>
                <w:rFonts w:hint="default" w:ascii="Times New Roman" w:hAnsi="Times New Roman" w:cs="Times New Roman"/>
                <w:sz w:val="21"/>
                <w:szCs w:val="21"/>
              </w:rPr>
              <w:t>沸点（℃）</w:t>
            </w:r>
          </w:p>
        </w:tc>
        <w:tc>
          <w:tcPr>
            <w:tcW w:w="573" w:type="pct"/>
            <w:tcBorders>
              <w:tl2br w:val="nil"/>
              <w:tr2bl w:val="nil"/>
            </w:tcBorders>
            <w:noWrap w:val="0"/>
            <w:vAlign w:val="center"/>
          </w:tcPr>
          <w:p w14:paraId="5FA5311F">
            <w:pPr>
              <w:jc w:val="center"/>
              <w:rPr>
                <w:rFonts w:hint="default" w:ascii="Times New Roman" w:hAnsi="Times New Roman" w:cs="Times New Roman"/>
                <w:sz w:val="21"/>
                <w:szCs w:val="21"/>
              </w:rPr>
            </w:pPr>
            <w:r>
              <w:rPr>
                <w:rFonts w:hint="default" w:ascii="Times New Roman" w:hAnsi="Times New Roman" w:cs="Times New Roman"/>
                <w:sz w:val="21"/>
                <w:szCs w:val="21"/>
              </w:rPr>
              <w:t>-34.6</w:t>
            </w:r>
          </w:p>
        </w:tc>
        <w:tc>
          <w:tcPr>
            <w:tcW w:w="1553" w:type="pct"/>
            <w:gridSpan w:val="4"/>
            <w:tcBorders>
              <w:tl2br w:val="nil"/>
              <w:tr2bl w:val="nil"/>
            </w:tcBorders>
            <w:noWrap w:val="0"/>
            <w:vAlign w:val="center"/>
          </w:tcPr>
          <w:p w14:paraId="4F1D744C">
            <w:pPr>
              <w:jc w:val="center"/>
              <w:rPr>
                <w:rFonts w:hint="default" w:ascii="Times New Roman" w:hAnsi="Times New Roman" w:cs="Times New Roman"/>
                <w:sz w:val="21"/>
                <w:szCs w:val="21"/>
              </w:rPr>
            </w:pPr>
            <w:r>
              <w:rPr>
                <w:rFonts w:hint="default" w:ascii="Times New Roman" w:hAnsi="Times New Roman" w:cs="Times New Roman"/>
                <w:sz w:val="21"/>
                <w:szCs w:val="21"/>
              </w:rPr>
              <w:t>饱和蒸气压（kPa）</w:t>
            </w:r>
          </w:p>
        </w:tc>
        <w:tc>
          <w:tcPr>
            <w:tcW w:w="1733" w:type="pct"/>
            <w:gridSpan w:val="2"/>
            <w:tcBorders>
              <w:tl2br w:val="nil"/>
              <w:tr2bl w:val="nil"/>
            </w:tcBorders>
            <w:noWrap w:val="0"/>
            <w:vAlign w:val="center"/>
          </w:tcPr>
          <w:p w14:paraId="515E7034">
            <w:pPr>
              <w:jc w:val="center"/>
              <w:rPr>
                <w:rFonts w:hint="default" w:ascii="Times New Roman" w:hAnsi="Times New Roman" w:cs="Times New Roman"/>
                <w:sz w:val="21"/>
                <w:szCs w:val="21"/>
              </w:rPr>
            </w:pPr>
            <w:r>
              <w:rPr>
                <w:rFonts w:hint="default" w:ascii="Times New Roman" w:hAnsi="Times New Roman" w:cs="Times New Roman"/>
                <w:sz w:val="21"/>
                <w:szCs w:val="21"/>
              </w:rPr>
              <w:t>640/20℃</w:t>
            </w:r>
          </w:p>
        </w:tc>
      </w:tr>
      <w:tr w14:paraId="1E2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59" w:type="pct"/>
            <w:vMerge w:val="continue"/>
            <w:tcBorders>
              <w:tl2br w:val="nil"/>
              <w:tr2bl w:val="nil"/>
            </w:tcBorders>
            <w:noWrap w:val="0"/>
            <w:vAlign w:val="center"/>
          </w:tcPr>
          <w:p w14:paraId="000FCE6D">
            <w:pPr>
              <w:rPr>
                <w:rFonts w:hint="default" w:ascii="Times New Roman" w:hAnsi="Times New Roman" w:cs="Times New Roman"/>
                <w:sz w:val="21"/>
                <w:szCs w:val="21"/>
              </w:rPr>
            </w:pPr>
          </w:p>
        </w:tc>
        <w:tc>
          <w:tcPr>
            <w:tcW w:w="879" w:type="pct"/>
            <w:tcBorders>
              <w:tl2br w:val="nil"/>
              <w:tr2bl w:val="nil"/>
            </w:tcBorders>
            <w:noWrap w:val="0"/>
            <w:vAlign w:val="center"/>
          </w:tcPr>
          <w:p w14:paraId="4D091F1E">
            <w:pPr>
              <w:jc w:val="center"/>
              <w:rPr>
                <w:rFonts w:hint="default" w:ascii="Times New Roman" w:hAnsi="Times New Roman" w:cs="Times New Roman"/>
                <w:sz w:val="21"/>
                <w:szCs w:val="21"/>
              </w:rPr>
            </w:pPr>
            <w:r>
              <w:rPr>
                <w:rFonts w:hint="default" w:ascii="Times New Roman" w:hAnsi="Times New Roman" w:cs="Times New Roman"/>
                <w:sz w:val="21"/>
                <w:szCs w:val="21"/>
              </w:rPr>
              <w:t>溶解性</w:t>
            </w:r>
          </w:p>
        </w:tc>
        <w:tc>
          <w:tcPr>
            <w:tcW w:w="3860" w:type="pct"/>
            <w:gridSpan w:val="7"/>
            <w:tcBorders>
              <w:tl2br w:val="nil"/>
              <w:tr2bl w:val="nil"/>
            </w:tcBorders>
            <w:noWrap w:val="0"/>
            <w:vAlign w:val="center"/>
          </w:tcPr>
          <w:p w14:paraId="04382288">
            <w:pPr>
              <w:rPr>
                <w:rFonts w:hint="default" w:ascii="Times New Roman" w:hAnsi="Times New Roman" w:cs="Times New Roman"/>
                <w:sz w:val="21"/>
                <w:szCs w:val="21"/>
              </w:rPr>
            </w:pPr>
            <w:r>
              <w:rPr>
                <w:rFonts w:hint="default" w:ascii="Times New Roman" w:hAnsi="Times New Roman" w:cs="Times New Roman"/>
                <w:sz w:val="21"/>
                <w:szCs w:val="21"/>
              </w:rPr>
              <w:t>溶于水、碱液。</w:t>
            </w:r>
          </w:p>
        </w:tc>
      </w:tr>
      <w:tr w14:paraId="0B6D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259" w:type="pct"/>
            <w:vMerge w:val="restart"/>
            <w:tcBorders>
              <w:tl2br w:val="nil"/>
              <w:tr2bl w:val="nil"/>
            </w:tcBorders>
            <w:noWrap w:val="0"/>
            <w:vAlign w:val="center"/>
          </w:tcPr>
          <w:p w14:paraId="324DB38A">
            <w:pPr>
              <w:rPr>
                <w:rFonts w:hint="default" w:ascii="Times New Roman" w:hAnsi="Times New Roman" w:cs="Times New Roman"/>
                <w:sz w:val="21"/>
                <w:szCs w:val="21"/>
              </w:rPr>
            </w:pPr>
            <w:r>
              <w:rPr>
                <w:rFonts w:hint="default" w:ascii="Times New Roman" w:hAnsi="Times New Roman" w:cs="Times New Roman"/>
                <w:sz w:val="21"/>
                <w:szCs w:val="21"/>
              </w:rPr>
              <w:t>毒性及健康危害</w:t>
            </w:r>
          </w:p>
        </w:tc>
        <w:tc>
          <w:tcPr>
            <w:tcW w:w="879" w:type="pct"/>
            <w:tcBorders>
              <w:tl2br w:val="nil"/>
              <w:tr2bl w:val="nil"/>
            </w:tcBorders>
            <w:noWrap w:val="0"/>
            <w:vAlign w:val="center"/>
          </w:tcPr>
          <w:p w14:paraId="3E50C757">
            <w:pPr>
              <w:jc w:val="center"/>
              <w:rPr>
                <w:rFonts w:hint="default" w:ascii="Times New Roman" w:hAnsi="Times New Roman" w:cs="Times New Roman"/>
                <w:sz w:val="21"/>
                <w:szCs w:val="21"/>
              </w:rPr>
            </w:pPr>
            <w:r>
              <w:rPr>
                <w:rFonts w:hint="default" w:ascii="Times New Roman" w:hAnsi="Times New Roman" w:cs="Times New Roman"/>
                <w:sz w:val="21"/>
                <w:szCs w:val="21"/>
              </w:rPr>
              <w:t>接触限值</w:t>
            </w:r>
          </w:p>
        </w:tc>
        <w:tc>
          <w:tcPr>
            <w:tcW w:w="2127" w:type="pct"/>
            <w:gridSpan w:val="5"/>
            <w:tcBorders>
              <w:tl2br w:val="nil"/>
              <w:tr2bl w:val="nil"/>
            </w:tcBorders>
            <w:noWrap w:val="0"/>
            <w:vAlign w:val="center"/>
          </w:tcPr>
          <w:p w14:paraId="35FAC4BE">
            <w:pPr>
              <w:jc w:val="center"/>
              <w:rPr>
                <w:rFonts w:hint="default" w:ascii="Times New Roman" w:hAnsi="Times New Roman" w:cs="Times New Roman"/>
                <w:sz w:val="21"/>
                <w:szCs w:val="21"/>
              </w:rPr>
            </w:pPr>
            <w:r>
              <w:rPr>
                <w:rFonts w:hint="default" w:ascii="Times New Roman" w:hAnsi="Times New Roman" w:cs="Times New Roman"/>
                <w:sz w:val="21"/>
                <w:szCs w:val="21"/>
              </w:rPr>
              <w:t>MAC(mg/m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p>
        </w:tc>
        <w:tc>
          <w:tcPr>
            <w:tcW w:w="1733" w:type="pct"/>
            <w:gridSpan w:val="2"/>
            <w:tcBorders>
              <w:tl2br w:val="nil"/>
              <w:tr2bl w:val="nil"/>
            </w:tcBorders>
            <w:noWrap w:val="0"/>
            <w:vAlign w:val="center"/>
          </w:tcPr>
          <w:p w14:paraId="74D7E6B7">
            <w:pPr>
              <w:jc w:val="center"/>
              <w:rPr>
                <w:rFonts w:hint="default" w:ascii="Times New Roman" w:hAnsi="Times New Roman" w:cs="Times New Roman"/>
                <w:sz w:val="21"/>
                <w:szCs w:val="21"/>
              </w:rPr>
            </w:pPr>
            <w:r>
              <w:rPr>
                <w:rFonts w:hint="default" w:ascii="Times New Roman" w:hAnsi="Times New Roman" w:cs="Times New Roman"/>
                <w:sz w:val="21"/>
                <w:szCs w:val="21"/>
              </w:rPr>
              <w:t>1</w:t>
            </w:r>
          </w:p>
        </w:tc>
      </w:tr>
      <w:tr w14:paraId="5018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59" w:type="pct"/>
            <w:vMerge w:val="continue"/>
            <w:tcBorders>
              <w:tl2br w:val="nil"/>
              <w:tr2bl w:val="nil"/>
            </w:tcBorders>
            <w:noWrap w:val="0"/>
            <w:vAlign w:val="center"/>
          </w:tcPr>
          <w:p w14:paraId="3E27F8E7">
            <w:pPr>
              <w:rPr>
                <w:rFonts w:hint="default" w:ascii="Times New Roman" w:hAnsi="Times New Roman" w:cs="Times New Roman"/>
                <w:sz w:val="21"/>
                <w:szCs w:val="21"/>
              </w:rPr>
            </w:pPr>
          </w:p>
        </w:tc>
        <w:tc>
          <w:tcPr>
            <w:tcW w:w="879" w:type="pct"/>
            <w:tcBorders>
              <w:tl2br w:val="nil"/>
              <w:tr2bl w:val="nil"/>
            </w:tcBorders>
            <w:noWrap w:val="0"/>
            <w:vAlign w:val="center"/>
          </w:tcPr>
          <w:p w14:paraId="20A8361A">
            <w:pPr>
              <w:jc w:val="center"/>
              <w:rPr>
                <w:rFonts w:hint="default" w:ascii="Times New Roman" w:hAnsi="Times New Roman" w:cs="Times New Roman"/>
                <w:sz w:val="21"/>
                <w:szCs w:val="21"/>
              </w:rPr>
            </w:pPr>
            <w:r>
              <w:rPr>
                <w:rFonts w:hint="default" w:ascii="Times New Roman" w:hAnsi="Times New Roman" w:cs="Times New Roman"/>
                <w:sz w:val="21"/>
                <w:szCs w:val="21"/>
              </w:rPr>
              <w:t>侵入途径</w:t>
            </w:r>
          </w:p>
        </w:tc>
        <w:tc>
          <w:tcPr>
            <w:tcW w:w="3860" w:type="pct"/>
            <w:gridSpan w:val="7"/>
            <w:tcBorders>
              <w:tl2br w:val="nil"/>
              <w:tr2bl w:val="nil"/>
            </w:tcBorders>
            <w:noWrap w:val="0"/>
            <w:vAlign w:val="center"/>
          </w:tcPr>
          <w:p w14:paraId="26E91724">
            <w:pPr>
              <w:rPr>
                <w:rFonts w:hint="default" w:ascii="Times New Roman" w:hAnsi="Times New Roman" w:cs="Times New Roman"/>
                <w:sz w:val="21"/>
                <w:szCs w:val="21"/>
              </w:rPr>
            </w:pPr>
            <w:r>
              <w:rPr>
                <w:rFonts w:hint="default" w:ascii="Times New Roman" w:hAnsi="Times New Roman" w:cs="Times New Roman"/>
                <w:sz w:val="21"/>
                <w:szCs w:val="21"/>
              </w:rPr>
              <w:t>吸入。</w:t>
            </w:r>
          </w:p>
        </w:tc>
      </w:tr>
      <w:tr w14:paraId="532D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59" w:type="pct"/>
            <w:vMerge w:val="continue"/>
            <w:tcBorders>
              <w:tl2br w:val="nil"/>
              <w:tr2bl w:val="nil"/>
            </w:tcBorders>
            <w:noWrap w:val="0"/>
            <w:vAlign w:val="center"/>
          </w:tcPr>
          <w:p w14:paraId="64C4198F">
            <w:pPr>
              <w:rPr>
                <w:rFonts w:hint="default" w:ascii="Times New Roman" w:hAnsi="Times New Roman" w:cs="Times New Roman"/>
                <w:sz w:val="21"/>
                <w:szCs w:val="21"/>
              </w:rPr>
            </w:pPr>
          </w:p>
        </w:tc>
        <w:tc>
          <w:tcPr>
            <w:tcW w:w="879" w:type="pct"/>
            <w:tcBorders>
              <w:tl2br w:val="nil"/>
              <w:tr2bl w:val="nil"/>
            </w:tcBorders>
            <w:noWrap w:val="0"/>
            <w:vAlign w:val="center"/>
          </w:tcPr>
          <w:p w14:paraId="195842EC">
            <w:pPr>
              <w:jc w:val="center"/>
              <w:rPr>
                <w:rFonts w:hint="default" w:ascii="Times New Roman" w:hAnsi="Times New Roman" w:cs="Times New Roman"/>
                <w:sz w:val="21"/>
                <w:szCs w:val="21"/>
              </w:rPr>
            </w:pPr>
            <w:r>
              <w:rPr>
                <w:rFonts w:hint="default" w:ascii="Times New Roman" w:hAnsi="Times New Roman" w:cs="Times New Roman"/>
                <w:sz w:val="21"/>
                <w:szCs w:val="21"/>
              </w:rPr>
              <w:t>毒性</w:t>
            </w:r>
          </w:p>
        </w:tc>
        <w:tc>
          <w:tcPr>
            <w:tcW w:w="3860" w:type="pct"/>
            <w:gridSpan w:val="7"/>
            <w:tcBorders>
              <w:tl2br w:val="nil"/>
              <w:tr2bl w:val="nil"/>
            </w:tcBorders>
            <w:noWrap w:val="0"/>
            <w:vAlign w:val="center"/>
          </w:tcPr>
          <w:p w14:paraId="1D8012E1">
            <w:pPr>
              <w:rPr>
                <w:rFonts w:hint="default" w:ascii="Times New Roman" w:hAnsi="Times New Roman" w:cs="Times New Roman"/>
                <w:sz w:val="21"/>
                <w:szCs w:val="21"/>
              </w:rPr>
            </w:pPr>
            <w:r>
              <w:rPr>
                <w:rFonts w:hint="default" w:ascii="Times New Roman" w:hAnsi="Times New Roman" w:cs="Times New Roman"/>
                <w:sz w:val="21"/>
                <w:szCs w:val="21"/>
              </w:rPr>
              <w:t>LC</w:t>
            </w:r>
            <w:r>
              <w:rPr>
                <w:rFonts w:hint="default" w:ascii="Times New Roman" w:hAnsi="Times New Roman" w:cs="Times New Roman"/>
                <w:sz w:val="21"/>
                <w:szCs w:val="21"/>
                <w:vertAlign w:val="subscript"/>
              </w:rPr>
              <w:t>50</w:t>
            </w:r>
            <w:r>
              <w:rPr>
                <w:rFonts w:hint="default" w:ascii="Times New Roman" w:hAnsi="Times New Roman" w:cs="Times New Roman"/>
                <w:sz w:val="21"/>
                <w:szCs w:val="21"/>
              </w:rPr>
              <w:t>：850 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 xml:space="preserve"> ，1小时(大鼠吸入)</w:t>
            </w:r>
          </w:p>
        </w:tc>
      </w:tr>
      <w:tr w14:paraId="761B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2" w:hRule="atLeast"/>
          <w:jc w:val="center"/>
        </w:trPr>
        <w:tc>
          <w:tcPr>
            <w:tcW w:w="259" w:type="pct"/>
            <w:vMerge w:val="continue"/>
            <w:tcBorders>
              <w:tl2br w:val="nil"/>
              <w:tr2bl w:val="nil"/>
            </w:tcBorders>
            <w:noWrap w:val="0"/>
            <w:vAlign w:val="center"/>
          </w:tcPr>
          <w:p w14:paraId="33C3364D">
            <w:pPr>
              <w:rPr>
                <w:rFonts w:hint="default" w:ascii="Times New Roman" w:hAnsi="Times New Roman" w:cs="Times New Roman"/>
                <w:sz w:val="21"/>
                <w:szCs w:val="21"/>
              </w:rPr>
            </w:pPr>
          </w:p>
        </w:tc>
        <w:tc>
          <w:tcPr>
            <w:tcW w:w="879" w:type="pct"/>
            <w:tcBorders>
              <w:tl2br w:val="nil"/>
              <w:tr2bl w:val="nil"/>
            </w:tcBorders>
            <w:noWrap w:val="0"/>
            <w:vAlign w:val="center"/>
          </w:tcPr>
          <w:p w14:paraId="50CD1818">
            <w:pPr>
              <w:jc w:val="center"/>
              <w:rPr>
                <w:rFonts w:hint="default" w:ascii="Times New Roman" w:hAnsi="Times New Roman" w:cs="Times New Roman"/>
                <w:sz w:val="21"/>
                <w:szCs w:val="21"/>
              </w:rPr>
            </w:pPr>
            <w:r>
              <w:rPr>
                <w:rFonts w:hint="default" w:ascii="Times New Roman" w:hAnsi="Times New Roman" w:cs="Times New Roman"/>
                <w:sz w:val="21"/>
                <w:szCs w:val="21"/>
              </w:rPr>
              <w:t>健康危害</w:t>
            </w:r>
          </w:p>
        </w:tc>
        <w:tc>
          <w:tcPr>
            <w:tcW w:w="3860" w:type="pct"/>
            <w:gridSpan w:val="7"/>
            <w:tcBorders>
              <w:tl2br w:val="nil"/>
              <w:tr2bl w:val="nil"/>
            </w:tcBorders>
            <w:noWrap w:val="0"/>
            <w:vAlign w:val="center"/>
          </w:tcPr>
          <w:p w14:paraId="66263359">
            <w:pPr>
              <w:rPr>
                <w:rFonts w:hint="default" w:ascii="Times New Roman" w:hAnsi="Times New Roman" w:cs="Times New Roman"/>
                <w:sz w:val="21"/>
                <w:szCs w:val="21"/>
              </w:rPr>
            </w:pPr>
            <w:r>
              <w:rPr>
                <w:rFonts w:hint="default" w:ascii="Times New Roman" w:hAnsi="Times New Roman" w:cs="Times New Roman"/>
                <w:sz w:val="21"/>
                <w:szCs w:val="21"/>
              </w:rPr>
              <w:t>对眼、呼吸道粘膜有刺激作用。急性中毒：轻度者有流泪、咳嗽、咳少量痰、胸闷，出现气管炎的表现；中度中毒发生支气管肺炎或间质性肺水肿，病人除有上述症状的加重外，出现呼吸困难、轻度紫绀等；重者发生肺水肿、昏迷和休克，可出现气胸、纵隔气肿等并发症。吸入极高浓度的氯气，可引起迷走神经反射性心跳骤停或喉头痉挛而发生“电击样”死亡。皮肤接触液氯或高浓度氯，在暴露部位可有灼伤或急性皮炎。慢性影响：长期低浓度接触，可引起慢性支气管炎、支气管哮喘等；可引起职业性痤疮及牙齿酸蚀症。</w:t>
            </w:r>
          </w:p>
        </w:tc>
      </w:tr>
      <w:tr w14:paraId="58E5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259" w:type="pct"/>
            <w:vMerge w:val="continue"/>
            <w:tcBorders>
              <w:tl2br w:val="nil"/>
              <w:tr2bl w:val="nil"/>
            </w:tcBorders>
            <w:noWrap w:val="0"/>
            <w:vAlign w:val="center"/>
          </w:tcPr>
          <w:p w14:paraId="65A7ECD7">
            <w:pPr>
              <w:rPr>
                <w:rFonts w:hint="default" w:ascii="Times New Roman" w:hAnsi="Times New Roman" w:cs="Times New Roman"/>
                <w:sz w:val="21"/>
                <w:szCs w:val="21"/>
              </w:rPr>
            </w:pPr>
          </w:p>
        </w:tc>
        <w:tc>
          <w:tcPr>
            <w:tcW w:w="879" w:type="pct"/>
            <w:tcBorders>
              <w:tl2br w:val="nil"/>
              <w:tr2bl w:val="nil"/>
            </w:tcBorders>
            <w:noWrap w:val="0"/>
            <w:vAlign w:val="center"/>
          </w:tcPr>
          <w:p w14:paraId="71DCA516">
            <w:pPr>
              <w:jc w:val="center"/>
              <w:rPr>
                <w:rFonts w:hint="default" w:ascii="Times New Roman" w:hAnsi="Times New Roman" w:cs="Times New Roman"/>
                <w:sz w:val="21"/>
                <w:szCs w:val="21"/>
              </w:rPr>
            </w:pPr>
            <w:r>
              <w:rPr>
                <w:rFonts w:hint="default" w:ascii="Times New Roman" w:hAnsi="Times New Roman" w:cs="Times New Roman"/>
                <w:sz w:val="21"/>
                <w:szCs w:val="21"/>
              </w:rPr>
              <w:t>急救方法</w:t>
            </w:r>
          </w:p>
        </w:tc>
        <w:tc>
          <w:tcPr>
            <w:tcW w:w="3860" w:type="pct"/>
            <w:gridSpan w:val="7"/>
            <w:tcBorders>
              <w:tl2br w:val="nil"/>
              <w:tr2bl w:val="nil"/>
            </w:tcBorders>
            <w:noWrap w:val="0"/>
            <w:vAlign w:val="center"/>
          </w:tcPr>
          <w:p w14:paraId="71F6EE84">
            <w:pPr>
              <w:rPr>
                <w:rFonts w:hint="default" w:ascii="Times New Roman" w:hAnsi="Times New Roman" w:cs="Times New Roman"/>
                <w:sz w:val="21"/>
                <w:szCs w:val="21"/>
              </w:rPr>
            </w:pPr>
            <w:r>
              <w:rPr>
                <w:rFonts w:hint="default" w:ascii="Times New Roman" w:hAnsi="Times New Roman" w:cs="Times New Roman"/>
                <w:sz w:val="21"/>
                <w:szCs w:val="21"/>
              </w:rPr>
              <w:t>皮肤接触：立即脱去被污染的衣着，用大量清水冲洗。就医。眼睛接触：提起眼睑，用流动清水或生理盐水冲洗。吸入：迅速脱离现场至空气新鲜处。呼吸心跳停止时，立即进行人工呼吸和胸外心脏按压术。就医。</w:t>
            </w:r>
          </w:p>
        </w:tc>
      </w:tr>
      <w:tr w14:paraId="114A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59" w:type="pct"/>
            <w:vMerge w:val="restart"/>
            <w:tcBorders>
              <w:tl2br w:val="nil"/>
              <w:tr2bl w:val="nil"/>
            </w:tcBorders>
            <w:noWrap w:val="0"/>
            <w:vAlign w:val="center"/>
          </w:tcPr>
          <w:p w14:paraId="6ADC1421">
            <w:pPr>
              <w:rPr>
                <w:rFonts w:hint="default" w:ascii="Times New Roman" w:hAnsi="Times New Roman" w:cs="Times New Roman"/>
                <w:sz w:val="21"/>
                <w:szCs w:val="21"/>
              </w:rPr>
            </w:pPr>
            <w:r>
              <w:rPr>
                <w:rFonts w:hint="default" w:ascii="Times New Roman" w:hAnsi="Times New Roman" w:cs="Times New Roman"/>
                <w:sz w:val="21"/>
                <w:szCs w:val="21"/>
              </w:rPr>
              <w:t>燃烧爆炸危险性</w:t>
            </w:r>
          </w:p>
        </w:tc>
        <w:tc>
          <w:tcPr>
            <w:tcW w:w="879" w:type="pct"/>
            <w:tcBorders>
              <w:tl2br w:val="nil"/>
              <w:tr2bl w:val="nil"/>
            </w:tcBorders>
            <w:noWrap w:val="0"/>
            <w:vAlign w:val="center"/>
          </w:tcPr>
          <w:p w14:paraId="16CA6E8F">
            <w:pPr>
              <w:jc w:val="center"/>
              <w:rPr>
                <w:rFonts w:hint="default" w:ascii="Times New Roman" w:hAnsi="Times New Roman" w:cs="Times New Roman"/>
                <w:sz w:val="21"/>
                <w:szCs w:val="21"/>
              </w:rPr>
            </w:pPr>
            <w:r>
              <w:rPr>
                <w:rFonts w:hint="default" w:ascii="Times New Roman" w:hAnsi="Times New Roman" w:cs="Times New Roman"/>
                <w:sz w:val="21"/>
                <w:szCs w:val="21"/>
              </w:rPr>
              <w:t>燃烧性</w:t>
            </w:r>
          </w:p>
        </w:tc>
        <w:tc>
          <w:tcPr>
            <w:tcW w:w="960" w:type="pct"/>
            <w:gridSpan w:val="3"/>
            <w:tcBorders>
              <w:tl2br w:val="nil"/>
              <w:tr2bl w:val="nil"/>
            </w:tcBorders>
            <w:noWrap w:val="0"/>
            <w:vAlign w:val="center"/>
          </w:tcPr>
          <w:p w14:paraId="126C4944">
            <w:pPr>
              <w:jc w:val="center"/>
              <w:rPr>
                <w:rFonts w:hint="default" w:ascii="Times New Roman" w:hAnsi="Times New Roman" w:cs="Times New Roman"/>
                <w:sz w:val="21"/>
                <w:szCs w:val="21"/>
              </w:rPr>
            </w:pPr>
            <w:r>
              <w:rPr>
                <w:rFonts w:hint="default" w:ascii="Times New Roman" w:hAnsi="Times New Roman" w:cs="Times New Roman"/>
                <w:sz w:val="21"/>
                <w:szCs w:val="21"/>
              </w:rPr>
              <w:t>不燃</w:t>
            </w:r>
          </w:p>
        </w:tc>
        <w:tc>
          <w:tcPr>
            <w:tcW w:w="1166" w:type="pct"/>
            <w:gridSpan w:val="2"/>
            <w:tcBorders>
              <w:tl2br w:val="nil"/>
              <w:tr2bl w:val="nil"/>
            </w:tcBorders>
            <w:noWrap w:val="0"/>
            <w:vAlign w:val="center"/>
          </w:tcPr>
          <w:p w14:paraId="522D1ED2">
            <w:pPr>
              <w:jc w:val="center"/>
              <w:rPr>
                <w:rFonts w:hint="default" w:ascii="Times New Roman" w:hAnsi="Times New Roman" w:cs="Times New Roman"/>
                <w:sz w:val="21"/>
                <w:szCs w:val="21"/>
              </w:rPr>
            </w:pPr>
            <w:r>
              <w:rPr>
                <w:rFonts w:hint="default" w:ascii="Times New Roman" w:hAnsi="Times New Roman" w:cs="Times New Roman"/>
                <w:sz w:val="21"/>
                <w:szCs w:val="21"/>
              </w:rPr>
              <w:t>燃烧分解物</w:t>
            </w:r>
          </w:p>
        </w:tc>
        <w:tc>
          <w:tcPr>
            <w:tcW w:w="1733" w:type="pct"/>
            <w:gridSpan w:val="2"/>
            <w:tcBorders>
              <w:tl2br w:val="nil"/>
              <w:tr2bl w:val="nil"/>
            </w:tcBorders>
            <w:noWrap w:val="0"/>
            <w:vAlign w:val="center"/>
          </w:tcPr>
          <w:p w14:paraId="7F66C0C5">
            <w:pPr>
              <w:jc w:val="center"/>
              <w:rPr>
                <w:rFonts w:hint="default" w:ascii="Times New Roman" w:hAnsi="Times New Roman" w:cs="Times New Roman"/>
                <w:sz w:val="21"/>
                <w:szCs w:val="21"/>
              </w:rPr>
            </w:pPr>
            <w:r>
              <w:rPr>
                <w:rFonts w:hint="default" w:ascii="Times New Roman" w:hAnsi="Times New Roman" w:cs="Times New Roman"/>
                <w:sz w:val="21"/>
                <w:szCs w:val="21"/>
              </w:rPr>
              <w:t>氯化氢</w:t>
            </w:r>
          </w:p>
        </w:tc>
      </w:tr>
      <w:tr w14:paraId="1001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259" w:type="pct"/>
            <w:vMerge w:val="continue"/>
            <w:tcBorders>
              <w:tl2br w:val="nil"/>
              <w:tr2bl w:val="nil"/>
            </w:tcBorders>
            <w:noWrap w:val="0"/>
            <w:vAlign w:val="center"/>
          </w:tcPr>
          <w:p w14:paraId="5204009C">
            <w:pPr>
              <w:rPr>
                <w:rFonts w:hint="default" w:ascii="Times New Roman" w:hAnsi="Times New Roman" w:cs="Times New Roman"/>
                <w:sz w:val="21"/>
                <w:szCs w:val="21"/>
              </w:rPr>
            </w:pPr>
          </w:p>
        </w:tc>
        <w:tc>
          <w:tcPr>
            <w:tcW w:w="879" w:type="pct"/>
            <w:tcBorders>
              <w:tl2br w:val="nil"/>
              <w:tr2bl w:val="nil"/>
            </w:tcBorders>
            <w:noWrap w:val="0"/>
            <w:vAlign w:val="center"/>
          </w:tcPr>
          <w:p w14:paraId="63D5FA2D">
            <w:pPr>
              <w:jc w:val="center"/>
              <w:rPr>
                <w:rFonts w:hint="default" w:ascii="Times New Roman" w:hAnsi="Times New Roman" w:cs="Times New Roman"/>
                <w:sz w:val="21"/>
                <w:szCs w:val="21"/>
              </w:rPr>
            </w:pPr>
            <w:r>
              <w:rPr>
                <w:rFonts w:hint="default" w:ascii="Times New Roman" w:hAnsi="Times New Roman" w:cs="Times New Roman"/>
                <w:sz w:val="21"/>
                <w:szCs w:val="21"/>
              </w:rPr>
              <w:t>闪点(℃)</w:t>
            </w:r>
          </w:p>
        </w:tc>
        <w:tc>
          <w:tcPr>
            <w:tcW w:w="960" w:type="pct"/>
            <w:gridSpan w:val="3"/>
            <w:tcBorders>
              <w:tl2br w:val="nil"/>
              <w:tr2bl w:val="nil"/>
            </w:tcBorders>
            <w:noWrap w:val="0"/>
            <w:vAlign w:val="center"/>
          </w:tcPr>
          <w:p w14:paraId="73F1B5B4">
            <w:pPr>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166" w:type="pct"/>
            <w:gridSpan w:val="2"/>
            <w:tcBorders>
              <w:tl2br w:val="nil"/>
              <w:tr2bl w:val="nil"/>
            </w:tcBorders>
            <w:noWrap w:val="0"/>
            <w:vAlign w:val="center"/>
          </w:tcPr>
          <w:p w14:paraId="5081AC1F">
            <w:pPr>
              <w:jc w:val="center"/>
              <w:rPr>
                <w:rFonts w:hint="default" w:ascii="Times New Roman" w:hAnsi="Times New Roman" w:cs="Times New Roman"/>
                <w:sz w:val="21"/>
                <w:szCs w:val="21"/>
              </w:rPr>
            </w:pPr>
            <w:r>
              <w:rPr>
                <w:rFonts w:hint="default" w:ascii="Times New Roman" w:hAnsi="Times New Roman" w:cs="Times New Roman"/>
                <w:sz w:val="21"/>
                <w:szCs w:val="21"/>
              </w:rPr>
              <w:t>爆炸上限（v%）</w:t>
            </w:r>
          </w:p>
        </w:tc>
        <w:tc>
          <w:tcPr>
            <w:tcW w:w="1733" w:type="pct"/>
            <w:gridSpan w:val="2"/>
            <w:tcBorders>
              <w:tl2br w:val="nil"/>
              <w:tr2bl w:val="nil"/>
            </w:tcBorders>
            <w:noWrap w:val="0"/>
            <w:vAlign w:val="center"/>
          </w:tcPr>
          <w:p w14:paraId="13F0B736">
            <w:pPr>
              <w:jc w:val="center"/>
              <w:rPr>
                <w:rFonts w:hint="default" w:ascii="Times New Roman" w:hAnsi="Times New Roman" w:cs="Times New Roman"/>
                <w:sz w:val="21"/>
                <w:szCs w:val="21"/>
              </w:rPr>
            </w:pPr>
            <w:r>
              <w:rPr>
                <w:rFonts w:hint="default" w:ascii="Times New Roman" w:hAnsi="Times New Roman" w:cs="Times New Roman"/>
                <w:sz w:val="21"/>
                <w:szCs w:val="21"/>
              </w:rPr>
              <w:t>/</w:t>
            </w:r>
          </w:p>
        </w:tc>
      </w:tr>
      <w:tr w14:paraId="17A5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259" w:type="pct"/>
            <w:vMerge w:val="continue"/>
            <w:tcBorders>
              <w:tl2br w:val="nil"/>
              <w:tr2bl w:val="nil"/>
            </w:tcBorders>
            <w:noWrap w:val="0"/>
            <w:vAlign w:val="center"/>
          </w:tcPr>
          <w:p w14:paraId="28C72655">
            <w:pPr>
              <w:rPr>
                <w:rFonts w:hint="default" w:ascii="Times New Roman" w:hAnsi="Times New Roman" w:cs="Times New Roman"/>
                <w:sz w:val="21"/>
                <w:szCs w:val="21"/>
              </w:rPr>
            </w:pPr>
          </w:p>
        </w:tc>
        <w:tc>
          <w:tcPr>
            <w:tcW w:w="879" w:type="pct"/>
            <w:tcBorders>
              <w:tl2br w:val="nil"/>
              <w:tr2bl w:val="nil"/>
            </w:tcBorders>
            <w:noWrap w:val="0"/>
            <w:vAlign w:val="center"/>
          </w:tcPr>
          <w:p w14:paraId="616BE20F">
            <w:pPr>
              <w:jc w:val="center"/>
              <w:rPr>
                <w:rFonts w:hint="default" w:ascii="Times New Roman" w:hAnsi="Times New Roman" w:cs="Times New Roman"/>
                <w:sz w:val="21"/>
                <w:szCs w:val="21"/>
              </w:rPr>
            </w:pPr>
            <w:r>
              <w:rPr>
                <w:rFonts w:hint="default" w:ascii="Times New Roman" w:hAnsi="Times New Roman" w:cs="Times New Roman"/>
                <w:sz w:val="21"/>
                <w:szCs w:val="21"/>
              </w:rPr>
              <w:t>引燃温度(℃)</w:t>
            </w:r>
          </w:p>
        </w:tc>
        <w:tc>
          <w:tcPr>
            <w:tcW w:w="960" w:type="pct"/>
            <w:gridSpan w:val="3"/>
            <w:tcBorders>
              <w:tl2br w:val="nil"/>
              <w:tr2bl w:val="nil"/>
            </w:tcBorders>
            <w:noWrap w:val="0"/>
            <w:vAlign w:val="center"/>
          </w:tcPr>
          <w:p w14:paraId="65E745A2">
            <w:pPr>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166" w:type="pct"/>
            <w:gridSpan w:val="2"/>
            <w:tcBorders>
              <w:tl2br w:val="nil"/>
              <w:tr2bl w:val="nil"/>
            </w:tcBorders>
            <w:noWrap w:val="0"/>
            <w:vAlign w:val="center"/>
          </w:tcPr>
          <w:p w14:paraId="6072F545">
            <w:pPr>
              <w:jc w:val="center"/>
              <w:rPr>
                <w:rFonts w:hint="default" w:ascii="Times New Roman" w:hAnsi="Times New Roman" w:cs="Times New Roman"/>
                <w:sz w:val="21"/>
                <w:szCs w:val="21"/>
              </w:rPr>
            </w:pPr>
            <w:r>
              <w:rPr>
                <w:rFonts w:hint="default" w:ascii="Times New Roman" w:hAnsi="Times New Roman" w:cs="Times New Roman"/>
                <w:sz w:val="21"/>
                <w:szCs w:val="21"/>
              </w:rPr>
              <w:t>爆炸下限（v%）</w:t>
            </w:r>
          </w:p>
        </w:tc>
        <w:tc>
          <w:tcPr>
            <w:tcW w:w="1733" w:type="pct"/>
            <w:gridSpan w:val="2"/>
            <w:tcBorders>
              <w:tl2br w:val="nil"/>
              <w:tr2bl w:val="nil"/>
            </w:tcBorders>
            <w:noWrap w:val="0"/>
            <w:vAlign w:val="center"/>
          </w:tcPr>
          <w:p w14:paraId="46A38B03">
            <w:pPr>
              <w:jc w:val="center"/>
              <w:rPr>
                <w:rFonts w:hint="default" w:ascii="Times New Roman" w:hAnsi="Times New Roman" w:cs="Times New Roman"/>
                <w:sz w:val="21"/>
                <w:szCs w:val="21"/>
              </w:rPr>
            </w:pPr>
            <w:r>
              <w:rPr>
                <w:rFonts w:hint="default" w:ascii="Times New Roman" w:hAnsi="Times New Roman" w:cs="Times New Roman"/>
                <w:sz w:val="21"/>
                <w:szCs w:val="21"/>
              </w:rPr>
              <w:t>/</w:t>
            </w:r>
          </w:p>
        </w:tc>
      </w:tr>
      <w:tr w14:paraId="5E5C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59" w:type="pct"/>
            <w:vMerge w:val="continue"/>
            <w:tcBorders>
              <w:tl2br w:val="nil"/>
              <w:tr2bl w:val="nil"/>
            </w:tcBorders>
            <w:noWrap w:val="0"/>
            <w:vAlign w:val="center"/>
          </w:tcPr>
          <w:p w14:paraId="550D429E">
            <w:pPr>
              <w:rPr>
                <w:rFonts w:hint="default" w:ascii="Times New Roman" w:hAnsi="Times New Roman" w:cs="Times New Roman"/>
                <w:sz w:val="21"/>
                <w:szCs w:val="21"/>
              </w:rPr>
            </w:pPr>
          </w:p>
        </w:tc>
        <w:tc>
          <w:tcPr>
            <w:tcW w:w="879" w:type="pct"/>
            <w:tcBorders>
              <w:tl2br w:val="nil"/>
              <w:tr2bl w:val="nil"/>
            </w:tcBorders>
            <w:noWrap w:val="0"/>
            <w:vAlign w:val="center"/>
          </w:tcPr>
          <w:p w14:paraId="283D511A">
            <w:pPr>
              <w:jc w:val="center"/>
              <w:rPr>
                <w:rFonts w:hint="default" w:ascii="Times New Roman" w:hAnsi="Times New Roman" w:cs="Times New Roman"/>
                <w:sz w:val="21"/>
                <w:szCs w:val="21"/>
              </w:rPr>
            </w:pPr>
            <w:r>
              <w:rPr>
                <w:rFonts w:hint="default" w:ascii="Times New Roman" w:hAnsi="Times New Roman" w:cs="Times New Roman"/>
                <w:sz w:val="21"/>
                <w:szCs w:val="21"/>
              </w:rPr>
              <w:t>危险特性</w:t>
            </w:r>
          </w:p>
        </w:tc>
        <w:tc>
          <w:tcPr>
            <w:tcW w:w="3860" w:type="pct"/>
            <w:gridSpan w:val="7"/>
            <w:tcBorders>
              <w:tl2br w:val="nil"/>
              <w:tr2bl w:val="nil"/>
            </w:tcBorders>
            <w:noWrap w:val="0"/>
            <w:vAlign w:val="center"/>
          </w:tcPr>
          <w:p w14:paraId="0CD2F7C6">
            <w:pPr>
              <w:rPr>
                <w:rFonts w:hint="default" w:ascii="Times New Roman" w:hAnsi="Times New Roman" w:cs="Times New Roman"/>
                <w:sz w:val="21"/>
                <w:szCs w:val="21"/>
              </w:rPr>
            </w:pPr>
            <w:r>
              <w:rPr>
                <w:rFonts w:hint="default" w:ascii="Times New Roman" w:hAnsi="Times New Roman" w:cs="Times New Roman"/>
                <w:sz w:val="21"/>
                <w:szCs w:val="21"/>
              </w:rPr>
              <w:t>本品不会燃烧，但可助燃。一般可燃物大都能在氯气中燃烧，一般易燃气体或蒸气也都能与氯气形成爆炸性混合物。氯气能与许多化学品如乙炔、松节油、乙醚、氨、燃料气、烃类、氢气、金属粉末等猛烈反应发生爆炸或生成爆炸性物质。它几乎对金属和非金属都有腐蚀作用。</w:t>
            </w:r>
          </w:p>
        </w:tc>
      </w:tr>
      <w:tr w14:paraId="36E5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59" w:type="pct"/>
            <w:vMerge w:val="continue"/>
            <w:tcBorders>
              <w:tl2br w:val="nil"/>
              <w:tr2bl w:val="nil"/>
            </w:tcBorders>
            <w:noWrap w:val="0"/>
            <w:vAlign w:val="center"/>
          </w:tcPr>
          <w:p w14:paraId="41E9F240">
            <w:pPr>
              <w:rPr>
                <w:rFonts w:hint="default" w:ascii="Times New Roman" w:hAnsi="Times New Roman" w:cs="Times New Roman"/>
                <w:sz w:val="21"/>
                <w:szCs w:val="21"/>
              </w:rPr>
            </w:pPr>
          </w:p>
        </w:tc>
        <w:tc>
          <w:tcPr>
            <w:tcW w:w="879" w:type="pct"/>
            <w:tcBorders>
              <w:tl2br w:val="nil"/>
              <w:tr2bl w:val="nil"/>
            </w:tcBorders>
            <w:noWrap w:val="0"/>
            <w:vAlign w:val="center"/>
          </w:tcPr>
          <w:p w14:paraId="0A853E65">
            <w:pPr>
              <w:jc w:val="center"/>
              <w:rPr>
                <w:rFonts w:hint="default" w:ascii="Times New Roman" w:hAnsi="Times New Roman" w:cs="Times New Roman"/>
                <w:sz w:val="21"/>
                <w:szCs w:val="21"/>
              </w:rPr>
            </w:pPr>
            <w:r>
              <w:rPr>
                <w:rFonts w:hint="default" w:ascii="Times New Roman" w:hAnsi="Times New Roman" w:cs="Times New Roman"/>
                <w:sz w:val="21"/>
                <w:szCs w:val="21"/>
              </w:rPr>
              <w:t>储运条件</w:t>
            </w:r>
          </w:p>
          <w:p w14:paraId="13FBCD28">
            <w:pPr>
              <w:jc w:val="center"/>
              <w:rPr>
                <w:rFonts w:hint="default" w:ascii="Times New Roman" w:hAnsi="Times New Roman" w:cs="Times New Roman"/>
                <w:sz w:val="21"/>
                <w:szCs w:val="21"/>
              </w:rPr>
            </w:pPr>
            <w:r>
              <w:rPr>
                <w:rFonts w:hint="default" w:ascii="Times New Roman" w:hAnsi="Times New Roman" w:cs="Times New Roman"/>
                <w:sz w:val="21"/>
                <w:szCs w:val="21"/>
              </w:rPr>
              <w:t>与泄漏处理</w:t>
            </w:r>
          </w:p>
        </w:tc>
        <w:tc>
          <w:tcPr>
            <w:tcW w:w="3860" w:type="pct"/>
            <w:gridSpan w:val="7"/>
            <w:tcBorders>
              <w:tl2br w:val="nil"/>
              <w:tr2bl w:val="nil"/>
            </w:tcBorders>
            <w:noWrap w:val="0"/>
            <w:vAlign w:val="center"/>
          </w:tcPr>
          <w:p w14:paraId="5304C835">
            <w:pPr>
              <w:rPr>
                <w:rFonts w:hint="default" w:ascii="Times New Roman" w:hAnsi="Times New Roman" w:cs="Times New Roman"/>
                <w:sz w:val="21"/>
                <w:szCs w:val="21"/>
              </w:rPr>
            </w:pPr>
            <w:r>
              <w:rPr>
                <w:rFonts w:hint="default" w:ascii="Times New Roman" w:hAnsi="Times New Roman" w:cs="Times New Roman"/>
                <w:b/>
                <w:sz w:val="21"/>
                <w:szCs w:val="21"/>
              </w:rPr>
              <w:t>储运条件</w:t>
            </w:r>
            <w:r>
              <w:rPr>
                <w:rFonts w:hint="default" w:ascii="Times New Roman" w:hAnsi="Times New Roman" w:cs="Times New Roman"/>
                <w:sz w:val="21"/>
                <w:szCs w:val="21"/>
              </w:rPr>
              <w:t>：储存于阴凉、通风仓间内。远离火种、热源。防止阳光直射。应与易燃或可燃物、金属粉未等分开存放。不可混储混运。搬运时要轻装轻卸，防止钢瓶或附件损坏。</w:t>
            </w:r>
            <w:r>
              <w:rPr>
                <w:rFonts w:hint="default" w:ascii="Times New Roman" w:hAnsi="Times New Roman" w:cs="Times New Roman"/>
                <w:b/>
                <w:sz w:val="21"/>
                <w:szCs w:val="21"/>
              </w:rPr>
              <w:t>泄漏处理</w:t>
            </w:r>
            <w:r>
              <w:rPr>
                <w:rFonts w:hint="default" w:ascii="Times New Roman" w:hAnsi="Times New Roman" w:cs="Times New Roman"/>
                <w:sz w:val="21"/>
                <w:szCs w:val="21"/>
              </w:rPr>
              <w:t>：迅速撤离泄漏污染区人员至上风处，并立即进行隔离，小泄漏时隔离150米，大泄漏时隔离450米，严格限制出入。建议应急处理人员戴自给正压式呼吸器，穿防毒服。尽可能切断泄漏源。合理通风，加速扩散。喷雾状水稀释、溶解。构筑围堤或挖坑收容产生的大量废水。如有可能，用管道将泄漏物导至还原剂(酸式硫酸钠或酸式碳酸钠)溶液。也可以将漏气钢瓶浸入石灰乳液中。漏气容器要妥善处理，修复、检验后再用。</w:t>
            </w:r>
          </w:p>
        </w:tc>
      </w:tr>
      <w:tr w14:paraId="6FC7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59" w:type="pct"/>
            <w:vMerge w:val="continue"/>
            <w:tcBorders>
              <w:tl2br w:val="nil"/>
              <w:tr2bl w:val="nil"/>
            </w:tcBorders>
            <w:noWrap w:val="0"/>
            <w:vAlign w:val="center"/>
          </w:tcPr>
          <w:p w14:paraId="4A7339E6">
            <w:pPr>
              <w:rPr>
                <w:rFonts w:hint="default" w:ascii="Times New Roman" w:hAnsi="Times New Roman" w:cs="Times New Roman"/>
                <w:sz w:val="21"/>
                <w:szCs w:val="21"/>
              </w:rPr>
            </w:pPr>
          </w:p>
        </w:tc>
        <w:tc>
          <w:tcPr>
            <w:tcW w:w="879" w:type="pct"/>
            <w:tcBorders>
              <w:tl2br w:val="nil"/>
              <w:tr2bl w:val="nil"/>
            </w:tcBorders>
            <w:noWrap w:val="0"/>
            <w:vAlign w:val="center"/>
          </w:tcPr>
          <w:p w14:paraId="691EA7F1">
            <w:pPr>
              <w:jc w:val="center"/>
              <w:rPr>
                <w:rFonts w:hint="default" w:ascii="Times New Roman" w:hAnsi="Times New Roman" w:cs="Times New Roman"/>
                <w:sz w:val="21"/>
                <w:szCs w:val="21"/>
              </w:rPr>
            </w:pPr>
            <w:r>
              <w:rPr>
                <w:rFonts w:hint="default" w:ascii="Times New Roman" w:hAnsi="Times New Roman" w:cs="Times New Roman"/>
                <w:sz w:val="21"/>
                <w:szCs w:val="21"/>
              </w:rPr>
              <w:t>灭火方法</w:t>
            </w:r>
          </w:p>
        </w:tc>
        <w:tc>
          <w:tcPr>
            <w:tcW w:w="3860" w:type="pct"/>
            <w:gridSpan w:val="7"/>
            <w:tcBorders>
              <w:tl2br w:val="nil"/>
              <w:tr2bl w:val="nil"/>
            </w:tcBorders>
            <w:noWrap w:val="0"/>
            <w:vAlign w:val="center"/>
          </w:tcPr>
          <w:p w14:paraId="1CA1DA68">
            <w:pPr>
              <w:rPr>
                <w:rFonts w:hint="default" w:ascii="Times New Roman" w:hAnsi="Times New Roman" w:cs="Times New Roman"/>
                <w:sz w:val="21"/>
                <w:szCs w:val="21"/>
              </w:rPr>
            </w:pPr>
            <w:r>
              <w:rPr>
                <w:rFonts w:hint="default" w:ascii="Times New Roman" w:hAnsi="Times New Roman" w:cs="Times New Roman"/>
                <w:sz w:val="21"/>
                <w:szCs w:val="21"/>
              </w:rPr>
              <w:t>用雾状水、泡沫、干粉灭火。</w:t>
            </w:r>
          </w:p>
        </w:tc>
      </w:tr>
    </w:tbl>
    <w:p w14:paraId="74C829CB">
      <w:pPr>
        <w:rPr>
          <w:rFonts w:hint="eastAsia"/>
          <w:lang w:val="en-US" w:eastAsia="zh-CN"/>
        </w:rPr>
      </w:pPr>
    </w:p>
    <w:p w14:paraId="40B4707B">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z w:val="24"/>
          <w:szCs w:val="24"/>
        </w:rPr>
      </w:pPr>
      <w:bookmarkStart w:id="49" w:name="_Toc205020221"/>
      <w:r>
        <w:rPr>
          <w:rFonts w:hint="eastAsia" w:ascii="Times New Roman" w:hAnsi="Times New Roman" w:eastAsia="宋体" w:cs="Times New Roman"/>
          <w:color w:val="auto"/>
          <w:sz w:val="24"/>
          <w:szCs w:val="24"/>
        </w:rPr>
        <w:t>三氯化铝溶液理化性质及危险特性表</w:t>
      </w:r>
      <w:bookmarkEnd w:id="49"/>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1585"/>
        <w:gridCol w:w="1179"/>
        <w:gridCol w:w="337"/>
        <w:gridCol w:w="667"/>
        <w:gridCol w:w="668"/>
        <w:gridCol w:w="983"/>
        <w:gridCol w:w="316"/>
        <w:gridCol w:w="156"/>
        <w:gridCol w:w="966"/>
        <w:gridCol w:w="1212"/>
      </w:tblGrid>
      <w:tr w14:paraId="35D4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restart"/>
            <w:tcBorders>
              <w:tl2br w:val="nil"/>
              <w:tr2bl w:val="nil"/>
            </w:tcBorders>
            <w:noWrap w:val="0"/>
            <w:vAlign w:val="center"/>
          </w:tcPr>
          <w:p w14:paraId="6E8AB411">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标识</w:t>
            </w:r>
          </w:p>
        </w:tc>
        <w:tc>
          <w:tcPr>
            <w:tcW w:w="5889" w:type="dxa"/>
            <w:gridSpan w:val="6"/>
            <w:tcBorders>
              <w:tl2br w:val="nil"/>
              <w:tr2bl w:val="nil"/>
            </w:tcBorders>
            <w:noWrap w:val="0"/>
            <w:vAlign w:val="center"/>
          </w:tcPr>
          <w:p w14:paraId="40428841">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中文名：三氯化铝溶液；氯化铝溶液</w:t>
            </w:r>
          </w:p>
        </w:tc>
        <w:tc>
          <w:tcPr>
            <w:tcW w:w="2942" w:type="dxa"/>
            <w:gridSpan w:val="4"/>
            <w:tcBorders>
              <w:tl2br w:val="nil"/>
              <w:tr2bl w:val="nil"/>
            </w:tcBorders>
            <w:noWrap w:val="0"/>
            <w:vAlign w:val="center"/>
          </w:tcPr>
          <w:p w14:paraId="5F8FB0CB">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危险货物编号：</w:t>
            </w:r>
            <w:r>
              <w:rPr>
                <w:rFonts w:hint="default" w:ascii="Times New Roman" w:hAnsi="Times New Roman" w:cs="Times New Roman"/>
                <w:sz w:val="21"/>
                <w:szCs w:val="21"/>
              </w:rPr>
              <w:t>81512</w:t>
            </w:r>
          </w:p>
        </w:tc>
      </w:tr>
      <w:tr w14:paraId="0902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7B37D93A">
            <w:pPr>
              <w:widowControl/>
              <w:spacing w:beforeLines="0" w:afterLines="0" w:line="350" w:lineRule="exact"/>
              <w:jc w:val="left"/>
              <w:rPr>
                <w:rFonts w:hint="default" w:ascii="Times New Roman" w:hAnsi="Times New Roman" w:cs="Times New Roman"/>
                <w:spacing w:val="10"/>
                <w:sz w:val="21"/>
                <w:szCs w:val="21"/>
              </w:rPr>
            </w:pPr>
          </w:p>
        </w:tc>
        <w:tc>
          <w:tcPr>
            <w:tcW w:w="5889" w:type="dxa"/>
            <w:gridSpan w:val="6"/>
            <w:tcBorders>
              <w:tl2br w:val="nil"/>
              <w:tr2bl w:val="nil"/>
            </w:tcBorders>
            <w:noWrap w:val="0"/>
            <w:vAlign w:val="center"/>
          </w:tcPr>
          <w:p w14:paraId="5999D5F3">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英文名：</w:t>
            </w:r>
            <w:r>
              <w:rPr>
                <w:rFonts w:hint="default" w:ascii="Times New Roman" w:hAnsi="Times New Roman" w:cs="Times New Roman"/>
                <w:sz w:val="21"/>
                <w:szCs w:val="21"/>
              </w:rPr>
              <w:t>Aluminium trichloride,solution；Aluminium chloride solution</w:t>
            </w:r>
          </w:p>
        </w:tc>
        <w:tc>
          <w:tcPr>
            <w:tcW w:w="2942" w:type="dxa"/>
            <w:gridSpan w:val="4"/>
            <w:tcBorders>
              <w:tl2br w:val="nil"/>
              <w:tr2bl w:val="nil"/>
            </w:tcBorders>
            <w:noWrap w:val="0"/>
            <w:vAlign w:val="center"/>
          </w:tcPr>
          <w:p w14:paraId="1D94A54C">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UN编号：2581</w:t>
            </w:r>
          </w:p>
        </w:tc>
      </w:tr>
      <w:tr w14:paraId="7F16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59A15978">
            <w:pPr>
              <w:widowControl/>
              <w:spacing w:beforeLines="0" w:afterLines="0" w:line="350" w:lineRule="exact"/>
              <w:jc w:val="left"/>
              <w:rPr>
                <w:rFonts w:hint="default" w:ascii="Times New Roman" w:hAnsi="Times New Roman" w:cs="Times New Roman"/>
                <w:spacing w:val="10"/>
                <w:sz w:val="21"/>
                <w:szCs w:val="21"/>
              </w:rPr>
            </w:pPr>
          </w:p>
        </w:tc>
        <w:tc>
          <w:tcPr>
            <w:tcW w:w="2958" w:type="dxa"/>
            <w:gridSpan w:val="2"/>
            <w:tcBorders>
              <w:tl2br w:val="nil"/>
              <w:tr2bl w:val="nil"/>
            </w:tcBorders>
            <w:noWrap w:val="0"/>
            <w:vAlign w:val="center"/>
          </w:tcPr>
          <w:p w14:paraId="78B89275">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分子式：</w:t>
            </w:r>
            <w:r>
              <w:rPr>
                <w:rFonts w:hint="default" w:ascii="Times New Roman" w:hAnsi="Times New Roman" w:cs="Times New Roman"/>
                <w:sz w:val="21"/>
                <w:szCs w:val="21"/>
              </w:rPr>
              <w:t>AlCl</w:t>
            </w:r>
            <w:r>
              <w:rPr>
                <w:rFonts w:hint="default" w:ascii="Times New Roman" w:hAnsi="Times New Roman" w:cs="Times New Roman"/>
                <w:sz w:val="21"/>
                <w:szCs w:val="21"/>
                <w:vertAlign w:val="subscript"/>
              </w:rPr>
              <w:t>3</w:t>
            </w:r>
          </w:p>
        </w:tc>
        <w:tc>
          <w:tcPr>
            <w:tcW w:w="2931" w:type="dxa"/>
            <w:gridSpan w:val="4"/>
            <w:tcBorders>
              <w:tl2br w:val="nil"/>
              <w:tr2bl w:val="nil"/>
            </w:tcBorders>
            <w:noWrap w:val="0"/>
            <w:vAlign w:val="center"/>
          </w:tcPr>
          <w:p w14:paraId="63F16EAD">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分子量：</w:t>
            </w:r>
            <w:r>
              <w:rPr>
                <w:rFonts w:hint="default" w:ascii="Times New Roman" w:hAnsi="Times New Roman" w:cs="Times New Roman"/>
                <w:sz w:val="21"/>
                <w:szCs w:val="21"/>
              </w:rPr>
              <w:t>133.35</w:t>
            </w:r>
          </w:p>
        </w:tc>
        <w:tc>
          <w:tcPr>
            <w:tcW w:w="2942" w:type="dxa"/>
            <w:gridSpan w:val="4"/>
            <w:tcBorders>
              <w:tl2br w:val="nil"/>
              <w:tr2bl w:val="nil"/>
            </w:tcBorders>
            <w:noWrap w:val="0"/>
            <w:vAlign w:val="center"/>
          </w:tcPr>
          <w:p w14:paraId="7161EAFA">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CAS号：</w:t>
            </w:r>
            <w:r>
              <w:rPr>
                <w:rFonts w:hint="default" w:ascii="Times New Roman" w:hAnsi="Times New Roman" w:cs="Times New Roman"/>
                <w:sz w:val="21"/>
                <w:szCs w:val="21"/>
              </w:rPr>
              <w:t>―――</w:t>
            </w:r>
          </w:p>
        </w:tc>
      </w:tr>
      <w:tr w14:paraId="66FA1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restart"/>
            <w:tcBorders>
              <w:tl2br w:val="nil"/>
              <w:tr2bl w:val="nil"/>
            </w:tcBorders>
            <w:noWrap w:val="0"/>
            <w:vAlign w:val="center"/>
          </w:tcPr>
          <w:p w14:paraId="60A74551">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理化性质</w:t>
            </w:r>
          </w:p>
        </w:tc>
        <w:tc>
          <w:tcPr>
            <w:tcW w:w="1648" w:type="dxa"/>
            <w:tcBorders>
              <w:tl2br w:val="nil"/>
              <w:tr2bl w:val="nil"/>
            </w:tcBorders>
            <w:noWrap w:val="0"/>
            <w:vAlign w:val="center"/>
          </w:tcPr>
          <w:p w14:paraId="5939E0D5">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外观与性状</w:t>
            </w:r>
          </w:p>
        </w:tc>
        <w:tc>
          <w:tcPr>
            <w:tcW w:w="7183" w:type="dxa"/>
            <w:gridSpan w:val="9"/>
            <w:tcBorders>
              <w:tl2br w:val="nil"/>
              <w:tr2bl w:val="nil"/>
            </w:tcBorders>
            <w:noWrap w:val="0"/>
            <w:vAlign w:val="center"/>
          </w:tcPr>
          <w:p w14:paraId="6C8417C7">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无色或带黄色的液体。</w:t>
            </w:r>
          </w:p>
        </w:tc>
      </w:tr>
      <w:tr w14:paraId="2928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166AF24D">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0EA41220">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熔点（℃）</w:t>
            </w:r>
          </w:p>
        </w:tc>
        <w:tc>
          <w:tcPr>
            <w:tcW w:w="2394" w:type="dxa"/>
            <w:gridSpan w:val="3"/>
            <w:tcBorders>
              <w:tl2br w:val="nil"/>
              <w:tr2bl w:val="nil"/>
            </w:tcBorders>
            <w:noWrap w:val="0"/>
            <w:vAlign w:val="center"/>
          </w:tcPr>
          <w:p w14:paraId="08FCBE42">
            <w:pPr>
              <w:spacing w:beforeLines="0" w:afterLines="0" w:line="350" w:lineRule="exact"/>
              <w:jc w:val="center"/>
              <w:rPr>
                <w:rFonts w:hint="default" w:ascii="Times New Roman" w:hAnsi="Times New Roman" w:cs="Times New Roman"/>
                <w:b/>
                <w:spacing w:val="10"/>
                <w:sz w:val="21"/>
                <w:szCs w:val="21"/>
              </w:rPr>
            </w:pPr>
            <w:r>
              <w:rPr>
                <w:rFonts w:hint="default" w:ascii="Times New Roman" w:hAnsi="Times New Roman" w:cs="Times New Roman"/>
                <w:sz w:val="21"/>
                <w:szCs w:val="21"/>
              </w:rPr>
              <w:t>190(253kPa)（无水）</w:t>
            </w:r>
          </w:p>
        </w:tc>
        <w:tc>
          <w:tcPr>
            <w:tcW w:w="2394" w:type="dxa"/>
            <w:gridSpan w:val="4"/>
            <w:tcBorders>
              <w:tl2br w:val="nil"/>
              <w:tr2bl w:val="nil"/>
            </w:tcBorders>
            <w:noWrap w:val="0"/>
            <w:vAlign w:val="center"/>
          </w:tcPr>
          <w:p w14:paraId="3BBF92E0">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相对密度(水=1)</w:t>
            </w:r>
          </w:p>
        </w:tc>
        <w:tc>
          <w:tcPr>
            <w:tcW w:w="2395" w:type="dxa"/>
            <w:gridSpan w:val="2"/>
            <w:tcBorders>
              <w:tl2br w:val="nil"/>
              <w:tr2bl w:val="nil"/>
            </w:tcBorders>
            <w:noWrap w:val="0"/>
            <w:vAlign w:val="center"/>
          </w:tcPr>
          <w:p w14:paraId="3DFC109C">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2.44</w:t>
            </w:r>
          </w:p>
        </w:tc>
      </w:tr>
      <w:tr w14:paraId="32B6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55EE5855">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0FBBA5B5">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沸点（℃）</w:t>
            </w:r>
          </w:p>
        </w:tc>
        <w:tc>
          <w:tcPr>
            <w:tcW w:w="2394" w:type="dxa"/>
            <w:gridSpan w:val="3"/>
            <w:tcBorders>
              <w:tl2br w:val="nil"/>
              <w:tr2bl w:val="nil"/>
            </w:tcBorders>
            <w:noWrap w:val="0"/>
            <w:vAlign w:val="center"/>
          </w:tcPr>
          <w:p w14:paraId="2BEA247B">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w:t>
            </w:r>
          </w:p>
        </w:tc>
        <w:tc>
          <w:tcPr>
            <w:tcW w:w="2394" w:type="dxa"/>
            <w:gridSpan w:val="4"/>
            <w:tcBorders>
              <w:tl2br w:val="nil"/>
              <w:tr2bl w:val="nil"/>
            </w:tcBorders>
            <w:noWrap w:val="0"/>
            <w:vAlign w:val="center"/>
          </w:tcPr>
          <w:p w14:paraId="104C6528">
            <w:pPr>
              <w:spacing w:beforeLines="0" w:afterLines="0" w:line="350" w:lineRule="exact"/>
              <w:ind w:left="-40" w:leftChars="-19"/>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饱和蒸气压（kPa）</w:t>
            </w:r>
          </w:p>
        </w:tc>
        <w:tc>
          <w:tcPr>
            <w:tcW w:w="2395" w:type="dxa"/>
            <w:gridSpan w:val="2"/>
            <w:tcBorders>
              <w:tl2br w:val="nil"/>
              <w:tr2bl w:val="nil"/>
            </w:tcBorders>
            <w:noWrap w:val="0"/>
            <w:vAlign w:val="center"/>
          </w:tcPr>
          <w:p w14:paraId="2DA25769">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0.13(100℃)</w:t>
            </w:r>
          </w:p>
        </w:tc>
      </w:tr>
      <w:tr w14:paraId="5226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4B9CB144">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27976084">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溶解性</w:t>
            </w:r>
          </w:p>
        </w:tc>
        <w:tc>
          <w:tcPr>
            <w:tcW w:w="7183" w:type="dxa"/>
            <w:gridSpan w:val="9"/>
            <w:tcBorders>
              <w:tl2br w:val="nil"/>
              <w:tr2bl w:val="nil"/>
            </w:tcBorders>
            <w:noWrap w:val="0"/>
            <w:vAlign w:val="center"/>
          </w:tcPr>
          <w:p w14:paraId="034E3046">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z w:val="21"/>
                <w:szCs w:val="21"/>
              </w:rPr>
              <w:t>易溶于水、醇、氯仿、四氯化碳，微溶于苯。</w:t>
            </w:r>
          </w:p>
        </w:tc>
      </w:tr>
      <w:tr w14:paraId="7963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restart"/>
            <w:tcBorders>
              <w:tl2br w:val="nil"/>
              <w:tr2bl w:val="nil"/>
            </w:tcBorders>
            <w:noWrap w:val="0"/>
            <w:vAlign w:val="center"/>
          </w:tcPr>
          <w:p w14:paraId="12A7329D">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毒性及健康危害</w:t>
            </w:r>
          </w:p>
        </w:tc>
        <w:tc>
          <w:tcPr>
            <w:tcW w:w="1648" w:type="dxa"/>
            <w:tcBorders>
              <w:tl2br w:val="nil"/>
              <w:tr2bl w:val="nil"/>
            </w:tcBorders>
            <w:noWrap w:val="0"/>
            <w:vAlign w:val="center"/>
          </w:tcPr>
          <w:p w14:paraId="1BFE1592">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侵入途径</w:t>
            </w:r>
          </w:p>
        </w:tc>
        <w:tc>
          <w:tcPr>
            <w:tcW w:w="7183" w:type="dxa"/>
            <w:gridSpan w:val="9"/>
            <w:tcBorders>
              <w:tl2br w:val="nil"/>
              <w:tr2bl w:val="nil"/>
            </w:tcBorders>
            <w:noWrap w:val="0"/>
            <w:vAlign w:val="center"/>
          </w:tcPr>
          <w:p w14:paraId="4BCA3230">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吸入、食入、经皮吸收</w:t>
            </w:r>
          </w:p>
        </w:tc>
      </w:tr>
      <w:tr w14:paraId="41E4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2524CE9A">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1181C999">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毒性</w:t>
            </w:r>
          </w:p>
        </w:tc>
        <w:tc>
          <w:tcPr>
            <w:tcW w:w="7183" w:type="dxa"/>
            <w:gridSpan w:val="9"/>
            <w:tcBorders>
              <w:tl2br w:val="nil"/>
              <w:tr2bl w:val="nil"/>
            </w:tcBorders>
            <w:noWrap w:val="0"/>
            <w:vAlign w:val="center"/>
          </w:tcPr>
          <w:p w14:paraId="04A610FF">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z w:val="21"/>
                <w:szCs w:val="21"/>
              </w:rPr>
              <w:t>LD</w:t>
            </w:r>
            <w:r>
              <w:rPr>
                <w:rFonts w:hint="default" w:ascii="Times New Roman" w:hAnsi="Times New Roman" w:cs="Times New Roman"/>
                <w:sz w:val="21"/>
                <w:szCs w:val="21"/>
                <w:vertAlign w:val="subscript"/>
              </w:rPr>
              <w:t>50</w:t>
            </w:r>
            <w:r>
              <w:rPr>
                <w:rFonts w:hint="default" w:ascii="Times New Roman" w:hAnsi="Times New Roman" w:cs="Times New Roman"/>
                <w:sz w:val="21"/>
                <w:szCs w:val="21"/>
              </w:rPr>
              <w:t>：3730mg/kg(大鼠经口)。</w:t>
            </w:r>
          </w:p>
        </w:tc>
      </w:tr>
      <w:tr w14:paraId="535F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456" w:type="dxa"/>
            <w:vMerge w:val="continue"/>
            <w:tcBorders>
              <w:tl2br w:val="nil"/>
              <w:tr2bl w:val="nil"/>
            </w:tcBorders>
            <w:noWrap w:val="0"/>
            <w:vAlign w:val="center"/>
          </w:tcPr>
          <w:p w14:paraId="027C0F20">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10B5D8C6">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健康危害</w:t>
            </w:r>
          </w:p>
        </w:tc>
        <w:tc>
          <w:tcPr>
            <w:tcW w:w="7183" w:type="dxa"/>
            <w:gridSpan w:val="9"/>
            <w:tcBorders>
              <w:tl2br w:val="nil"/>
              <w:tr2bl w:val="nil"/>
            </w:tcBorders>
            <w:noWrap w:val="0"/>
            <w:vAlign w:val="center"/>
          </w:tcPr>
          <w:p w14:paraId="0607ABD9">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本品对皮肤、粘膜有刺激作用。吸入高浓度可引起支气管炎，个别人可引起支气管哮喘。误服量大时，可引起口腔糜烂、胃炎、胃出血和粘膜坏死。慢性影响：长期接触可引起头痛、头晕、食欲减退、咳嗽、鼻塞、胸痛等症状。</w:t>
            </w:r>
          </w:p>
        </w:tc>
      </w:tr>
      <w:tr w14:paraId="5692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456" w:type="dxa"/>
            <w:vMerge w:val="continue"/>
            <w:tcBorders>
              <w:tl2br w:val="nil"/>
              <w:tr2bl w:val="nil"/>
            </w:tcBorders>
            <w:noWrap w:val="0"/>
            <w:vAlign w:val="center"/>
          </w:tcPr>
          <w:p w14:paraId="61C03AED">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34B96D4B">
            <w:pPr>
              <w:pStyle w:val="73"/>
              <w:widowControl w:val="0"/>
              <w:pBdr>
                <w:left w:val="none" w:color="auto" w:sz="0" w:space="0"/>
                <w:right w:val="none" w:color="auto" w:sz="0" w:space="0"/>
              </w:pBdr>
              <w:adjustRightInd w:val="0"/>
              <w:snapToGrid w:val="0"/>
              <w:spacing w:before="0" w:beforeLines="0" w:after="0" w:afterLines="0" w:line="350" w:lineRule="exact"/>
              <w:rPr>
                <w:rFonts w:hint="default" w:ascii="Times New Roman" w:hAnsi="Times New Roman" w:cs="Times New Roman"/>
                <w:spacing w:val="10"/>
                <w:kern w:val="2"/>
                <w:sz w:val="21"/>
                <w:szCs w:val="21"/>
              </w:rPr>
            </w:pPr>
            <w:r>
              <w:rPr>
                <w:rFonts w:hint="default" w:ascii="Times New Roman" w:hAnsi="Times New Roman" w:cs="Times New Roman"/>
                <w:kern w:val="2"/>
                <w:sz w:val="21"/>
                <w:szCs w:val="21"/>
              </w:rPr>
              <w:t>急救方法</w:t>
            </w:r>
          </w:p>
        </w:tc>
        <w:tc>
          <w:tcPr>
            <w:tcW w:w="7183" w:type="dxa"/>
            <w:gridSpan w:val="9"/>
            <w:tcBorders>
              <w:tl2br w:val="nil"/>
              <w:tr2bl w:val="nil"/>
            </w:tcBorders>
            <w:noWrap w:val="0"/>
            <w:vAlign w:val="center"/>
          </w:tcPr>
          <w:p w14:paraId="36613C64">
            <w:pPr>
              <w:adjustRightInd w:val="0"/>
              <w:snapToGrid w:val="0"/>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z w:val="21"/>
                <w:szCs w:val="21"/>
              </w:rPr>
              <w:t>①皮肤接触：立即脱去污染的衣着，用大量流动清水冲洗至少15分钟。就医。②眼睛接触：立即提起眼睑，用大量流动清水或生理盐水彻底冲洗至少15分钟。就医。③吸入：迅速脱离现场至空气新鲜处。保持呼吸道通畅。如呼吸困难，给输氧。如呼吸停止，立即进行人工呼吸。就医。④食入：用水漱口，给饮牛奶或蛋清。就医。</w:t>
            </w:r>
          </w:p>
        </w:tc>
      </w:tr>
      <w:tr w14:paraId="5FE4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restart"/>
            <w:tcBorders>
              <w:tl2br w:val="nil"/>
              <w:tr2bl w:val="nil"/>
            </w:tcBorders>
            <w:noWrap w:val="0"/>
            <w:vAlign w:val="center"/>
          </w:tcPr>
          <w:p w14:paraId="0E0DDD39">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燃烧爆炸危险性</w:t>
            </w:r>
          </w:p>
        </w:tc>
        <w:tc>
          <w:tcPr>
            <w:tcW w:w="1648" w:type="dxa"/>
            <w:tcBorders>
              <w:tl2br w:val="nil"/>
              <w:tr2bl w:val="nil"/>
            </w:tcBorders>
            <w:noWrap w:val="0"/>
            <w:vAlign w:val="center"/>
          </w:tcPr>
          <w:p w14:paraId="25EF9ABC">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燃烧性</w:t>
            </w:r>
          </w:p>
        </w:tc>
        <w:tc>
          <w:tcPr>
            <w:tcW w:w="1674" w:type="dxa"/>
            <w:gridSpan w:val="2"/>
            <w:tcBorders>
              <w:tl2br w:val="nil"/>
              <w:tr2bl w:val="nil"/>
            </w:tcBorders>
            <w:noWrap w:val="0"/>
            <w:vAlign w:val="center"/>
          </w:tcPr>
          <w:p w14:paraId="1526B22C">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不燃</w:t>
            </w:r>
          </w:p>
        </w:tc>
        <w:tc>
          <w:tcPr>
            <w:tcW w:w="2934" w:type="dxa"/>
            <w:gridSpan w:val="4"/>
            <w:tcBorders>
              <w:tl2br w:val="nil"/>
              <w:tr2bl w:val="nil"/>
            </w:tcBorders>
            <w:noWrap w:val="0"/>
            <w:vAlign w:val="center"/>
          </w:tcPr>
          <w:p w14:paraId="14B310FD">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燃烧分解物</w:t>
            </w:r>
          </w:p>
        </w:tc>
        <w:tc>
          <w:tcPr>
            <w:tcW w:w="2575" w:type="dxa"/>
            <w:gridSpan w:val="3"/>
            <w:tcBorders>
              <w:tl2br w:val="nil"/>
              <w:tr2bl w:val="nil"/>
            </w:tcBorders>
            <w:noWrap w:val="0"/>
            <w:vAlign w:val="center"/>
          </w:tcPr>
          <w:p w14:paraId="03F7920E">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氯化物、氧化铝。</w:t>
            </w:r>
          </w:p>
        </w:tc>
      </w:tr>
      <w:tr w14:paraId="0532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724A60F7">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379857D1">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闪点(℃)</w:t>
            </w:r>
          </w:p>
        </w:tc>
        <w:tc>
          <w:tcPr>
            <w:tcW w:w="1674" w:type="dxa"/>
            <w:gridSpan w:val="2"/>
            <w:tcBorders>
              <w:tl2br w:val="nil"/>
              <w:tr2bl w:val="nil"/>
            </w:tcBorders>
            <w:noWrap w:val="0"/>
            <w:vAlign w:val="center"/>
          </w:tcPr>
          <w:p w14:paraId="24BD6841">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w:t>
            </w:r>
          </w:p>
        </w:tc>
        <w:tc>
          <w:tcPr>
            <w:tcW w:w="2934" w:type="dxa"/>
            <w:gridSpan w:val="4"/>
            <w:tcBorders>
              <w:tl2br w:val="nil"/>
              <w:tr2bl w:val="nil"/>
            </w:tcBorders>
            <w:noWrap w:val="0"/>
            <w:vAlign w:val="center"/>
          </w:tcPr>
          <w:p w14:paraId="073A1ED8">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爆炸上限%（v%）：</w:t>
            </w:r>
          </w:p>
        </w:tc>
        <w:tc>
          <w:tcPr>
            <w:tcW w:w="2575" w:type="dxa"/>
            <w:gridSpan w:val="3"/>
            <w:tcBorders>
              <w:tl2br w:val="nil"/>
              <w:tr2bl w:val="nil"/>
            </w:tcBorders>
            <w:noWrap w:val="0"/>
            <w:vAlign w:val="center"/>
          </w:tcPr>
          <w:p w14:paraId="4A74AC94">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w:t>
            </w:r>
          </w:p>
        </w:tc>
      </w:tr>
      <w:tr w14:paraId="148B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2316E917">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012D255F">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自燃温度(℃)</w:t>
            </w:r>
          </w:p>
        </w:tc>
        <w:tc>
          <w:tcPr>
            <w:tcW w:w="1674" w:type="dxa"/>
            <w:gridSpan w:val="2"/>
            <w:tcBorders>
              <w:tl2br w:val="nil"/>
              <w:tr2bl w:val="nil"/>
            </w:tcBorders>
            <w:noWrap w:val="0"/>
            <w:vAlign w:val="center"/>
          </w:tcPr>
          <w:p w14:paraId="4C4EA687">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w:t>
            </w:r>
          </w:p>
        </w:tc>
        <w:tc>
          <w:tcPr>
            <w:tcW w:w="2934" w:type="dxa"/>
            <w:gridSpan w:val="4"/>
            <w:tcBorders>
              <w:tl2br w:val="nil"/>
              <w:tr2bl w:val="nil"/>
            </w:tcBorders>
            <w:noWrap w:val="0"/>
            <w:vAlign w:val="center"/>
          </w:tcPr>
          <w:p w14:paraId="670A3DC2">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爆炸下限%（v%）：</w:t>
            </w:r>
          </w:p>
        </w:tc>
        <w:tc>
          <w:tcPr>
            <w:tcW w:w="2575" w:type="dxa"/>
            <w:gridSpan w:val="3"/>
            <w:tcBorders>
              <w:tl2br w:val="nil"/>
              <w:tr2bl w:val="nil"/>
            </w:tcBorders>
            <w:noWrap w:val="0"/>
            <w:vAlign w:val="center"/>
          </w:tcPr>
          <w:p w14:paraId="6B73712D">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z w:val="21"/>
                <w:szCs w:val="21"/>
              </w:rPr>
              <w:t>/</w:t>
            </w:r>
          </w:p>
        </w:tc>
      </w:tr>
      <w:tr w14:paraId="6919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456" w:type="dxa"/>
            <w:vMerge w:val="continue"/>
            <w:tcBorders>
              <w:tl2br w:val="nil"/>
              <w:tr2bl w:val="nil"/>
            </w:tcBorders>
            <w:noWrap w:val="0"/>
            <w:vAlign w:val="center"/>
          </w:tcPr>
          <w:p w14:paraId="5643CF01">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70FF3242">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危险特性</w:t>
            </w:r>
          </w:p>
        </w:tc>
        <w:tc>
          <w:tcPr>
            <w:tcW w:w="7183" w:type="dxa"/>
            <w:gridSpan w:val="9"/>
            <w:tcBorders>
              <w:tl2br w:val="nil"/>
              <w:tr2bl w:val="nil"/>
            </w:tcBorders>
            <w:noWrap w:val="0"/>
            <w:vAlign w:val="center"/>
          </w:tcPr>
          <w:p w14:paraId="1151C27D">
            <w:pPr>
              <w:spacing w:beforeLines="0" w:afterLines="0" w:line="350" w:lineRule="exact"/>
              <w:rPr>
                <w:rFonts w:hint="default" w:ascii="Times New Roman" w:hAnsi="Times New Roman" w:cs="Times New Roman"/>
                <w:spacing w:val="10"/>
                <w:sz w:val="21"/>
                <w:szCs w:val="21"/>
              </w:rPr>
            </w:pPr>
            <w:r>
              <w:rPr>
                <w:rFonts w:hint="default" w:ascii="Times New Roman" w:hAnsi="Times New Roman" w:cs="Times New Roman"/>
                <w:sz w:val="21"/>
                <w:szCs w:val="21"/>
              </w:rPr>
              <w:t>遇水或水蒸气反应放热并产生有毒的腐蚀性气体。对很多金属尤其是潮湿空气存在下有腐蚀性。</w:t>
            </w:r>
          </w:p>
        </w:tc>
      </w:tr>
      <w:tr w14:paraId="183D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6DC1DE0A">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082416E3">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建规火险分级</w:t>
            </w:r>
          </w:p>
        </w:tc>
        <w:tc>
          <w:tcPr>
            <w:tcW w:w="1674" w:type="dxa"/>
            <w:gridSpan w:val="2"/>
            <w:tcBorders>
              <w:tl2br w:val="nil"/>
              <w:tr2bl w:val="nil"/>
            </w:tcBorders>
            <w:noWrap w:val="0"/>
            <w:vAlign w:val="center"/>
          </w:tcPr>
          <w:p w14:paraId="762FC926">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戊</w:t>
            </w:r>
          </w:p>
        </w:tc>
        <w:tc>
          <w:tcPr>
            <w:tcW w:w="1467" w:type="dxa"/>
            <w:gridSpan w:val="2"/>
            <w:tcBorders>
              <w:tl2br w:val="nil"/>
              <w:tr2bl w:val="nil"/>
            </w:tcBorders>
            <w:noWrap w:val="0"/>
            <w:vAlign w:val="center"/>
          </w:tcPr>
          <w:p w14:paraId="77647A00">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稳定性</w:t>
            </w:r>
          </w:p>
        </w:tc>
        <w:tc>
          <w:tcPr>
            <w:tcW w:w="1467" w:type="dxa"/>
            <w:gridSpan w:val="2"/>
            <w:tcBorders>
              <w:tl2br w:val="nil"/>
              <w:tr2bl w:val="nil"/>
            </w:tcBorders>
            <w:noWrap w:val="0"/>
            <w:vAlign w:val="center"/>
          </w:tcPr>
          <w:p w14:paraId="79FD2915">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稳定</w:t>
            </w:r>
          </w:p>
        </w:tc>
        <w:tc>
          <w:tcPr>
            <w:tcW w:w="1283" w:type="dxa"/>
            <w:gridSpan w:val="2"/>
            <w:tcBorders>
              <w:tl2br w:val="nil"/>
              <w:tr2bl w:val="nil"/>
            </w:tcBorders>
            <w:noWrap w:val="0"/>
            <w:vAlign w:val="center"/>
          </w:tcPr>
          <w:p w14:paraId="31686C7F">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聚合危害</w:t>
            </w:r>
          </w:p>
        </w:tc>
        <w:tc>
          <w:tcPr>
            <w:tcW w:w="1292" w:type="dxa"/>
            <w:tcBorders>
              <w:tl2br w:val="nil"/>
              <w:tr2bl w:val="nil"/>
            </w:tcBorders>
            <w:noWrap w:val="0"/>
            <w:vAlign w:val="center"/>
          </w:tcPr>
          <w:p w14:paraId="03AADB2F">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不聚合</w:t>
            </w:r>
          </w:p>
        </w:tc>
      </w:tr>
      <w:tr w14:paraId="2D1E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3ECBABB8">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709178CB">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禁忌物</w:t>
            </w:r>
          </w:p>
        </w:tc>
        <w:tc>
          <w:tcPr>
            <w:tcW w:w="7183" w:type="dxa"/>
            <w:gridSpan w:val="9"/>
            <w:tcBorders>
              <w:tl2br w:val="nil"/>
              <w:tr2bl w:val="nil"/>
            </w:tcBorders>
            <w:noWrap w:val="0"/>
            <w:vAlign w:val="center"/>
          </w:tcPr>
          <w:p w14:paraId="3440EEDA">
            <w:pPr>
              <w:spacing w:beforeLines="0" w:afterLines="0" w:line="350" w:lineRule="exact"/>
              <w:rPr>
                <w:rFonts w:hint="default" w:ascii="Times New Roman" w:hAnsi="Times New Roman" w:cs="Times New Roman"/>
                <w:b/>
                <w:spacing w:val="10"/>
                <w:sz w:val="21"/>
                <w:szCs w:val="21"/>
              </w:rPr>
            </w:pPr>
            <w:r>
              <w:rPr>
                <w:rFonts w:hint="default" w:ascii="Times New Roman" w:hAnsi="Times New Roman" w:cs="Times New Roman"/>
                <w:sz w:val="21"/>
                <w:szCs w:val="21"/>
              </w:rPr>
              <w:t>易燃或可燃物、碱类、水、醇类。</w:t>
            </w:r>
          </w:p>
        </w:tc>
      </w:tr>
      <w:tr w14:paraId="0E5B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456" w:type="dxa"/>
            <w:vMerge w:val="continue"/>
            <w:tcBorders>
              <w:tl2br w:val="nil"/>
              <w:tr2bl w:val="nil"/>
            </w:tcBorders>
            <w:noWrap w:val="0"/>
            <w:vAlign w:val="center"/>
          </w:tcPr>
          <w:p w14:paraId="0E858B78">
            <w:pPr>
              <w:widowControl/>
              <w:spacing w:beforeLines="0" w:afterLines="0" w:line="350" w:lineRule="exact"/>
              <w:jc w:val="left"/>
              <w:rPr>
                <w:rFonts w:hint="default" w:ascii="Times New Roman" w:hAnsi="Times New Roman" w:cs="Times New Roman"/>
                <w:spacing w:val="10"/>
                <w:sz w:val="21"/>
                <w:szCs w:val="21"/>
              </w:rPr>
            </w:pPr>
          </w:p>
        </w:tc>
        <w:tc>
          <w:tcPr>
            <w:tcW w:w="1648" w:type="dxa"/>
            <w:tcBorders>
              <w:tl2br w:val="nil"/>
              <w:tr2bl w:val="nil"/>
            </w:tcBorders>
            <w:noWrap w:val="0"/>
            <w:vAlign w:val="center"/>
          </w:tcPr>
          <w:p w14:paraId="27E219AE">
            <w:pPr>
              <w:spacing w:beforeLines="0" w:afterLines="0" w:line="350" w:lineRule="exact"/>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灭火方法</w:t>
            </w:r>
          </w:p>
        </w:tc>
        <w:tc>
          <w:tcPr>
            <w:tcW w:w="7183" w:type="dxa"/>
            <w:gridSpan w:val="9"/>
            <w:tcBorders>
              <w:tl2br w:val="nil"/>
              <w:tr2bl w:val="nil"/>
            </w:tcBorders>
            <w:noWrap w:val="0"/>
            <w:vAlign w:val="center"/>
          </w:tcPr>
          <w:p w14:paraId="0328F668">
            <w:pPr>
              <w:pStyle w:val="74"/>
              <w:widowControl w:val="0"/>
              <w:pBdr>
                <w:bottom w:val="none" w:color="auto" w:sz="0" w:space="0"/>
                <w:right w:val="none" w:color="auto" w:sz="0" w:space="0"/>
              </w:pBdr>
              <w:spacing w:before="0" w:beforeLines="0" w:after="0" w:afterLines="0" w:line="350" w:lineRule="exact"/>
              <w:rPr>
                <w:rFonts w:hint="default" w:ascii="Times New Roman" w:hAnsi="Times New Roman" w:cs="Times New Roman"/>
                <w:spacing w:val="10"/>
                <w:kern w:val="2"/>
                <w:sz w:val="21"/>
                <w:szCs w:val="21"/>
              </w:rPr>
            </w:pPr>
            <w:r>
              <w:rPr>
                <w:rFonts w:hint="default" w:ascii="Times New Roman" w:hAnsi="Times New Roman" w:cs="Times New Roman"/>
                <w:sz w:val="21"/>
                <w:szCs w:val="21"/>
              </w:rPr>
              <w:t>消防人员必须穿全身耐酸碱消防服。灭火剂：干燥砂土。禁止用水。</w:t>
            </w:r>
          </w:p>
        </w:tc>
      </w:tr>
      <w:tr w14:paraId="3486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56" w:type="dxa"/>
            <w:tcBorders>
              <w:tl2br w:val="nil"/>
              <w:tr2bl w:val="nil"/>
            </w:tcBorders>
            <w:noWrap w:val="0"/>
            <w:vAlign w:val="center"/>
          </w:tcPr>
          <w:p w14:paraId="052AC6DD">
            <w:pPr>
              <w:pStyle w:val="73"/>
              <w:widowControl w:val="0"/>
              <w:pBdr>
                <w:left w:val="none" w:color="auto" w:sz="0" w:space="0"/>
                <w:right w:val="none" w:color="auto" w:sz="0" w:space="0"/>
              </w:pBdr>
              <w:adjustRightInd w:val="0"/>
              <w:snapToGrid w:val="0"/>
              <w:spacing w:before="0" w:beforeLines="0" w:after="0" w:afterLines="0" w:line="300" w:lineRule="exact"/>
              <w:rPr>
                <w:rFonts w:hint="default" w:ascii="Times New Roman" w:hAnsi="Times New Roman" w:cs="Times New Roman"/>
                <w:kern w:val="2"/>
                <w:sz w:val="21"/>
                <w:szCs w:val="21"/>
              </w:rPr>
            </w:pPr>
            <w:r>
              <w:rPr>
                <w:rFonts w:hint="default" w:ascii="Times New Roman" w:hAnsi="Times New Roman" w:cs="Times New Roman"/>
                <w:sz w:val="21"/>
                <w:szCs w:val="21"/>
              </w:rPr>
              <w:t>泄漏处置</w:t>
            </w:r>
          </w:p>
        </w:tc>
        <w:tc>
          <w:tcPr>
            <w:tcW w:w="8831" w:type="dxa"/>
            <w:gridSpan w:val="10"/>
            <w:tcBorders>
              <w:tl2br w:val="nil"/>
              <w:tr2bl w:val="nil"/>
            </w:tcBorders>
            <w:noWrap w:val="0"/>
            <w:vAlign w:val="center"/>
          </w:tcPr>
          <w:p w14:paraId="1CB0B0A3">
            <w:pPr>
              <w:adjustRightInd w:val="0"/>
              <w:snapToGrid w:val="0"/>
              <w:spacing w:beforeLines="0" w:afterLines="0" w:line="300" w:lineRule="exact"/>
              <w:rPr>
                <w:rFonts w:hint="default" w:ascii="Times New Roman" w:hAnsi="Times New Roman" w:cs="Times New Roman"/>
                <w:b/>
                <w:sz w:val="21"/>
                <w:szCs w:val="21"/>
              </w:rPr>
            </w:pPr>
            <w:r>
              <w:rPr>
                <w:rFonts w:hint="default" w:ascii="Times New Roman" w:hAnsi="Times New Roman" w:cs="Times New Roman"/>
                <w:sz w:val="21"/>
                <w:szCs w:val="21"/>
              </w:rPr>
              <w:t>隔离泄漏污染区，限制出入。建议应急处理人员戴防尘面具（全面罩），穿防酸碱工作服。不要直接接触泄漏物。小量泄漏：避免扬尘，用洁净的铲子收集于密闭容器中。大量泄漏：用塑料布、帆布覆盖。在专家指导下清除。</w:t>
            </w:r>
          </w:p>
        </w:tc>
      </w:tr>
      <w:tr w14:paraId="52D5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56" w:type="dxa"/>
            <w:tcBorders>
              <w:tl2br w:val="nil"/>
              <w:tr2bl w:val="nil"/>
            </w:tcBorders>
            <w:noWrap w:val="0"/>
            <w:vAlign w:val="center"/>
          </w:tcPr>
          <w:p w14:paraId="60228E26">
            <w:pPr>
              <w:pStyle w:val="73"/>
              <w:widowControl w:val="0"/>
              <w:pBdr>
                <w:left w:val="none" w:color="auto" w:sz="0" w:space="0"/>
                <w:right w:val="none" w:color="auto" w:sz="0" w:space="0"/>
              </w:pBdr>
              <w:adjustRightInd w:val="0"/>
              <w:snapToGrid w:val="0"/>
              <w:spacing w:before="0" w:beforeLines="0" w:after="0" w:afterLines="0" w:line="350" w:lineRule="exact"/>
              <w:rPr>
                <w:rFonts w:hint="default" w:ascii="Times New Roman" w:hAnsi="Times New Roman" w:cs="Times New Roman"/>
                <w:sz w:val="21"/>
                <w:szCs w:val="21"/>
              </w:rPr>
            </w:pPr>
            <w:r>
              <w:rPr>
                <w:rFonts w:hint="default" w:ascii="Times New Roman" w:hAnsi="Times New Roman" w:cs="Times New Roman"/>
                <w:sz w:val="21"/>
                <w:szCs w:val="21"/>
              </w:rPr>
              <w:t>储运注意事项</w:t>
            </w:r>
          </w:p>
        </w:tc>
        <w:tc>
          <w:tcPr>
            <w:tcW w:w="8831" w:type="dxa"/>
            <w:gridSpan w:val="10"/>
            <w:tcBorders>
              <w:tl2br w:val="nil"/>
              <w:tr2bl w:val="nil"/>
            </w:tcBorders>
            <w:noWrap w:val="0"/>
            <w:vAlign w:val="center"/>
          </w:tcPr>
          <w:p w14:paraId="56F287DD">
            <w:pPr>
              <w:adjustRightInd w:val="0"/>
              <w:snapToGrid w:val="0"/>
              <w:spacing w:beforeLines="0" w:afterLines="0" w:line="350" w:lineRule="exact"/>
              <w:rPr>
                <w:rFonts w:hint="default" w:ascii="Times New Roman" w:hAnsi="Times New Roman" w:cs="Times New Roman"/>
                <w:sz w:val="21"/>
                <w:szCs w:val="21"/>
              </w:rPr>
            </w:pPr>
            <w:r>
              <w:rPr>
                <w:rFonts w:hint="default" w:ascii="Times New Roman" w:hAnsi="Times New Roman" w:cs="Times New Roman"/>
                <w:sz w:val="21"/>
                <w:szCs w:val="21"/>
              </w:rPr>
              <w:t>①储存注意事项：储存于阴凉、干燥、通风良好的库房。远离火种、热源。相对湿度保持在75％以下。包装必须密封，切勿受潮。应与易（可）燃物、碱类、醇类等分开存放，切忌混储。不宜久存，以免变质。储区应备有合适的材料收容泄漏物。</w:t>
            </w:r>
          </w:p>
          <w:p w14:paraId="76F2194D">
            <w:pPr>
              <w:adjustRightInd w:val="0"/>
              <w:snapToGrid w:val="0"/>
              <w:spacing w:beforeLines="0" w:afterLines="0" w:line="350" w:lineRule="exact"/>
              <w:rPr>
                <w:rFonts w:hint="default" w:ascii="Times New Roman" w:hAnsi="Times New Roman" w:cs="Times New Roman"/>
                <w:b/>
                <w:sz w:val="21"/>
                <w:szCs w:val="21"/>
              </w:rPr>
            </w:pPr>
            <w:r>
              <w:rPr>
                <w:rFonts w:hint="default" w:ascii="Times New Roman" w:hAnsi="Times New Roman" w:cs="Times New Roman"/>
                <w:sz w:val="21"/>
                <w:szCs w:val="21"/>
              </w:rPr>
              <w:t>②运输注意事项：铁路运输时应严格按照铁道部《危险货物运输规则》中的危险货物配装表进行配装。起运时包装要完整，装载应稳妥。运输过程中要确保容器不泄漏、不倒塌、不坠落、不损坏。严禁与易燃物或可燃物、碱类、醇类、食用化学品等混装混运。运输时运输车辆应配备泄漏应急处理设备。运输途中应防曝晒、雨淋，防高温。</w:t>
            </w:r>
          </w:p>
        </w:tc>
      </w:tr>
    </w:tbl>
    <w:p w14:paraId="36ADB76B">
      <w:pPr>
        <w:widowControl w:val="0"/>
        <w:adjustRightInd w:val="0"/>
        <w:snapToGrid w:val="0"/>
        <w:spacing w:before="157" w:beforeLines="50"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（2）生产工艺特点</w:t>
      </w:r>
    </w:p>
    <w:p w14:paraId="6488C28B">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根据《建设项目环境风险评价技术导则》（HJ169-2018）附录C中表C.1行业及生产工艺（M），本项目生产工艺特点及M值详见表3-</w:t>
      </w:r>
      <w:r>
        <w:rPr>
          <w:rFonts w:hint="eastAsia" w:cs="Times New Roman"/>
          <w:color w:val="auto"/>
          <w:sz w:val="24"/>
          <w:szCs w:val="32"/>
          <w:lang w:val="en-US" w:eastAsia="zh-CN"/>
        </w:rPr>
        <w:t>2</w:t>
      </w:r>
      <w:r>
        <w:rPr>
          <w:rFonts w:hint="default" w:ascii="Times New Roman" w:hAnsi="Times New Roman" w:cs="Times New Roman"/>
          <w:color w:val="auto"/>
          <w:sz w:val="24"/>
          <w:szCs w:val="32"/>
        </w:rPr>
        <w:t>。</w:t>
      </w:r>
    </w:p>
    <w:p w14:paraId="21660471">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表3-</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rPr>
        <w:t xml:space="preserve">  行业及生产工艺M</w:t>
      </w:r>
    </w:p>
    <w:tbl>
      <w:tblPr>
        <w:tblStyle w:val="24"/>
        <w:tblW w:w="50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82"/>
        <w:gridCol w:w="2931"/>
        <w:gridCol w:w="1156"/>
        <w:gridCol w:w="2098"/>
        <w:gridCol w:w="856"/>
      </w:tblGrid>
      <w:tr w14:paraId="58BA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noWrap w:val="0"/>
            <w:vAlign w:val="center"/>
          </w:tcPr>
          <w:p w14:paraId="6DDAB72D">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行业</w:t>
            </w:r>
          </w:p>
        </w:tc>
        <w:tc>
          <w:tcPr>
            <w:tcW w:w="1760" w:type="pct"/>
            <w:noWrap w:val="0"/>
            <w:vAlign w:val="center"/>
          </w:tcPr>
          <w:p w14:paraId="5EE5EDDE">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评估依据</w:t>
            </w:r>
          </w:p>
        </w:tc>
        <w:tc>
          <w:tcPr>
            <w:tcW w:w="694" w:type="pct"/>
            <w:noWrap w:val="0"/>
            <w:vAlign w:val="center"/>
          </w:tcPr>
          <w:p w14:paraId="09D4F867">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分值</w:t>
            </w:r>
          </w:p>
        </w:tc>
        <w:tc>
          <w:tcPr>
            <w:tcW w:w="1260" w:type="pct"/>
            <w:noWrap w:val="0"/>
            <w:vAlign w:val="center"/>
          </w:tcPr>
          <w:p w14:paraId="0ECBB249">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本项目情况</w:t>
            </w:r>
          </w:p>
        </w:tc>
        <w:tc>
          <w:tcPr>
            <w:tcW w:w="514" w:type="pct"/>
            <w:noWrap w:val="0"/>
            <w:vAlign w:val="center"/>
          </w:tcPr>
          <w:p w14:paraId="3A91F453">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评分</w:t>
            </w:r>
          </w:p>
        </w:tc>
      </w:tr>
      <w:tr w14:paraId="42DE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vMerge w:val="restart"/>
            <w:noWrap w:val="0"/>
            <w:vAlign w:val="center"/>
          </w:tcPr>
          <w:p w14:paraId="5CF20B31">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石化、化工、医药、轻工、化纤、有色冶炼等</w:t>
            </w:r>
          </w:p>
        </w:tc>
        <w:tc>
          <w:tcPr>
            <w:tcW w:w="1760" w:type="pct"/>
            <w:noWrap w:val="0"/>
            <w:vAlign w:val="center"/>
          </w:tcPr>
          <w:p w14:paraId="279C14BB">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涉及光气及光气化工艺、电解工艺（氯碱）、氯化工艺、硝化工艺、合成氨工艺、裂解（裂化）工艺、氟化工艺、加氢工艺、重氮化工艺、氧化工艺、过氧化工艺、烷基化工艺、磺化工艺、聚合工艺、烷基化工艺、新型煤化工工艺、电石生产工艺、偶氮化工艺</w:t>
            </w:r>
          </w:p>
        </w:tc>
        <w:tc>
          <w:tcPr>
            <w:tcW w:w="694" w:type="pct"/>
            <w:noWrap w:val="0"/>
            <w:vAlign w:val="center"/>
          </w:tcPr>
          <w:p w14:paraId="3A764D03">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10/套</w:t>
            </w:r>
          </w:p>
        </w:tc>
        <w:tc>
          <w:tcPr>
            <w:tcW w:w="1260" w:type="pct"/>
            <w:vMerge w:val="restart"/>
            <w:noWrap w:val="0"/>
            <w:vAlign w:val="center"/>
          </w:tcPr>
          <w:p w14:paraId="35795C4B">
            <w:pPr>
              <w:pStyle w:val="77"/>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kern w:val="2"/>
                <w:sz w:val="21"/>
                <w:szCs w:val="21"/>
                <w:u w:val="none"/>
                <w:lang w:val="en-US" w:eastAsia="zh-CN"/>
              </w:rPr>
              <w:t>本项目</w:t>
            </w:r>
            <w:r>
              <w:rPr>
                <w:rFonts w:hint="eastAsia" w:cs="Times New Roman"/>
                <w:color w:val="auto"/>
                <w:kern w:val="2"/>
                <w:sz w:val="21"/>
                <w:szCs w:val="21"/>
                <w:u w:val="none"/>
                <w:lang w:val="en-US" w:eastAsia="zh-CN"/>
              </w:rPr>
              <w:t>不涉及左述工艺类型和行业</w:t>
            </w:r>
          </w:p>
        </w:tc>
        <w:tc>
          <w:tcPr>
            <w:tcW w:w="514" w:type="pct"/>
            <w:noWrap w:val="0"/>
            <w:vAlign w:val="center"/>
          </w:tcPr>
          <w:p w14:paraId="671F60CB">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r>
      <w:tr w14:paraId="3871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vMerge w:val="continue"/>
            <w:noWrap w:val="0"/>
            <w:vAlign w:val="center"/>
          </w:tcPr>
          <w:p w14:paraId="7BA93724">
            <w:pPr>
              <w:keepNext w:val="0"/>
              <w:keepLines w:val="0"/>
              <w:pageBreakBefore w:val="0"/>
              <w:widowControl w:val="0"/>
              <w:kinsoku/>
              <w:wordWrap/>
              <w:overflowPunct/>
              <w:topLinePunct w:val="0"/>
              <w:autoSpaceDE/>
              <w:autoSpaceDN/>
              <w:snapToGrid w:val="0"/>
              <w:rPr>
                <w:rFonts w:hint="default" w:ascii="Times New Roman" w:hAnsi="Times New Roman" w:cs="Times New Roman"/>
                <w:color w:val="auto"/>
                <w:sz w:val="21"/>
                <w:szCs w:val="21"/>
                <w:highlight w:val="none"/>
              </w:rPr>
            </w:pPr>
          </w:p>
        </w:tc>
        <w:tc>
          <w:tcPr>
            <w:tcW w:w="1760" w:type="pct"/>
            <w:noWrap w:val="0"/>
            <w:vAlign w:val="center"/>
          </w:tcPr>
          <w:p w14:paraId="3736D956">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无机酸制酸工艺、焦化工艺</w:t>
            </w:r>
          </w:p>
        </w:tc>
        <w:tc>
          <w:tcPr>
            <w:tcW w:w="694" w:type="pct"/>
            <w:noWrap w:val="0"/>
            <w:vAlign w:val="center"/>
          </w:tcPr>
          <w:p w14:paraId="52A7D960">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5/套</w:t>
            </w:r>
          </w:p>
        </w:tc>
        <w:tc>
          <w:tcPr>
            <w:tcW w:w="1260" w:type="pct"/>
            <w:vMerge w:val="continue"/>
            <w:noWrap w:val="0"/>
            <w:vAlign w:val="center"/>
          </w:tcPr>
          <w:p w14:paraId="6C012DC6">
            <w:pPr>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p>
        </w:tc>
        <w:tc>
          <w:tcPr>
            <w:tcW w:w="514" w:type="pct"/>
            <w:noWrap w:val="0"/>
            <w:vAlign w:val="center"/>
          </w:tcPr>
          <w:p w14:paraId="34B01469">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r>
      <w:tr w14:paraId="5584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vMerge w:val="continue"/>
            <w:noWrap w:val="0"/>
            <w:vAlign w:val="center"/>
          </w:tcPr>
          <w:p w14:paraId="10E12244">
            <w:pPr>
              <w:keepNext w:val="0"/>
              <w:keepLines w:val="0"/>
              <w:pageBreakBefore w:val="0"/>
              <w:widowControl w:val="0"/>
              <w:kinsoku/>
              <w:wordWrap/>
              <w:overflowPunct/>
              <w:topLinePunct w:val="0"/>
              <w:autoSpaceDE/>
              <w:autoSpaceDN/>
              <w:snapToGrid w:val="0"/>
              <w:rPr>
                <w:rFonts w:hint="default" w:ascii="Times New Roman" w:hAnsi="Times New Roman" w:cs="Times New Roman"/>
                <w:color w:val="auto"/>
                <w:sz w:val="21"/>
                <w:szCs w:val="21"/>
                <w:highlight w:val="none"/>
              </w:rPr>
            </w:pPr>
          </w:p>
        </w:tc>
        <w:tc>
          <w:tcPr>
            <w:tcW w:w="1760" w:type="pct"/>
            <w:noWrap w:val="0"/>
            <w:vAlign w:val="center"/>
          </w:tcPr>
          <w:p w14:paraId="6E694737">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其他高温或高压，且涉及危险物质的工艺过程、危险物质贮存罐区</w:t>
            </w:r>
          </w:p>
        </w:tc>
        <w:tc>
          <w:tcPr>
            <w:tcW w:w="694" w:type="pct"/>
            <w:noWrap w:val="0"/>
            <w:vAlign w:val="center"/>
          </w:tcPr>
          <w:p w14:paraId="6823F54C">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5/套</w:t>
            </w:r>
          </w:p>
          <w:p w14:paraId="375238AA">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（罐区）</w:t>
            </w:r>
          </w:p>
        </w:tc>
        <w:tc>
          <w:tcPr>
            <w:tcW w:w="1260" w:type="pct"/>
            <w:vMerge w:val="continue"/>
            <w:noWrap w:val="0"/>
            <w:vAlign w:val="center"/>
          </w:tcPr>
          <w:p w14:paraId="3FD1D192">
            <w:pPr>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p>
        </w:tc>
        <w:tc>
          <w:tcPr>
            <w:tcW w:w="514" w:type="pct"/>
            <w:noWrap w:val="0"/>
            <w:vAlign w:val="center"/>
          </w:tcPr>
          <w:p w14:paraId="4A324268">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0</w:t>
            </w:r>
          </w:p>
        </w:tc>
      </w:tr>
      <w:tr w14:paraId="2E60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noWrap w:val="0"/>
            <w:vAlign w:val="center"/>
          </w:tcPr>
          <w:p w14:paraId="4C3BCD45">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管道、港口/码头等</w:t>
            </w:r>
          </w:p>
        </w:tc>
        <w:tc>
          <w:tcPr>
            <w:tcW w:w="1760" w:type="pct"/>
            <w:noWrap w:val="0"/>
            <w:vAlign w:val="center"/>
          </w:tcPr>
          <w:p w14:paraId="335AF670">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涉及危险物质管道运输项目、港口/码头等</w:t>
            </w:r>
          </w:p>
        </w:tc>
        <w:tc>
          <w:tcPr>
            <w:tcW w:w="694" w:type="pct"/>
            <w:noWrap w:val="0"/>
            <w:vAlign w:val="center"/>
          </w:tcPr>
          <w:p w14:paraId="23A7B7A1">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1260" w:type="pct"/>
            <w:noWrap w:val="0"/>
            <w:vAlign w:val="center"/>
          </w:tcPr>
          <w:p w14:paraId="1F5A1574">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本项目</w:t>
            </w:r>
            <w:r>
              <w:rPr>
                <w:rFonts w:hint="default" w:ascii="Times New Roman" w:hAnsi="Times New Roman" w:eastAsia="宋体" w:cs="Times New Roman"/>
                <w:color w:val="auto"/>
                <w:sz w:val="21"/>
                <w:szCs w:val="21"/>
                <w:highlight w:val="none"/>
              </w:rPr>
              <w:t>不涉及</w:t>
            </w:r>
          </w:p>
        </w:tc>
        <w:tc>
          <w:tcPr>
            <w:tcW w:w="514" w:type="pct"/>
            <w:noWrap w:val="0"/>
            <w:vAlign w:val="center"/>
          </w:tcPr>
          <w:p w14:paraId="33610E3D">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r>
      <w:tr w14:paraId="6240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noWrap w:val="0"/>
            <w:vAlign w:val="center"/>
          </w:tcPr>
          <w:p w14:paraId="7ED79853">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石油天然气</w:t>
            </w:r>
          </w:p>
        </w:tc>
        <w:tc>
          <w:tcPr>
            <w:tcW w:w="1760" w:type="pct"/>
            <w:noWrap w:val="0"/>
            <w:vAlign w:val="center"/>
          </w:tcPr>
          <w:p w14:paraId="2CE7C448">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石油、天然气、页岩气开采（含净化），气库（不含加气站的气库），油库（不含加气站的油库）、油气管线（不含城镇燃气管线）</w:t>
            </w:r>
          </w:p>
        </w:tc>
        <w:tc>
          <w:tcPr>
            <w:tcW w:w="694" w:type="pct"/>
            <w:noWrap w:val="0"/>
            <w:vAlign w:val="center"/>
          </w:tcPr>
          <w:p w14:paraId="6434EC61">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1260" w:type="pct"/>
            <w:noWrap w:val="0"/>
            <w:vAlign w:val="center"/>
          </w:tcPr>
          <w:p w14:paraId="3A4BE88B">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本项目</w:t>
            </w:r>
            <w:r>
              <w:rPr>
                <w:rFonts w:hint="default" w:ascii="Times New Roman" w:hAnsi="Times New Roman" w:eastAsia="宋体" w:cs="Times New Roman"/>
                <w:color w:val="auto"/>
                <w:sz w:val="21"/>
                <w:szCs w:val="21"/>
                <w:highlight w:val="none"/>
              </w:rPr>
              <w:t>不涉及</w:t>
            </w:r>
          </w:p>
        </w:tc>
        <w:tc>
          <w:tcPr>
            <w:tcW w:w="514" w:type="pct"/>
            <w:noWrap w:val="0"/>
            <w:vAlign w:val="center"/>
          </w:tcPr>
          <w:p w14:paraId="232678AF">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r>
      <w:tr w14:paraId="52F0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noWrap w:val="0"/>
            <w:vAlign w:val="center"/>
          </w:tcPr>
          <w:p w14:paraId="673EAAC8">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其他</w:t>
            </w:r>
          </w:p>
        </w:tc>
        <w:tc>
          <w:tcPr>
            <w:tcW w:w="1760" w:type="pct"/>
            <w:noWrap w:val="0"/>
            <w:vAlign w:val="center"/>
          </w:tcPr>
          <w:p w14:paraId="3F82AB02">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涉及危险物质使用、贮存的项目</w:t>
            </w:r>
          </w:p>
        </w:tc>
        <w:tc>
          <w:tcPr>
            <w:tcW w:w="694" w:type="pct"/>
            <w:noWrap w:val="0"/>
            <w:vAlign w:val="center"/>
          </w:tcPr>
          <w:p w14:paraId="41809390">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1260" w:type="pct"/>
            <w:noWrap w:val="0"/>
            <w:vAlign w:val="center"/>
          </w:tcPr>
          <w:p w14:paraId="7630C467">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液氯</w:t>
            </w:r>
            <w:r>
              <w:rPr>
                <w:rFonts w:hint="default" w:ascii="Times New Roman" w:hAnsi="Times New Roman" w:eastAsia="宋体" w:cs="Times New Roman"/>
                <w:color w:val="auto"/>
                <w:sz w:val="21"/>
                <w:szCs w:val="21"/>
                <w:highlight w:val="none"/>
                <w:lang w:val="en-US" w:eastAsia="zh-CN"/>
              </w:rPr>
              <w:t>使用</w:t>
            </w:r>
            <w:r>
              <w:rPr>
                <w:rFonts w:hint="eastAsia" w:cs="Times New Roman"/>
                <w:color w:val="auto"/>
                <w:sz w:val="21"/>
                <w:szCs w:val="21"/>
                <w:highlight w:val="none"/>
                <w:lang w:val="en-US" w:eastAsia="zh-CN"/>
              </w:rPr>
              <w:t>和储存</w:t>
            </w:r>
          </w:p>
        </w:tc>
        <w:tc>
          <w:tcPr>
            <w:tcW w:w="514" w:type="pct"/>
            <w:noWrap w:val="0"/>
            <w:vAlign w:val="center"/>
          </w:tcPr>
          <w:p w14:paraId="67DDED64">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r>
    </w:tbl>
    <w:p w14:paraId="5B44640A">
      <w:pPr>
        <w:rPr>
          <w:rFonts w:hint="eastAsia"/>
          <w:lang w:val="en-US" w:eastAsia="zh-CN"/>
        </w:rPr>
      </w:pPr>
    </w:p>
    <w:p w14:paraId="7D902512">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bookmarkStart w:id="50" w:name="_Toc4953"/>
      <w:bookmarkStart w:id="51" w:name="_Toc6481"/>
      <w:r>
        <w:rPr>
          <w:rFonts w:hint="default" w:ascii="Times New Roman" w:hAnsi="Times New Roman" w:cs="Times New Roman"/>
          <w:b/>
          <w:color w:val="auto"/>
          <w:sz w:val="28"/>
          <w:szCs w:val="28"/>
        </w:rPr>
        <w:t>3.2环境敏感目标调查</w:t>
      </w:r>
      <w:bookmarkEnd w:id="50"/>
      <w:bookmarkEnd w:id="51"/>
    </w:p>
    <w:p w14:paraId="1620668C">
      <w:pPr>
        <w:pStyle w:val="75"/>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根据《建设项目环境风险评价技术导则》（HJ169-2018）相关要求，通过对</w:t>
      </w:r>
      <w:r>
        <w:rPr>
          <w:rFonts w:hint="eastAsia" w:ascii="Times New Roman" w:hAnsi="Times New Roman" w:cs="Times New Roman"/>
          <w:color w:val="auto"/>
          <w:sz w:val="24"/>
          <w:szCs w:val="32"/>
          <w:lang w:val="en-US" w:eastAsia="zh-CN"/>
        </w:rPr>
        <w:t>项目环境风险</w:t>
      </w:r>
      <w:r>
        <w:rPr>
          <w:rFonts w:hint="default" w:ascii="Times New Roman" w:hAnsi="Times New Roman" w:cs="Times New Roman"/>
          <w:color w:val="auto"/>
          <w:sz w:val="24"/>
          <w:szCs w:val="32"/>
        </w:rPr>
        <w:t>评价范围内大气环境、地表水环境、地下水环境可能受影响的环境敏感目标进行调查。项目周围主要环境敏感目标分布情况详见下表。</w:t>
      </w:r>
    </w:p>
    <w:p w14:paraId="5C34777F">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表3-3  建设项目环境敏感特征表</w:t>
      </w:r>
    </w:p>
    <w:tbl>
      <w:tblPr>
        <w:tblStyle w:val="24"/>
        <w:tblW w:w="56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3"/>
        <w:gridCol w:w="596"/>
        <w:gridCol w:w="1765"/>
        <w:gridCol w:w="165"/>
        <w:gridCol w:w="421"/>
        <w:gridCol w:w="8"/>
        <w:gridCol w:w="968"/>
        <w:gridCol w:w="158"/>
        <w:gridCol w:w="784"/>
        <w:gridCol w:w="278"/>
        <w:gridCol w:w="720"/>
        <w:gridCol w:w="1346"/>
        <w:gridCol w:w="331"/>
        <w:gridCol w:w="1171"/>
        <w:gridCol w:w="15"/>
      </w:tblGrid>
      <w:tr w14:paraId="69F2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tcBorders>
              <w:top w:val="single" w:color="auto" w:sz="4" w:space="0"/>
              <w:left w:val="single" w:color="auto" w:sz="4" w:space="0"/>
              <w:bottom w:val="single" w:color="auto" w:sz="4" w:space="0"/>
              <w:right w:val="single" w:color="auto" w:sz="4" w:space="0"/>
            </w:tcBorders>
            <w:noWrap w:val="0"/>
            <w:vAlign w:val="center"/>
          </w:tcPr>
          <w:p w14:paraId="60A3F54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bidi="ar"/>
              </w:rPr>
              <w:t>类别</w:t>
            </w:r>
          </w:p>
        </w:tc>
        <w:tc>
          <w:tcPr>
            <w:tcW w:w="4641" w:type="pct"/>
            <w:gridSpan w:val="14"/>
            <w:tcBorders>
              <w:top w:val="single" w:color="auto" w:sz="4" w:space="0"/>
              <w:left w:val="single" w:color="auto" w:sz="4" w:space="0"/>
              <w:bottom w:val="single" w:color="auto" w:sz="4" w:space="0"/>
              <w:right w:val="single" w:color="auto" w:sz="4" w:space="0"/>
            </w:tcBorders>
            <w:noWrap w:val="0"/>
            <w:vAlign w:val="center"/>
          </w:tcPr>
          <w:p w14:paraId="2CDDD43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bidi="ar"/>
              </w:rPr>
              <w:t>环境敏感特征</w:t>
            </w:r>
          </w:p>
        </w:tc>
      </w:tr>
      <w:tr w14:paraId="7DFA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restart"/>
            <w:tcBorders>
              <w:top w:val="single" w:color="auto" w:sz="4" w:space="0"/>
              <w:left w:val="single" w:color="auto" w:sz="4" w:space="0"/>
              <w:right w:val="single" w:color="auto" w:sz="4" w:space="0"/>
            </w:tcBorders>
            <w:noWrap w:val="0"/>
            <w:vAlign w:val="center"/>
          </w:tcPr>
          <w:p w14:paraId="2D86158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环境</w:t>
            </w:r>
          </w:p>
          <w:p w14:paraId="2787F27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color w:val="auto"/>
                <w:sz w:val="21"/>
                <w:szCs w:val="21"/>
                <w:lang w:bidi="ar"/>
              </w:rPr>
            </w:pPr>
            <w:r>
              <w:rPr>
                <w:rFonts w:hint="default" w:ascii="Times New Roman" w:hAnsi="Times New Roman" w:cs="Times New Roman"/>
                <w:color w:val="auto"/>
                <w:sz w:val="21"/>
                <w:szCs w:val="21"/>
                <w:lang w:bidi="ar"/>
              </w:rPr>
              <w:t>空气</w:t>
            </w:r>
          </w:p>
        </w:tc>
        <w:tc>
          <w:tcPr>
            <w:tcW w:w="4641" w:type="pct"/>
            <w:gridSpan w:val="14"/>
            <w:tcBorders>
              <w:top w:val="single" w:color="auto" w:sz="4" w:space="0"/>
              <w:left w:val="single" w:color="auto" w:sz="4" w:space="0"/>
              <w:bottom w:val="single" w:color="auto" w:sz="4" w:space="0"/>
              <w:right w:val="single" w:color="auto" w:sz="4" w:space="0"/>
            </w:tcBorders>
            <w:noWrap w:val="0"/>
            <w:vAlign w:val="center"/>
          </w:tcPr>
          <w:p w14:paraId="74C195EC">
            <w:pPr>
              <w:keepNext w:val="0"/>
              <w:keepLines w:val="0"/>
              <w:pageBreakBefore w:val="0"/>
              <w:widowControl/>
              <w:kinsoku/>
              <w:wordWrap/>
              <w:overflowPunct/>
              <w:topLinePunct w:val="0"/>
              <w:autoSpaceDE/>
              <w:autoSpaceDN/>
              <w:bidi w:val="0"/>
              <w:snapToGrid w:val="0"/>
              <w:spacing w:line="240" w:lineRule="auto"/>
              <w:textAlignment w:val="auto"/>
              <w:rPr>
                <w:rFonts w:hint="default" w:ascii="Times New Roman" w:hAnsi="Times New Roman" w:cs="Times New Roman"/>
                <w:color w:val="auto"/>
                <w:sz w:val="21"/>
                <w:szCs w:val="21"/>
                <w:lang w:bidi="ar"/>
              </w:rPr>
            </w:pPr>
            <w:r>
              <w:rPr>
                <w:rFonts w:hint="default" w:ascii="Times New Roman" w:hAnsi="Times New Roman" w:cs="Times New Roman"/>
                <w:bCs/>
                <w:color w:val="auto"/>
                <w:sz w:val="21"/>
                <w:szCs w:val="21"/>
              </w:rPr>
              <w:t>厂址周边5km范围内</w:t>
            </w:r>
          </w:p>
        </w:tc>
      </w:tr>
      <w:tr w14:paraId="42F8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12F13B4E">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color w:val="auto"/>
                <w:sz w:val="21"/>
                <w:szCs w:val="21"/>
                <w:lang w:bidi="ar"/>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62A3020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val="0"/>
                <w:color w:val="auto"/>
                <w:sz w:val="21"/>
                <w:szCs w:val="21"/>
                <w:lang w:bidi="ar"/>
              </w:rPr>
            </w:pPr>
            <w:r>
              <w:rPr>
                <w:rFonts w:hint="default" w:ascii="Times New Roman" w:hAnsi="Times New Roman" w:cs="Times New Roman"/>
                <w:b/>
                <w:bCs w:val="0"/>
                <w:color w:val="auto"/>
                <w:sz w:val="21"/>
                <w:szCs w:val="21"/>
              </w:rPr>
              <w:t>序号</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1C1E7A4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val="0"/>
                <w:color w:val="auto"/>
                <w:sz w:val="21"/>
                <w:szCs w:val="21"/>
                <w:lang w:bidi="ar"/>
              </w:rPr>
            </w:pPr>
            <w:r>
              <w:rPr>
                <w:rFonts w:hint="default" w:ascii="Times New Roman" w:hAnsi="Times New Roman" w:cs="Times New Roman"/>
                <w:b/>
                <w:bCs w:val="0"/>
                <w:color w:val="auto"/>
                <w:sz w:val="21"/>
                <w:szCs w:val="21"/>
                <w:lang w:bidi="ar"/>
              </w:rPr>
              <w:t>敏感目标名称</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045E904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val="0"/>
                <w:color w:val="auto"/>
                <w:sz w:val="21"/>
                <w:szCs w:val="21"/>
                <w:lang w:bidi="ar"/>
              </w:rPr>
            </w:pPr>
            <w:r>
              <w:rPr>
                <w:rFonts w:hint="default" w:ascii="Times New Roman" w:hAnsi="Times New Roman" w:cs="Times New Roman"/>
                <w:b/>
                <w:bCs w:val="0"/>
                <w:color w:val="auto"/>
                <w:sz w:val="21"/>
                <w:szCs w:val="21"/>
                <w:lang w:bidi="ar"/>
              </w:rPr>
              <w:t>相对方位</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11A8DBA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val="0"/>
                <w:color w:val="auto"/>
                <w:sz w:val="21"/>
                <w:szCs w:val="21"/>
                <w:lang w:bidi="ar"/>
              </w:rPr>
            </w:pPr>
            <w:r>
              <w:rPr>
                <w:rFonts w:hint="default" w:ascii="Times New Roman" w:hAnsi="Times New Roman" w:cs="Times New Roman"/>
                <w:b/>
                <w:bCs w:val="0"/>
                <w:color w:val="auto"/>
                <w:sz w:val="21"/>
                <w:szCs w:val="21"/>
                <w:lang w:bidi="ar"/>
              </w:rPr>
              <w:t>距离m</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05823AE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val="0"/>
                <w:color w:val="auto"/>
                <w:sz w:val="21"/>
                <w:szCs w:val="21"/>
                <w:lang w:bidi="ar"/>
              </w:rPr>
            </w:pPr>
            <w:r>
              <w:rPr>
                <w:rFonts w:hint="default" w:ascii="Times New Roman" w:hAnsi="Times New Roman" w:cs="Times New Roman"/>
                <w:b/>
                <w:bCs w:val="0"/>
                <w:color w:val="auto"/>
                <w:sz w:val="21"/>
                <w:szCs w:val="21"/>
                <w:lang w:bidi="ar"/>
              </w:rPr>
              <w:t>属性</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63BCE40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
                <w:bCs w:val="0"/>
                <w:color w:val="auto"/>
                <w:sz w:val="21"/>
                <w:szCs w:val="21"/>
                <w:lang w:bidi="ar"/>
              </w:rPr>
            </w:pPr>
            <w:r>
              <w:rPr>
                <w:rFonts w:hint="default" w:ascii="Times New Roman" w:hAnsi="Times New Roman" w:cs="Times New Roman"/>
                <w:b/>
                <w:bCs w:val="0"/>
                <w:color w:val="auto"/>
                <w:sz w:val="21"/>
                <w:szCs w:val="21"/>
                <w:lang w:bidi="ar"/>
              </w:rPr>
              <w:t>人口数</w:t>
            </w:r>
          </w:p>
        </w:tc>
      </w:tr>
      <w:tr w14:paraId="75F4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5234C26A">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4BA3FC5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1</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2771B75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岳阳市第一中学</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6553A65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南/</w:t>
            </w:r>
            <w:r>
              <w:rPr>
                <w:rFonts w:hint="default" w:ascii="Times New Roman" w:hAnsi="Times New Roman" w:eastAsia="宋体" w:cs="Times New Roman"/>
                <w:i w:val="0"/>
                <w:iCs w:val="0"/>
                <w:color w:val="000000"/>
                <w:kern w:val="0"/>
                <w:sz w:val="21"/>
                <w:szCs w:val="21"/>
                <w:u w:val="none"/>
                <w:lang w:val="en-US" w:eastAsia="zh-CN" w:bidi="ar"/>
              </w:rPr>
              <w:t>东南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000F9FC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10~28</w:t>
            </w:r>
            <w:r>
              <w:rPr>
                <w:rFonts w:hint="default" w:ascii="Times New Roman" w:hAnsi="Times New Roman" w:cs="Times New Roman"/>
                <w:sz w:val="21"/>
                <w:szCs w:val="21"/>
                <w:lang w:val="en-US" w:eastAsia="zh-CN" w:bidi="ar"/>
              </w:rPr>
              <w:t>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7B9051F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0DC69BF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3500</w:t>
            </w:r>
            <w:r>
              <w:rPr>
                <w:rFonts w:hint="default" w:ascii="Times New Roman" w:hAnsi="Times New Roman" w:cs="Times New Roman"/>
                <w:bCs/>
                <w:sz w:val="21"/>
                <w:szCs w:val="21"/>
                <w:lang w:bidi="ar"/>
              </w:rPr>
              <w:t>人</w:t>
            </w:r>
          </w:p>
        </w:tc>
      </w:tr>
      <w:tr w14:paraId="2A0C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10A1BEEF">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34F7C94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2</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29BBF61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原3517职工家属区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0AAB625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东/东</w:t>
            </w: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385ECAA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Times New Roman"/>
                <w:kern w:val="2"/>
                <w:sz w:val="21"/>
                <w:szCs w:val="21"/>
                <w:lang w:val="en-US" w:eastAsia="zh-CN" w:bidi="ar"/>
              </w:rPr>
              <w:t>1</w:t>
            </w:r>
            <w:r>
              <w:rPr>
                <w:rFonts w:hint="default" w:ascii="Times New Roman" w:hAnsi="Times New Roman" w:eastAsia="宋体" w:cs="Times New Roman"/>
                <w:kern w:val="2"/>
                <w:sz w:val="21"/>
                <w:szCs w:val="21"/>
                <w:lang w:val="en-US" w:eastAsia="zh-CN" w:bidi="ar"/>
              </w:rPr>
              <w:t>0</w:t>
            </w:r>
            <w:r>
              <w:rPr>
                <w:rFonts w:hint="eastAsia" w:ascii="Times New Roman" w:hAnsi="Times New Roman" w:eastAsia="宋体" w:cs="Times New Roman"/>
                <w:kern w:val="2"/>
                <w:sz w:val="21"/>
                <w:szCs w:val="21"/>
                <w:lang w:val="en-US" w:eastAsia="zh-CN" w:bidi="ar"/>
              </w:rPr>
              <w:t>~500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642C0A1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居住区</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3FBF3C7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8000</w:t>
            </w:r>
            <w:r>
              <w:rPr>
                <w:rFonts w:hint="default" w:ascii="Times New Roman" w:hAnsi="Times New Roman" w:cs="Times New Roman"/>
                <w:bCs/>
                <w:sz w:val="21"/>
                <w:szCs w:val="21"/>
                <w:lang w:bidi="ar"/>
              </w:rPr>
              <w:t>人</w:t>
            </w:r>
          </w:p>
        </w:tc>
      </w:tr>
      <w:tr w14:paraId="022C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 w:hRule="atLeast"/>
          <w:jc w:val="center"/>
        </w:trPr>
        <w:tc>
          <w:tcPr>
            <w:tcW w:w="358" w:type="pct"/>
            <w:vMerge w:val="continue"/>
            <w:tcBorders>
              <w:left w:val="single" w:color="auto" w:sz="4" w:space="0"/>
              <w:right w:val="single" w:color="auto" w:sz="4" w:space="0"/>
            </w:tcBorders>
            <w:noWrap w:val="0"/>
            <w:vAlign w:val="center"/>
          </w:tcPr>
          <w:p w14:paraId="4E208523">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57B180E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3</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65F89EE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东洞庭湖管理局家属区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7F6A8A3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西</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76C6B68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30~</w:t>
            </w:r>
            <w:r>
              <w:rPr>
                <w:rFonts w:hint="default" w:ascii="Times New Roman" w:hAnsi="Times New Roman" w:cs="Times New Roman"/>
                <w:sz w:val="21"/>
                <w:szCs w:val="21"/>
                <w:lang w:val="en-US" w:eastAsia="zh-CN" w:bidi="ar"/>
              </w:rPr>
              <w:t>80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1CE657C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行政办公/居住</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195674F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15</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5E43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 w:hRule="atLeast"/>
          <w:jc w:val="center"/>
        </w:trPr>
        <w:tc>
          <w:tcPr>
            <w:tcW w:w="358" w:type="pct"/>
            <w:vMerge w:val="continue"/>
            <w:tcBorders>
              <w:left w:val="single" w:color="auto" w:sz="4" w:space="0"/>
              <w:right w:val="single" w:color="auto" w:sz="4" w:space="0"/>
            </w:tcBorders>
            <w:noWrap w:val="0"/>
            <w:vAlign w:val="center"/>
          </w:tcPr>
          <w:p w14:paraId="66D33E64">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01A723B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4</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53E9C9E">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青年堤幼儿园</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28525E6">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东南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1C4E0E3">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460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ED6B424">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幼儿教育学校</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5D8138E">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cs="Times New Roman" w:eastAsiaTheme="minorEastAsia"/>
                <w:kern w:val="2"/>
                <w:sz w:val="21"/>
                <w:szCs w:val="21"/>
                <w:lang w:val="en-US" w:eastAsia="zh-CN" w:bidi="ar"/>
              </w:rPr>
            </w:pPr>
            <w:r>
              <w:rPr>
                <w:rFonts w:hint="eastAsia" w:ascii="Times New Roman" w:hAnsi="Times New Roman" w:cs="Times New Roman"/>
                <w:sz w:val="21"/>
                <w:szCs w:val="21"/>
                <w:lang w:val="en-US" w:eastAsia="zh-CN" w:bidi="ar"/>
              </w:rPr>
              <w:t>35</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689C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3DE49795">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64432C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5</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3EF891F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岳阳楼景区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593252E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7EEA824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370~920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239FD30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旅游商业区</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593E4B3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5</w:t>
            </w:r>
            <w:r>
              <w:rPr>
                <w:rFonts w:hint="default" w:ascii="Times New Roman" w:hAnsi="Times New Roman" w:cs="Times New Roman"/>
                <w:sz w:val="21"/>
                <w:szCs w:val="21"/>
                <w:lang w:val="en-US" w:eastAsia="zh-CN" w:bidi="ar"/>
              </w:rPr>
              <w:t>00</w:t>
            </w:r>
            <w:r>
              <w:rPr>
                <w:rFonts w:hint="default" w:ascii="Times New Roman" w:hAnsi="Times New Roman" w:cs="Times New Roman"/>
                <w:bCs/>
                <w:sz w:val="21"/>
                <w:szCs w:val="21"/>
                <w:lang w:bidi="ar"/>
              </w:rPr>
              <w:t>人</w:t>
            </w:r>
          </w:p>
        </w:tc>
      </w:tr>
      <w:tr w14:paraId="7E13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37868755">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E86EF6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6</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5B3FF2BC">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际华·蓓蕾幼儿园</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D1B6181">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东南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140ED567">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default" w:ascii="Times New Roman" w:hAnsi="Times New Roman" w:cs="Times New Roman"/>
                <w:kern w:val="2"/>
                <w:sz w:val="21"/>
                <w:szCs w:val="21"/>
                <w:lang w:val="en-US" w:eastAsia="zh-CN" w:bidi="ar"/>
              </w:rPr>
              <w:t>4</w:t>
            </w:r>
            <w:r>
              <w:rPr>
                <w:rFonts w:hint="eastAsia" w:ascii="Times New Roman" w:hAnsi="Times New Roman" w:cs="Times New Roman"/>
                <w:kern w:val="2"/>
                <w:sz w:val="21"/>
                <w:szCs w:val="21"/>
                <w:lang w:val="en-US" w:eastAsia="zh-CN" w:bidi="ar"/>
              </w:rPr>
              <w:t>5</w:t>
            </w:r>
            <w:r>
              <w:rPr>
                <w:rFonts w:hint="default" w:ascii="Times New Roman" w:hAnsi="Times New Roman" w:cs="Times New Roman"/>
                <w:kern w:val="2"/>
                <w:sz w:val="21"/>
                <w:szCs w:val="21"/>
                <w:lang w:val="en-US" w:eastAsia="zh-CN" w:bidi="ar"/>
              </w:rPr>
              <w:t>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63FF894">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幼儿教育学校</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1E3BB46F">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cs="Times New Roman"/>
                <w:sz w:val="21"/>
                <w:szCs w:val="21"/>
                <w:lang w:val="en-US" w:eastAsia="zh-CN" w:bidi="ar"/>
              </w:rPr>
            </w:pPr>
            <w:r>
              <w:rPr>
                <w:rFonts w:hint="eastAsia" w:ascii="Times New Roman" w:hAnsi="Times New Roman" w:cs="Times New Roman"/>
                <w:sz w:val="21"/>
                <w:szCs w:val="21"/>
                <w:lang w:val="en-US" w:eastAsia="zh-CN" w:bidi="ar"/>
              </w:rPr>
              <w:t>35</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6B0E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5D972343">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32E95A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7</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3EF2397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岳阳楼-君山景区管委会</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0246426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357C641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660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1401062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行政办公</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1F77BE5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50</w:t>
            </w:r>
            <w:r>
              <w:rPr>
                <w:rFonts w:hint="default" w:ascii="Times New Roman" w:hAnsi="Times New Roman" w:cs="Times New Roman"/>
                <w:bCs/>
                <w:sz w:val="21"/>
                <w:szCs w:val="21"/>
                <w:lang w:bidi="ar"/>
              </w:rPr>
              <w:t>人</w:t>
            </w:r>
          </w:p>
        </w:tc>
      </w:tr>
      <w:tr w14:paraId="40DE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253B4624">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212A96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8</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230D977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岳阳楼小学</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10BD572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3820B52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800~940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7995C63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14F7E91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23</w:t>
            </w:r>
            <w:r>
              <w:rPr>
                <w:rFonts w:hint="default" w:ascii="Times New Roman" w:hAnsi="Times New Roman" w:cs="Times New Roman"/>
                <w:sz w:val="21"/>
                <w:szCs w:val="21"/>
                <w:lang w:val="en-US" w:eastAsia="zh-CN" w:bidi="ar"/>
              </w:rPr>
              <w:t>00</w:t>
            </w:r>
            <w:r>
              <w:rPr>
                <w:rFonts w:hint="default" w:ascii="Times New Roman" w:hAnsi="Times New Roman" w:cs="Times New Roman"/>
                <w:bCs/>
                <w:sz w:val="21"/>
                <w:szCs w:val="21"/>
                <w:lang w:bidi="ar"/>
              </w:rPr>
              <w:t>人</w:t>
            </w:r>
          </w:p>
        </w:tc>
      </w:tr>
      <w:tr w14:paraId="4E45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4BF1AC2D">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4FB86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9</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D02D902">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九华山小学</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CCE305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东</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D4C67E2">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kern w:val="2"/>
                <w:sz w:val="21"/>
                <w:szCs w:val="21"/>
                <w:lang w:val="en-US" w:eastAsia="zh-CN" w:bidi="ar"/>
              </w:rPr>
              <w:t>85</w:t>
            </w:r>
            <w:r>
              <w:rPr>
                <w:rFonts w:hint="default" w:ascii="Times New Roman" w:hAnsi="Times New Roman" w:cs="Times New Roman"/>
                <w:kern w:val="2"/>
                <w:sz w:val="21"/>
                <w:szCs w:val="21"/>
                <w:lang w:val="en-US" w:eastAsia="zh-CN" w:bidi="ar"/>
              </w:rPr>
              <w:t>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37078F5">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C075472">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60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7F8F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5DD52270">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83408C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10</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E16A0F1">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洞庭湖学校</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106E77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东南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1A7CEDF">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950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E2BB449">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E99E32E">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42</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01A6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0106B035">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D7F08F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11</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0C7E18C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市机关二幼儿园</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4350A3E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3ABA4E3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940~1050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4ACB4B1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449C417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6</w:t>
            </w:r>
            <w:r>
              <w:rPr>
                <w:rFonts w:hint="default" w:ascii="Times New Roman" w:hAnsi="Times New Roman" w:cs="Times New Roman"/>
                <w:sz w:val="21"/>
                <w:szCs w:val="21"/>
                <w:lang w:val="en-US" w:eastAsia="zh-CN" w:bidi="ar"/>
              </w:rPr>
              <w:t>00</w:t>
            </w:r>
            <w:r>
              <w:rPr>
                <w:rFonts w:hint="default" w:ascii="Times New Roman" w:hAnsi="Times New Roman" w:cs="Times New Roman"/>
                <w:bCs/>
                <w:sz w:val="21"/>
                <w:szCs w:val="21"/>
                <w:lang w:bidi="ar"/>
              </w:rPr>
              <w:t>人</w:t>
            </w:r>
          </w:p>
        </w:tc>
      </w:tr>
      <w:tr w14:paraId="7A6F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62ED6487">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FD597E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12</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104C868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郭亮社区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534A583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7A4D864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1</w:t>
            </w:r>
            <w:r>
              <w:rPr>
                <w:rFonts w:hint="eastAsia" w:ascii="Times New Roman" w:hAnsi="Times New Roman" w:cs="Times New Roman"/>
                <w:sz w:val="21"/>
                <w:szCs w:val="21"/>
                <w:lang w:val="en-US" w:eastAsia="zh-CN" w:bidi="ar"/>
              </w:rPr>
              <w:t>100~1500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780BE98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居住区</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5BC25B6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3800</w:t>
            </w:r>
            <w:r>
              <w:rPr>
                <w:rFonts w:hint="default" w:ascii="Times New Roman" w:hAnsi="Times New Roman" w:cs="Times New Roman"/>
                <w:bCs/>
                <w:sz w:val="21"/>
                <w:szCs w:val="21"/>
                <w:lang w:bidi="ar"/>
              </w:rPr>
              <w:t>人</w:t>
            </w:r>
          </w:p>
        </w:tc>
      </w:tr>
      <w:tr w14:paraId="105B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0CE4FE91">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7E7433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13</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621D629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岳阳市第二中学</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24F9E4D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东南</w:t>
            </w: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1610DE4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1100~1400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145BAD5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23CA666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24</w:t>
            </w:r>
            <w:r>
              <w:rPr>
                <w:rFonts w:hint="default" w:ascii="Times New Roman" w:hAnsi="Times New Roman" w:cs="Times New Roman"/>
                <w:sz w:val="21"/>
                <w:szCs w:val="21"/>
                <w:lang w:val="en-US" w:eastAsia="zh-CN" w:bidi="ar"/>
              </w:rPr>
              <w:t>00</w:t>
            </w:r>
            <w:r>
              <w:rPr>
                <w:rFonts w:hint="default" w:ascii="Times New Roman" w:hAnsi="Times New Roman" w:cs="Times New Roman"/>
                <w:bCs/>
                <w:sz w:val="21"/>
                <w:szCs w:val="21"/>
                <w:lang w:bidi="ar"/>
              </w:rPr>
              <w:t>人</w:t>
            </w:r>
          </w:p>
        </w:tc>
      </w:tr>
      <w:tr w14:paraId="7EA0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67A4F870">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127CE1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14</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30EC0E9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庙前街社区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4E64CD1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东南</w:t>
            </w: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7E12773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1100~1500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4BA5A3D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居民区</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1E62E26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15</w:t>
            </w:r>
            <w:r>
              <w:rPr>
                <w:rFonts w:hint="default" w:ascii="Times New Roman" w:hAnsi="Times New Roman" w:cs="Times New Roman"/>
                <w:sz w:val="21"/>
                <w:szCs w:val="21"/>
                <w:lang w:val="en-US" w:eastAsia="zh-CN" w:bidi="ar"/>
              </w:rPr>
              <w:t>00</w:t>
            </w:r>
            <w:r>
              <w:rPr>
                <w:rFonts w:hint="default" w:ascii="Times New Roman" w:hAnsi="Times New Roman" w:cs="Times New Roman"/>
                <w:bCs/>
                <w:sz w:val="21"/>
                <w:szCs w:val="21"/>
                <w:lang w:bidi="ar"/>
              </w:rPr>
              <w:t>人</w:t>
            </w:r>
          </w:p>
        </w:tc>
      </w:tr>
      <w:tr w14:paraId="74D1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 w:hRule="atLeast"/>
          <w:jc w:val="center"/>
        </w:trPr>
        <w:tc>
          <w:tcPr>
            <w:tcW w:w="358" w:type="pct"/>
            <w:vMerge w:val="continue"/>
            <w:tcBorders>
              <w:left w:val="single" w:color="auto" w:sz="4" w:space="0"/>
              <w:right w:val="single" w:color="auto" w:sz="4" w:space="0"/>
            </w:tcBorders>
            <w:noWrap w:val="0"/>
            <w:vAlign w:val="center"/>
          </w:tcPr>
          <w:p w14:paraId="377BB1B8">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E86738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15</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5C228CE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桥西小学</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0B97183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东南</w:t>
            </w: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165AFE3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1500~1580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1047996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1264377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65</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20D0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3CAFEDB7">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8878C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16</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37F21FB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洞庭书香苑小区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6B1B358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390D75F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10~130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C5290C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居民区</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EE4021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5</w:t>
            </w:r>
            <w:r>
              <w:rPr>
                <w:rFonts w:hint="default" w:ascii="Times New Roman" w:hAnsi="Times New Roman" w:cs="Times New Roman"/>
                <w:sz w:val="21"/>
                <w:szCs w:val="21"/>
                <w:lang w:val="en-US" w:eastAsia="zh-CN" w:bidi="ar"/>
              </w:rPr>
              <w:t>00</w:t>
            </w:r>
            <w:r>
              <w:rPr>
                <w:rFonts w:hint="default" w:ascii="Times New Roman" w:hAnsi="Times New Roman" w:cs="Times New Roman"/>
                <w:bCs/>
                <w:sz w:val="21"/>
                <w:szCs w:val="21"/>
                <w:lang w:bidi="ar"/>
              </w:rPr>
              <w:t>人</w:t>
            </w:r>
          </w:p>
        </w:tc>
      </w:tr>
      <w:tr w14:paraId="457D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 w:hRule="atLeast"/>
          <w:jc w:val="center"/>
        </w:trPr>
        <w:tc>
          <w:tcPr>
            <w:tcW w:w="358" w:type="pct"/>
            <w:vMerge w:val="continue"/>
            <w:tcBorders>
              <w:left w:val="single" w:color="auto" w:sz="4" w:space="0"/>
              <w:right w:val="single" w:color="auto" w:sz="4" w:space="0"/>
            </w:tcBorders>
            <w:noWrap w:val="0"/>
            <w:vAlign w:val="center"/>
          </w:tcPr>
          <w:p w14:paraId="53E001D7">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F21BAD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17</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69FEB81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九华北门新区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4DD04F1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东北北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4281BA0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280~640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76AE7F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居民区</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FF1689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35</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6F53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0049BC98">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B2D44B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18</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0031829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highlight w:val="none"/>
                <w:lang w:val="en-US" w:eastAsia="zh-CN" w:bidi="ar"/>
              </w:rPr>
            </w:pPr>
            <w:r>
              <w:rPr>
                <w:rFonts w:hint="eastAsia" w:ascii="Times New Roman" w:hAnsi="Times New Roman" w:eastAsia="宋体" w:cs="Times New Roman"/>
                <w:kern w:val="2"/>
                <w:sz w:val="21"/>
                <w:szCs w:val="21"/>
                <w:highlight w:val="none"/>
                <w:lang w:val="en-US" w:eastAsia="zh-CN" w:bidi="ar"/>
              </w:rPr>
              <w:t>金茂洞庭生态新城‌</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02B47C2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highlight w:val="none"/>
                <w:lang w:val="en-US" w:eastAsia="zh-CN" w:bidi="ar"/>
              </w:rPr>
            </w:pPr>
            <w:r>
              <w:rPr>
                <w:rFonts w:hint="eastAsia" w:ascii="Times New Roman" w:hAnsi="Times New Roman" w:eastAsia="宋体" w:cs="Times New Roman"/>
                <w:kern w:val="2"/>
                <w:sz w:val="21"/>
                <w:szCs w:val="21"/>
                <w:highlight w:val="none"/>
                <w:lang w:val="en-US" w:eastAsia="zh-CN" w:bidi="ar"/>
              </w:rPr>
              <w:t>东北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0A311D7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highlight w:val="none"/>
                <w:lang w:val="en-US" w:eastAsia="zh-CN" w:bidi="ar"/>
              </w:rPr>
            </w:pPr>
            <w:r>
              <w:rPr>
                <w:rFonts w:hint="eastAsia" w:ascii="Times New Roman" w:hAnsi="Times New Roman" w:eastAsia="宋体" w:cs="Times New Roman"/>
                <w:kern w:val="2"/>
                <w:sz w:val="21"/>
                <w:szCs w:val="21"/>
                <w:highlight w:val="none"/>
                <w:lang w:val="en-US" w:eastAsia="zh-CN" w:bidi="ar"/>
              </w:rPr>
              <w:t>330~1250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251B66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highlight w:val="none"/>
                <w:lang w:val="en-US" w:eastAsia="zh-CN" w:bidi="ar"/>
              </w:rPr>
            </w:pPr>
            <w:r>
              <w:rPr>
                <w:rFonts w:hint="default" w:ascii="Times New Roman" w:hAnsi="Times New Roman" w:cs="Times New Roman"/>
                <w:sz w:val="21"/>
                <w:szCs w:val="21"/>
                <w:highlight w:val="none"/>
                <w:lang w:val="en-US" w:eastAsia="zh-CN" w:bidi="ar"/>
              </w:rPr>
              <w:t>居民区</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7B182F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highlight w:val="none"/>
                <w:lang w:val="en-US" w:eastAsia="zh-CN" w:bidi="ar"/>
              </w:rPr>
            </w:pPr>
            <w:r>
              <w:rPr>
                <w:rFonts w:hint="eastAsia" w:ascii="Times New Roman" w:hAnsi="Times New Roman" w:cs="Times New Roman"/>
                <w:sz w:val="21"/>
                <w:szCs w:val="21"/>
                <w:highlight w:val="none"/>
                <w:lang w:val="en-US" w:eastAsia="zh-CN" w:bidi="ar"/>
              </w:rPr>
              <w:t>300</w:t>
            </w:r>
            <w:r>
              <w:rPr>
                <w:rFonts w:hint="default" w:ascii="Times New Roman" w:hAnsi="Times New Roman" w:cs="Times New Roman"/>
                <w:sz w:val="21"/>
                <w:szCs w:val="21"/>
                <w:highlight w:val="none"/>
                <w:lang w:val="en-US" w:eastAsia="zh-CN" w:bidi="ar"/>
              </w:rPr>
              <w:t>0</w:t>
            </w:r>
            <w:r>
              <w:rPr>
                <w:rFonts w:hint="default" w:ascii="Times New Roman" w:hAnsi="Times New Roman" w:cs="Times New Roman"/>
                <w:bCs/>
                <w:sz w:val="21"/>
                <w:szCs w:val="21"/>
                <w:highlight w:val="none"/>
                <w:lang w:bidi="ar"/>
              </w:rPr>
              <w:t>人</w:t>
            </w:r>
          </w:p>
        </w:tc>
      </w:tr>
      <w:tr w14:paraId="44EA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6B087097">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1D8BA3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19</w:t>
            </w:r>
          </w:p>
        </w:tc>
        <w:tc>
          <w:tcPr>
            <w:tcW w:w="1251" w:type="pct"/>
            <w:gridSpan w:val="3"/>
            <w:tcBorders>
              <w:top w:val="single" w:color="auto" w:sz="4" w:space="0"/>
              <w:left w:val="single" w:color="auto" w:sz="4" w:space="0"/>
              <w:bottom w:val="single" w:color="auto" w:sz="4" w:space="0"/>
              <w:right w:val="single" w:color="auto" w:sz="4" w:space="0"/>
            </w:tcBorders>
            <w:noWrap w:val="0"/>
            <w:vAlign w:val="center"/>
          </w:tcPr>
          <w:p w14:paraId="1601FD7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花都市场</w:t>
            </w:r>
          </w:p>
        </w:tc>
        <w:tc>
          <w:tcPr>
            <w:tcW w:w="519" w:type="pct"/>
            <w:gridSpan w:val="2"/>
            <w:tcBorders>
              <w:top w:val="single" w:color="auto" w:sz="4" w:space="0"/>
              <w:left w:val="single" w:color="auto" w:sz="4" w:space="0"/>
              <w:bottom w:val="single" w:color="auto" w:sz="4" w:space="0"/>
              <w:right w:val="single" w:color="auto" w:sz="4" w:space="0"/>
            </w:tcBorders>
            <w:noWrap w:val="0"/>
            <w:vAlign w:val="center"/>
          </w:tcPr>
          <w:p w14:paraId="232B58F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东北</w:t>
            </w:r>
          </w:p>
        </w:tc>
        <w:tc>
          <w:tcPr>
            <w:tcW w:w="649" w:type="pct"/>
            <w:gridSpan w:val="3"/>
            <w:tcBorders>
              <w:top w:val="single" w:color="auto" w:sz="4" w:space="0"/>
              <w:left w:val="single" w:color="auto" w:sz="4" w:space="0"/>
              <w:bottom w:val="single" w:color="auto" w:sz="4" w:space="0"/>
              <w:right w:val="single" w:color="auto" w:sz="4" w:space="0"/>
            </w:tcBorders>
            <w:noWrap w:val="0"/>
            <w:vAlign w:val="center"/>
          </w:tcPr>
          <w:p w14:paraId="75E1B06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1450~1700</w:t>
            </w:r>
          </w:p>
        </w:tc>
        <w:tc>
          <w:tcPr>
            <w:tcW w:w="1270" w:type="pct"/>
            <w:gridSpan w:val="3"/>
            <w:tcBorders>
              <w:top w:val="single" w:color="auto" w:sz="4" w:space="0"/>
              <w:left w:val="single" w:color="auto" w:sz="4" w:space="0"/>
              <w:bottom w:val="single" w:color="auto" w:sz="4" w:space="0"/>
              <w:right w:val="single" w:color="auto" w:sz="4" w:space="0"/>
            </w:tcBorders>
            <w:noWrap w:val="0"/>
            <w:vAlign w:val="center"/>
          </w:tcPr>
          <w:p w14:paraId="43C14F3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商业</w:t>
            </w:r>
            <w:r>
              <w:rPr>
                <w:rFonts w:hint="default" w:ascii="Times New Roman" w:hAnsi="Times New Roman" w:cs="Times New Roman"/>
                <w:sz w:val="21"/>
                <w:szCs w:val="21"/>
                <w:lang w:val="en-US" w:eastAsia="zh-CN" w:bidi="ar"/>
              </w:rPr>
              <w:t>区</w:t>
            </w: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14:paraId="3B576FE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w:t>
            </w:r>
            <w:r>
              <w:rPr>
                <w:rFonts w:hint="default" w:ascii="Times New Roman" w:hAnsi="Times New Roman" w:cs="Times New Roman"/>
                <w:sz w:val="21"/>
                <w:szCs w:val="21"/>
                <w:lang w:val="en-US" w:eastAsia="zh-CN" w:bidi="ar"/>
              </w:rPr>
              <w:t>00</w:t>
            </w:r>
            <w:r>
              <w:rPr>
                <w:rFonts w:hint="default" w:ascii="Times New Roman" w:hAnsi="Times New Roman" w:cs="Times New Roman"/>
                <w:bCs/>
                <w:sz w:val="21"/>
                <w:szCs w:val="21"/>
                <w:lang w:bidi="ar"/>
              </w:rPr>
              <w:t>人</w:t>
            </w:r>
          </w:p>
        </w:tc>
      </w:tr>
      <w:tr w14:paraId="5CF9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177C6CB2">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46CB48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20</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F1060A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岳阳市第三中学</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32E45D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西南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5A5D6C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2000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76B294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BAAC7B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100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7693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4E09C5DA">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ED36EF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21</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1F2FF6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岳阳市中心医院</w:t>
            </w:r>
          </w:p>
          <w:p w14:paraId="1C8DC27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Times New Roman"/>
                <w:kern w:val="2"/>
                <w:sz w:val="21"/>
                <w:szCs w:val="21"/>
                <w:lang w:val="en-US" w:eastAsia="zh-CN" w:bidi="ar"/>
              </w:rPr>
              <w:t>东茅岭</w:t>
            </w:r>
            <w:r>
              <w:rPr>
                <w:rFonts w:hint="default" w:ascii="Times New Roman" w:hAnsi="Times New Roman" w:eastAsia="宋体" w:cs="Times New Roman"/>
                <w:kern w:val="2"/>
                <w:sz w:val="21"/>
                <w:szCs w:val="21"/>
                <w:lang w:val="en-US" w:eastAsia="zh-CN" w:bidi="ar"/>
              </w:rPr>
              <w:t>区</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5B08D8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东南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B67E3C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2100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7B8887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医院</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8BB2BF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120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51B4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3C4A046B">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E7B492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22</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92ADE9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青年路小学</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B52190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东南南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18DE231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22</w:t>
            </w: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Times New Roman"/>
                <w:kern w:val="2"/>
                <w:sz w:val="21"/>
                <w:szCs w:val="21"/>
                <w:lang w:val="en-US" w:eastAsia="zh-CN" w:bidi="ar"/>
              </w:rPr>
              <w:t>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53D33A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学校</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DFAFB1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120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15B2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00F8BAB6">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EF08D1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23</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F32A2F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岳阳楼区洞庭街道</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0AD307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东</w:t>
            </w:r>
            <w:r>
              <w:rPr>
                <w:rFonts w:hint="eastAsia" w:ascii="Times New Roman" w:hAnsi="Times New Roman" w:eastAsia="宋体" w:cs="Times New Roman"/>
                <w:kern w:val="2"/>
                <w:sz w:val="21"/>
                <w:szCs w:val="21"/>
                <w:lang w:val="en-US" w:eastAsia="zh-CN" w:bidi="ar"/>
              </w:rPr>
              <w:t>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4ED388B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1000~3200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AC0BB6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strike/>
                <w:dstrike w:val="0"/>
                <w:kern w:val="2"/>
                <w:sz w:val="21"/>
                <w:szCs w:val="21"/>
                <w:lang w:val="en-US" w:eastAsia="zh-CN" w:bidi="ar"/>
              </w:rPr>
            </w:pPr>
            <w:r>
              <w:rPr>
                <w:rFonts w:hint="default" w:ascii="Times New Roman" w:hAnsi="Times New Roman" w:cs="Times New Roman"/>
                <w:sz w:val="21"/>
                <w:szCs w:val="21"/>
                <w:lang w:val="en-US" w:eastAsia="zh-CN" w:bidi="ar"/>
              </w:rPr>
              <w:t>居民区,社区</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0662CF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strike/>
                <w:dstrike w:val="0"/>
                <w:kern w:val="2"/>
                <w:sz w:val="21"/>
                <w:szCs w:val="21"/>
                <w:lang w:val="en-US" w:eastAsia="zh-CN" w:bidi="ar"/>
              </w:rPr>
            </w:pPr>
            <w:r>
              <w:rPr>
                <w:rFonts w:hint="eastAsia" w:ascii="Times New Roman" w:hAnsi="Times New Roman" w:cs="Times New Roman"/>
                <w:sz w:val="21"/>
                <w:szCs w:val="21"/>
                <w:lang w:val="en-US" w:eastAsia="zh-CN" w:bidi="ar"/>
              </w:rPr>
              <w:t>730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2891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1F85244D">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F331DC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24</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A3756D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岳阳楼区枫桥湖街道</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1FD7A3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东</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EE4FFD5">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1100~3300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05C3DF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strike/>
                <w:dstrike w:val="0"/>
                <w:kern w:val="2"/>
                <w:sz w:val="21"/>
                <w:szCs w:val="21"/>
                <w:lang w:val="en-US" w:eastAsia="zh-CN" w:bidi="ar"/>
              </w:rPr>
            </w:pPr>
            <w:r>
              <w:rPr>
                <w:rFonts w:hint="default" w:ascii="Times New Roman" w:hAnsi="Times New Roman" w:cs="Times New Roman"/>
                <w:sz w:val="21"/>
                <w:szCs w:val="21"/>
                <w:lang w:val="en-US" w:eastAsia="zh-CN" w:bidi="ar"/>
              </w:rPr>
              <w:t>居民区,社区</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7CD51F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strike/>
                <w:dstrike w:val="0"/>
                <w:kern w:val="2"/>
                <w:sz w:val="21"/>
                <w:szCs w:val="21"/>
                <w:lang w:val="en-US" w:eastAsia="zh-CN" w:bidi="ar"/>
              </w:rPr>
            </w:pPr>
            <w:r>
              <w:rPr>
                <w:rFonts w:hint="eastAsia" w:ascii="Times New Roman" w:hAnsi="Times New Roman" w:cs="Times New Roman"/>
                <w:sz w:val="21"/>
                <w:szCs w:val="21"/>
                <w:lang w:val="en-US" w:eastAsia="zh-CN" w:bidi="ar"/>
              </w:rPr>
              <w:t>3500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0F02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8" w:type="pct"/>
            <w:vMerge w:val="continue"/>
            <w:tcBorders>
              <w:left w:val="single" w:color="auto" w:sz="4" w:space="0"/>
              <w:right w:val="single" w:color="auto" w:sz="4" w:space="0"/>
            </w:tcBorders>
            <w:noWrap w:val="0"/>
            <w:vAlign w:val="center"/>
          </w:tcPr>
          <w:p w14:paraId="0CD5A78D">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C00B1F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25</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59C848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岳阳楼区吕仙亭街道</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9913086">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1D853A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1600~2100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C2D7AA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居民区,社区</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742F22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3400</w:t>
            </w:r>
            <w:r>
              <w:rPr>
                <w:rFonts w:hint="default" w:ascii="Times New Roman" w:hAnsi="Times New Roman" w:cs="Times New Roman"/>
                <w:sz w:val="21"/>
                <w:szCs w:val="21"/>
                <w:lang w:val="en-US" w:eastAsia="zh-CN" w:bidi="ar"/>
              </w:rPr>
              <w:t>0</w:t>
            </w:r>
            <w:r>
              <w:rPr>
                <w:rFonts w:hint="default" w:ascii="Times New Roman" w:hAnsi="Times New Roman" w:cs="Times New Roman"/>
                <w:bCs/>
                <w:sz w:val="21"/>
                <w:szCs w:val="21"/>
                <w:lang w:bidi="ar"/>
              </w:rPr>
              <w:t>人</w:t>
            </w:r>
          </w:p>
        </w:tc>
      </w:tr>
      <w:tr w14:paraId="492D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58" w:type="pct"/>
            <w:vMerge w:val="continue"/>
            <w:tcBorders>
              <w:left w:val="single" w:color="auto" w:sz="4" w:space="0"/>
              <w:right w:val="single" w:color="auto" w:sz="4" w:space="0"/>
            </w:tcBorders>
            <w:noWrap w:val="0"/>
            <w:vAlign w:val="center"/>
          </w:tcPr>
          <w:p w14:paraId="72B2E1B9">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3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BBB9C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26</w:t>
            </w:r>
          </w:p>
        </w:tc>
        <w:tc>
          <w:tcPr>
            <w:tcW w:w="1251"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3B36F0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岳阳楼区东茅岭街道</w:t>
            </w:r>
          </w:p>
        </w:tc>
        <w:tc>
          <w:tcPr>
            <w:tcW w:w="519"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341FE2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东</w:t>
            </w:r>
            <w:r>
              <w:rPr>
                <w:rFonts w:hint="default" w:ascii="Times New Roman" w:hAnsi="Times New Roman" w:cs="Times New Roman"/>
                <w:sz w:val="21"/>
                <w:szCs w:val="21"/>
                <w:lang w:val="en-US" w:eastAsia="zh-CN" w:bidi="ar"/>
              </w:rPr>
              <w:t>南</w:t>
            </w:r>
          </w:p>
        </w:tc>
        <w:tc>
          <w:tcPr>
            <w:tcW w:w="649"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C1B22B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1800~2000</w:t>
            </w:r>
          </w:p>
        </w:tc>
        <w:tc>
          <w:tcPr>
            <w:tcW w:w="1270" w:type="pct"/>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E613EE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居民区,社区</w:t>
            </w:r>
          </w:p>
        </w:tc>
        <w:tc>
          <w:tcPr>
            <w:tcW w:w="632"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883333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50000</w:t>
            </w:r>
            <w:r>
              <w:rPr>
                <w:rFonts w:hint="default" w:ascii="Times New Roman" w:hAnsi="Times New Roman" w:cs="Times New Roman"/>
                <w:bCs/>
                <w:sz w:val="21"/>
                <w:szCs w:val="21"/>
                <w:lang w:bidi="ar"/>
              </w:rPr>
              <w:t>人</w:t>
            </w:r>
          </w:p>
        </w:tc>
      </w:tr>
      <w:tr w14:paraId="72D3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90" w:hRule="atLeast"/>
          <w:jc w:val="center"/>
        </w:trPr>
        <w:tc>
          <w:tcPr>
            <w:tcW w:w="358" w:type="pct"/>
            <w:vMerge w:val="continue"/>
            <w:tcBorders>
              <w:left w:val="single" w:color="auto" w:sz="4" w:space="0"/>
              <w:right w:val="single" w:color="auto" w:sz="4" w:space="0"/>
            </w:tcBorders>
            <w:noWrap w:val="0"/>
            <w:vAlign w:val="center"/>
          </w:tcPr>
          <w:p w14:paraId="6AAECDF0">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4008" w:type="pct"/>
            <w:gridSpan w:val="12"/>
            <w:tcBorders>
              <w:top w:val="single" w:color="auto" w:sz="4" w:space="0"/>
              <w:left w:val="single" w:color="auto" w:sz="4" w:space="0"/>
              <w:bottom w:val="single" w:color="auto" w:sz="4" w:space="0"/>
              <w:right w:val="single" w:color="auto" w:sz="4" w:space="0"/>
            </w:tcBorders>
            <w:noWrap w:val="0"/>
            <w:vAlign w:val="center"/>
          </w:tcPr>
          <w:p w14:paraId="7B2B0FA2">
            <w:pPr>
              <w:keepNext w:val="0"/>
              <w:keepLines w:val="0"/>
              <w:pageBreakBefore w:val="0"/>
              <w:widowControl/>
              <w:kinsoku/>
              <w:wordWrap/>
              <w:overflowPunct/>
              <w:topLinePunct w:val="0"/>
              <w:autoSpaceDE/>
              <w:autoSpaceDN/>
              <w:bidi w:val="0"/>
              <w:snapToGrid w:val="0"/>
              <w:spacing w:line="240" w:lineRule="auto"/>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厂址周边500m范围内人口数小计</w:t>
            </w:r>
          </w:p>
        </w:tc>
        <w:tc>
          <w:tcPr>
            <w:tcW w:w="623" w:type="pct"/>
            <w:tcBorders>
              <w:top w:val="single" w:color="auto" w:sz="4" w:space="0"/>
              <w:left w:val="single" w:color="auto" w:sz="4" w:space="0"/>
              <w:bottom w:val="single" w:color="auto" w:sz="4" w:space="0"/>
              <w:right w:val="single" w:color="auto" w:sz="4" w:space="0"/>
            </w:tcBorders>
            <w:noWrap w:val="0"/>
            <w:vAlign w:val="center"/>
          </w:tcPr>
          <w:p w14:paraId="4C88050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Cs/>
                <w:sz w:val="21"/>
                <w:szCs w:val="21"/>
                <w:lang w:val="en-US" w:eastAsia="zh-CN" w:bidi="ar"/>
              </w:rPr>
            </w:pPr>
            <w:r>
              <w:rPr>
                <w:rFonts w:hint="eastAsia" w:ascii="Times New Roman" w:hAnsi="Times New Roman" w:cs="Times New Roman"/>
                <w:bCs/>
                <w:sz w:val="21"/>
                <w:szCs w:val="21"/>
                <w:lang w:val="en-US" w:eastAsia="zh-CN" w:bidi="ar"/>
              </w:rPr>
              <w:t>12350</w:t>
            </w:r>
          </w:p>
        </w:tc>
      </w:tr>
      <w:tr w14:paraId="01D0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90" w:hRule="atLeast"/>
          <w:jc w:val="center"/>
        </w:trPr>
        <w:tc>
          <w:tcPr>
            <w:tcW w:w="358" w:type="pct"/>
            <w:vMerge w:val="continue"/>
            <w:tcBorders>
              <w:left w:val="single" w:color="auto" w:sz="4" w:space="0"/>
              <w:right w:val="single" w:color="auto" w:sz="4" w:space="0"/>
            </w:tcBorders>
            <w:noWrap w:val="0"/>
            <w:vAlign w:val="center"/>
          </w:tcPr>
          <w:p w14:paraId="494E56B4">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4008" w:type="pct"/>
            <w:gridSpan w:val="12"/>
            <w:tcBorders>
              <w:top w:val="single" w:color="auto" w:sz="4" w:space="0"/>
              <w:left w:val="single" w:color="auto" w:sz="4" w:space="0"/>
              <w:bottom w:val="single" w:color="auto" w:sz="4" w:space="0"/>
              <w:right w:val="single" w:color="auto" w:sz="4" w:space="0"/>
            </w:tcBorders>
            <w:noWrap w:val="0"/>
            <w:vAlign w:val="center"/>
          </w:tcPr>
          <w:p w14:paraId="099753E4">
            <w:pPr>
              <w:keepNext w:val="0"/>
              <w:keepLines w:val="0"/>
              <w:pageBreakBefore w:val="0"/>
              <w:widowControl/>
              <w:kinsoku/>
              <w:wordWrap/>
              <w:overflowPunct/>
              <w:topLinePunct w:val="0"/>
              <w:autoSpaceDE/>
              <w:autoSpaceDN/>
              <w:bidi w:val="0"/>
              <w:snapToGrid w:val="0"/>
              <w:spacing w:line="240" w:lineRule="auto"/>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厂址周边5km范围内人口数小计</w:t>
            </w:r>
          </w:p>
        </w:tc>
        <w:tc>
          <w:tcPr>
            <w:tcW w:w="623" w:type="pct"/>
            <w:tcBorders>
              <w:top w:val="single" w:color="auto" w:sz="4" w:space="0"/>
              <w:left w:val="single" w:color="auto" w:sz="4" w:space="0"/>
              <w:bottom w:val="single" w:color="auto" w:sz="4" w:space="0"/>
              <w:right w:val="single" w:color="auto" w:sz="4" w:space="0"/>
            </w:tcBorders>
            <w:noWrap w:val="0"/>
            <w:vAlign w:val="center"/>
          </w:tcPr>
          <w:p w14:paraId="0AAE814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Cs/>
                <w:sz w:val="21"/>
                <w:szCs w:val="21"/>
                <w:lang w:val="en-US" w:eastAsia="zh-CN" w:bidi="ar"/>
              </w:rPr>
            </w:pPr>
            <w:r>
              <w:rPr>
                <w:rFonts w:hint="eastAsia" w:ascii="Times New Roman" w:hAnsi="Times New Roman" w:cs="Times New Roman"/>
                <w:bCs/>
                <w:sz w:val="21"/>
                <w:szCs w:val="21"/>
                <w:lang w:val="en-US" w:eastAsia="zh-CN" w:bidi="ar"/>
              </w:rPr>
              <w:t>158870</w:t>
            </w:r>
          </w:p>
        </w:tc>
      </w:tr>
      <w:tr w14:paraId="2BA4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90" w:hRule="atLeast"/>
          <w:jc w:val="center"/>
        </w:trPr>
        <w:tc>
          <w:tcPr>
            <w:tcW w:w="358" w:type="pct"/>
            <w:vMerge w:val="continue"/>
            <w:tcBorders>
              <w:left w:val="single" w:color="auto" w:sz="4" w:space="0"/>
              <w:bottom w:val="single" w:color="auto" w:sz="4" w:space="0"/>
              <w:right w:val="single" w:color="auto" w:sz="4" w:space="0"/>
            </w:tcBorders>
            <w:noWrap w:val="0"/>
            <w:vAlign w:val="center"/>
          </w:tcPr>
          <w:p w14:paraId="0AD2F92A">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lang w:bidi="ar"/>
              </w:rPr>
            </w:pPr>
          </w:p>
        </w:tc>
        <w:tc>
          <w:tcPr>
            <w:tcW w:w="4008" w:type="pct"/>
            <w:gridSpan w:val="12"/>
            <w:tcBorders>
              <w:top w:val="single" w:color="auto" w:sz="4" w:space="0"/>
              <w:left w:val="single" w:color="auto" w:sz="4" w:space="0"/>
              <w:bottom w:val="single" w:color="auto" w:sz="4" w:space="0"/>
              <w:right w:val="single" w:color="auto" w:sz="4" w:space="0"/>
            </w:tcBorders>
            <w:noWrap w:val="0"/>
            <w:vAlign w:val="center"/>
          </w:tcPr>
          <w:p w14:paraId="0CA78808">
            <w:pPr>
              <w:keepNext w:val="0"/>
              <w:keepLines w:val="0"/>
              <w:pageBreakBefore w:val="0"/>
              <w:widowControl/>
              <w:kinsoku/>
              <w:wordWrap/>
              <w:overflowPunct/>
              <w:topLinePunct w:val="0"/>
              <w:autoSpaceDE/>
              <w:autoSpaceDN/>
              <w:bidi w:val="0"/>
              <w:snapToGrid w:val="0"/>
              <w:spacing w:line="240" w:lineRule="auto"/>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大气环境敏感程度E值</w:t>
            </w:r>
          </w:p>
        </w:tc>
        <w:tc>
          <w:tcPr>
            <w:tcW w:w="623" w:type="pct"/>
            <w:tcBorders>
              <w:top w:val="single" w:color="auto" w:sz="4" w:space="0"/>
              <w:left w:val="single" w:color="auto" w:sz="4" w:space="0"/>
              <w:bottom w:val="single" w:color="auto" w:sz="4" w:space="0"/>
              <w:right w:val="single" w:color="auto" w:sz="4" w:space="0"/>
            </w:tcBorders>
            <w:noWrap w:val="0"/>
            <w:vAlign w:val="center"/>
          </w:tcPr>
          <w:p w14:paraId="1FAC224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E1</w:t>
            </w:r>
          </w:p>
        </w:tc>
      </w:tr>
      <w:tr w14:paraId="46A0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restart"/>
            <w:tcBorders>
              <w:top w:val="single" w:color="auto" w:sz="4" w:space="0"/>
              <w:left w:val="single" w:color="auto" w:sz="4" w:space="0"/>
              <w:bottom w:val="single" w:color="auto" w:sz="4" w:space="0"/>
              <w:right w:val="single" w:color="auto" w:sz="4" w:space="0"/>
            </w:tcBorders>
            <w:noWrap w:val="0"/>
            <w:vAlign w:val="center"/>
          </w:tcPr>
          <w:p w14:paraId="70B79D1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地表水</w:t>
            </w:r>
          </w:p>
        </w:tc>
        <w:tc>
          <w:tcPr>
            <w:tcW w:w="4632" w:type="pct"/>
            <w:gridSpan w:val="13"/>
            <w:tcBorders>
              <w:top w:val="single" w:color="auto" w:sz="4" w:space="0"/>
              <w:left w:val="single" w:color="auto" w:sz="4" w:space="0"/>
              <w:bottom w:val="single" w:color="auto" w:sz="4" w:space="0"/>
              <w:right w:val="single" w:color="auto" w:sz="4" w:space="0"/>
            </w:tcBorders>
            <w:noWrap w:val="0"/>
            <w:vAlign w:val="center"/>
          </w:tcPr>
          <w:p w14:paraId="62EDA23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受纳水体</w:t>
            </w:r>
          </w:p>
        </w:tc>
      </w:tr>
      <w:tr w14:paraId="37F6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799A4B92">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2EEC5E3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939" w:type="pct"/>
            <w:tcBorders>
              <w:top w:val="single" w:color="auto" w:sz="4" w:space="0"/>
              <w:left w:val="single" w:color="auto" w:sz="4" w:space="0"/>
              <w:bottom w:val="single" w:color="auto" w:sz="4" w:space="0"/>
              <w:right w:val="single" w:color="auto" w:sz="4" w:space="0"/>
            </w:tcBorders>
            <w:noWrap w:val="0"/>
            <w:vAlign w:val="center"/>
          </w:tcPr>
          <w:p w14:paraId="3948B4F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受纳水体名称</w:t>
            </w:r>
          </w:p>
        </w:tc>
        <w:tc>
          <w:tcPr>
            <w:tcW w:w="1332" w:type="pct"/>
            <w:gridSpan w:val="6"/>
            <w:tcBorders>
              <w:top w:val="single" w:color="auto" w:sz="4" w:space="0"/>
              <w:left w:val="single" w:color="auto" w:sz="4" w:space="0"/>
              <w:bottom w:val="single" w:color="auto" w:sz="4" w:space="0"/>
              <w:right w:val="single" w:color="auto" w:sz="4" w:space="0"/>
            </w:tcBorders>
            <w:noWrap w:val="0"/>
            <w:vAlign w:val="center"/>
          </w:tcPr>
          <w:p w14:paraId="394D35B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排放点水域功能环境</w:t>
            </w:r>
          </w:p>
        </w:tc>
        <w:tc>
          <w:tcPr>
            <w:tcW w:w="2041" w:type="pct"/>
            <w:gridSpan w:val="5"/>
            <w:tcBorders>
              <w:top w:val="single" w:color="auto" w:sz="4" w:space="0"/>
              <w:left w:val="single" w:color="auto" w:sz="4" w:space="0"/>
              <w:bottom w:val="single" w:color="auto" w:sz="4" w:space="0"/>
              <w:right w:val="single" w:color="auto" w:sz="4" w:space="0"/>
            </w:tcBorders>
            <w:noWrap w:val="0"/>
            <w:vAlign w:val="center"/>
          </w:tcPr>
          <w:p w14:paraId="355B6F34">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sz w:val="21"/>
                <w:szCs w:val="21"/>
                <w:lang w:bidi="ar"/>
              </w:rPr>
              <w:t>24h内流经范围/km</w:t>
            </w:r>
          </w:p>
        </w:tc>
      </w:tr>
      <w:tr w14:paraId="1372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202B045C">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5585547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w:t>
            </w:r>
          </w:p>
        </w:tc>
        <w:tc>
          <w:tcPr>
            <w:tcW w:w="939" w:type="pct"/>
            <w:tcBorders>
              <w:top w:val="single" w:color="auto" w:sz="4" w:space="0"/>
              <w:left w:val="single" w:color="auto" w:sz="4" w:space="0"/>
              <w:bottom w:val="single" w:color="auto" w:sz="4" w:space="0"/>
              <w:right w:val="single" w:color="auto" w:sz="4" w:space="0"/>
            </w:tcBorders>
            <w:noWrap w:val="0"/>
            <w:vAlign w:val="center"/>
          </w:tcPr>
          <w:p w14:paraId="6A46D8EC">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cs="Times New Roman" w:eastAsiaTheme="minorEastAsia"/>
                <w:sz w:val="21"/>
                <w:szCs w:val="21"/>
                <w:lang w:eastAsia="zh-CN" w:bidi="ar"/>
              </w:rPr>
            </w:pPr>
            <w:r>
              <w:rPr>
                <w:rFonts w:hint="eastAsia" w:ascii="Times New Roman" w:hAnsi="Times New Roman" w:cs="Times New Roman"/>
                <w:sz w:val="21"/>
                <w:szCs w:val="21"/>
                <w:lang w:val="en-US" w:eastAsia="zh-CN" w:bidi="ar"/>
              </w:rPr>
              <w:t>东洞庭湖</w:t>
            </w:r>
          </w:p>
        </w:tc>
        <w:tc>
          <w:tcPr>
            <w:tcW w:w="1332" w:type="pct"/>
            <w:gridSpan w:val="6"/>
            <w:tcBorders>
              <w:top w:val="single" w:color="auto" w:sz="4" w:space="0"/>
              <w:left w:val="single" w:color="auto" w:sz="4" w:space="0"/>
              <w:bottom w:val="single" w:color="auto" w:sz="4" w:space="0"/>
              <w:right w:val="single" w:color="auto" w:sz="4" w:space="0"/>
            </w:tcBorders>
            <w:noWrap w:val="0"/>
            <w:vAlign w:val="center"/>
          </w:tcPr>
          <w:p w14:paraId="52DED68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渔业用水</w:t>
            </w:r>
          </w:p>
        </w:tc>
        <w:tc>
          <w:tcPr>
            <w:tcW w:w="2041" w:type="pct"/>
            <w:gridSpan w:val="5"/>
            <w:tcBorders>
              <w:top w:val="single" w:color="auto" w:sz="4" w:space="0"/>
              <w:left w:val="single" w:color="auto" w:sz="4" w:space="0"/>
              <w:bottom w:val="single" w:color="auto" w:sz="4" w:space="0"/>
              <w:right w:val="single" w:color="auto" w:sz="4" w:space="0"/>
            </w:tcBorders>
            <w:noWrap w:val="0"/>
            <w:vAlign w:val="center"/>
          </w:tcPr>
          <w:p w14:paraId="2391440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排放进入受纳河流最大流速时，24h流经范跨省界，</w:t>
            </w:r>
            <w:r>
              <w:rPr>
                <w:rFonts w:hint="eastAsia" w:ascii="Times New Roman" w:hAnsi="Times New Roman" w:cs="Times New Roman"/>
                <w:sz w:val="21"/>
                <w:szCs w:val="21"/>
                <w:lang w:val="en-US" w:eastAsia="zh-CN" w:bidi="ar"/>
              </w:rPr>
              <w:t>20km后进入长江江段，</w:t>
            </w:r>
            <w:r>
              <w:rPr>
                <w:rFonts w:hint="default" w:ascii="Times New Roman" w:hAnsi="Times New Roman" w:cs="Times New Roman"/>
                <w:sz w:val="21"/>
                <w:szCs w:val="21"/>
                <w:lang w:bidi="ar"/>
              </w:rPr>
              <w:t>对岸为湖北省行政区</w:t>
            </w:r>
          </w:p>
        </w:tc>
      </w:tr>
      <w:tr w14:paraId="6362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2E457605">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4632" w:type="pct"/>
            <w:gridSpan w:val="13"/>
            <w:tcBorders>
              <w:top w:val="single" w:color="auto" w:sz="4" w:space="0"/>
              <w:left w:val="single" w:color="auto" w:sz="4" w:space="0"/>
              <w:bottom w:val="single" w:color="auto" w:sz="4" w:space="0"/>
              <w:right w:val="single" w:color="auto" w:sz="4" w:space="0"/>
            </w:tcBorders>
            <w:noWrap w:val="0"/>
            <w:vAlign w:val="center"/>
          </w:tcPr>
          <w:p w14:paraId="68F85F2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内陆水体排放点</w:t>
            </w:r>
            <w:r>
              <w:rPr>
                <w:rFonts w:hint="eastAsia" w:ascii="Times New Roman" w:hAnsi="Times New Roman" w:cs="Times New Roman"/>
                <w:sz w:val="21"/>
                <w:szCs w:val="21"/>
                <w:lang w:eastAsia="zh-CN" w:bidi="ar"/>
              </w:rPr>
              <w:t>（</w:t>
            </w:r>
            <w:r>
              <w:rPr>
                <w:rFonts w:hint="eastAsia" w:ascii="Times New Roman" w:hAnsi="Times New Roman" w:cs="Times New Roman"/>
                <w:sz w:val="21"/>
                <w:szCs w:val="21"/>
                <w:lang w:val="en-US" w:eastAsia="zh-CN" w:bidi="ar"/>
              </w:rPr>
              <w:t>风险事故状态下位于东洞庭湖排放口</w:t>
            </w:r>
            <w:r>
              <w:rPr>
                <w:rFonts w:hint="eastAsia" w:ascii="Times New Roman" w:hAnsi="Times New Roman" w:cs="Times New Roman"/>
                <w:sz w:val="21"/>
                <w:szCs w:val="21"/>
                <w:lang w:eastAsia="zh-CN" w:bidi="ar"/>
              </w:rPr>
              <w:t>）</w:t>
            </w:r>
            <w:r>
              <w:rPr>
                <w:rFonts w:hint="default" w:ascii="Times New Roman" w:hAnsi="Times New Roman" w:cs="Times New Roman"/>
                <w:sz w:val="21"/>
                <w:szCs w:val="21"/>
                <w:lang w:bidi="ar"/>
              </w:rPr>
              <w:t>下游10km范围内敏感目标</w:t>
            </w:r>
          </w:p>
        </w:tc>
      </w:tr>
      <w:tr w14:paraId="3700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4F1E0E47">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3BFCEA7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1255" w:type="pct"/>
            <w:gridSpan w:val="4"/>
            <w:tcBorders>
              <w:top w:val="single" w:color="auto" w:sz="4" w:space="0"/>
              <w:left w:val="single" w:color="auto" w:sz="4" w:space="0"/>
              <w:bottom w:val="single" w:color="auto" w:sz="4" w:space="0"/>
              <w:right w:val="single" w:color="auto" w:sz="4" w:space="0"/>
            </w:tcBorders>
            <w:noWrap w:val="0"/>
            <w:vAlign w:val="center"/>
          </w:tcPr>
          <w:p w14:paraId="71762EA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敏感目标名称</w:t>
            </w:r>
          </w:p>
        </w:tc>
        <w:tc>
          <w:tcPr>
            <w:tcW w:w="1547" w:type="pct"/>
            <w:gridSpan w:val="5"/>
            <w:tcBorders>
              <w:top w:val="single" w:color="auto" w:sz="4" w:space="0"/>
              <w:left w:val="single" w:color="auto" w:sz="4" w:space="0"/>
              <w:bottom w:val="single" w:color="auto" w:sz="4" w:space="0"/>
              <w:right w:val="single" w:color="auto" w:sz="4" w:space="0"/>
            </w:tcBorders>
            <w:noWrap w:val="0"/>
            <w:vAlign w:val="center"/>
          </w:tcPr>
          <w:p w14:paraId="3CF1878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环境敏感特征</w:t>
            </w:r>
          </w:p>
        </w:tc>
        <w:tc>
          <w:tcPr>
            <w:tcW w:w="713" w:type="pct"/>
            <w:tcBorders>
              <w:top w:val="single" w:color="auto" w:sz="4" w:space="0"/>
              <w:left w:val="single" w:color="auto" w:sz="4" w:space="0"/>
              <w:bottom w:val="single" w:color="auto" w:sz="4" w:space="0"/>
              <w:right w:val="single" w:color="auto" w:sz="4" w:space="0"/>
            </w:tcBorders>
            <w:noWrap w:val="0"/>
            <w:vAlign w:val="center"/>
          </w:tcPr>
          <w:p w14:paraId="6CA5865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水质目标</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497DAE1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与排放点距离/m</w:t>
            </w:r>
          </w:p>
        </w:tc>
      </w:tr>
      <w:tr w14:paraId="27A8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6786D8A8">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0D82B46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w:t>
            </w:r>
          </w:p>
        </w:tc>
        <w:tc>
          <w:tcPr>
            <w:tcW w:w="1255" w:type="pct"/>
            <w:gridSpan w:val="4"/>
            <w:tcBorders>
              <w:top w:val="single" w:color="auto" w:sz="4" w:space="0"/>
              <w:left w:val="single" w:color="auto" w:sz="4" w:space="0"/>
              <w:bottom w:val="single" w:color="auto" w:sz="4" w:space="0"/>
              <w:right w:val="single" w:color="auto" w:sz="4" w:space="0"/>
            </w:tcBorders>
            <w:noWrap w:val="0"/>
            <w:vAlign w:val="center"/>
          </w:tcPr>
          <w:p w14:paraId="529C3ED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湖南东洞庭湖国家级自然保护区实验区</w:t>
            </w:r>
          </w:p>
        </w:tc>
        <w:tc>
          <w:tcPr>
            <w:tcW w:w="1547" w:type="pct"/>
            <w:gridSpan w:val="5"/>
            <w:tcBorders>
              <w:top w:val="single" w:color="auto" w:sz="4" w:space="0"/>
              <w:left w:val="single" w:color="auto" w:sz="4" w:space="0"/>
              <w:bottom w:val="single" w:color="auto" w:sz="4" w:space="0"/>
              <w:right w:val="single" w:color="auto" w:sz="4" w:space="0"/>
            </w:tcBorders>
            <w:noWrap w:val="0"/>
            <w:vAlign w:val="center"/>
          </w:tcPr>
          <w:p w14:paraId="42E2A7E9">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自然保护区</w:t>
            </w:r>
          </w:p>
        </w:tc>
        <w:tc>
          <w:tcPr>
            <w:tcW w:w="713" w:type="pct"/>
            <w:tcBorders>
              <w:top w:val="single" w:color="auto" w:sz="4" w:space="0"/>
              <w:left w:val="single" w:color="auto" w:sz="4" w:space="0"/>
              <w:bottom w:val="single" w:color="auto" w:sz="4" w:space="0"/>
              <w:right w:val="single" w:color="auto" w:sz="4" w:space="0"/>
            </w:tcBorders>
            <w:noWrap w:val="0"/>
            <w:vAlign w:val="center"/>
          </w:tcPr>
          <w:p w14:paraId="3678393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Ⅲ类</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7E701E42">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cs="Times New Roman" w:eastAsiaTheme="minorEastAsia"/>
                <w:bCs/>
                <w:sz w:val="21"/>
                <w:szCs w:val="21"/>
                <w:lang w:val="en-US" w:eastAsia="zh-CN" w:bidi="ar"/>
              </w:rPr>
            </w:pPr>
            <w:r>
              <w:rPr>
                <w:rFonts w:hint="default" w:ascii="Times New Roman" w:hAnsi="Times New Roman" w:cs="Times New Roman"/>
                <w:bCs/>
                <w:sz w:val="21"/>
                <w:szCs w:val="21"/>
                <w:lang w:bidi="ar"/>
              </w:rPr>
              <w:t>位于</w:t>
            </w:r>
            <w:r>
              <w:rPr>
                <w:rFonts w:hint="eastAsia" w:ascii="Times New Roman" w:hAnsi="Times New Roman" w:cs="Times New Roman"/>
                <w:bCs/>
                <w:sz w:val="21"/>
                <w:szCs w:val="21"/>
                <w:lang w:val="en-US" w:eastAsia="zh-CN" w:bidi="ar"/>
              </w:rPr>
              <w:t>事故</w:t>
            </w:r>
            <w:r>
              <w:rPr>
                <w:rFonts w:hint="default" w:ascii="Times New Roman" w:hAnsi="Times New Roman" w:cs="Times New Roman"/>
                <w:bCs/>
                <w:sz w:val="21"/>
                <w:szCs w:val="21"/>
                <w:lang w:bidi="ar"/>
              </w:rPr>
              <w:t>废水排放点</w:t>
            </w:r>
            <w:r>
              <w:rPr>
                <w:rFonts w:hint="eastAsia" w:ascii="Times New Roman" w:hAnsi="Times New Roman" w:cs="Times New Roman"/>
                <w:bCs/>
                <w:sz w:val="21"/>
                <w:szCs w:val="21"/>
                <w:lang w:val="en-US" w:eastAsia="zh-CN" w:bidi="ar"/>
              </w:rPr>
              <w:t>3</w:t>
            </w:r>
            <w:r>
              <w:rPr>
                <w:rFonts w:hint="default" w:ascii="Times New Roman" w:hAnsi="Times New Roman" w:cs="Times New Roman"/>
                <w:bCs/>
                <w:sz w:val="21"/>
                <w:szCs w:val="21"/>
                <w:lang w:bidi="ar"/>
              </w:rPr>
              <w:t>00</w:t>
            </w:r>
            <w:r>
              <w:rPr>
                <w:rFonts w:hint="eastAsia" w:ascii="Times New Roman" w:hAnsi="Times New Roman" w:cs="Times New Roman"/>
                <w:bCs/>
                <w:sz w:val="21"/>
                <w:szCs w:val="21"/>
                <w:lang w:val="en-US" w:eastAsia="zh-CN" w:bidi="ar"/>
              </w:rPr>
              <w:t>m</w:t>
            </w:r>
          </w:p>
        </w:tc>
      </w:tr>
      <w:tr w14:paraId="1801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787B7B84">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5E8E457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2</w:t>
            </w:r>
          </w:p>
        </w:tc>
        <w:tc>
          <w:tcPr>
            <w:tcW w:w="1255" w:type="pct"/>
            <w:gridSpan w:val="4"/>
            <w:tcBorders>
              <w:top w:val="single" w:color="auto" w:sz="4" w:space="0"/>
              <w:left w:val="single" w:color="auto" w:sz="4" w:space="0"/>
              <w:bottom w:val="single" w:color="auto" w:sz="4" w:space="0"/>
              <w:right w:val="single" w:color="auto" w:sz="4" w:space="0"/>
            </w:tcBorders>
            <w:noWrap w:val="0"/>
            <w:vAlign w:val="center"/>
          </w:tcPr>
          <w:p w14:paraId="59C36D0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东洞庭湖鲤鲫黄颡鱼国家级水产种质资源保护区</w:t>
            </w:r>
          </w:p>
        </w:tc>
        <w:tc>
          <w:tcPr>
            <w:tcW w:w="1547" w:type="pct"/>
            <w:gridSpan w:val="5"/>
            <w:tcBorders>
              <w:top w:val="single" w:color="auto" w:sz="4" w:space="0"/>
              <w:left w:val="single" w:color="auto" w:sz="4" w:space="0"/>
              <w:bottom w:val="single" w:color="auto" w:sz="4" w:space="0"/>
              <w:right w:val="single" w:color="auto" w:sz="4" w:space="0"/>
            </w:tcBorders>
            <w:noWrap w:val="0"/>
            <w:vAlign w:val="center"/>
          </w:tcPr>
          <w:p w14:paraId="590C281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重要水生生物的自然产卵场及索饵场、洄游通道</w:t>
            </w:r>
          </w:p>
        </w:tc>
        <w:tc>
          <w:tcPr>
            <w:tcW w:w="713" w:type="pct"/>
            <w:tcBorders>
              <w:top w:val="single" w:color="auto" w:sz="4" w:space="0"/>
              <w:left w:val="single" w:color="auto" w:sz="4" w:space="0"/>
              <w:bottom w:val="single" w:color="auto" w:sz="4" w:space="0"/>
              <w:right w:val="single" w:color="auto" w:sz="4" w:space="0"/>
            </w:tcBorders>
            <w:noWrap w:val="0"/>
            <w:vAlign w:val="center"/>
          </w:tcPr>
          <w:p w14:paraId="4B291D1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Ⅲ类</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3411EE1C">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cs="Times New Roman" w:eastAsiaTheme="minorEastAsia"/>
                <w:bCs/>
                <w:sz w:val="21"/>
                <w:szCs w:val="21"/>
                <w:lang w:val="en-US" w:eastAsia="zh-CN" w:bidi="ar"/>
              </w:rPr>
            </w:pPr>
            <w:r>
              <w:rPr>
                <w:rFonts w:hint="default" w:ascii="Times New Roman" w:hAnsi="Times New Roman" w:cs="Times New Roman"/>
                <w:bCs/>
                <w:sz w:val="21"/>
                <w:szCs w:val="21"/>
                <w:lang w:bidi="ar"/>
              </w:rPr>
              <w:t>位于</w:t>
            </w:r>
            <w:r>
              <w:rPr>
                <w:rFonts w:hint="eastAsia" w:ascii="Times New Roman" w:hAnsi="Times New Roman" w:cs="Times New Roman"/>
                <w:bCs/>
                <w:sz w:val="21"/>
                <w:szCs w:val="21"/>
                <w:lang w:val="en-US" w:eastAsia="zh-CN" w:bidi="ar"/>
              </w:rPr>
              <w:t>事故</w:t>
            </w:r>
            <w:r>
              <w:rPr>
                <w:rFonts w:hint="default" w:ascii="Times New Roman" w:hAnsi="Times New Roman" w:cs="Times New Roman"/>
                <w:bCs/>
                <w:sz w:val="21"/>
                <w:szCs w:val="21"/>
                <w:lang w:bidi="ar"/>
              </w:rPr>
              <w:t>废水排放点</w:t>
            </w:r>
            <w:r>
              <w:rPr>
                <w:rFonts w:hint="eastAsia" w:ascii="Times New Roman" w:hAnsi="Times New Roman" w:cs="Times New Roman"/>
                <w:bCs/>
                <w:sz w:val="21"/>
                <w:szCs w:val="21"/>
                <w:lang w:val="en-US" w:eastAsia="zh-CN" w:bidi="ar"/>
              </w:rPr>
              <w:t>附近</w:t>
            </w:r>
          </w:p>
        </w:tc>
      </w:tr>
      <w:tr w14:paraId="6826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trHeight w:val="894" w:hRule="atLeas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169DECE3">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666DD02D">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3</w:t>
            </w:r>
          </w:p>
        </w:tc>
        <w:tc>
          <w:tcPr>
            <w:tcW w:w="1255" w:type="pct"/>
            <w:gridSpan w:val="4"/>
            <w:tcBorders>
              <w:top w:val="single" w:color="auto" w:sz="4" w:space="0"/>
              <w:left w:val="single" w:color="auto" w:sz="4" w:space="0"/>
              <w:bottom w:val="single" w:color="auto" w:sz="4" w:space="0"/>
              <w:right w:val="single" w:color="auto" w:sz="4" w:space="0"/>
            </w:tcBorders>
            <w:noWrap w:val="0"/>
            <w:vAlign w:val="center"/>
          </w:tcPr>
          <w:p w14:paraId="4B80239D">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东洞庭湖</w:t>
            </w:r>
            <w:r>
              <w:rPr>
                <w:rFonts w:hint="eastAsia" w:ascii="Times New Roman" w:hAnsi="Times New Roman" w:cs="Times New Roman"/>
                <w:sz w:val="21"/>
                <w:szCs w:val="21"/>
                <w:lang w:val="en-US" w:eastAsia="zh-CN" w:bidi="ar"/>
              </w:rPr>
              <w:t>湖口</w:t>
            </w:r>
            <w:r>
              <w:rPr>
                <w:rFonts w:hint="default" w:ascii="Times New Roman" w:hAnsi="Times New Roman" w:cs="Times New Roman"/>
                <w:sz w:val="21"/>
                <w:szCs w:val="21"/>
                <w:lang w:bidi="ar"/>
              </w:rPr>
              <w:t>铜鱼短颌鲚国家级水产种质资源保护区</w:t>
            </w:r>
          </w:p>
        </w:tc>
        <w:tc>
          <w:tcPr>
            <w:tcW w:w="1547" w:type="pct"/>
            <w:gridSpan w:val="5"/>
            <w:tcBorders>
              <w:top w:val="single" w:color="auto" w:sz="4" w:space="0"/>
              <w:left w:val="single" w:color="auto" w:sz="4" w:space="0"/>
              <w:bottom w:val="single" w:color="auto" w:sz="4" w:space="0"/>
              <w:right w:val="single" w:color="auto" w:sz="4" w:space="0"/>
            </w:tcBorders>
            <w:noWrap w:val="0"/>
            <w:vAlign w:val="center"/>
          </w:tcPr>
          <w:p w14:paraId="1E96C63E">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重要水生生物的自然产卵场及索饵场、洄游通道</w:t>
            </w:r>
          </w:p>
        </w:tc>
        <w:tc>
          <w:tcPr>
            <w:tcW w:w="713" w:type="pct"/>
            <w:tcBorders>
              <w:top w:val="single" w:color="auto" w:sz="4" w:space="0"/>
              <w:left w:val="single" w:color="auto" w:sz="4" w:space="0"/>
              <w:bottom w:val="single" w:color="auto" w:sz="4" w:space="0"/>
              <w:right w:val="single" w:color="auto" w:sz="4" w:space="0"/>
            </w:tcBorders>
            <w:noWrap w:val="0"/>
            <w:vAlign w:val="center"/>
          </w:tcPr>
          <w:p w14:paraId="6B11436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Ⅲ类</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558EFAF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eastAsiaTheme="minorEastAsia"/>
                <w:bCs/>
                <w:sz w:val="21"/>
                <w:szCs w:val="21"/>
                <w:lang w:val="en-US" w:eastAsia="zh-CN" w:bidi="ar"/>
              </w:rPr>
            </w:pPr>
            <w:r>
              <w:rPr>
                <w:rFonts w:hint="default" w:ascii="Times New Roman" w:hAnsi="Times New Roman" w:cs="Times New Roman"/>
                <w:bCs/>
                <w:sz w:val="21"/>
                <w:szCs w:val="21"/>
                <w:lang w:bidi="ar"/>
              </w:rPr>
              <w:t>位于</w:t>
            </w:r>
            <w:r>
              <w:rPr>
                <w:rFonts w:hint="eastAsia" w:ascii="Times New Roman" w:hAnsi="Times New Roman" w:cs="Times New Roman"/>
                <w:bCs/>
                <w:sz w:val="21"/>
                <w:szCs w:val="21"/>
                <w:lang w:val="en-US" w:eastAsia="zh-CN" w:bidi="ar"/>
              </w:rPr>
              <w:t>事故</w:t>
            </w:r>
            <w:r>
              <w:rPr>
                <w:rFonts w:hint="default" w:ascii="Times New Roman" w:hAnsi="Times New Roman" w:cs="Times New Roman"/>
                <w:bCs/>
                <w:sz w:val="21"/>
                <w:szCs w:val="21"/>
                <w:lang w:bidi="ar"/>
              </w:rPr>
              <w:t>废水排放点</w:t>
            </w:r>
            <w:r>
              <w:rPr>
                <w:rFonts w:hint="eastAsia" w:ascii="Times New Roman" w:hAnsi="Times New Roman" w:cs="Times New Roman"/>
                <w:bCs/>
                <w:sz w:val="21"/>
                <w:szCs w:val="21"/>
                <w:lang w:val="en-US" w:eastAsia="zh-CN" w:bidi="ar"/>
              </w:rPr>
              <w:t>下游600m</w:t>
            </w:r>
          </w:p>
        </w:tc>
      </w:tr>
      <w:tr w14:paraId="4CCE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1418BA9D">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833" w:type="pct"/>
            <w:gridSpan w:val="11"/>
            <w:tcBorders>
              <w:top w:val="single" w:color="auto" w:sz="4" w:space="0"/>
              <w:left w:val="single" w:color="auto" w:sz="4" w:space="0"/>
              <w:bottom w:val="single" w:color="auto" w:sz="4" w:space="0"/>
              <w:right w:val="single" w:color="auto" w:sz="4" w:space="0"/>
            </w:tcBorders>
            <w:noWrap w:val="0"/>
            <w:vAlign w:val="center"/>
          </w:tcPr>
          <w:p w14:paraId="074CEE64">
            <w:pPr>
              <w:keepNext w:val="0"/>
              <w:keepLines w:val="0"/>
              <w:pageBreakBefore w:val="0"/>
              <w:widowControl/>
              <w:kinsoku/>
              <w:wordWrap/>
              <w:overflowPunct/>
              <w:topLinePunct w:val="0"/>
              <w:autoSpaceDE/>
              <w:autoSpaceDN/>
              <w:bidi w:val="0"/>
              <w:snapToGrid w:val="0"/>
              <w:spacing w:line="240" w:lineRule="auto"/>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地表水环境敏感程度E值</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20487A7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E1</w:t>
            </w:r>
          </w:p>
        </w:tc>
      </w:tr>
      <w:tr w14:paraId="0E89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restart"/>
            <w:tcBorders>
              <w:top w:val="single" w:color="auto" w:sz="4" w:space="0"/>
              <w:left w:val="single" w:color="auto" w:sz="4" w:space="0"/>
              <w:bottom w:val="single" w:color="auto" w:sz="4" w:space="0"/>
              <w:right w:val="single" w:color="auto" w:sz="4" w:space="0"/>
            </w:tcBorders>
            <w:noWrap w:val="0"/>
            <w:vAlign w:val="center"/>
          </w:tcPr>
          <w:p w14:paraId="61941C9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地下水</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634E721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1027" w:type="pct"/>
            <w:gridSpan w:val="2"/>
            <w:tcBorders>
              <w:top w:val="single" w:color="auto" w:sz="4" w:space="0"/>
              <w:left w:val="single" w:color="auto" w:sz="4" w:space="0"/>
              <w:bottom w:val="single" w:color="auto" w:sz="4" w:space="0"/>
              <w:right w:val="single" w:color="auto" w:sz="4" w:space="0"/>
            </w:tcBorders>
            <w:noWrap w:val="0"/>
            <w:vAlign w:val="center"/>
          </w:tcPr>
          <w:p w14:paraId="3EC7141B">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敏感目标名称</w:t>
            </w:r>
          </w:p>
        </w:tc>
        <w:tc>
          <w:tcPr>
            <w:tcW w:w="827" w:type="pct"/>
            <w:gridSpan w:val="4"/>
            <w:tcBorders>
              <w:top w:val="single" w:color="auto" w:sz="4" w:space="0"/>
              <w:left w:val="single" w:color="auto" w:sz="4" w:space="0"/>
              <w:bottom w:val="single" w:color="auto" w:sz="4" w:space="0"/>
              <w:right w:val="single" w:color="auto" w:sz="4" w:space="0"/>
            </w:tcBorders>
            <w:noWrap w:val="0"/>
            <w:vAlign w:val="center"/>
          </w:tcPr>
          <w:p w14:paraId="1BB077C1">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环境敏感特征</w:t>
            </w:r>
          </w:p>
        </w:tc>
        <w:tc>
          <w:tcPr>
            <w:tcW w:w="946" w:type="pct"/>
            <w:gridSpan w:val="3"/>
            <w:tcBorders>
              <w:top w:val="single" w:color="auto" w:sz="4" w:space="0"/>
              <w:left w:val="single" w:color="auto" w:sz="4" w:space="0"/>
              <w:bottom w:val="single" w:color="auto" w:sz="4" w:space="0"/>
              <w:right w:val="single" w:color="auto" w:sz="4" w:space="0"/>
            </w:tcBorders>
            <w:noWrap w:val="0"/>
            <w:vAlign w:val="center"/>
          </w:tcPr>
          <w:p w14:paraId="0A54D720">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水质目标</w:t>
            </w:r>
          </w:p>
        </w:tc>
        <w:tc>
          <w:tcPr>
            <w:tcW w:w="713" w:type="pct"/>
            <w:tcBorders>
              <w:top w:val="single" w:color="auto" w:sz="4" w:space="0"/>
              <w:left w:val="single" w:color="auto" w:sz="4" w:space="0"/>
              <w:bottom w:val="single" w:color="auto" w:sz="4" w:space="0"/>
              <w:right w:val="single" w:color="auto" w:sz="4" w:space="0"/>
            </w:tcBorders>
            <w:noWrap w:val="0"/>
            <w:vAlign w:val="center"/>
          </w:tcPr>
          <w:p w14:paraId="4B9E3C5C">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包气带防污性能</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58956B4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与下游厂界距离/m</w:t>
            </w:r>
          </w:p>
        </w:tc>
      </w:tr>
      <w:tr w14:paraId="7046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4D0097D2">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17" w:type="pct"/>
            <w:tcBorders>
              <w:top w:val="single" w:color="auto" w:sz="4" w:space="0"/>
              <w:left w:val="single" w:color="auto" w:sz="4" w:space="0"/>
              <w:bottom w:val="single" w:color="auto" w:sz="4" w:space="0"/>
              <w:right w:val="single" w:color="auto" w:sz="4" w:space="0"/>
            </w:tcBorders>
            <w:noWrap w:val="0"/>
            <w:vAlign w:val="center"/>
          </w:tcPr>
          <w:p w14:paraId="12EAD8B3">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1</w:t>
            </w:r>
          </w:p>
        </w:tc>
        <w:tc>
          <w:tcPr>
            <w:tcW w:w="1027" w:type="pct"/>
            <w:gridSpan w:val="2"/>
            <w:tcBorders>
              <w:top w:val="single" w:color="auto" w:sz="4" w:space="0"/>
              <w:left w:val="single" w:color="auto" w:sz="4" w:space="0"/>
              <w:bottom w:val="single" w:color="auto" w:sz="4" w:space="0"/>
              <w:right w:val="single" w:color="auto" w:sz="4" w:space="0"/>
            </w:tcBorders>
            <w:noWrap w:val="0"/>
            <w:vAlign w:val="center"/>
          </w:tcPr>
          <w:p w14:paraId="08B636EA">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区域地下水环境</w:t>
            </w:r>
          </w:p>
        </w:tc>
        <w:tc>
          <w:tcPr>
            <w:tcW w:w="827" w:type="pct"/>
            <w:gridSpan w:val="4"/>
            <w:tcBorders>
              <w:top w:val="single" w:color="auto" w:sz="4" w:space="0"/>
              <w:left w:val="single" w:color="auto" w:sz="4" w:space="0"/>
              <w:bottom w:val="single" w:color="auto" w:sz="4" w:space="0"/>
              <w:right w:val="single" w:color="auto" w:sz="4" w:space="0"/>
            </w:tcBorders>
            <w:noWrap w:val="0"/>
            <w:vAlign w:val="center"/>
          </w:tcPr>
          <w:p w14:paraId="7CDCF88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工农业用水，无饮用水功能</w:t>
            </w:r>
          </w:p>
        </w:tc>
        <w:tc>
          <w:tcPr>
            <w:tcW w:w="946" w:type="pct"/>
            <w:gridSpan w:val="3"/>
            <w:tcBorders>
              <w:top w:val="single" w:color="auto" w:sz="4" w:space="0"/>
              <w:left w:val="single" w:color="auto" w:sz="4" w:space="0"/>
              <w:bottom w:val="single" w:color="auto" w:sz="4" w:space="0"/>
              <w:right w:val="single" w:color="auto" w:sz="4" w:space="0"/>
            </w:tcBorders>
            <w:noWrap w:val="0"/>
            <w:vAlign w:val="center"/>
          </w:tcPr>
          <w:p w14:paraId="65B9B67F">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Ⅲ类</w:t>
            </w:r>
          </w:p>
        </w:tc>
        <w:tc>
          <w:tcPr>
            <w:tcW w:w="713" w:type="pct"/>
            <w:tcBorders>
              <w:top w:val="single" w:color="auto" w:sz="4" w:space="0"/>
              <w:left w:val="single" w:color="auto" w:sz="4" w:space="0"/>
              <w:bottom w:val="single" w:color="auto" w:sz="4" w:space="0"/>
              <w:right w:val="single" w:color="auto" w:sz="4" w:space="0"/>
            </w:tcBorders>
            <w:noWrap w:val="0"/>
            <w:vAlign w:val="center"/>
          </w:tcPr>
          <w:p w14:paraId="30486B97">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D2</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1636E802">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w:t>
            </w:r>
          </w:p>
        </w:tc>
      </w:tr>
      <w:tr w14:paraId="3CBE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9" w:type="pct"/>
          <w:jc w:val="center"/>
        </w:trPr>
        <w:tc>
          <w:tcPr>
            <w:tcW w:w="358" w:type="pct"/>
            <w:vMerge w:val="continue"/>
            <w:tcBorders>
              <w:top w:val="single" w:color="auto" w:sz="4" w:space="0"/>
              <w:left w:val="single" w:color="auto" w:sz="4" w:space="0"/>
              <w:bottom w:val="single" w:color="auto" w:sz="4" w:space="0"/>
              <w:right w:val="single" w:color="auto" w:sz="4" w:space="0"/>
            </w:tcBorders>
            <w:noWrap w:val="0"/>
            <w:vAlign w:val="center"/>
          </w:tcPr>
          <w:p w14:paraId="4828361D">
            <w:pPr>
              <w:keepNext w:val="0"/>
              <w:keepLines w:val="0"/>
              <w:pageBreakBefore w:val="0"/>
              <w:widowControl/>
              <w:kinsoku/>
              <w:wordWrap/>
              <w:overflowPunct/>
              <w:topLinePunct w:val="0"/>
              <w:autoSpaceDE/>
              <w:autoSpaceDN/>
              <w:bidi w:val="0"/>
              <w:snapToGrid w:val="0"/>
              <w:spacing w:line="240" w:lineRule="auto"/>
              <w:jc w:val="left"/>
              <w:textAlignment w:val="auto"/>
              <w:rPr>
                <w:rFonts w:hint="default" w:ascii="Times New Roman" w:hAnsi="Times New Roman" w:cs="Times New Roman"/>
                <w:sz w:val="21"/>
                <w:szCs w:val="21"/>
              </w:rPr>
            </w:pPr>
          </w:p>
        </w:tc>
        <w:tc>
          <w:tcPr>
            <w:tcW w:w="3833" w:type="pct"/>
            <w:gridSpan w:val="11"/>
            <w:tcBorders>
              <w:top w:val="single" w:color="auto" w:sz="4" w:space="0"/>
              <w:left w:val="single" w:color="auto" w:sz="4" w:space="0"/>
              <w:bottom w:val="single" w:color="auto" w:sz="4" w:space="0"/>
              <w:right w:val="single" w:color="auto" w:sz="4" w:space="0"/>
            </w:tcBorders>
            <w:noWrap w:val="0"/>
            <w:vAlign w:val="center"/>
          </w:tcPr>
          <w:p w14:paraId="23BF920A">
            <w:pPr>
              <w:keepNext w:val="0"/>
              <w:keepLines w:val="0"/>
              <w:pageBreakBefore w:val="0"/>
              <w:widowControl/>
              <w:kinsoku/>
              <w:wordWrap/>
              <w:overflowPunct/>
              <w:topLinePunct w:val="0"/>
              <w:autoSpaceDE/>
              <w:autoSpaceDN/>
              <w:bidi w:val="0"/>
              <w:snapToGrid w:val="0"/>
              <w:spacing w:line="240" w:lineRule="auto"/>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地下水环境敏感程度E值</w:t>
            </w:r>
          </w:p>
        </w:tc>
        <w:tc>
          <w:tcPr>
            <w:tcW w:w="798" w:type="pct"/>
            <w:gridSpan w:val="2"/>
            <w:tcBorders>
              <w:top w:val="single" w:color="auto" w:sz="4" w:space="0"/>
              <w:left w:val="single" w:color="auto" w:sz="4" w:space="0"/>
              <w:bottom w:val="single" w:color="auto" w:sz="4" w:space="0"/>
              <w:right w:val="single" w:color="auto" w:sz="4" w:space="0"/>
            </w:tcBorders>
            <w:noWrap w:val="0"/>
            <w:vAlign w:val="center"/>
          </w:tcPr>
          <w:p w14:paraId="04278C58">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bCs/>
                <w:sz w:val="21"/>
                <w:szCs w:val="21"/>
                <w:lang w:bidi="ar"/>
              </w:rPr>
            </w:pPr>
            <w:r>
              <w:rPr>
                <w:rFonts w:hint="default" w:ascii="Times New Roman" w:hAnsi="Times New Roman" w:cs="Times New Roman"/>
                <w:bCs/>
                <w:sz w:val="21"/>
                <w:szCs w:val="21"/>
                <w:lang w:bidi="ar"/>
              </w:rPr>
              <w:t>E3</w:t>
            </w:r>
          </w:p>
        </w:tc>
      </w:tr>
    </w:tbl>
    <w:p w14:paraId="0B2D9397">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3.3环境风险潜势初判</w:t>
      </w:r>
    </w:p>
    <w:p w14:paraId="50CFCDF4">
      <w:pPr>
        <w:pStyle w:val="75"/>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default" w:ascii="Times New Roman" w:hAnsi="Times New Roman" w:cs="Times New Roman"/>
          <w:b/>
          <w:color w:val="auto"/>
          <w:sz w:val="24"/>
          <w:szCs w:val="32"/>
        </w:rPr>
      </w:pPr>
      <w:r>
        <w:rPr>
          <w:rFonts w:hint="default" w:ascii="Times New Roman" w:hAnsi="Times New Roman" w:cs="Times New Roman"/>
          <w:b/>
          <w:color w:val="auto"/>
          <w:sz w:val="24"/>
          <w:szCs w:val="32"/>
        </w:rPr>
        <w:t>1、P的分级确定</w:t>
      </w:r>
    </w:p>
    <w:p w14:paraId="33AEB834">
      <w:pPr>
        <w:pStyle w:val="75"/>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default" w:ascii="Times New Roman" w:hAnsi="Times New Roman" w:cs="Times New Roman"/>
          <w:b/>
          <w:color w:val="auto"/>
          <w:sz w:val="24"/>
          <w:szCs w:val="36"/>
        </w:rPr>
      </w:pPr>
      <w:r>
        <w:rPr>
          <w:rFonts w:hint="default" w:ascii="Times New Roman" w:hAnsi="Times New Roman" w:cs="Times New Roman"/>
          <w:b/>
          <w:color w:val="auto"/>
          <w:sz w:val="24"/>
          <w:szCs w:val="32"/>
        </w:rPr>
        <w:t>（1）危险物质数量与临界量比值Q</w:t>
      </w:r>
    </w:p>
    <w:p w14:paraId="31B45D6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计算所涉及的每种危险物质厂</w:t>
      </w:r>
      <w:r>
        <w:rPr>
          <w:rFonts w:hint="eastAsia" w:ascii="Times New Roman" w:hAnsi="Times New Roman" w:cs="Times New Roman"/>
          <w:color w:val="auto"/>
          <w:sz w:val="24"/>
          <w:szCs w:val="32"/>
          <w:lang w:val="en-US" w:eastAsia="zh-CN"/>
        </w:rPr>
        <w:t>区范围</w:t>
      </w:r>
      <w:r>
        <w:rPr>
          <w:rFonts w:hint="default" w:ascii="Times New Roman" w:hAnsi="Times New Roman" w:cs="Times New Roman"/>
          <w:color w:val="auto"/>
          <w:sz w:val="24"/>
          <w:szCs w:val="32"/>
        </w:rPr>
        <w:t>内最大存放量与《建设项目环境风险评价技术导则》（HJ169-2018）附录B中对应临界量的比值Q。判定公式如下：</w:t>
      </w:r>
    </w:p>
    <w:p w14:paraId="6897DB6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当只涉及一种危险物质时，计算该物质的总量与其临界量比值，即为Q；</w:t>
      </w:r>
    </w:p>
    <w:p w14:paraId="0062A40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对于多种（n种）物质同时存放或使用的场所，利用下列公式计算：</w:t>
      </w:r>
    </w:p>
    <w:p w14:paraId="62D7F0D6">
      <w:pPr>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center"/>
        <w:textAlignment w:val="auto"/>
        <w:rPr>
          <w:rFonts w:hint="default" w:ascii="Times New Roman" w:hAnsi="Times New Roman" w:cs="Times New Roman"/>
          <w:color w:val="auto"/>
        </w:rPr>
      </w:pPr>
      <w:r>
        <w:rPr>
          <w:rFonts w:hint="default" w:ascii="Times New Roman" w:hAnsi="Times New Roman" w:cs="Times New Roman"/>
          <w:color w:val="auto"/>
          <w:position w:val="-14"/>
        </w:rPr>
        <w:object>
          <v:shape id="_x0000_i1025" o:spt="75" type="#_x0000_t75" style="height:20pt;width:75pt;" o:ole="t" filled="f" o:preferrelative="t" stroked="f" coordsize="21600,21600">
            <v:path/>
            <v:fill on="f" focussize="0,0"/>
            <v:stroke on="f"/>
            <v:imagedata r:id="rId63" o:title=""/>
            <o:lock v:ext="edit" aspectratio="t"/>
            <w10:wrap type="none"/>
            <w10:anchorlock/>
          </v:shape>
          <o:OLEObject Type="Embed" ProgID="Equation.KSEE3" ShapeID="_x0000_i1025" DrawAspect="Content" ObjectID="_1468075725" r:id="rId62">
            <o:LockedField>false</o:LockedField>
          </o:OLEObject>
        </w:object>
      </w:r>
    </w:p>
    <w:p w14:paraId="74F1832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式中: qi—i种物质的实际储存量；</w:t>
      </w:r>
    </w:p>
    <w:p w14:paraId="270CE9D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Qi—i危险物质对应的生产场所或储存区的临界量： i=l~n</w:t>
      </w:r>
    </w:p>
    <w:p w14:paraId="1F58AB6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当Q&lt;1，该项目环境风险潜势为1。</w:t>
      </w:r>
    </w:p>
    <w:p w14:paraId="64CAF250">
      <w:pPr>
        <w:pStyle w:val="75"/>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当Q≥1时，将Q值划分为： (1) 1≤Q&lt;10； (2) 10≤Q&lt;100； (3) Q≥ 100；</w:t>
      </w:r>
    </w:p>
    <w:p w14:paraId="7891AB09">
      <w:pPr>
        <w:pStyle w:val="75"/>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根据《建设项目环境风险评价技术导则》（HJ169-2018）附录B，识别的风险物质见表</w:t>
      </w:r>
      <w:r>
        <w:rPr>
          <w:rFonts w:hint="default" w:ascii="Times New Roman" w:hAnsi="Times New Roman" w:cs="Times New Roman"/>
          <w:color w:val="auto"/>
          <w:sz w:val="24"/>
          <w:szCs w:val="24"/>
          <w:u w:val="none"/>
          <w:lang w:val="en-US" w:eastAsia="zh-CN"/>
        </w:rPr>
        <w:t>3-1，Q=15.2497343</w:t>
      </w:r>
      <w:r>
        <w:rPr>
          <w:rFonts w:hint="default" w:ascii="Times New Roman" w:hAnsi="Times New Roman" w:cs="Times New Roman"/>
          <w:color w:val="auto"/>
          <w:sz w:val="24"/>
          <w:szCs w:val="24"/>
          <w:u w:val="none"/>
        </w:rPr>
        <w:t>。</w:t>
      </w:r>
    </w:p>
    <w:p w14:paraId="7D7C75E9">
      <w:pPr>
        <w:pStyle w:val="76"/>
        <w:keepNext w:val="0"/>
        <w:keepLines w:val="0"/>
        <w:pageBreakBefore w:val="0"/>
        <w:widowControl w:val="0"/>
        <w:kinsoku/>
        <w:wordWrap/>
        <w:overflowPunct/>
        <w:topLinePunct w:val="0"/>
        <w:autoSpaceDE/>
        <w:autoSpaceDN/>
        <w:bidi w:val="0"/>
        <w:snapToGrid/>
        <w:ind w:firstLine="482" w:firstLineChars="200"/>
        <w:jc w:val="left"/>
        <w:textAlignment w:val="auto"/>
        <w:outlineLvl w:val="9"/>
        <w:rPr>
          <w:rFonts w:hint="default" w:ascii="Times New Roman" w:hAnsi="Times New Roman" w:eastAsia="宋体" w:cs="Times New Roman"/>
          <w:b/>
          <w:color w:val="auto"/>
          <w:sz w:val="24"/>
          <w:szCs w:val="24"/>
        </w:rPr>
      </w:pPr>
      <w:bookmarkStart w:id="52" w:name="_Toc8995"/>
      <w:r>
        <w:rPr>
          <w:rFonts w:hint="default" w:ascii="Times New Roman" w:hAnsi="Times New Roman" w:eastAsia="宋体" w:cs="Times New Roman"/>
          <w:b/>
          <w:color w:val="auto"/>
          <w:sz w:val="24"/>
          <w:szCs w:val="24"/>
        </w:rPr>
        <w:t>（2）行业及生产工艺M</w:t>
      </w:r>
      <w:bookmarkEnd w:id="52"/>
    </w:p>
    <w:p w14:paraId="2AE6598D">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本项目属于</w:t>
      </w:r>
      <w:r>
        <w:rPr>
          <w:rFonts w:hint="eastAsia" w:ascii="Times New Roman" w:hAnsi="Times New Roman" w:eastAsia="宋体" w:cs="Times New Roman"/>
          <w:color w:val="auto"/>
          <w:sz w:val="24"/>
          <w:szCs w:val="24"/>
          <w:highlight w:val="none"/>
          <w:u w:val="none" w:color="auto"/>
          <w:lang w:val="en-US" w:eastAsia="zh-CN"/>
        </w:rPr>
        <w:t>自来水生产和供应业</w:t>
      </w:r>
      <w:r>
        <w:rPr>
          <w:rFonts w:hint="default" w:ascii="Times New Roman" w:hAnsi="Times New Roman" w:cs="Times New Roman"/>
          <w:color w:val="auto"/>
          <w:sz w:val="24"/>
          <w:szCs w:val="24"/>
        </w:rPr>
        <w:t>，根据《建设项目环境风险评价技术导则》（HJ169-2018）附录C表C.1行业及生产工艺（M），通过分析项目所属行业及生产工艺特点，根据表3-</w:t>
      </w:r>
      <w:r>
        <w:rPr>
          <w:rFonts w:hint="default" w:ascii="Times New Roman" w:hAnsi="Times New Roman" w:cs="Times New Roman"/>
          <w:color w:val="auto"/>
          <w:sz w:val="24"/>
          <w:szCs w:val="24"/>
          <w:lang w:val="en-US" w:eastAsia="zh-CN"/>
        </w:rPr>
        <w:t>4</w:t>
      </w:r>
      <w:r>
        <w:rPr>
          <w:rFonts w:hint="default" w:ascii="Times New Roman" w:hAnsi="Times New Roman" w:cs="Times New Roman"/>
          <w:color w:val="auto"/>
          <w:sz w:val="24"/>
          <w:szCs w:val="24"/>
        </w:rPr>
        <w:t>确定：M=</w:t>
      </w:r>
      <w:r>
        <w:rPr>
          <w:rFonts w:hint="default"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rPr>
        <w:t>，为M</w:t>
      </w:r>
      <w:r>
        <w:rPr>
          <w:rFonts w:hint="default" w:ascii="Times New Roman" w:hAnsi="Times New Roman" w:cs="Times New Roman"/>
          <w:color w:val="auto"/>
          <w:sz w:val="24"/>
          <w:szCs w:val="24"/>
          <w:lang w:val="en-US" w:eastAsia="zh-CN"/>
        </w:rPr>
        <w:t>4</w:t>
      </w:r>
      <w:r>
        <w:rPr>
          <w:rFonts w:hint="default" w:ascii="Times New Roman" w:hAnsi="Times New Roman" w:cs="Times New Roman"/>
          <w:color w:val="auto"/>
          <w:sz w:val="24"/>
          <w:szCs w:val="24"/>
        </w:rPr>
        <w:t>。</w:t>
      </w:r>
    </w:p>
    <w:p w14:paraId="0D425357">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表3-</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 xml:space="preserve">  行业及生产工艺M</w:t>
      </w:r>
    </w:p>
    <w:tbl>
      <w:tblPr>
        <w:tblStyle w:val="24"/>
        <w:tblW w:w="50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82"/>
        <w:gridCol w:w="2931"/>
        <w:gridCol w:w="1156"/>
        <w:gridCol w:w="2098"/>
        <w:gridCol w:w="856"/>
      </w:tblGrid>
      <w:tr w14:paraId="5E97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noWrap w:val="0"/>
            <w:vAlign w:val="center"/>
          </w:tcPr>
          <w:p w14:paraId="66EF527E">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行业</w:t>
            </w:r>
          </w:p>
        </w:tc>
        <w:tc>
          <w:tcPr>
            <w:tcW w:w="1760" w:type="pct"/>
            <w:noWrap w:val="0"/>
            <w:vAlign w:val="center"/>
          </w:tcPr>
          <w:p w14:paraId="2F5795A8">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评估依据</w:t>
            </w:r>
          </w:p>
        </w:tc>
        <w:tc>
          <w:tcPr>
            <w:tcW w:w="694" w:type="pct"/>
            <w:noWrap w:val="0"/>
            <w:vAlign w:val="center"/>
          </w:tcPr>
          <w:p w14:paraId="731852E8">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分值</w:t>
            </w:r>
          </w:p>
        </w:tc>
        <w:tc>
          <w:tcPr>
            <w:tcW w:w="1260" w:type="pct"/>
            <w:noWrap w:val="0"/>
            <w:vAlign w:val="center"/>
          </w:tcPr>
          <w:p w14:paraId="614ED859">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本项目情况</w:t>
            </w:r>
          </w:p>
        </w:tc>
        <w:tc>
          <w:tcPr>
            <w:tcW w:w="514" w:type="pct"/>
            <w:noWrap w:val="0"/>
            <w:vAlign w:val="center"/>
          </w:tcPr>
          <w:p w14:paraId="00C66E10">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评分</w:t>
            </w:r>
          </w:p>
        </w:tc>
      </w:tr>
      <w:tr w14:paraId="09CC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vMerge w:val="restart"/>
            <w:noWrap w:val="0"/>
            <w:vAlign w:val="center"/>
          </w:tcPr>
          <w:p w14:paraId="6A3753E7">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石化、化工、医药、轻工、化纤、有色冶炼等</w:t>
            </w:r>
          </w:p>
        </w:tc>
        <w:tc>
          <w:tcPr>
            <w:tcW w:w="1760" w:type="pct"/>
            <w:noWrap w:val="0"/>
            <w:vAlign w:val="center"/>
          </w:tcPr>
          <w:p w14:paraId="1F13FE3A">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涉及光气及光气化工艺、电解工艺（氯碱）、氯化工艺、硝化工艺、合成氨工艺、裂解（裂化）工艺、氟化工艺、加氢工艺、重氮化工艺、氧化工艺、过氧化工艺、烷基化工艺、磺化工艺、聚合工艺、烷基化工艺、新型煤化工工艺、电石生产工艺、偶氮化工艺</w:t>
            </w:r>
          </w:p>
        </w:tc>
        <w:tc>
          <w:tcPr>
            <w:tcW w:w="694" w:type="pct"/>
            <w:noWrap w:val="0"/>
            <w:vAlign w:val="center"/>
          </w:tcPr>
          <w:p w14:paraId="470EB93E">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10/套</w:t>
            </w:r>
          </w:p>
        </w:tc>
        <w:tc>
          <w:tcPr>
            <w:tcW w:w="1260" w:type="pct"/>
            <w:vMerge w:val="restart"/>
            <w:noWrap w:val="0"/>
            <w:vAlign w:val="center"/>
          </w:tcPr>
          <w:p w14:paraId="1103AD8B">
            <w:pPr>
              <w:pStyle w:val="77"/>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kern w:val="2"/>
                <w:sz w:val="21"/>
                <w:szCs w:val="21"/>
                <w:u w:val="none"/>
                <w:lang w:val="en-US" w:eastAsia="zh-CN"/>
              </w:rPr>
              <w:t>本项目</w:t>
            </w:r>
            <w:r>
              <w:rPr>
                <w:rFonts w:hint="eastAsia" w:cs="Times New Roman"/>
                <w:color w:val="auto"/>
                <w:kern w:val="2"/>
                <w:sz w:val="21"/>
                <w:szCs w:val="21"/>
                <w:u w:val="none"/>
                <w:lang w:val="en-US" w:eastAsia="zh-CN"/>
              </w:rPr>
              <w:t>不涉及左述工艺类型和行业</w:t>
            </w:r>
          </w:p>
        </w:tc>
        <w:tc>
          <w:tcPr>
            <w:tcW w:w="514" w:type="pct"/>
            <w:noWrap w:val="0"/>
            <w:vAlign w:val="center"/>
          </w:tcPr>
          <w:p w14:paraId="6DD5FE1F">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r>
      <w:tr w14:paraId="43EE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vMerge w:val="continue"/>
            <w:noWrap w:val="0"/>
            <w:vAlign w:val="center"/>
          </w:tcPr>
          <w:p w14:paraId="0D776DB9">
            <w:pPr>
              <w:keepNext w:val="0"/>
              <w:keepLines w:val="0"/>
              <w:pageBreakBefore w:val="0"/>
              <w:widowControl w:val="0"/>
              <w:kinsoku/>
              <w:wordWrap/>
              <w:overflowPunct/>
              <w:topLinePunct w:val="0"/>
              <w:autoSpaceDE/>
              <w:autoSpaceDN/>
              <w:snapToGrid w:val="0"/>
              <w:rPr>
                <w:rFonts w:hint="default" w:ascii="Times New Roman" w:hAnsi="Times New Roman" w:cs="Times New Roman"/>
                <w:color w:val="auto"/>
                <w:sz w:val="21"/>
                <w:szCs w:val="21"/>
                <w:highlight w:val="none"/>
              </w:rPr>
            </w:pPr>
          </w:p>
        </w:tc>
        <w:tc>
          <w:tcPr>
            <w:tcW w:w="1760" w:type="pct"/>
            <w:noWrap w:val="0"/>
            <w:vAlign w:val="center"/>
          </w:tcPr>
          <w:p w14:paraId="69E96A6F">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无机酸制酸工艺、焦化工艺</w:t>
            </w:r>
          </w:p>
        </w:tc>
        <w:tc>
          <w:tcPr>
            <w:tcW w:w="694" w:type="pct"/>
            <w:noWrap w:val="0"/>
            <w:vAlign w:val="center"/>
          </w:tcPr>
          <w:p w14:paraId="642985FE">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5/套</w:t>
            </w:r>
          </w:p>
        </w:tc>
        <w:tc>
          <w:tcPr>
            <w:tcW w:w="1260" w:type="pct"/>
            <w:vMerge w:val="continue"/>
            <w:noWrap w:val="0"/>
            <w:vAlign w:val="center"/>
          </w:tcPr>
          <w:p w14:paraId="674957F5">
            <w:pPr>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p>
        </w:tc>
        <w:tc>
          <w:tcPr>
            <w:tcW w:w="514" w:type="pct"/>
            <w:noWrap w:val="0"/>
            <w:vAlign w:val="center"/>
          </w:tcPr>
          <w:p w14:paraId="4EBD81F3">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r>
      <w:tr w14:paraId="36AE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vMerge w:val="continue"/>
            <w:noWrap w:val="0"/>
            <w:vAlign w:val="center"/>
          </w:tcPr>
          <w:p w14:paraId="45129103">
            <w:pPr>
              <w:keepNext w:val="0"/>
              <w:keepLines w:val="0"/>
              <w:pageBreakBefore w:val="0"/>
              <w:widowControl w:val="0"/>
              <w:kinsoku/>
              <w:wordWrap/>
              <w:overflowPunct/>
              <w:topLinePunct w:val="0"/>
              <w:autoSpaceDE/>
              <w:autoSpaceDN/>
              <w:snapToGrid w:val="0"/>
              <w:rPr>
                <w:rFonts w:hint="default" w:ascii="Times New Roman" w:hAnsi="Times New Roman" w:cs="Times New Roman"/>
                <w:color w:val="auto"/>
                <w:sz w:val="21"/>
                <w:szCs w:val="21"/>
                <w:highlight w:val="none"/>
              </w:rPr>
            </w:pPr>
          </w:p>
        </w:tc>
        <w:tc>
          <w:tcPr>
            <w:tcW w:w="1760" w:type="pct"/>
            <w:noWrap w:val="0"/>
            <w:vAlign w:val="center"/>
          </w:tcPr>
          <w:p w14:paraId="7487B5E8">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其他高温或高压，且涉及危险物质的工艺过程、危险物质贮存罐区</w:t>
            </w:r>
          </w:p>
        </w:tc>
        <w:tc>
          <w:tcPr>
            <w:tcW w:w="694" w:type="pct"/>
            <w:noWrap w:val="0"/>
            <w:vAlign w:val="center"/>
          </w:tcPr>
          <w:p w14:paraId="3C00AB5E">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5/套</w:t>
            </w:r>
          </w:p>
          <w:p w14:paraId="51517033">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（罐区）</w:t>
            </w:r>
          </w:p>
        </w:tc>
        <w:tc>
          <w:tcPr>
            <w:tcW w:w="1260" w:type="pct"/>
            <w:vMerge w:val="continue"/>
            <w:noWrap w:val="0"/>
            <w:vAlign w:val="center"/>
          </w:tcPr>
          <w:p w14:paraId="2D26C450">
            <w:pPr>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p>
        </w:tc>
        <w:tc>
          <w:tcPr>
            <w:tcW w:w="514" w:type="pct"/>
            <w:noWrap w:val="0"/>
            <w:vAlign w:val="center"/>
          </w:tcPr>
          <w:p w14:paraId="2E2EE7EE">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0</w:t>
            </w:r>
          </w:p>
        </w:tc>
      </w:tr>
      <w:tr w14:paraId="4699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noWrap w:val="0"/>
            <w:vAlign w:val="center"/>
          </w:tcPr>
          <w:p w14:paraId="12295EC7">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管道、港口/码头等</w:t>
            </w:r>
          </w:p>
        </w:tc>
        <w:tc>
          <w:tcPr>
            <w:tcW w:w="1760" w:type="pct"/>
            <w:noWrap w:val="0"/>
            <w:vAlign w:val="center"/>
          </w:tcPr>
          <w:p w14:paraId="67746ACE">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涉及危险物质管道运输项目、港口/码头等</w:t>
            </w:r>
          </w:p>
        </w:tc>
        <w:tc>
          <w:tcPr>
            <w:tcW w:w="694" w:type="pct"/>
            <w:noWrap w:val="0"/>
            <w:vAlign w:val="center"/>
          </w:tcPr>
          <w:p w14:paraId="5686DD93">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1260" w:type="pct"/>
            <w:noWrap w:val="0"/>
            <w:vAlign w:val="center"/>
          </w:tcPr>
          <w:p w14:paraId="01870871">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本项目</w:t>
            </w:r>
            <w:r>
              <w:rPr>
                <w:rFonts w:hint="default" w:ascii="Times New Roman" w:hAnsi="Times New Roman" w:eastAsia="宋体" w:cs="Times New Roman"/>
                <w:color w:val="auto"/>
                <w:sz w:val="21"/>
                <w:szCs w:val="21"/>
                <w:highlight w:val="none"/>
              </w:rPr>
              <w:t>不涉及</w:t>
            </w:r>
          </w:p>
        </w:tc>
        <w:tc>
          <w:tcPr>
            <w:tcW w:w="514" w:type="pct"/>
            <w:noWrap w:val="0"/>
            <w:vAlign w:val="center"/>
          </w:tcPr>
          <w:p w14:paraId="19DBEB0C">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r>
      <w:tr w14:paraId="4144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noWrap w:val="0"/>
            <w:vAlign w:val="center"/>
          </w:tcPr>
          <w:p w14:paraId="467F264C">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石油天然气</w:t>
            </w:r>
          </w:p>
        </w:tc>
        <w:tc>
          <w:tcPr>
            <w:tcW w:w="1760" w:type="pct"/>
            <w:noWrap w:val="0"/>
            <w:vAlign w:val="center"/>
          </w:tcPr>
          <w:p w14:paraId="4E7EA125">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石油、天然气、页岩气开采（含净化），气库（不含加气站的气库），油库（不含加气站的油库）、油气管线（不含城镇燃气管线）</w:t>
            </w:r>
          </w:p>
        </w:tc>
        <w:tc>
          <w:tcPr>
            <w:tcW w:w="694" w:type="pct"/>
            <w:noWrap w:val="0"/>
            <w:vAlign w:val="center"/>
          </w:tcPr>
          <w:p w14:paraId="41C0A21A">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1260" w:type="pct"/>
            <w:noWrap w:val="0"/>
            <w:vAlign w:val="center"/>
          </w:tcPr>
          <w:p w14:paraId="302B59FF">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本项目</w:t>
            </w:r>
            <w:r>
              <w:rPr>
                <w:rFonts w:hint="default" w:ascii="Times New Roman" w:hAnsi="Times New Roman" w:eastAsia="宋体" w:cs="Times New Roman"/>
                <w:color w:val="auto"/>
                <w:sz w:val="21"/>
                <w:szCs w:val="21"/>
                <w:highlight w:val="none"/>
              </w:rPr>
              <w:t>不涉及</w:t>
            </w:r>
          </w:p>
        </w:tc>
        <w:tc>
          <w:tcPr>
            <w:tcW w:w="514" w:type="pct"/>
            <w:noWrap w:val="0"/>
            <w:vAlign w:val="center"/>
          </w:tcPr>
          <w:p w14:paraId="535AED54">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r>
      <w:tr w14:paraId="00F3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70" w:type="pct"/>
            <w:noWrap w:val="0"/>
            <w:vAlign w:val="center"/>
          </w:tcPr>
          <w:p w14:paraId="4ECB800F">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其他</w:t>
            </w:r>
          </w:p>
        </w:tc>
        <w:tc>
          <w:tcPr>
            <w:tcW w:w="1760" w:type="pct"/>
            <w:noWrap w:val="0"/>
            <w:vAlign w:val="center"/>
          </w:tcPr>
          <w:p w14:paraId="4C06FC7F">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涉及危险物质使用、贮存的项目</w:t>
            </w:r>
          </w:p>
        </w:tc>
        <w:tc>
          <w:tcPr>
            <w:tcW w:w="694" w:type="pct"/>
            <w:noWrap w:val="0"/>
            <w:vAlign w:val="center"/>
          </w:tcPr>
          <w:p w14:paraId="57846FC1">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1260" w:type="pct"/>
            <w:noWrap w:val="0"/>
            <w:vAlign w:val="center"/>
          </w:tcPr>
          <w:p w14:paraId="5BB53CD7">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液氯</w:t>
            </w:r>
            <w:r>
              <w:rPr>
                <w:rFonts w:hint="default" w:ascii="Times New Roman" w:hAnsi="Times New Roman" w:eastAsia="宋体" w:cs="Times New Roman"/>
                <w:color w:val="auto"/>
                <w:sz w:val="21"/>
                <w:szCs w:val="21"/>
                <w:highlight w:val="none"/>
                <w:lang w:val="en-US" w:eastAsia="zh-CN"/>
              </w:rPr>
              <w:t>使用</w:t>
            </w:r>
            <w:r>
              <w:rPr>
                <w:rFonts w:hint="eastAsia" w:cs="Times New Roman"/>
                <w:color w:val="auto"/>
                <w:sz w:val="21"/>
                <w:szCs w:val="21"/>
                <w:highlight w:val="none"/>
                <w:lang w:val="en-US" w:eastAsia="zh-CN"/>
              </w:rPr>
              <w:t>和储存</w:t>
            </w:r>
          </w:p>
        </w:tc>
        <w:tc>
          <w:tcPr>
            <w:tcW w:w="514" w:type="pct"/>
            <w:noWrap w:val="0"/>
            <w:vAlign w:val="center"/>
          </w:tcPr>
          <w:p w14:paraId="34574E95">
            <w:pPr>
              <w:pStyle w:val="77"/>
              <w:keepNext w:val="0"/>
              <w:keepLines w:val="0"/>
              <w:pageBreakBefore w:val="0"/>
              <w:widowControl w:val="0"/>
              <w:kinsoku/>
              <w:wordWrap/>
              <w:overflowPunct/>
              <w:topLinePunct w:val="0"/>
              <w:autoSpaceDE/>
              <w:autoSpaceDN/>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r>
    </w:tbl>
    <w:p w14:paraId="62F0845C">
      <w:pPr>
        <w:pStyle w:val="75"/>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default" w:ascii="Times New Roman" w:hAnsi="Times New Roman" w:cs="Times New Roman"/>
          <w:b/>
          <w:color w:val="auto"/>
          <w:sz w:val="24"/>
          <w:szCs w:val="32"/>
        </w:rPr>
      </w:pPr>
      <w:r>
        <w:rPr>
          <w:rFonts w:hint="default" w:ascii="Times New Roman" w:hAnsi="Times New Roman" w:cs="Times New Roman"/>
          <w:b/>
          <w:color w:val="auto"/>
          <w:sz w:val="24"/>
          <w:szCs w:val="32"/>
        </w:rPr>
        <w:t>（3）危险物质及工艺系统危险性P分级</w:t>
      </w:r>
    </w:p>
    <w:p w14:paraId="0F4651CC">
      <w:pPr>
        <w:pStyle w:val="75"/>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cs="Times New Roman"/>
          <w:b w:val="0"/>
          <w:bCs/>
          <w:color w:val="auto"/>
          <w:sz w:val="24"/>
          <w:szCs w:val="32"/>
          <w:highlight w:val="none"/>
        </w:rPr>
      </w:pPr>
      <w:r>
        <w:rPr>
          <w:rFonts w:hint="default" w:ascii="Times New Roman" w:hAnsi="Times New Roman" w:cs="Times New Roman"/>
          <w:b w:val="0"/>
          <w:bCs/>
          <w:color w:val="auto"/>
          <w:sz w:val="24"/>
          <w:szCs w:val="32"/>
        </w:rPr>
        <w:t>根据确定的危险物质在项目厂区存储的数量与其规定的临界量比值和所属行业及生产工艺特点（M</w:t>
      </w:r>
      <w:r>
        <w:rPr>
          <w:rFonts w:hint="default" w:ascii="Times New Roman" w:hAnsi="Times New Roman" w:cs="Times New Roman"/>
          <w:b w:val="0"/>
          <w:bCs/>
          <w:color w:val="auto"/>
          <w:sz w:val="24"/>
          <w:szCs w:val="32"/>
          <w:highlight w:val="none"/>
        </w:rPr>
        <w:t>），确定项目危险物质及工艺系统危险性P等级为P</w:t>
      </w:r>
      <w:r>
        <w:rPr>
          <w:rFonts w:hint="eastAsia" w:ascii="Times New Roman" w:hAnsi="Times New Roman" w:cs="Times New Roman"/>
          <w:b w:val="0"/>
          <w:bCs/>
          <w:color w:val="auto"/>
          <w:sz w:val="24"/>
          <w:szCs w:val="32"/>
          <w:highlight w:val="none"/>
          <w:lang w:val="en-US" w:eastAsia="zh-CN"/>
        </w:rPr>
        <w:t>4</w:t>
      </w:r>
      <w:r>
        <w:rPr>
          <w:rFonts w:hint="default" w:ascii="Times New Roman" w:hAnsi="Times New Roman" w:cs="Times New Roman"/>
          <w:b w:val="0"/>
          <w:bCs/>
          <w:color w:val="auto"/>
          <w:sz w:val="24"/>
          <w:szCs w:val="32"/>
          <w:highlight w:val="none"/>
        </w:rPr>
        <w:t>。</w:t>
      </w:r>
    </w:p>
    <w:p w14:paraId="155651B0">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表3-</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 xml:space="preserve">   危险物质及工艺系统危险性等级判断（P）</w:t>
      </w:r>
    </w:p>
    <w:tbl>
      <w:tblPr>
        <w:tblStyle w:val="24"/>
        <w:tblW w:w="50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75"/>
        <w:gridCol w:w="1594"/>
        <w:gridCol w:w="1594"/>
        <w:gridCol w:w="1594"/>
        <w:gridCol w:w="1596"/>
      </w:tblGrid>
      <w:tr w14:paraId="335B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82" w:type="pct"/>
            <w:vMerge w:val="restart"/>
            <w:noWrap w:val="0"/>
            <w:vAlign w:val="center"/>
          </w:tcPr>
          <w:p w14:paraId="66C572B0">
            <w:pPr>
              <w:pStyle w:val="78"/>
              <w:widowControl w:val="0"/>
              <w:adjustRightInd w:val="0"/>
              <w:snapToGrid w:val="0"/>
              <w:rPr>
                <w:rFonts w:hint="default" w:ascii="Times New Roman" w:hAnsi="Times New Roman" w:cs="Times New Roman"/>
                <w:b/>
                <w:bCs/>
                <w:color w:val="auto"/>
                <w:sz w:val="21"/>
              </w:rPr>
            </w:pPr>
            <w:r>
              <w:rPr>
                <w:rFonts w:hint="default" w:ascii="Times New Roman" w:hAnsi="Times New Roman" w:cs="Times New Roman"/>
                <w:b/>
                <w:bCs/>
                <w:color w:val="auto"/>
                <w:sz w:val="21"/>
              </w:rPr>
              <w:t>危险物质数量与临界量比值（Q）</w:t>
            </w:r>
          </w:p>
        </w:tc>
        <w:tc>
          <w:tcPr>
            <w:tcW w:w="3817" w:type="pct"/>
            <w:gridSpan w:val="4"/>
            <w:noWrap w:val="0"/>
            <w:vAlign w:val="center"/>
          </w:tcPr>
          <w:p w14:paraId="50B9CD01">
            <w:pPr>
              <w:pStyle w:val="78"/>
              <w:widowControl w:val="0"/>
              <w:adjustRightInd w:val="0"/>
              <w:snapToGrid w:val="0"/>
              <w:rPr>
                <w:rFonts w:hint="default" w:ascii="Times New Roman" w:hAnsi="Times New Roman" w:cs="Times New Roman"/>
                <w:b/>
                <w:bCs/>
                <w:color w:val="auto"/>
                <w:sz w:val="21"/>
              </w:rPr>
            </w:pPr>
            <w:r>
              <w:rPr>
                <w:rFonts w:hint="default" w:ascii="Times New Roman" w:hAnsi="Times New Roman" w:cs="Times New Roman"/>
                <w:b/>
                <w:bCs/>
                <w:color w:val="auto"/>
                <w:sz w:val="21"/>
              </w:rPr>
              <w:t>行业及生产工艺（M）</w:t>
            </w:r>
          </w:p>
        </w:tc>
      </w:tr>
      <w:tr w14:paraId="361D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1182" w:type="pct"/>
            <w:vMerge w:val="continue"/>
            <w:noWrap w:val="0"/>
            <w:vAlign w:val="center"/>
          </w:tcPr>
          <w:p w14:paraId="5D39F181">
            <w:pPr>
              <w:pStyle w:val="78"/>
              <w:widowControl w:val="0"/>
              <w:adjustRightInd w:val="0"/>
              <w:snapToGrid w:val="0"/>
              <w:rPr>
                <w:rFonts w:hint="default" w:ascii="Times New Roman" w:hAnsi="Times New Roman" w:cs="Times New Roman"/>
                <w:b/>
                <w:bCs/>
                <w:color w:val="auto"/>
                <w:sz w:val="21"/>
              </w:rPr>
            </w:pPr>
          </w:p>
        </w:tc>
        <w:tc>
          <w:tcPr>
            <w:tcW w:w="954" w:type="pct"/>
            <w:noWrap w:val="0"/>
            <w:vAlign w:val="center"/>
          </w:tcPr>
          <w:p w14:paraId="03242405">
            <w:pPr>
              <w:pStyle w:val="78"/>
              <w:widowControl w:val="0"/>
              <w:adjustRightInd w:val="0"/>
              <w:snapToGrid w:val="0"/>
              <w:rPr>
                <w:rFonts w:hint="default" w:ascii="Times New Roman" w:hAnsi="Times New Roman" w:cs="Times New Roman"/>
                <w:b/>
                <w:bCs/>
                <w:color w:val="auto"/>
                <w:sz w:val="21"/>
              </w:rPr>
            </w:pPr>
            <w:r>
              <w:rPr>
                <w:rFonts w:hint="default" w:ascii="Times New Roman" w:hAnsi="Times New Roman" w:cs="Times New Roman"/>
                <w:b/>
                <w:bCs/>
                <w:color w:val="auto"/>
                <w:sz w:val="21"/>
              </w:rPr>
              <w:t>M1</w:t>
            </w:r>
          </w:p>
        </w:tc>
        <w:tc>
          <w:tcPr>
            <w:tcW w:w="954" w:type="pct"/>
            <w:noWrap w:val="0"/>
            <w:vAlign w:val="center"/>
          </w:tcPr>
          <w:p w14:paraId="63143B39">
            <w:pPr>
              <w:pStyle w:val="78"/>
              <w:widowControl w:val="0"/>
              <w:adjustRightInd w:val="0"/>
              <w:snapToGrid w:val="0"/>
              <w:rPr>
                <w:rFonts w:hint="default" w:ascii="Times New Roman" w:hAnsi="Times New Roman" w:cs="Times New Roman"/>
                <w:b/>
                <w:bCs/>
                <w:color w:val="auto"/>
                <w:sz w:val="21"/>
              </w:rPr>
            </w:pPr>
            <w:r>
              <w:rPr>
                <w:rFonts w:hint="default" w:ascii="Times New Roman" w:hAnsi="Times New Roman" w:cs="Times New Roman"/>
                <w:b/>
                <w:bCs/>
                <w:color w:val="auto"/>
                <w:sz w:val="21"/>
              </w:rPr>
              <w:t>M2</w:t>
            </w:r>
          </w:p>
        </w:tc>
        <w:tc>
          <w:tcPr>
            <w:tcW w:w="954" w:type="pct"/>
            <w:noWrap w:val="0"/>
            <w:vAlign w:val="center"/>
          </w:tcPr>
          <w:p w14:paraId="23FE66AC">
            <w:pPr>
              <w:pStyle w:val="78"/>
              <w:widowControl w:val="0"/>
              <w:adjustRightInd w:val="0"/>
              <w:snapToGrid w:val="0"/>
              <w:rPr>
                <w:rFonts w:hint="default" w:ascii="Times New Roman" w:hAnsi="Times New Roman" w:cs="Times New Roman"/>
                <w:b/>
                <w:bCs/>
                <w:color w:val="auto"/>
                <w:sz w:val="21"/>
              </w:rPr>
            </w:pPr>
            <w:r>
              <w:rPr>
                <w:rFonts w:hint="default" w:ascii="Times New Roman" w:hAnsi="Times New Roman" w:cs="Times New Roman"/>
                <w:b/>
                <w:bCs/>
                <w:color w:val="auto"/>
                <w:sz w:val="21"/>
              </w:rPr>
              <w:t>M3</w:t>
            </w:r>
          </w:p>
        </w:tc>
        <w:tc>
          <w:tcPr>
            <w:tcW w:w="955" w:type="pct"/>
            <w:noWrap w:val="0"/>
            <w:vAlign w:val="center"/>
          </w:tcPr>
          <w:p w14:paraId="2B2AE68E">
            <w:pPr>
              <w:pStyle w:val="78"/>
              <w:widowControl w:val="0"/>
              <w:adjustRightInd w:val="0"/>
              <w:snapToGrid w:val="0"/>
              <w:rPr>
                <w:rFonts w:hint="default" w:ascii="Times New Roman" w:hAnsi="Times New Roman" w:cs="Times New Roman"/>
                <w:b/>
                <w:bCs/>
                <w:color w:val="auto"/>
                <w:sz w:val="21"/>
              </w:rPr>
            </w:pPr>
            <w:r>
              <w:rPr>
                <w:rFonts w:hint="default" w:ascii="Times New Roman" w:hAnsi="Times New Roman" w:cs="Times New Roman"/>
                <w:b/>
                <w:bCs/>
                <w:color w:val="auto"/>
                <w:sz w:val="21"/>
              </w:rPr>
              <w:t>M4</w:t>
            </w:r>
          </w:p>
        </w:tc>
      </w:tr>
      <w:tr w14:paraId="26AA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1182" w:type="pct"/>
            <w:shd w:val="clear" w:color="auto" w:fill="auto"/>
            <w:noWrap w:val="0"/>
            <w:vAlign w:val="center"/>
          </w:tcPr>
          <w:p w14:paraId="3187D0CB">
            <w:pPr>
              <w:pStyle w:val="78"/>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Q≥100</w:t>
            </w:r>
          </w:p>
        </w:tc>
        <w:tc>
          <w:tcPr>
            <w:tcW w:w="954" w:type="pct"/>
            <w:shd w:val="clear" w:color="auto" w:fill="auto"/>
            <w:noWrap w:val="0"/>
            <w:vAlign w:val="center"/>
          </w:tcPr>
          <w:p w14:paraId="4B6510D7">
            <w:pPr>
              <w:pStyle w:val="78"/>
              <w:widowControl w:val="0"/>
              <w:adjustRightInd w:val="0"/>
              <w:snapToGrid w:val="0"/>
              <w:rPr>
                <w:rFonts w:hint="default" w:ascii="Times New Roman" w:hAnsi="Times New Roman" w:cs="Times New Roman"/>
                <w:color w:val="auto"/>
                <w:sz w:val="21"/>
                <w:lang w:val="en-US"/>
              </w:rPr>
            </w:pPr>
            <w:r>
              <w:rPr>
                <w:rFonts w:hint="default" w:ascii="Times New Roman" w:hAnsi="Times New Roman" w:cs="Times New Roman"/>
                <w:color w:val="auto"/>
                <w:sz w:val="21"/>
                <w:lang w:val="en-US"/>
              </w:rPr>
              <w:t>P1</w:t>
            </w:r>
          </w:p>
        </w:tc>
        <w:tc>
          <w:tcPr>
            <w:tcW w:w="954" w:type="pct"/>
            <w:shd w:val="clear" w:color="auto" w:fill="auto"/>
            <w:noWrap w:val="0"/>
            <w:vAlign w:val="center"/>
          </w:tcPr>
          <w:p w14:paraId="02181086">
            <w:pPr>
              <w:pStyle w:val="78"/>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lang w:val="en-US"/>
              </w:rPr>
              <w:t>P1</w:t>
            </w:r>
          </w:p>
        </w:tc>
        <w:tc>
          <w:tcPr>
            <w:tcW w:w="954" w:type="pct"/>
            <w:shd w:val="clear" w:color="auto" w:fill="auto"/>
            <w:noWrap w:val="0"/>
            <w:vAlign w:val="center"/>
          </w:tcPr>
          <w:p w14:paraId="2B1A33D3">
            <w:pPr>
              <w:pStyle w:val="78"/>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P2</w:t>
            </w:r>
          </w:p>
        </w:tc>
        <w:tc>
          <w:tcPr>
            <w:tcW w:w="955" w:type="pct"/>
            <w:shd w:val="clear" w:color="auto" w:fill="auto"/>
            <w:noWrap w:val="0"/>
            <w:vAlign w:val="center"/>
          </w:tcPr>
          <w:p w14:paraId="7E49A36E">
            <w:pPr>
              <w:pStyle w:val="78"/>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P3</w:t>
            </w:r>
          </w:p>
        </w:tc>
      </w:tr>
      <w:tr w14:paraId="2392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1182" w:type="pct"/>
            <w:noWrap w:val="0"/>
            <w:vAlign w:val="center"/>
          </w:tcPr>
          <w:p w14:paraId="4A8A27A0">
            <w:pPr>
              <w:pStyle w:val="78"/>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10≤Q＜100</w:t>
            </w:r>
          </w:p>
        </w:tc>
        <w:tc>
          <w:tcPr>
            <w:tcW w:w="954" w:type="pct"/>
            <w:noWrap w:val="0"/>
            <w:vAlign w:val="center"/>
          </w:tcPr>
          <w:p w14:paraId="5F7C9A77">
            <w:pPr>
              <w:pStyle w:val="78"/>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lang w:val="en-US"/>
              </w:rPr>
              <w:t>P1</w:t>
            </w:r>
          </w:p>
        </w:tc>
        <w:tc>
          <w:tcPr>
            <w:tcW w:w="954" w:type="pct"/>
            <w:noWrap w:val="0"/>
            <w:vAlign w:val="center"/>
          </w:tcPr>
          <w:p w14:paraId="1B2AB864">
            <w:pPr>
              <w:pStyle w:val="78"/>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P2</w:t>
            </w:r>
          </w:p>
        </w:tc>
        <w:tc>
          <w:tcPr>
            <w:tcW w:w="954" w:type="pct"/>
            <w:noWrap w:val="0"/>
            <w:vAlign w:val="center"/>
          </w:tcPr>
          <w:p w14:paraId="11B259A6">
            <w:pPr>
              <w:pStyle w:val="78"/>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P3</w:t>
            </w:r>
          </w:p>
        </w:tc>
        <w:tc>
          <w:tcPr>
            <w:tcW w:w="955" w:type="pct"/>
            <w:noWrap w:val="0"/>
            <w:vAlign w:val="center"/>
          </w:tcPr>
          <w:p w14:paraId="19DD7BC4">
            <w:pPr>
              <w:pStyle w:val="78"/>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b/>
                <w:bCs/>
                <w:color w:val="auto"/>
                <w:sz w:val="21"/>
              </w:rPr>
              <w:t>P4</w:t>
            </w:r>
          </w:p>
        </w:tc>
      </w:tr>
      <w:tr w14:paraId="3E735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1182" w:type="pct"/>
            <w:noWrap w:val="0"/>
            <w:vAlign w:val="center"/>
          </w:tcPr>
          <w:p w14:paraId="0F3B8E27">
            <w:pPr>
              <w:pStyle w:val="78"/>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1≤Q＜10</w:t>
            </w:r>
          </w:p>
        </w:tc>
        <w:tc>
          <w:tcPr>
            <w:tcW w:w="954" w:type="pct"/>
            <w:noWrap w:val="0"/>
            <w:vAlign w:val="center"/>
          </w:tcPr>
          <w:p w14:paraId="41823A8B">
            <w:pPr>
              <w:pStyle w:val="78"/>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P2</w:t>
            </w:r>
          </w:p>
        </w:tc>
        <w:tc>
          <w:tcPr>
            <w:tcW w:w="954" w:type="pct"/>
            <w:noWrap w:val="0"/>
            <w:vAlign w:val="center"/>
          </w:tcPr>
          <w:p w14:paraId="67C70F7F">
            <w:pPr>
              <w:pStyle w:val="78"/>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P3</w:t>
            </w:r>
          </w:p>
        </w:tc>
        <w:tc>
          <w:tcPr>
            <w:tcW w:w="954" w:type="pct"/>
            <w:noWrap w:val="0"/>
            <w:vAlign w:val="center"/>
          </w:tcPr>
          <w:p w14:paraId="342D7457">
            <w:pPr>
              <w:pStyle w:val="78"/>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P4</w:t>
            </w:r>
          </w:p>
        </w:tc>
        <w:tc>
          <w:tcPr>
            <w:tcW w:w="955" w:type="pct"/>
            <w:noWrap w:val="0"/>
            <w:vAlign w:val="center"/>
          </w:tcPr>
          <w:p w14:paraId="124DC9A8">
            <w:pPr>
              <w:pStyle w:val="78"/>
              <w:widowControl w:val="0"/>
              <w:adjustRightInd w:val="0"/>
              <w:snapToGrid w:val="0"/>
              <w:rPr>
                <w:rFonts w:hint="default" w:ascii="Times New Roman" w:hAnsi="Times New Roman" w:cs="Times New Roman"/>
                <w:color w:val="auto"/>
                <w:sz w:val="21"/>
              </w:rPr>
            </w:pPr>
            <w:r>
              <w:rPr>
                <w:rFonts w:hint="default" w:ascii="Times New Roman" w:hAnsi="Times New Roman" w:cs="Times New Roman"/>
                <w:color w:val="auto"/>
                <w:sz w:val="21"/>
              </w:rPr>
              <w:t>P4</w:t>
            </w:r>
          </w:p>
        </w:tc>
      </w:tr>
    </w:tbl>
    <w:p w14:paraId="07E766E8">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bookmarkStart w:id="53" w:name="_Toc1048"/>
      <w:bookmarkStart w:id="54" w:name="_Toc12614"/>
      <w:r>
        <w:rPr>
          <w:rFonts w:hint="default" w:ascii="Times New Roman" w:hAnsi="Times New Roman" w:cs="Times New Roman"/>
          <w:b/>
          <w:color w:val="auto"/>
          <w:sz w:val="28"/>
          <w:szCs w:val="28"/>
        </w:rPr>
        <w:t>3.4环境敏感程度E的分级确定</w:t>
      </w:r>
      <w:bookmarkEnd w:id="53"/>
      <w:bookmarkEnd w:id="54"/>
    </w:p>
    <w:p w14:paraId="7D62B0F6">
      <w:pPr>
        <w:pStyle w:val="11"/>
        <w:keepNext w:val="0"/>
        <w:keepLines w:val="0"/>
        <w:pageBreakBefore w:val="0"/>
        <w:widowControl w:val="0"/>
        <w:kinsoku/>
        <w:wordWrap/>
        <w:overflowPunct/>
        <w:topLinePunct w:val="0"/>
        <w:autoSpaceDE/>
        <w:autoSpaceDN/>
        <w:bidi w:val="0"/>
        <w:adjustRightInd/>
        <w:snapToGrid/>
        <w:spacing w:before="0" w:beforeLines="0" w:after="0" w:afterLines="0" w:line="360" w:lineRule="auto"/>
        <w:ind w:right="0" w:firstLine="482" w:firstLineChars="200"/>
        <w:textAlignment w:val="auto"/>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（1）大气环境</w:t>
      </w:r>
    </w:p>
    <w:p w14:paraId="62EA0EA5">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b/>
          <w:snapToGrid w:val="0"/>
          <w:color w:val="auto"/>
          <w:sz w:val="24"/>
          <w:szCs w:val="24"/>
        </w:rPr>
      </w:pPr>
      <w:r>
        <w:rPr>
          <w:rFonts w:hint="default" w:ascii="Times New Roman" w:hAnsi="Times New Roman" w:cs="Times New Roman"/>
          <w:color w:val="auto"/>
          <w:spacing w:val="6"/>
          <w:sz w:val="24"/>
          <w:szCs w:val="24"/>
        </w:rPr>
        <w:t>大气环境敏感程度</w:t>
      </w:r>
      <w:r>
        <w:rPr>
          <w:rFonts w:hint="default" w:ascii="Times New Roman" w:hAnsi="Times New Roman" w:cs="Times New Roman"/>
          <w:color w:val="auto"/>
          <w:sz w:val="24"/>
          <w:szCs w:val="24"/>
        </w:rPr>
        <w:t>依据环境敏感目标环境敏感性及人口密度划分环境风险受体的敏感性，共分为三种类型，E1为环境高度敏感区，E2为环境中度敏感区，E3为环境低度敏感区，分级原则见下表。</w:t>
      </w:r>
    </w:p>
    <w:p w14:paraId="312519AE">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大气环境敏感程度分级表</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4"/>
        <w:gridCol w:w="7410"/>
      </w:tblGrid>
      <w:tr w14:paraId="3443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44" w:type="pct"/>
            <w:noWrap w:val="0"/>
            <w:vAlign w:val="center"/>
          </w:tcPr>
          <w:p w14:paraId="0EA0FCE2">
            <w:pPr>
              <w:widowControl w:val="0"/>
              <w:adjustRightInd w:val="0"/>
              <w:snapToGrid w:val="0"/>
              <w:ind w:left="105" w:leftChars="50" w:right="105" w:rightChars="5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分级</w:t>
            </w:r>
          </w:p>
        </w:tc>
        <w:tc>
          <w:tcPr>
            <w:tcW w:w="4455" w:type="pct"/>
            <w:noWrap w:val="0"/>
            <w:vAlign w:val="center"/>
          </w:tcPr>
          <w:p w14:paraId="4AAE6396">
            <w:pPr>
              <w:widowControl w:val="0"/>
              <w:adjustRightInd w:val="0"/>
              <w:snapToGrid w:val="0"/>
              <w:ind w:left="105" w:leftChars="50" w:right="105" w:rightChars="5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大气环境敏感性</w:t>
            </w:r>
          </w:p>
        </w:tc>
      </w:tr>
      <w:tr w14:paraId="550A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4" w:type="pct"/>
            <w:noWrap w:val="0"/>
            <w:vAlign w:val="center"/>
          </w:tcPr>
          <w:p w14:paraId="786E4A22">
            <w:pPr>
              <w:widowControl w:val="0"/>
              <w:adjustRightInd w:val="0"/>
              <w:snapToGrid w:val="0"/>
              <w:ind w:left="105" w:leftChars="50" w:right="105" w:rightChars="5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E1</w:t>
            </w:r>
          </w:p>
        </w:tc>
        <w:tc>
          <w:tcPr>
            <w:tcW w:w="4455" w:type="pct"/>
            <w:noWrap w:val="0"/>
            <w:vAlign w:val="center"/>
          </w:tcPr>
          <w:p w14:paraId="4ED253BC">
            <w:pPr>
              <w:widowControl w:val="0"/>
              <w:adjustRightInd w:val="0"/>
              <w:snapToGrid w:val="0"/>
              <w:ind w:left="105" w:leftChars="50" w:right="105" w:rightChars="50"/>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周边5km范围内居住区、医疗卫生、文化教育、科研、行政办公等机构人口总数大于5万人，或其他需要特殊保护区域；或周边500m范围内人口总数大于1000人；油气、化学品输送管线管段周边200m范围内，每千米管段人口数大于200人；</w:t>
            </w:r>
          </w:p>
        </w:tc>
      </w:tr>
      <w:tr w14:paraId="7730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4" w:type="pct"/>
            <w:noWrap w:val="0"/>
            <w:vAlign w:val="center"/>
          </w:tcPr>
          <w:p w14:paraId="4C91F5FB">
            <w:pPr>
              <w:widowControl w:val="0"/>
              <w:adjustRightInd w:val="0"/>
              <w:snapToGrid w:val="0"/>
              <w:ind w:left="105" w:leftChars="50" w:right="105" w:rightChars="5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E2</w:t>
            </w:r>
          </w:p>
        </w:tc>
        <w:tc>
          <w:tcPr>
            <w:tcW w:w="4455" w:type="pct"/>
            <w:noWrap w:val="0"/>
            <w:vAlign w:val="center"/>
          </w:tcPr>
          <w:p w14:paraId="5FCE5E76">
            <w:pPr>
              <w:widowControl w:val="0"/>
              <w:adjustRightInd w:val="0"/>
              <w:snapToGrid w:val="0"/>
              <w:ind w:left="105" w:leftChars="50" w:right="105" w:rightChars="50"/>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周边5km范围内居住区、医疗卫生、文化教育、科研、行政办公等机构人口总数大于1万人，小于5万人；或周边500m范围内人口总数大于500人，小于1000人；油气、化学品输送管线管段周边200m范围内，每千米管段人口数大于100人，小于200人；</w:t>
            </w:r>
          </w:p>
        </w:tc>
      </w:tr>
      <w:tr w14:paraId="427C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44" w:type="pct"/>
            <w:noWrap w:val="0"/>
            <w:vAlign w:val="center"/>
          </w:tcPr>
          <w:p w14:paraId="4E5CD372">
            <w:pPr>
              <w:widowControl w:val="0"/>
              <w:adjustRightInd w:val="0"/>
              <w:snapToGrid w:val="0"/>
              <w:ind w:left="105" w:leftChars="50" w:right="105" w:rightChars="5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E3</w:t>
            </w:r>
          </w:p>
        </w:tc>
        <w:tc>
          <w:tcPr>
            <w:tcW w:w="4455" w:type="pct"/>
            <w:noWrap w:val="0"/>
            <w:vAlign w:val="center"/>
          </w:tcPr>
          <w:p w14:paraId="3C99350C">
            <w:pPr>
              <w:widowControl w:val="0"/>
              <w:adjustRightInd w:val="0"/>
              <w:snapToGrid w:val="0"/>
              <w:ind w:left="105" w:leftChars="50" w:right="105" w:rightChars="50"/>
              <w:rPr>
                <w:rFonts w:hint="default" w:ascii="Times New Roman" w:hAnsi="Times New Roman" w:cs="Times New Roman"/>
                <w:snapToGrid w:val="0"/>
                <w:color w:val="auto"/>
                <w:kern w:val="21"/>
                <w:sz w:val="21"/>
                <w:szCs w:val="21"/>
              </w:rPr>
            </w:pPr>
            <w:r>
              <w:rPr>
                <w:rFonts w:hint="default" w:ascii="Times New Roman" w:hAnsi="Times New Roman" w:cs="Times New Roman"/>
                <w:snapToGrid w:val="0"/>
                <w:color w:val="auto"/>
                <w:kern w:val="21"/>
                <w:sz w:val="21"/>
                <w:szCs w:val="21"/>
              </w:rPr>
              <w:t>周边5km范围内居住区、医疗卫生、文化教育、科研、行政办公等机构人口总数小于1万人；或周边500m范围内人口总数小于500人；油气、化学品输送管线管段周边200m范围内，每千米管段人口数小于100人；</w:t>
            </w:r>
          </w:p>
        </w:tc>
      </w:tr>
    </w:tbl>
    <w:p w14:paraId="18C18D39">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按照项目所在地周边环境保护目标分布情况，</w:t>
      </w:r>
      <w:r>
        <w:rPr>
          <w:rFonts w:hint="default" w:ascii="Times New Roman" w:hAnsi="Times New Roman" w:cs="Times New Roman"/>
          <w:color w:val="auto"/>
          <w:spacing w:val="6"/>
          <w:sz w:val="24"/>
          <w:szCs w:val="24"/>
          <w:lang w:val="en-US" w:eastAsia="zh-CN"/>
        </w:rPr>
        <w:t>周边5km范围内大气环境敏感目标总人数大于5万人；</w:t>
      </w:r>
      <w:r>
        <w:rPr>
          <w:rFonts w:hint="default" w:ascii="Times New Roman" w:hAnsi="Times New Roman" w:cs="Times New Roman"/>
          <w:color w:val="auto"/>
          <w:spacing w:val="6"/>
          <w:sz w:val="24"/>
          <w:szCs w:val="24"/>
        </w:rPr>
        <w:t>周边500m范围内人口总数大于1000人，本项目大气环境敏感程度为</w:t>
      </w:r>
      <w:r>
        <w:rPr>
          <w:rFonts w:hint="default" w:ascii="Times New Roman" w:hAnsi="Times New Roman" w:cs="Times New Roman"/>
          <w:b/>
          <w:bCs/>
          <w:color w:val="auto"/>
          <w:spacing w:val="6"/>
          <w:sz w:val="24"/>
          <w:szCs w:val="24"/>
        </w:rPr>
        <w:t>E1</w:t>
      </w:r>
      <w:r>
        <w:rPr>
          <w:rFonts w:hint="default" w:ascii="Times New Roman" w:hAnsi="Times New Roman" w:cs="Times New Roman"/>
          <w:color w:val="auto"/>
          <w:spacing w:val="6"/>
          <w:sz w:val="24"/>
          <w:szCs w:val="24"/>
        </w:rPr>
        <w:t>，为环境高度敏感区。</w:t>
      </w:r>
    </w:p>
    <w:p w14:paraId="7D27B1DA">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rPr>
          <w:rFonts w:hint="default" w:ascii="Times New Roman" w:hAnsi="Times New Roman" w:cs="Times New Roman"/>
          <w:b/>
          <w:bCs/>
          <w:color w:val="auto"/>
          <w:spacing w:val="6"/>
          <w:sz w:val="24"/>
          <w:szCs w:val="24"/>
        </w:rPr>
      </w:pPr>
      <w:r>
        <w:rPr>
          <w:rFonts w:hint="default" w:ascii="Times New Roman" w:hAnsi="Times New Roman" w:cs="Times New Roman"/>
          <w:b/>
          <w:bCs/>
          <w:color w:val="auto"/>
          <w:spacing w:val="6"/>
          <w:sz w:val="24"/>
          <w:szCs w:val="24"/>
        </w:rPr>
        <w:t>（2）地表水环境</w:t>
      </w:r>
    </w:p>
    <w:p w14:paraId="1F6B8467">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依据事故情况下危险物质泄漏到水体的排放点受纳地表水体功能敏感性，与下游环境敏感目标情况，共分为三种类型，E1为环境高度敏感区，E2为环境中度敏感区，E3为环境低度敏感区</w:t>
      </w:r>
      <w:r>
        <w:rPr>
          <w:rFonts w:hint="default" w:ascii="Times New Roman" w:hAnsi="Times New Roman" w:cs="Times New Roman"/>
          <w:color w:val="auto"/>
          <w:sz w:val="24"/>
          <w:szCs w:val="24"/>
        </w:rPr>
        <w:t>，分级原则见下表。</w:t>
      </w:r>
    </w:p>
    <w:p w14:paraId="28C3C5D1">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地表水环境敏感程度分级表</w:t>
      </w:r>
    </w:p>
    <w:tbl>
      <w:tblPr>
        <w:tblStyle w:val="2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65"/>
        <w:gridCol w:w="1869"/>
        <w:gridCol w:w="2054"/>
        <w:gridCol w:w="1926"/>
      </w:tblGrid>
      <w:tr w14:paraId="3354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482" w:type="pct"/>
            <w:vMerge w:val="restart"/>
            <w:noWrap w:val="0"/>
            <w:vAlign w:val="center"/>
          </w:tcPr>
          <w:p w14:paraId="5AB39CD2">
            <w:pPr>
              <w:widowControl w:val="0"/>
              <w:adjustRightInd w:val="0"/>
              <w:snapToGrid w:val="0"/>
              <w:jc w:val="center"/>
              <w:rPr>
                <w:rFonts w:hint="default" w:ascii="Times New Roman" w:hAnsi="Times New Roman" w:cs="Times New Roman"/>
                <w:b/>
                <w:bCs/>
                <w:snapToGrid w:val="0"/>
                <w:color w:val="auto"/>
                <w:sz w:val="21"/>
                <w:szCs w:val="21"/>
              </w:rPr>
            </w:pPr>
            <w:r>
              <w:rPr>
                <w:rFonts w:hint="default" w:ascii="Times New Roman" w:hAnsi="Times New Roman" w:cs="Times New Roman"/>
                <w:b/>
                <w:bCs/>
                <w:snapToGrid w:val="0"/>
                <w:color w:val="auto"/>
                <w:sz w:val="21"/>
                <w:szCs w:val="21"/>
              </w:rPr>
              <w:t>环境敏感目标</w:t>
            </w:r>
          </w:p>
        </w:tc>
        <w:tc>
          <w:tcPr>
            <w:tcW w:w="3517" w:type="pct"/>
            <w:gridSpan w:val="3"/>
            <w:noWrap w:val="0"/>
            <w:vAlign w:val="center"/>
          </w:tcPr>
          <w:p w14:paraId="6ACFA6E5">
            <w:pPr>
              <w:widowControl w:val="0"/>
              <w:adjustRightInd w:val="0"/>
              <w:snapToGrid w:val="0"/>
              <w:jc w:val="center"/>
              <w:rPr>
                <w:rFonts w:hint="default" w:ascii="Times New Roman" w:hAnsi="Times New Roman" w:cs="Times New Roman"/>
                <w:b/>
                <w:bCs/>
                <w:snapToGrid w:val="0"/>
                <w:color w:val="auto"/>
                <w:sz w:val="21"/>
                <w:szCs w:val="21"/>
              </w:rPr>
            </w:pPr>
            <w:r>
              <w:rPr>
                <w:rFonts w:hint="default" w:ascii="Times New Roman" w:hAnsi="Times New Roman" w:cs="Times New Roman"/>
                <w:b/>
                <w:bCs/>
                <w:snapToGrid w:val="0"/>
                <w:color w:val="auto"/>
                <w:sz w:val="21"/>
                <w:szCs w:val="21"/>
              </w:rPr>
              <w:t>地表水功能敏感性</w:t>
            </w:r>
          </w:p>
        </w:tc>
      </w:tr>
      <w:tr w14:paraId="0F8F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7" w:hRule="atLeast"/>
        </w:trPr>
        <w:tc>
          <w:tcPr>
            <w:tcW w:w="1482" w:type="pct"/>
            <w:vMerge w:val="continue"/>
            <w:noWrap w:val="0"/>
            <w:vAlign w:val="center"/>
          </w:tcPr>
          <w:p w14:paraId="12F203DF">
            <w:pPr>
              <w:widowControl w:val="0"/>
              <w:adjustRightInd w:val="0"/>
              <w:snapToGrid w:val="0"/>
              <w:jc w:val="center"/>
              <w:rPr>
                <w:rFonts w:hint="default" w:ascii="Times New Roman" w:hAnsi="Times New Roman" w:cs="Times New Roman"/>
                <w:snapToGrid w:val="0"/>
                <w:color w:val="auto"/>
                <w:sz w:val="21"/>
                <w:szCs w:val="21"/>
              </w:rPr>
            </w:pPr>
          </w:p>
        </w:tc>
        <w:tc>
          <w:tcPr>
            <w:tcW w:w="1124" w:type="pct"/>
            <w:noWrap w:val="0"/>
            <w:vAlign w:val="center"/>
          </w:tcPr>
          <w:p w14:paraId="07FAE38A">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F1</w:t>
            </w:r>
          </w:p>
        </w:tc>
        <w:tc>
          <w:tcPr>
            <w:tcW w:w="1235" w:type="pct"/>
            <w:noWrap w:val="0"/>
            <w:vAlign w:val="center"/>
          </w:tcPr>
          <w:p w14:paraId="3159E899">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F2</w:t>
            </w:r>
          </w:p>
        </w:tc>
        <w:tc>
          <w:tcPr>
            <w:tcW w:w="1158" w:type="pct"/>
            <w:noWrap w:val="0"/>
            <w:vAlign w:val="center"/>
          </w:tcPr>
          <w:p w14:paraId="734E35CC">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F3</w:t>
            </w:r>
          </w:p>
        </w:tc>
      </w:tr>
      <w:tr w14:paraId="7BA3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 w:hRule="atLeast"/>
        </w:trPr>
        <w:tc>
          <w:tcPr>
            <w:tcW w:w="1482" w:type="pct"/>
            <w:shd w:val="clear" w:color="auto" w:fill="auto"/>
            <w:noWrap w:val="0"/>
            <w:vAlign w:val="center"/>
          </w:tcPr>
          <w:p w14:paraId="797C9B18">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S1</w:t>
            </w:r>
          </w:p>
        </w:tc>
        <w:tc>
          <w:tcPr>
            <w:tcW w:w="1124" w:type="pct"/>
            <w:shd w:val="clear" w:color="auto" w:fill="auto"/>
            <w:noWrap w:val="0"/>
            <w:vAlign w:val="center"/>
          </w:tcPr>
          <w:p w14:paraId="35A0F59E">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E1</w:t>
            </w:r>
          </w:p>
        </w:tc>
        <w:tc>
          <w:tcPr>
            <w:tcW w:w="1235" w:type="pct"/>
            <w:shd w:val="clear" w:color="auto" w:fill="BEBEBE"/>
            <w:noWrap w:val="0"/>
            <w:vAlign w:val="center"/>
          </w:tcPr>
          <w:p w14:paraId="7EB75008">
            <w:pPr>
              <w:widowControl w:val="0"/>
              <w:tabs>
                <w:tab w:val="center" w:pos="1106"/>
                <w:tab w:val="right" w:pos="2093"/>
              </w:tabs>
              <w:adjustRightInd w:val="0"/>
              <w:snapToGrid w:val="0"/>
              <w:jc w:val="center"/>
              <w:rPr>
                <w:rFonts w:hint="default" w:ascii="Times New Roman" w:hAnsi="Times New Roman" w:eastAsia="宋体" w:cs="Times New Roman"/>
                <w:snapToGrid w:val="0"/>
                <w:color w:val="auto"/>
                <w:sz w:val="21"/>
                <w:szCs w:val="21"/>
                <w:lang w:eastAsia="zh-CN"/>
              </w:rPr>
            </w:pPr>
            <w:r>
              <w:rPr>
                <w:rFonts w:hint="default" w:ascii="Times New Roman" w:hAnsi="Times New Roman" w:cs="Times New Roman"/>
                <w:b/>
                <w:bCs/>
                <w:snapToGrid w:val="0"/>
                <w:color w:val="auto"/>
                <w:sz w:val="21"/>
                <w:szCs w:val="21"/>
              </w:rPr>
              <w:t>E1</w:t>
            </w:r>
          </w:p>
        </w:tc>
        <w:tc>
          <w:tcPr>
            <w:tcW w:w="1158" w:type="pct"/>
            <w:noWrap w:val="0"/>
            <w:vAlign w:val="center"/>
          </w:tcPr>
          <w:p w14:paraId="294078F3">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E2</w:t>
            </w:r>
          </w:p>
        </w:tc>
      </w:tr>
      <w:tr w14:paraId="7F9A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7" w:hRule="atLeast"/>
        </w:trPr>
        <w:tc>
          <w:tcPr>
            <w:tcW w:w="1482" w:type="pct"/>
            <w:noWrap w:val="0"/>
            <w:vAlign w:val="center"/>
          </w:tcPr>
          <w:p w14:paraId="18045C1D">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S2</w:t>
            </w:r>
          </w:p>
        </w:tc>
        <w:tc>
          <w:tcPr>
            <w:tcW w:w="1124" w:type="pct"/>
            <w:noWrap w:val="0"/>
            <w:vAlign w:val="center"/>
          </w:tcPr>
          <w:p w14:paraId="7CEAE32B">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E1</w:t>
            </w:r>
          </w:p>
        </w:tc>
        <w:tc>
          <w:tcPr>
            <w:tcW w:w="1235" w:type="pct"/>
            <w:noWrap w:val="0"/>
            <w:vAlign w:val="center"/>
          </w:tcPr>
          <w:p w14:paraId="09693EF9">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E2</w:t>
            </w:r>
          </w:p>
        </w:tc>
        <w:tc>
          <w:tcPr>
            <w:tcW w:w="1158" w:type="pct"/>
            <w:noWrap w:val="0"/>
            <w:vAlign w:val="center"/>
          </w:tcPr>
          <w:p w14:paraId="7F808ADE">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E3</w:t>
            </w:r>
          </w:p>
        </w:tc>
      </w:tr>
      <w:tr w14:paraId="642F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 w:hRule="atLeast"/>
        </w:trPr>
        <w:tc>
          <w:tcPr>
            <w:tcW w:w="1482" w:type="pct"/>
            <w:noWrap w:val="0"/>
            <w:vAlign w:val="center"/>
          </w:tcPr>
          <w:p w14:paraId="1E7FE9E9">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S3</w:t>
            </w:r>
          </w:p>
        </w:tc>
        <w:tc>
          <w:tcPr>
            <w:tcW w:w="1124" w:type="pct"/>
            <w:noWrap w:val="0"/>
            <w:vAlign w:val="center"/>
          </w:tcPr>
          <w:p w14:paraId="701DBE6F">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E1</w:t>
            </w:r>
          </w:p>
        </w:tc>
        <w:tc>
          <w:tcPr>
            <w:tcW w:w="1235" w:type="pct"/>
            <w:noWrap w:val="0"/>
            <w:vAlign w:val="center"/>
          </w:tcPr>
          <w:p w14:paraId="6F033E3D">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E2</w:t>
            </w:r>
          </w:p>
        </w:tc>
        <w:tc>
          <w:tcPr>
            <w:tcW w:w="1158" w:type="pct"/>
            <w:noWrap w:val="0"/>
            <w:vAlign w:val="center"/>
          </w:tcPr>
          <w:p w14:paraId="0F6B4478">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E3</w:t>
            </w:r>
          </w:p>
        </w:tc>
      </w:tr>
    </w:tbl>
    <w:p w14:paraId="4572F630">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地表水功能敏感性分区表</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79"/>
        <w:gridCol w:w="7035"/>
      </w:tblGrid>
      <w:tr w14:paraId="57B9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9" w:type="pct"/>
            <w:noWrap w:val="0"/>
            <w:vAlign w:val="center"/>
          </w:tcPr>
          <w:p w14:paraId="72AA74B7">
            <w:pPr>
              <w:widowControl w:val="0"/>
              <w:adjustRightInd w:val="0"/>
              <w:snapToGrid w:val="0"/>
              <w:jc w:val="center"/>
              <w:rPr>
                <w:rFonts w:hint="default" w:ascii="Times New Roman" w:hAnsi="Times New Roman" w:cs="Times New Roman"/>
                <w:b/>
                <w:bCs/>
                <w:snapToGrid w:val="0"/>
                <w:color w:val="auto"/>
                <w:sz w:val="21"/>
                <w:szCs w:val="21"/>
              </w:rPr>
            </w:pPr>
            <w:r>
              <w:rPr>
                <w:rFonts w:hint="default" w:ascii="Times New Roman" w:hAnsi="Times New Roman" w:cs="Times New Roman"/>
                <w:b/>
                <w:bCs/>
                <w:snapToGrid w:val="0"/>
                <w:color w:val="auto"/>
                <w:sz w:val="21"/>
                <w:szCs w:val="21"/>
              </w:rPr>
              <w:t>敏感性</w:t>
            </w:r>
          </w:p>
        </w:tc>
        <w:tc>
          <w:tcPr>
            <w:tcW w:w="4230" w:type="pct"/>
            <w:noWrap w:val="0"/>
            <w:vAlign w:val="center"/>
          </w:tcPr>
          <w:p w14:paraId="63378B48">
            <w:pPr>
              <w:widowControl w:val="0"/>
              <w:adjustRightInd w:val="0"/>
              <w:snapToGrid w:val="0"/>
              <w:jc w:val="center"/>
              <w:rPr>
                <w:rFonts w:hint="default" w:ascii="Times New Roman" w:hAnsi="Times New Roman" w:cs="Times New Roman"/>
                <w:b/>
                <w:bCs/>
                <w:snapToGrid w:val="0"/>
                <w:color w:val="auto"/>
                <w:sz w:val="21"/>
                <w:szCs w:val="21"/>
              </w:rPr>
            </w:pPr>
            <w:r>
              <w:rPr>
                <w:rFonts w:hint="default" w:ascii="Times New Roman" w:hAnsi="Times New Roman" w:cs="Times New Roman"/>
                <w:b/>
                <w:bCs/>
                <w:snapToGrid w:val="0"/>
                <w:color w:val="auto"/>
                <w:sz w:val="21"/>
                <w:szCs w:val="21"/>
              </w:rPr>
              <w:t>地表水环境敏感特征</w:t>
            </w:r>
          </w:p>
        </w:tc>
      </w:tr>
      <w:tr w14:paraId="2E7D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9" w:type="pct"/>
            <w:noWrap w:val="0"/>
            <w:vAlign w:val="center"/>
          </w:tcPr>
          <w:p w14:paraId="15A6ED63">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敏感F1</w:t>
            </w:r>
          </w:p>
        </w:tc>
        <w:tc>
          <w:tcPr>
            <w:tcW w:w="4230" w:type="pct"/>
            <w:noWrap w:val="0"/>
            <w:vAlign w:val="center"/>
          </w:tcPr>
          <w:p w14:paraId="5BBBB81F">
            <w:pPr>
              <w:widowControl w:val="0"/>
              <w:adjustRightInd w:val="0"/>
              <w:snapToGrid w:val="0"/>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排放点进入地表水水域环境功能为Ⅱ类及以上，或海水水质分类第一类；</w:t>
            </w:r>
          </w:p>
          <w:p w14:paraId="4F18D238">
            <w:pPr>
              <w:widowControl w:val="0"/>
              <w:adjustRightInd w:val="0"/>
              <w:snapToGrid w:val="0"/>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或以发生事故时，危险物质泄漏到水体的排放点算起，排放进入受纳河流最大流速时，24h流经范围内涉跨国界的</w:t>
            </w:r>
          </w:p>
        </w:tc>
      </w:tr>
      <w:tr w14:paraId="319C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9" w:type="pct"/>
            <w:noWrap w:val="0"/>
            <w:vAlign w:val="center"/>
          </w:tcPr>
          <w:p w14:paraId="0E8003A3">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较敏感F2</w:t>
            </w:r>
          </w:p>
        </w:tc>
        <w:tc>
          <w:tcPr>
            <w:tcW w:w="4230" w:type="pct"/>
            <w:noWrap w:val="0"/>
            <w:vAlign w:val="center"/>
          </w:tcPr>
          <w:p w14:paraId="2E2C3192">
            <w:pPr>
              <w:widowControl w:val="0"/>
              <w:adjustRightInd w:val="0"/>
              <w:snapToGrid w:val="0"/>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排放点进入地表水水域环境功能为Ⅲ类，或海水水质分类第二类；</w:t>
            </w:r>
          </w:p>
          <w:p w14:paraId="713AE05F">
            <w:pPr>
              <w:widowControl w:val="0"/>
              <w:adjustRightInd w:val="0"/>
              <w:snapToGrid w:val="0"/>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或以发生事故时，危险物质泄漏到水体的排放点算起，排放进入受纳河流最大流速时，24h流经范围内涉跨省界的</w:t>
            </w:r>
          </w:p>
        </w:tc>
      </w:tr>
      <w:tr w14:paraId="19EC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9" w:type="pct"/>
            <w:noWrap w:val="0"/>
            <w:vAlign w:val="center"/>
          </w:tcPr>
          <w:p w14:paraId="4F9823D4">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低敏感F3</w:t>
            </w:r>
          </w:p>
        </w:tc>
        <w:tc>
          <w:tcPr>
            <w:tcW w:w="4230" w:type="pct"/>
            <w:noWrap w:val="0"/>
            <w:vAlign w:val="center"/>
          </w:tcPr>
          <w:p w14:paraId="4F493D7D">
            <w:pPr>
              <w:widowControl w:val="0"/>
              <w:adjustRightInd w:val="0"/>
              <w:snapToGrid w:val="0"/>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上述地区之外的其他地区</w:t>
            </w:r>
          </w:p>
        </w:tc>
      </w:tr>
    </w:tbl>
    <w:p w14:paraId="672EAB8C">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环境敏感目标分级表</w:t>
      </w:r>
    </w:p>
    <w:tbl>
      <w:tblPr>
        <w:tblStyle w:val="2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72"/>
        <w:gridCol w:w="7242"/>
      </w:tblGrid>
      <w:tr w14:paraId="056A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45" w:type="pct"/>
            <w:noWrap w:val="0"/>
            <w:vAlign w:val="top"/>
          </w:tcPr>
          <w:p w14:paraId="137F3DC7">
            <w:pPr>
              <w:widowControl w:val="0"/>
              <w:adjustRightInd w:val="0"/>
              <w:snapToGrid w:val="0"/>
              <w:jc w:val="center"/>
              <w:rPr>
                <w:rFonts w:hint="default" w:ascii="Times New Roman" w:hAnsi="Times New Roman" w:cs="Times New Roman"/>
                <w:b/>
                <w:bCs/>
                <w:snapToGrid w:val="0"/>
                <w:color w:val="auto"/>
                <w:sz w:val="21"/>
                <w:szCs w:val="21"/>
              </w:rPr>
            </w:pPr>
            <w:r>
              <w:rPr>
                <w:rFonts w:hint="default" w:ascii="Times New Roman" w:hAnsi="Times New Roman" w:cs="Times New Roman"/>
                <w:b/>
                <w:bCs/>
                <w:snapToGrid w:val="0"/>
                <w:color w:val="auto"/>
                <w:sz w:val="21"/>
                <w:szCs w:val="21"/>
              </w:rPr>
              <w:t>分级</w:t>
            </w:r>
          </w:p>
        </w:tc>
        <w:tc>
          <w:tcPr>
            <w:tcW w:w="4354" w:type="pct"/>
            <w:noWrap w:val="0"/>
            <w:vAlign w:val="top"/>
          </w:tcPr>
          <w:p w14:paraId="5F409880">
            <w:pPr>
              <w:widowControl w:val="0"/>
              <w:adjustRightInd w:val="0"/>
              <w:snapToGrid w:val="0"/>
              <w:jc w:val="center"/>
              <w:rPr>
                <w:rFonts w:hint="default" w:ascii="Times New Roman" w:hAnsi="Times New Roman" w:cs="Times New Roman"/>
                <w:b/>
                <w:bCs/>
                <w:snapToGrid w:val="0"/>
                <w:color w:val="auto"/>
                <w:sz w:val="21"/>
                <w:szCs w:val="21"/>
              </w:rPr>
            </w:pPr>
            <w:r>
              <w:rPr>
                <w:rFonts w:hint="default" w:ascii="Times New Roman" w:hAnsi="Times New Roman" w:cs="Times New Roman"/>
                <w:b/>
                <w:bCs/>
                <w:snapToGrid w:val="0"/>
                <w:color w:val="auto"/>
                <w:sz w:val="21"/>
                <w:szCs w:val="21"/>
              </w:rPr>
              <w:t>环境敏感目标</w:t>
            </w:r>
          </w:p>
        </w:tc>
      </w:tr>
      <w:tr w14:paraId="1599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45" w:type="pct"/>
            <w:noWrap w:val="0"/>
            <w:vAlign w:val="center"/>
          </w:tcPr>
          <w:p w14:paraId="292F61C7">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S1</w:t>
            </w:r>
          </w:p>
        </w:tc>
        <w:tc>
          <w:tcPr>
            <w:tcW w:w="4354" w:type="pct"/>
            <w:noWrap w:val="0"/>
            <w:vAlign w:val="top"/>
          </w:tcPr>
          <w:p w14:paraId="37DEE8ED">
            <w:pPr>
              <w:widowControl w:val="0"/>
              <w:adjustRightInd w:val="0"/>
              <w:snapToGrid w:val="0"/>
              <w:jc w:val="left"/>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发生事故时，危险物质泄漏到内陆水体的排放点下游（顺水流向）10km范围内、近岸海域一个潮周期水质点可能达到的最大水平距离的两倍范围内，有如下一类或多类环境风险受体：集中式地表水饮用水水源保护区（包括一级保护区、二级保护区及准保护区）；农村及分散式饮用水水源保护区；自然保护区；重要湿地；珍稀濒危野生动植物天然集中分布区；重要水生生物的自然产卵场及索饵场、越冬场和洄游通道；世界文化和自然遗产地；红树林、珊瑚礁等滨海湿地生态系统；珍稀、濒危海洋生物的天然集中分布区；海洋特别保护区；海上自然保护区；盐场保护区；海水浴场；海洋自然历史遗迹；风景名胜区；或其他特殊重要保护区域</w:t>
            </w:r>
          </w:p>
        </w:tc>
      </w:tr>
      <w:tr w14:paraId="0151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645" w:type="pct"/>
            <w:noWrap w:val="0"/>
            <w:vAlign w:val="center"/>
          </w:tcPr>
          <w:p w14:paraId="4492A3A7">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S2</w:t>
            </w:r>
          </w:p>
        </w:tc>
        <w:tc>
          <w:tcPr>
            <w:tcW w:w="4354" w:type="pct"/>
            <w:noWrap w:val="0"/>
            <w:vAlign w:val="top"/>
          </w:tcPr>
          <w:p w14:paraId="067FC4E3">
            <w:pPr>
              <w:widowControl w:val="0"/>
              <w:adjustRightInd w:val="0"/>
              <w:snapToGrid w:val="0"/>
              <w:jc w:val="left"/>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发生事故时，危险物质泄漏到内陆水体的排放点下游（顺水流向）10km范围内、近岸海域一个潮周期水质点可能达到的最大水平距离的两倍范围内，有如下一类或多类环境风险受体的：水产养殖区；天然渔场；森林公园；地质公园；海滨风景游览区；具有重要经济价值的海洋生物生存区域</w:t>
            </w:r>
          </w:p>
        </w:tc>
      </w:tr>
      <w:tr w14:paraId="130A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645" w:type="pct"/>
            <w:noWrap w:val="0"/>
            <w:vAlign w:val="center"/>
          </w:tcPr>
          <w:p w14:paraId="0D7404CC">
            <w:pPr>
              <w:widowControl w:val="0"/>
              <w:adjustRightInd w:val="0"/>
              <w:snapToGrid w:val="0"/>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S3</w:t>
            </w:r>
          </w:p>
        </w:tc>
        <w:tc>
          <w:tcPr>
            <w:tcW w:w="4354" w:type="pct"/>
            <w:noWrap w:val="0"/>
            <w:vAlign w:val="top"/>
          </w:tcPr>
          <w:p w14:paraId="2D2A96C4">
            <w:pPr>
              <w:widowControl w:val="0"/>
              <w:adjustRightInd w:val="0"/>
              <w:snapToGrid w:val="0"/>
              <w:jc w:val="left"/>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rPr>
              <w:t>排放点下游（顺水流向）10km范围、近岸海域一个潮周期水质点可能达到的最大水平距离的两倍范围内无上述类型1和类型2包括的敏感保护目标</w:t>
            </w:r>
          </w:p>
        </w:tc>
      </w:tr>
    </w:tbl>
    <w:p w14:paraId="689E4CAD">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eastAsia" w:ascii="Times New Roman" w:hAnsi="Times New Roman" w:cs="Times New Roman"/>
          <w:color w:val="auto"/>
          <w:spacing w:val="6"/>
          <w:sz w:val="24"/>
          <w:szCs w:val="24"/>
          <w:lang w:val="en-US" w:eastAsia="zh-CN"/>
        </w:rPr>
        <w:t>东洞庭湖水质功能</w:t>
      </w:r>
      <w:r>
        <w:rPr>
          <w:rFonts w:hint="default" w:ascii="Times New Roman" w:hAnsi="Times New Roman" w:cs="Times New Roman"/>
          <w:color w:val="auto"/>
          <w:spacing w:val="6"/>
          <w:sz w:val="24"/>
          <w:szCs w:val="24"/>
        </w:rPr>
        <w:t>属于Ⅲ类，地表水环境进行相应的敏感程度分级为较敏感F2</w:t>
      </w:r>
      <w:r>
        <w:rPr>
          <w:rFonts w:hint="default" w:ascii="Times New Roman" w:hAnsi="Times New Roman" w:cs="Times New Roman"/>
          <w:color w:val="auto"/>
          <w:spacing w:val="6"/>
          <w:sz w:val="24"/>
          <w:szCs w:val="24"/>
          <w:lang w:eastAsia="zh-CN"/>
        </w:rPr>
        <w:t>，</w:t>
      </w:r>
      <w:r>
        <w:rPr>
          <w:rFonts w:hint="default" w:ascii="Times New Roman" w:hAnsi="Times New Roman" w:cs="Times New Roman"/>
          <w:color w:val="auto"/>
          <w:spacing w:val="6"/>
          <w:sz w:val="24"/>
          <w:szCs w:val="24"/>
        </w:rPr>
        <w:t>公司</w:t>
      </w:r>
      <w:r>
        <w:rPr>
          <w:rFonts w:hint="eastAsia" w:ascii="Times New Roman" w:hAnsi="Times New Roman" w:cs="Times New Roman"/>
          <w:color w:val="auto"/>
          <w:spacing w:val="6"/>
          <w:sz w:val="24"/>
          <w:szCs w:val="24"/>
          <w:lang w:val="en-US" w:eastAsia="zh-CN"/>
        </w:rPr>
        <w:t>发生泄漏事故时的</w:t>
      </w:r>
      <w:r>
        <w:rPr>
          <w:rFonts w:hint="default" w:ascii="Times New Roman" w:hAnsi="Times New Roman" w:cs="Times New Roman"/>
          <w:color w:val="auto"/>
          <w:spacing w:val="6"/>
          <w:sz w:val="24"/>
          <w:szCs w:val="24"/>
        </w:rPr>
        <w:t>排污口位于东洞庭湖鲤鲫黄颡鱼国家级水产种质资源保护区内，属于下游敏感目标分级S1。因此，本项目地表水环境敏感程度为</w:t>
      </w:r>
      <w:r>
        <w:rPr>
          <w:rFonts w:hint="default" w:ascii="Times New Roman" w:hAnsi="Times New Roman" w:cs="Times New Roman"/>
          <w:b/>
          <w:bCs/>
          <w:color w:val="auto"/>
          <w:spacing w:val="6"/>
          <w:sz w:val="24"/>
          <w:szCs w:val="24"/>
        </w:rPr>
        <w:t>E1</w:t>
      </w:r>
      <w:r>
        <w:rPr>
          <w:rFonts w:hint="default" w:ascii="Times New Roman" w:hAnsi="Times New Roman" w:cs="Times New Roman"/>
          <w:color w:val="auto"/>
          <w:spacing w:val="6"/>
          <w:sz w:val="24"/>
          <w:szCs w:val="24"/>
        </w:rPr>
        <w:t>，为地表水环境高度敏感区。</w:t>
      </w:r>
    </w:p>
    <w:p w14:paraId="4447EA70">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rPr>
          <w:rFonts w:hint="default" w:ascii="Times New Roman" w:hAnsi="Times New Roman" w:cs="Times New Roman"/>
          <w:b/>
          <w:bCs/>
          <w:color w:val="auto"/>
          <w:spacing w:val="6"/>
          <w:sz w:val="24"/>
          <w:szCs w:val="24"/>
        </w:rPr>
      </w:pPr>
      <w:r>
        <w:rPr>
          <w:rFonts w:hint="default" w:ascii="Times New Roman" w:hAnsi="Times New Roman" w:cs="Times New Roman"/>
          <w:b/>
          <w:bCs/>
          <w:color w:val="auto"/>
          <w:spacing w:val="6"/>
          <w:sz w:val="24"/>
          <w:szCs w:val="24"/>
        </w:rPr>
        <w:t>（3）地下水环境</w:t>
      </w:r>
    </w:p>
    <w:p w14:paraId="4A1C0A31">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地下水环境敏感程度依据地下水功能敏感性与包气带防污性能确定，分级原则见下表。</w:t>
      </w:r>
    </w:p>
    <w:p w14:paraId="53ED9562">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地下水环境敏感程度分级表</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65"/>
        <w:gridCol w:w="1489"/>
        <w:gridCol w:w="2076"/>
        <w:gridCol w:w="2084"/>
      </w:tblGrid>
      <w:tr w14:paraId="2998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1603" w:type="pct"/>
            <w:vMerge w:val="restart"/>
            <w:noWrap w:val="0"/>
            <w:vAlign w:val="center"/>
          </w:tcPr>
          <w:p w14:paraId="22A1EEE4">
            <w:pPr>
              <w:pStyle w:val="56"/>
              <w:autoSpaceDE/>
              <w:autoSpaceDN/>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包气带防污性能</w:t>
            </w:r>
          </w:p>
        </w:tc>
        <w:tc>
          <w:tcPr>
            <w:tcW w:w="3396" w:type="pct"/>
            <w:gridSpan w:val="3"/>
            <w:noWrap w:val="0"/>
            <w:vAlign w:val="center"/>
          </w:tcPr>
          <w:p w14:paraId="32206F21">
            <w:pPr>
              <w:pStyle w:val="56"/>
              <w:autoSpaceDE/>
              <w:autoSpaceDN/>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地下水功能敏感性</w:t>
            </w:r>
          </w:p>
        </w:tc>
      </w:tr>
      <w:tr w14:paraId="60D7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1603" w:type="pct"/>
            <w:vMerge w:val="continue"/>
            <w:noWrap w:val="0"/>
            <w:vAlign w:val="center"/>
          </w:tcPr>
          <w:p w14:paraId="7B29A6F7">
            <w:pPr>
              <w:pStyle w:val="56"/>
              <w:autoSpaceDE/>
              <w:autoSpaceDN/>
              <w:adjustRightInd w:val="0"/>
              <w:snapToGrid w:val="0"/>
              <w:jc w:val="center"/>
              <w:rPr>
                <w:rFonts w:hint="default" w:ascii="Times New Roman" w:hAnsi="Times New Roman" w:eastAsia="宋体" w:cs="Times New Roman"/>
                <w:b/>
                <w:bCs/>
                <w:color w:val="auto"/>
                <w:sz w:val="21"/>
                <w:szCs w:val="21"/>
              </w:rPr>
            </w:pPr>
          </w:p>
        </w:tc>
        <w:tc>
          <w:tcPr>
            <w:tcW w:w="895" w:type="pct"/>
            <w:noWrap w:val="0"/>
            <w:vAlign w:val="center"/>
          </w:tcPr>
          <w:p w14:paraId="5A1AAB2C">
            <w:pPr>
              <w:pStyle w:val="56"/>
              <w:autoSpaceDE/>
              <w:autoSpaceDN/>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G1</w:t>
            </w:r>
          </w:p>
        </w:tc>
        <w:tc>
          <w:tcPr>
            <w:tcW w:w="1248" w:type="pct"/>
            <w:noWrap w:val="0"/>
            <w:vAlign w:val="center"/>
          </w:tcPr>
          <w:p w14:paraId="65A12F83">
            <w:pPr>
              <w:pStyle w:val="56"/>
              <w:autoSpaceDE/>
              <w:autoSpaceDN/>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G2</w:t>
            </w:r>
          </w:p>
        </w:tc>
        <w:tc>
          <w:tcPr>
            <w:tcW w:w="1252" w:type="pct"/>
            <w:noWrap w:val="0"/>
            <w:vAlign w:val="center"/>
          </w:tcPr>
          <w:p w14:paraId="0E0BD1DF">
            <w:pPr>
              <w:pStyle w:val="56"/>
              <w:autoSpaceDE/>
              <w:autoSpaceDN/>
              <w:adjustRightInd w:val="0"/>
              <w:snapToGrid w:val="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G3</w:t>
            </w:r>
          </w:p>
        </w:tc>
      </w:tr>
      <w:tr w14:paraId="6B2A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1603" w:type="pct"/>
            <w:noWrap w:val="0"/>
            <w:vAlign w:val="center"/>
          </w:tcPr>
          <w:p w14:paraId="67266C99">
            <w:pPr>
              <w:pStyle w:val="56"/>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D1</w:t>
            </w:r>
          </w:p>
        </w:tc>
        <w:tc>
          <w:tcPr>
            <w:tcW w:w="895" w:type="pct"/>
            <w:noWrap w:val="0"/>
            <w:vAlign w:val="center"/>
          </w:tcPr>
          <w:p w14:paraId="0DF25A44">
            <w:pPr>
              <w:pStyle w:val="56"/>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E1</w:t>
            </w:r>
          </w:p>
        </w:tc>
        <w:tc>
          <w:tcPr>
            <w:tcW w:w="1248" w:type="pct"/>
            <w:noWrap w:val="0"/>
            <w:vAlign w:val="center"/>
          </w:tcPr>
          <w:p w14:paraId="49B0DDB3">
            <w:pPr>
              <w:pStyle w:val="56"/>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E1</w:t>
            </w:r>
          </w:p>
        </w:tc>
        <w:tc>
          <w:tcPr>
            <w:tcW w:w="1252" w:type="pct"/>
            <w:noWrap w:val="0"/>
            <w:vAlign w:val="center"/>
          </w:tcPr>
          <w:p w14:paraId="34728DB2">
            <w:pPr>
              <w:pStyle w:val="56"/>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E2</w:t>
            </w:r>
          </w:p>
        </w:tc>
      </w:tr>
      <w:tr w14:paraId="03BC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1603" w:type="pct"/>
            <w:shd w:val="clear" w:color="auto" w:fill="auto"/>
            <w:noWrap w:val="0"/>
            <w:vAlign w:val="center"/>
          </w:tcPr>
          <w:p w14:paraId="701395BB">
            <w:pPr>
              <w:pStyle w:val="56"/>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D2</w:t>
            </w:r>
          </w:p>
        </w:tc>
        <w:tc>
          <w:tcPr>
            <w:tcW w:w="895" w:type="pct"/>
            <w:shd w:val="clear" w:color="auto" w:fill="auto"/>
            <w:noWrap w:val="0"/>
            <w:vAlign w:val="center"/>
          </w:tcPr>
          <w:p w14:paraId="215BE3A7">
            <w:pPr>
              <w:pStyle w:val="56"/>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E1</w:t>
            </w:r>
          </w:p>
        </w:tc>
        <w:tc>
          <w:tcPr>
            <w:tcW w:w="1248" w:type="pct"/>
            <w:shd w:val="clear" w:color="auto" w:fill="auto"/>
            <w:noWrap w:val="0"/>
            <w:vAlign w:val="center"/>
          </w:tcPr>
          <w:p w14:paraId="4F8E33AF">
            <w:pPr>
              <w:pStyle w:val="56"/>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E2</w:t>
            </w:r>
          </w:p>
        </w:tc>
        <w:tc>
          <w:tcPr>
            <w:tcW w:w="1252" w:type="pct"/>
            <w:shd w:val="clear" w:color="auto" w:fill="BEBEBE"/>
            <w:noWrap w:val="0"/>
            <w:vAlign w:val="center"/>
          </w:tcPr>
          <w:p w14:paraId="08882EF0">
            <w:pPr>
              <w:pStyle w:val="56"/>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E3</w:t>
            </w:r>
          </w:p>
        </w:tc>
      </w:tr>
      <w:tr w14:paraId="777A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1603" w:type="pct"/>
            <w:noWrap w:val="0"/>
            <w:vAlign w:val="center"/>
          </w:tcPr>
          <w:p w14:paraId="1AA0CD2E">
            <w:pPr>
              <w:pStyle w:val="56"/>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D3</w:t>
            </w:r>
          </w:p>
        </w:tc>
        <w:tc>
          <w:tcPr>
            <w:tcW w:w="895" w:type="pct"/>
            <w:noWrap w:val="0"/>
            <w:vAlign w:val="center"/>
          </w:tcPr>
          <w:p w14:paraId="561214F1">
            <w:pPr>
              <w:pStyle w:val="56"/>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E2</w:t>
            </w:r>
          </w:p>
        </w:tc>
        <w:tc>
          <w:tcPr>
            <w:tcW w:w="1248" w:type="pct"/>
            <w:noWrap w:val="0"/>
            <w:vAlign w:val="center"/>
          </w:tcPr>
          <w:p w14:paraId="434227E6">
            <w:pPr>
              <w:pStyle w:val="56"/>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E3</w:t>
            </w:r>
          </w:p>
        </w:tc>
        <w:tc>
          <w:tcPr>
            <w:tcW w:w="1252" w:type="pct"/>
            <w:noWrap w:val="0"/>
            <w:vAlign w:val="center"/>
          </w:tcPr>
          <w:p w14:paraId="5E5A54D3">
            <w:pPr>
              <w:pStyle w:val="56"/>
              <w:autoSpaceDE/>
              <w:autoSpaceDN/>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E3</w:t>
            </w:r>
          </w:p>
        </w:tc>
      </w:tr>
    </w:tbl>
    <w:p w14:paraId="297BC100">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地下水功能敏感性分区表</w:t>
      </w:r>
    </w:p>
    <w:tbl>
      <w:tblPr>
        <w:tblStyle w:val="2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21"/>
        <w:gridCol w:w="7393"/>
      </w:tblGrid>
      <w:tr w14:paraId="67C3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trPr>
        <w:tc>
          <w:tcPr>
            <w:tcW w:w="554" w:type="pct"/>
            <w:noWrap w:val="0"/>
            <w:vAlign w:val="center"/>
          </w:tcPr>
          <w:p w14:paraId="2CF9B9E7">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敏感性</w:t>
            </w:r>
          </w:p>
        </w:tc>
        <w:tc>
          <w:tcPr>
            <w:tcW w:w="4445" w:type="pct"/>
            <w:noWrap w:val="0"/>
            <w:vAlign w:val="center"/>
          </w:tcPr>
          <w:p w14:paraId="3B759868">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地下水环境敏感特征</w:t>
            </w:r>
          </w:p>
        </w:tc>
      </w:tr>
      <w:tr w14:paraId="7CE96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554" w:type="pct"/>
            <w:noWrap w:val="0"/>
            <w:vAlign w:val="center"/>
          </w:tcPr>
          <w:p w14:paraId="6042BF67">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敏感G1</w:t>
            </w:r>
          </w:p>
        </w:tc>
        <w:tc>
          <w:tcPr>
            <w:tcW w:w="4445" w:type="pct"/>
            <w:noWrap w:val="0"/>
            <w:vAlign w:val="center"/>
          </w:tcPr>
          <w:p w14:paraId="257327D3">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p>
        </w:tc>
      </w:tr>
      <w:tr w14:paraId="47E1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6" w:hRule="atLeast"/>
        </w:trPr>
        <w:tc>
          <w:tcPr>
            <w:tcW w:w="554" w:type="pct"/>
            <w:noWrap w:val="0"/>
            <w:vAlign w:val="center"/>
          </w:tcPr>
          <w:p w14:paraId="376C7591">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较敏感 G2</w:t>
            </w:r>
          </w:p>
        </w:tc>
        <w:tc>
          <w:tcPr>
            <w:tcW w:w="4445" w:type="pct"/>
            <w:noWrap w:val="0"/>
            <w:vAlign w:val="center"/>
          </w:tcPr>
          <w:p w14:paraId="487CEF9E">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集中式饮用水水源（包括已建成的在用、备用、应急水源，在建和规划的饮用水水源）准保护区以外的补给径流区；未划定准保护区的集中式饮用水水源，其保护区以外的补给径流区；分散式饮用水水源地；特殊地下水资源（如热水、矿泉水、温泉等）保护区以外的分布区等其他未列入上述敏感分级的环境敏感区a</w:t>
            </w:r>
          </w:p>
        </w:tc>
      </w:tr>
      <w:tr w14:paraId="2F86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54" w:type="pct"/>
            <w:noWrap w:val="0"/>
            <w:vAlign w:val="center"/>
          </w:tcPr>
          <w:p w14:paraId="364303F4">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不敏感 G3</w:t>
            </w:r>
          </w:p>
        </w:tc>
        <w:tc>
          <w:tcPr>
            <w:tcW w:w="4445" w:type="pct"/>
            <w:noWrap w:val="0"/>
            <w:vAlign w:val="center"/>
          </w:tcPr>
          <w:p w14:paraId="57BA3378">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上述地区之外的其他地区</w:t>
            </w:r>
          </w:p>
        </w:tc>
      </w:tr>
      <w:tr w14:paraId="0749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trPr>
        <w:tc>
          <w:tcPr>
            <w:tcW w:w="5000" w:type="pct"/>
            <w:gridSpan w:val="2"/>
            <w:noWrap w:val="0"/>
            <w:vAlign w:val="center"/>
          </w:tcPr>
          <w:p w14:paraId="1CFB6B92">
            <w:pPr>
              <w:pStyle w:val="79"/>
              <w:widowControl w:val="0"/>
              <w:spacing w:line="240" w:lineRule="auto"/>
              <w:jc w:val="left"/>
              <w:rPr>
                <w:rFonts w:hint="default" w:ascii="Times New Roman" w:hAnsi="Times New Roman" w:cs="Times New Roman"/>
                <w:color w:val="auto"/>
                <w:sz w:val="21"/>
              </w:rPr>
            </w:pPr>
            <w:r>
              <w:rPr>
                <w:rFonts w:hint="default" w:ascii="Times New Roman" w:hAnsi="Times New Roman" w:cs="Times New Roman"/>
                <w:color w:val="auto"/>
                <w:sz w:val="21"/>
              </w:rPr>
              <w:t>a“环境敏感区”是指《建设项目环境影响评价分类管理名录》中所界定的涉及地下水的环境敏感区</w:t>
            </w:r>
          </w:p>
        </w:tc>
      </w:tr>
    </w:tbl>
    <w:p w14:paraId="69AD4926">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包气带防污性能分级表</w:t>
      </w:r>
    </w:p>
    <w:tbl>
      <w:tblPr>
        <w:tblStyle w:val="2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73"/>
        <w:gridCol w:w="7241"/>
      </w:tblGrid>
      <w:tr w14:paraId="49F0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45" w:type="pct"/>
            <w:noWrap w:val="0"/>
            <w:vAlign w:val="top"/>
          </w:tcPr>
          <w:p w14:paraId="28E22D53">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分级</w:t>
            </w:r>
          </w:p>
        </w:tc>
        <w:tc>
          <w:tcPr>
            <w:tcW w:w="4354" w:type="pct"/>
            <w:noWrap w:val="0"/>
            <w:vAlign w:val="top"/>
          </w:tcPr>
          <w:p w14:paraId="187FBEF4">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包气带岩土的渗透性能</w:t>
            </w:r>
          </w:p>
        </w:tc>
      </w:tr>
      <w:tr w14:paraId="5595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45" w:type="pct"/>
            <w:noWrap w:val="0"/>
            <w:vAlign w:val="top"/>
          </w:tcPr>
          <w:p w14:paraId="1702678D">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D3</w:t>
            </w:r>
          </w:p>
        </w:tc>
        <w:tc>
          <w:tcPr>
            <w:tcW w:w="4354" w:type="pct"/>
            <w:noWrap w:val="0"/>
            <w:vAlign w:val="top"/>
          </w:tcPr>
          <w:p w14:paraId="46BAA016">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Mb≥1.0m，K≤1.0×10</w:t>
            </w:r>
            <w:r>
              <w:rPr>
                <w:rFonts w:hint="default" w:ascii="Times New Roman" w:hAnsi="Times New Roman" w:cs="Times New Roman"/>
                <w:color w:val="auto"/>
                <w:sz w:val="21"/>
                <w:vertAlign w:val="superscript"/>
              </w:rPr>
              <w:t>-6</w:t>
            </w:r>
            <w:r>
              <w:rPr>
                <w:rFonts w:hint="default" w:ascii="Times New Roman" w:hAnsi="Times New Roman" w:cs="Times New Roman"/>
                <w:color w:val="auto"/>
                <w:sz w:val="21"/>
              </w:rPr>
              <w:t>cm/s，且分布连续、稳定</w:t>
            </w:r>
          </w:p>
        </w:tc>
      </w:tr>
      <w:tr w14:paraId="685C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45" w:type="pct"/>
            <w:noWrap w:val="0"/>
            <w:vAlign w:val="center"/>
          </w:tcPr>
          <w:p w14:paraId="4A0DE0B5">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D2</w:t>
            </w:r>
          </w:p>
        </w:tc>
        <w:tc>
          <w:tcPr>
            <w:tcW w:w="4354" w:type="pct"/>
            <w:noWrap w:val="0"/>
            <w:vAlign w:val="top"/>
          </w:tcPr>
          <w:p w14:paraId="23471763">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0.5m≤Mb&lt;1.0m，K≤1.0×10</w:t>
            </w:r>
            <w:r>
              <w:rPr>
                <w:rFonts w:hint="default" w:ascii="Times New Roman" w:hAnsi="Times New Roman" w:cs="Times New Roman"/>
                <w:color w:val="auto"/>
                <w:sz w:val="21"/>
                <w:vertAlign w:val="superscript"/>
              </w:rPr>
              <w:t>-6</w:t>
            </w:r>
            <w:r>
              <w:rPr>
                <w:rFonts w:hint="default" w:ascii="Times New Roman" w:hAnsi="Times New Roman" w:cs="Times New Roman"/>
                <w:color w:val="auto"/>
                <w:sz w:val="21"/>
              </w:rPr>
              <w:t>cm/s，且分布连续、稳定</w:t>
            </w:r>
          </w:p>
          <w:p w14:paraId="643A6532">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Mb≥1.0m，1.0×10</w:t>
            </w:r>
            <w:r>
              <w:rPr>
                <w:rFonts w:hint="default" w:ascii="Times New Roman" w:hAnsi="Times New Roman" w:cs="Times New Roman"/>
                <w:color w:val="auto"/>
                <w:sz w:val="21"/>
                <w:vertAlign w:val="superscript"/>
              </w:rPr>
              <w:t>-6</w:t>
            </w:r>
            <w:r>
              <w:rPr>
                <w:rFonts w:hint="default" w:ascii="Times New Roman" w:hAnsi="Times New Roman" w:cs="Times New Roman"/>
                <w:color w:val="auto"/>
                <w:sz w:val="21"/>
              </w:rPr>
              <w:t>cm/s＜K≤1.0×10</w:t>
            </w:r>
            <w:r>
              <w:rPr>
                <w:rFonts w:hint="default" w:ascii="Times New Roman" w:hAnsi="Times New Roman" w:cs="Times New Roman"/>
                <w:color w:val="auto"/>
                <w:sz w:val="21"/>
                <w:vertAlign w:val="superscript"/>
              </w:rPr>
              <w:t>-4</w:t>
            </w:r>
            <w:r>
              <w:rPr>
                <w:rFonts w:hint="default" w:ascii="Times New Roman" w:hAnsi="Times New Roman" w:cs="Times New Roman"/>
                <w:color w:val="auto"/>
                <w:sz w:val="21"/>
              </w:rPr>
              <w:t>cm/s，且分布连续、稳定</w:t>
            </w:r>
          </w:p>
        </w:tc>
      </w:tr>
      <w:tr w14:paraId="65DB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trPr>
        <w:tc>
          <w:tcPr>
            <w:tcW w:w="645" w:type="pct"/>
            <w:noWrap w:val="0"/>
            <w:vAlign w:val="top"/>
          </w:tcPr>
          <w:p w14:paraId="3B0368D7">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D1</w:t>
            </w:r>
          </w:p>
        </w:tc>
        <w:tc>
          <w:tcPr>
            <w:tcW w:w="4354" w:type="pct"/>
            <w:noWrap w:val="0"/>
            <w:vAlign w:val="top"/>
          </w:tcPr>
          <w:p w14:paraId="2E524F13">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岩（土）层不满足上述“D2”和“D3”条件</w:t>
            </w:r>
          </w:p>
        </w:tc>
      </w:tr>
      <w:tr w14:paraId="59C6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5000" w:type="pct"/>
            <w:gridSpan w:val="2"/>
            <w:noWrap w:val="0"/>
            <w:vAlign w:val="top"/>
          </w:tcPr>
          <w:p w14:paraId="26AF356E">
            <w:pPr>
              <w:pStyle w:val="79"/>
              <w:widowControl w:val="0"/>
              <w:spacing w:line="240" w:lineRule="auto"/>
              <w:jc w:val="left"/>
              <w:rPr>
                <w:rFonts w:hint="default" w:ascii="Times New Roman" w:hAnsi="Times New Roman" w:cs="Times New Roman"/>
                <w:color w:val="auto"/>
                <w:sz w:val="21"/>
              </w:rPr>
            </w:pPr>
            <w:r>
              <w:rPr>
                <w:rFonts w:hint="default" w:ascii="Times New Roman" w:hAnsi="Times New Roman" w:cs="Times New Roman"/>
                <w:color w:val="auto"/>
                <w:sz w:val="21"/>
              </w:rPr>
              <w:t>Mb：岩土层单层厚度。</w:t>
            </w:r>
          </w:p>
          <w:p w14:paraId="60CF033C">
            <w:pPr>
              <w:pStyle w:val="79"/>
              <w:widowControl w:val="0"/>
              <w:spacing w:line="240" w:lineRule="auto"/>
              <w:jc w:val="left"/>
              <w:rPr>
                <w:rFonts w:hint="default" w:ascii="Times New Roman" w:hAnsi="Times New Roman" w:cs="Times New Roman"/>
                <w:color w:val="auto"/>
                <w:sz w:val="21"/>
              </w:rPr>
            </w:pPr>
            <w:r>
              <w:rPr>
                <w:rFonts w:hint="default" w:ascii="Times New Roman" w:hAnsi="Times New Roman" w:cs="Times New Roman"/>
                <w:color w:val="auto"/>
                <w:sz w:val="21"/>
              </w:rPr>
              <w:t>K：渗透系数。</w:t>
            </w:r>
          </w:p>
        </w:tc>
      </w:tr>
    </w:tbl>
    <w:p w14:paraId="299AD675">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项目区地下水不属于集中式饮用水源等敏感区和分散式饮用水源等较敏感区，根据上表中分区原则，项目地下水功能敏感程度为不敏感G3</w:t>
      </w:r>
      <w:r>
        <w:rPr>
          <w:rFonts w:hint="default" w:ascii="Times New Roman" w:hAnsi="Times New Roman" w:cs="Times New Roman"/>
          <w:color w:val="auto"/>
          <w:spacing w:val="6"/>
          <w:sz w:val="24"/>
          <w:szCs w:val="24"/>
          <w:lang w:eastAsia="zh-CN"/>
        </w:rPr>
        <w:t>，</w:t>
      </w:r>
      <w:r>
        <w:rPr>
          <w:rFonts w:hint="default" w:ascii="Times New Roman" w:hAnsi="Times New Roman" w:cs="Times New Roman"/>
          <w:color w:val="auto"/>
          <w:spacing w:val="6"/>
          <w:sz w:val="24"/>
          <w:szCs w:val="24"/>
        </w:rPr>
        <w:t>根据区域地下水地质调查资料</w:t>
      </w:r>
      <w:r>
        <w:rPr>
          <w:rFonts w:hint="eastAsia" w:ascii="Times New Roman" w:hAnsi="Times New Roman" w:cs="Times New Roman"/>
          <w:color w:val="auto"/>
          <w:spacing w:val="6"/>
          <w:sz w:val="24"/>
          <w:szCs w:val="24"/>
          <w:lang w:val="en-US" w:eastAsia="zh-CN"/>
        </w:rPr>
        <w:t>进行类比分析来看</w:t>
      </w:r>
      <w:r>
        <w:rPr>
          <w:rFonts w:hint="default" w:ascii="Times New Roman" w:hAnsi="Times New Roman" w:cs="Times New Roman"/>
          <w:color w:val="auto"/>
          <w:spacing w:val="6"/>
          <w:sz w:val="24"/>
          <w:szCs w:val="24"/>
        </w:rPr>
        <w:t>，项目所在厂区包气带岩土层单层厚度约为3~5m，渗透系数约为1.04×10</w:t>
      </w:r>
      <w:r>
        <w:rPr>
          <w:rFonts w:hint="default" w:ascii="Times New Roman" w:hAnsi="Times New Roman" w:cs="Times New Roman"/>
          <w:color w:val="auto"/>
          <w:spacing w:val="6"/>
          <w:sz w:val="24"/>
          <w:szCs w:val="24"/>
          <w:vertAlign w:val="superscript"/>
        </w:rPr>
        <w:t>-6</w:t>
      </w:r>
      <w:r>
        <w:rPr>
          <w:rFonts w:hint="default" w:ascii="Times New Roman" w:hAnsi="Times New Roman" w:cs="Times New Roman"/>
          <w:color w:val="auto"/>
          <w:spacing w:val="6"/>
          <w:sz w:val="24"/>
          <w:szCs w:val="24"/>
        </w:rPr>
        <w:t>cm/s，根据上表划分原则要求，项目区包气带防护性能分级为D2。因此，本项目地下水环境敏感程度为</w:t>
      </w:r>
      <w:r>
        <w:rPr>
          <w:rFonts w:hint="default" w:ascii="Times New Roman" w:hAnsi="Times New Roman" w:cs="Times New Roman"/>
          <w:b/>
          <w:bCs/>
          <w:color w:val="auto"/>
          <w:spacing w:val="6"/>
          <w:sz w:val="24"/>
          <w:szCs w:val="24"/>
        </w:rPr>
        <w:t>E3</w:t>
      </w:r>
      <w:r>
        <w:rPr>
          <w:rFonts w:hint="default" w:ascii="Times New Roman" w:hAnsi="Times New Roman" w:cs="Times New Roman"/>
          <w:color w:val="auto"/>
          <w:spacing w:val="6"/>
          <w:sz w:val="24"/>
          <w:szCs w:val="24"/>
        </w:rPr>
        <w:t>，为地下水环境低度敏感区。</w:t>
      </w:r>
    </w:p>
    <w:p w14:paraId="5172A61D">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bookmarkStart w:id="55" w:name="_Toc6179"/>
      <w:bookmarkStart w:id="56" w:name="_Toc18265"/>
      <w:r>
        <w:rPr>
          <w:rFonts w:hint="default" w:ascii="Times New Roman" w:hAnsi="Times New Roman" w:cs="Times New Roman"/>
          <w:b/>
          <w:color w:val="auto"/>
          <w:sz w:val="28"/>
          <w:szCs w:val="28"/>
        </w:rPr>
        <w:t>3.5环境风险潜势判断</w:t>
      </w:r>
      <w:bookmarkEnd w:id="55"/>
      <w:bookmarkEnd w:id="56"/>
    </w:p>
    <w:p w14:paraId="59C90507">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根据《建设项目环境风险评价技术导则》（HJ169-2018）中建设项目环境风险潜势划分如</w:t>
      </w:r>
      <w:r>
        <w:rPr>
          <w:rFonts w:hint="eastAsia" w:ascii="Times New Roman" w:hAnsi="Times New Roman" w:cs="Times New Roman"/>
          <w:color w:val="auto"/>
          <w:spacing w:val="6"/>
          <w:sz w:val="24"/>
          <w:szCs w:val="24"/>
          <w:lang w:val="en-US" w:eastAsia="zh-CN"/>
        </w:rPr>
        <w:t>下</w:t>
      </w:r>
      <w:r>
        <w:rPr>
          <w:rFonts w:hint="default" w:ascii="Times New Roman" w:hAnsi="Times New Roman" w:cs="Times New Roman"/>
          <w:color w:val="auto"/>
          <w:spacing w:val="6"/>
          <w:sz w:val="24"/>
          <w:szCs w:val="24"/>
        </w:rPr>
        <w:t>表所示。</w:t>
      </w:r>
    </w:p>
    <w:p w14:paraId="22EF0ACB">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建设项目环境风险潜势划分表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58"/>
        <w:gridCol w:w="1496"/>
        <w:gridCol w:w="1501"/>
        <w:gridCol w:w="1636"/>
        <w:gridCol w:w="1522"/>
      </w:tblGrid>
      <w:tr w14:paraId="06BF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8" w:type="pct"/>
            <w:vMerge w:val="restart"/>
            <w:noWrap w:val="0"/>
            <w:vAlign w:val="center"/>
          </w:tcPr>
          <w:p w14:paraId="5D87E63F">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环境敏感程度（E）</w:t>
            </w:r>
          </w:p>
        </w:tc>
        <w:tc>
          <w:tcPr>
            <w:tcW w:w="3701" w:type="pct"/>
            <w:gridSpan w:val="4"/>
            <w:noWrap w:val="0"/>
            <w:vAlign w:val="center"/>
          </w:tcPr>
          <w:p w14:paraId="370E1957">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危险物质及工艺系统危险性（P）</w:t>
            </w:r>
          </w:p>
        </w:tc>
      </w:tr>
      <w:tr w14:paraId="6C4E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8" w:type="pct"/>
            <w:vMerge w:val="continue"/>
            <w:noWrap w:val="0"/>
            <w:vAlign w:val="center"/>
          </w:tcPr>
          <w:p w14:paraId="4A0AA6F2">
            <w:pPr>
              <w:pStyle w:val="79"/>
              <w:widowControl w:val="0"/>
              <w:spacing w:line="240" w:lineRule="auto"/>
              <w:rPr>
                <w:rFonts w:hint="default" w:ascii="Times New Roman" w:hAnsi="Times New Roman" w:cs="Times New Roman"/>
                <w:b/>
                <w:bCs/>
                <w:color w:val="auto"/>
                <w:sz w:val="21"/>
              </w:rPr>
            </w:pPr>
          </w:p>
        </w:tc>
        <w:tc>
          <w:tcPr>
            <w:tcW w:w="900" w:type="pct"/>
            <w:noWrap w:val="0"/>
            <w:vAlign w:val="center"/>
          </w:tcPr>
          <w:p w14:paraId="5F291ECB">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极高危害（</w:t>
            </w:r>
            <w:r>
              <w:rPr>
                <w:rFonts w:hint="default" w:ascii="Times New Roman" w:hAnsi="Times New Roman" w:cs="Times New Roman"/>
                <w:b/>
                <w:bCs/>
                <w:color w:val="auto"/>
                <w:sz w:val="21"/>
                <w:lang w:val="en-US"/>
              </w:rPr>
              <w:t>P1</w:t>
            </w:r>
            <w:r>
              <w:rPr>
                <w:rFonts w:hint="default" w:ascii="Times New Roman" w:hAnsi="Times New Roman" w:cs="Times New Roman"/>
                <w:b/>
                <w:bCs/>
                <w:color w:val="auto"/>
                <w:sz w:val="21"/>
              </w:rPr>
              <w:t>）</w:t>
            </w:r>
          </w:p>
        </w:tc>
        <w:tc>
          <w:tcPr>
            <w:tcW w:w="903" w:type="pct"/>
            <w:noWrap w:val="0"/>
            <w:vAlign w:val="center"/>
          </w:tcPr>
          <w:p w14:paraId="7B118815">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高度危害（P2）</w:t>
            </w:r>
          </w:p>
        </w:tc>
        <w:tc>
          <w:tcPr>
            <w:tcW w:w="984" w:type="pct"/>
            <w:noWrap w:val="0"/>
            <w:vAlign w:val="center"/>
          </w:tcPr>
          <w:p w14:paraId="266573D7">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中度危害（P3）</w:t>
            </w:r>
          </w:p>
        </w:tc>
        <w:tc>
          <w:tcPr>
            <w:tcW w:w="913" w:type="pct"/>
            <w:noWrap w:val="0"/>
            <w:vAlign w:val="center"/>
          </w:tcPr>
          <w:p w14:paraId="67A510E5">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轻度危害（P4）</w:t>
            </w:r>
          </w:p>
        </w:tc>
      </w:tr>
      <w:tr w14:paraId="61A1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8" w:type="pct"/>
            <w:noWrap w:val="0"/>
            <w:vAlign w:val="center"/>
          </w:tcPr>
          <w:p w14:paraId="367FA06F">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环境高度敏感区（E1）</w:t>
            </w:r>
          </w:p>
        </w:tc>
        <w:tc>
          <w:tcPr>
            <w:tcW w:w="900" w:type="pct"/>
            <w:noWrap w:val="0"/>
            <w:vAlign w:val="center"/>
          </w:tcPr>
          <w:p w14:paraId="51E9C489">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Ⅳ</w:t>
            </w:r>
            <w:r>
              <w:rPr>
                <w:rFonts w:hint="default" w:ascii="Times New Roman" w:hAnsi="Times New Roman" w:cs="Times New Roman"/>
                <w:color w:val="auto"/>
                <w:sz w:val="21"/>
                <w:vertAlign w:val="superscript"/>
              </w:rPr>
              <w:t>+</w:t>
            </w:r>
          </w:p>
        </w:tc>
        <w:tc>
          <w:tcPr>
            <w:tcW w:w="903" w:type="pct"/>
            <w:noWrap w:val="0"/>
            <w:vAlign w:val="center"/>
          </w:tcPr>
          <w:p w14:paraId="394B8E44">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Ⅳ</w:t>
            </w:r>
          </w:p>
        </w:tc>
        <w:tc>
          <w:tcPr>
            <w:tcW w:w="984" w:type="pct"/>
            <w:noWrap w:val="0"/>
            <w:vAlign w:val="center"/>
          </w:tcPr>
          <w:p w14:paraId="700420F7">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13" w:type="pct"/>
            <w:noWrap w:val="0"/>
            <w:vAlign w:val="center"/>
          </w:tcPr>
          <w:p w14:paraId="0C3F8CFA">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Ⅲ</w:t>
            </w:r>
          </w:p>
        </w:tc>
      </w:tr>
      <w:tr w14:paraId="27AD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8" w:type="pct"/>
            <w:noWrap w:val="0"/>
            <w:vAlign w:val="center"/>
          </w:tcPr>
          <w:p w14:paraId="79359123">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环境中度敏感区（E2）</w:t>
            </w:r>
          </w:p>
        </w:tc>
        <w:tc>
          <w:tcPr>
            <w:tcW w:w="900" w:type="pct"/>
            <w:noWrap w:val="0"/>
            <w:vAlign w:val="center"/>
          </w:tcPr>
          <w:p w14:paraId="6A685424">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Ⅳ</w:t>
            </w:r>
          </w:p>
        </w:tc>
        <w:tc>
          <w:tcPr>
            <w:tcW w:w="903" w:type="pct"/>
            <w:noWrap w:val="0"/>
            <w:vAlign w:val="center"/>
          </w:tcPr>
          <w:p w14:paraId="5836E988">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84" w:type="pct"/>
            <w:noWrap w:val="0"/>
            <w:vAlign w:val="center"/>
          </w:tcPr>
          <w:p w14:paraId="59D4FE42">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13" w:type="pct"/>
            <w:noWrap w:val="0"/>
            <w:vAlign w:val="center"/>
          </w:tcPr>
          <w:p w14:paraId="57DE7DA8">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Ⅱ</w:t>
            </w:r>
          </w:p>
        </w:tc>
      </w:tr>
      <w:tr w14:paraId="023E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8" w:type="pct"/>
            <w:noWrap w:val="0"/>
            <w:vAlign w:val="center"/>
          </w:tcPr>
          <w:p w14:paraId="606775C6">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环境低度敏感区（E3）</w:t>
            </w:r>
          </w:p>
        </w:tc>
        <w:tc>
          <w:tcPr>
            <w:tcW w:w="900" w:type="pct"/>
            <w:noWrap w:val="0"/>
            <w:vAlign w:val="center"/>
          </w:tcPr>
          <w:p w14:paraId="680F5B72">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03" w:type="pct"/>
            <w:noWrap w:val="0"/>
            <w:vAlign w:val="center"/>
          </w:tcPr>
          <w:p w14:paraId="30374B94">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84" w:type="pct"/>
            <w:noWrap w:val="0"/>
            <w:vAlign w:val="center"/>
          </w:tcPr>
          <w:p w14:paraId="0E738DB2">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Ⅱ</w:t>
            </w:r>
          </w:p>
        </w:tc>
        <w:tc>
          <w:tcPr>
            <w:tcW w:w="913" w:type="pct"/>
            <w:noWrap w:val="0"/>
            <w:vAlign w:val="center"/>
          </w:tcPr>
          <w:p w14:paraId="0A783ED0">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Ⅰ</w:t>
            </w:r>
          </w:p>
        </w:tc>
      </w:tr>
      <w:tr w14:paraId="20AC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000" w:type="pct"/>
            <w:gridSpan w:val="5"/>
            <w:noWrap w:val="0"/>
            <w:vAlign w:val="center"/>
          </w:tcPr>
          <w:p w14:paraId="24B279A8">
            <w:pPr>
              <w:pStyle w:val="79"/>
              <w:widowControl w:val="0"/>
              <w:spacing w:line="240" w:lineRule="auto"/>
              <w:jc w:val="both"/>
              <w:rPr>
                <w:rFonts w:hint="default" w:ascii="Times New Roman" w:hAnsi="Times New Roman" w:cs="Times New Roman"/>
                <w:color w:val="auto"/>
                <w:sz w:val="21"/>
              </w:rPr>
            </w:pPr>
            <w:r>
              <w:rPr>
                <w:rFonts w:hint="default" w:ascii="Times New Roman" w:hAnsi="Times New Roman" w:cs="Times New Roman"/>
                <w:color w:val="auto"/>
                <w:sz w:val="21"/>
              </w:rPr>
              <w:t>注：Ⅳ+为极高环境风险</w:t>
            </w:r>
          </w:p>
        </w:tc>
      </w:tr>
    </w:tbl>
    <w:p w14:paraId="68160995">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环境风险潜势综合等级选择大气、地表水、地下水等各要素等级的相对高值进行判断，按照下表确定本项目环境风险潜势为Ⅲ级。</w:t>
      </w:r>
    </w:p>
    <w:p w14:paraId="07BB66C9">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表3-</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 xml:space="preserve">   本项目环境风险潜势判断结果</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37"/>
        <w:gridCol w:w="1372"/>
        <w:gridCol w:w="1482"/>
        <w:gridCol w:w="1452"/>
        <w:gridCol w:w="1868"/>
        <w:gridCol w:w="1602"/>
      </w:tblGrid>
      <w:tr w14:paraId="26C05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3" w:type="pct"/>
            <w:noWrap w:val="0"/>
            <w:vAlign w:val="center"/>
          </w:tcPr>
          <w:p w14:paraId="5C8EC0BE">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序号</w:t>
            </w:r>
          </w:p>
        </w:tc>
        <w:tc>
          <w:tcPr>
            <w:tcW w:w="825" w:type="pct"/>
            <w:noWrap w:val="0"/>
            <w:vAlign w:val="center"/>
          </w:tcPr>
          <w:p w14:paraId="699CEF66">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项目P等级</w:t>
            </w:r>
          </w:p>
        </w:tc>
        <w:tc>
          <w:tcPr>
            <w:tcW w:w="891" w:type="pct"/>
            <w:noWrap w:val="0"/>
            <w:vAlign w:val="center"/>
          </w:tcPr>
          <w:p w14:paraId="76EC9AD9">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环境要素</w:t>
            </w:r>
          </w:p>
        </w:tc>
        <w:tc>
          <w:tcPr>
            <w:tcW w:w="873" w:type="pct"/>
            <w:noWrap w:val="0"/>
            <w:vAlign w:val="center"/>
          </w:tcPr>
          <w:p w14:paraId="2792828B">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环境敏感程度</w:t>
            </w:r>
          </w:p>
        </w:tc>
        <w:tc>
          <w:tcPr>
            <w:tcW w:w="1123" w:type="pct"/>
            <w:noWrap w:val="0"/>
            <w:vAlign w:val="center"/>
          </w:tcPr>
          <w:p w14:paraId="2AA343B6">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该种要素环境风险潜势等级</w:t>
            </w:r>
          </w:p>
        </w:tc>
        <w:tc>
          <w:tcPr>
            <w:tcW w:w="963" w:type="pct"/>
            <w:noWrap w:val="0"/>
            <w:vAlign w:val="center"/>
          </w:tcPr>
          <w:p w14:paraId="7D8B882E">
            <w:pPr>
              <w:pStyle w:val="79"/>
              <w:widowControl w:val="0"/>
              <w:spacing w:line="240" w:lineRule="auto"/>
              <w:rPr>
                <w:rFonts w:hint="default" w:ascii="Times New Roman" w:hAnsi="Times New Roman" w:cs="Times New Roman"/>
                <w:b/>
                <w:bCs/>
                <w:color w:val="auto"/>
                <w:sz w:val="21"/>
              </w:rPr>
            </w:pPr>
            <w:r>
              <w:rPr>
                <w:rFonts w:hint="default" w:ascii="Times New Roman" w:hAnsi="Times New Roman" w:cs="Times New Roman"/>
                <w:b/>
                <w:bCs/>
                <w:color w:val="auto"/>
                <w:sz w:val="21"/>
              </w:rPr>
              <w:t>项目</w:t>
            </w:r>
            <w:r>
              <w:rPr>
                <w:rFonts w:hint="default" w:ascii="Times New Roman" w:hAnsi="Times New Roman" w:cs="Times New Roman"/>
                <w:b/>
                <w:bCs/>
                <w:color w:val="auto"/>
                <w:sz w:val="21"/>
                <w:lang w:val="en-US"/>
              </w:rPr>
              <w:t>综合</w:t>
            </w:r>
            <w:r>
              <w:rPr>
                <w:rFonts w:hint="default" w:ascii="Times New Roman" w:hAnsi="Times New Roman" w:cs="Times New Roman"/>
                <w:b/>
                <w:bCs/>
                <w:color w:val="auto"/>
                <w:sz w:val="21"/>
              </w:rPr>
              <w:t>环境风险潜势等级</w:t>
            </w:r>
          </w:p>
        </w:tc>
      </w:tr>
      <w:tr w14:paraId="2EAD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3" w:type="pct"/>
            <w:noWrap w:val="0"/>
            <w:vAlign w:val="center"/>
          </w:tcPr>
          <w:p w14:paraId="5890D11B">
            <w:pPr>
              <w:pStyle w:val="79"/>
              <w:widowControl w:val="0"/>
              <w:spacing w:line="240" w:lineRule="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1</w:t>
            </w:r>
          </w:p>
        </w:tc>
        <w:tc>
          <w:tcPr>
            <w:tcW w:w="825" w:type="pct"/>
            <w:vMerge w:val="restart"/>
            <w:noWrap w:val="0"/>
            <w:vAlign w:val="center"/>
          </w:tcPr>
          <w:p w14:paraId="1026D343">
            <w:pPr>
              <w:pStyle w:val="79"/>
              <w:widowControl w:val="0"/>
              <w:spacing w:line="240" w:lineRule="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rPr>
              <w:t>P</w:t>
            </w:r>
            <w:r>
              <w:rPr>
                <w:rFonts w:hint="eastAsia" w:cs="Times New Roman"/>
                <w:color w:val="auto"/>
                <w:sz w:val="21"/>
                <w:highlight w:val="none"/>
                <w:lang w:val="en-US" w:eastAsia="zh-CN"/>
              </w:rPr>
              <w:t>4</w:t>
            </w:r>
          </w:p>
        </w:tc>
        <w:tc>
          <w:tcPr>
            <w:tcW w:w="891" w:type="pct"/>
            <w:noWrap w:val="0"/>
            <w:vAlign w:val="center"/>
          </w:tcPr>
          <w:p w14:paraId="0CC71DF6">
            <w:pPr>
              <w:pStyle w:val="79"/>
              <w:widowControl w:val="0"/>
              <w:spacing w:line="240" w:lineRule="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大气环境</w:t>
            </w:r>
          </w:p>
        </w:tc>
        <w:tc>
          <w:tcPr>
            <w:tcW w:w="873" w:type="pct"/>
            <w:noWrap w:val="0"/>
            <w:vAlign w:val="center"/>
          </w:tcPr>
          <w:p w14:paraId="300A08C6">
            <w:pPr>
              <w:pStyle w:val="79"/>
              <w:widowControl w:val="0"/>
              <w:spacing w:line="240" w:lineRule="auto"/>
              <w:rPr>
                <w:rFonts w:hint="default" w:ascii="Times New Roman" w:hAnsi="Times New Roman" w:eastAsia="宋体" w:cs="Times New Roman"/>
                <w:color w:val="auto"/>
                <w:sz w:val="21"/>
                <w:highlight w:val="none"/>
                <w:lang w:eastAsia="zh-CN"/>
              </w:rPr>
            </w:pPr>
            <w:r>
              <w:rPr>
                <w:rFonts w:hint="default" w:ascii="Times New Roman" w:hAnsi="Times New Roman" w:cs="Times New Roman"/>
                <w:color w:val="auto"/>
                <w:sz w:val="21"/>
                <w:highlight w:val="none"/>
              </w:rPr>
              <w:t>E</w:t>
            </w:r>
            <w:r>
              <w:rPr>
                <w:rFonts w:hint="default" w:ascii="Times New Roman" w:hAnsi="Times New Roman" w:cs="Times New Roman"/>
                <w:color w:val="auto"/>
                <w:sz w:val="21"/>
                <w:highlight w:val="none"/>
                <w:lang w:val="en-US" w:eastAsia="zh-CN"/>
              </w:rPr>
              <w:t>1</w:t>
            </w:r>
          </w:p>
        </w:tc>
        <w:tc>
          <w:tcPr>
            <w:tcW w:w="1123" w:type="pct"/>
            <w:noWrap w:val="0"/>
            <w:vAlign w:val="center"/>
          </w:tcPr>
          <w:p w14:paraId="51BB87A2">
            <w:pPr>
              <w:widowControl w:val="0"/>
              <w:snapToGrid w:val="0"/>
              <w:jc w:val="center"/>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63" w:type="pct"/>
            <w:vMerge w:val="restart"/>
            <w:noWrap w:val="0"/>
            <w:vAlign w:val="center"/>
          </w:tcPr>
          <w:p w14:paraId="06E80639">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Ⅲ</w:t>
            </w:r>
          </w:p>
        </w:tc>
      </w:tr>
      <w:tr w14:paraId="3300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3" w:type="pct"/>
            <w:noWrap w:val="0"/>
            <w:vAlign w:val="center"/>
          </w:tcPr>
          <w:p w14:paraId="156D8CD9">
            <w:pPr>
              <w:pStyle w:val="79"/>
              <w:widowControl w:val="0"/>
              <w:spacing w:line="240" w:lineRule="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2</w:t>
            </w:r>
          </w:p>
        </w:tc>
        <w:tc>
          <w:tcPr>
            <w:tcW w:w="825" w:type="pct"/>
            <w:vMerge w:val="continue"/>
            <w:noWrap w:val="0"/>
            <w:vAlign w:val="center"/>
          </w:tcPr>
          <w:p w14:paraId="6E3E201A">
            <w:pPr>
              <w:pStyle w:val="79"/>
              <w:widowControl w:val="0"/>
              <w:spacing w:line="240" w:lineRule="auto"/>
              <w:rPr>
                <w:rFonts w:hint="default" w:ascii="Times New Roman" w:hAnsi="Times New Roman" w:cs="Times New Roman"/>
                <w:color w:val="auto"/>
                <w:sz w:val="21"/>
                <w:highlight w:val="none"/>
              </w:rPr>
            </w:pPr>
          </w:p>
        </w:tc>
        <w:tc>
          <w:tcPr>
            <w:tcW w:w="891" w:type="pct"/>
            <w:noWrap w:val="0"/>
            <w:vAlign w:val="center"/>
          </w:tcPr>
          <w:p w14:paraId="30933562">
            <w:pPr>
              <w:pStyle w:val="79"/>
              <w:widowControl w:val="0"/>
              <w:spacing w:line="240" w:lineRule="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地表水环境</w:t>
            </w:r>
          </w:p>
        </w:tc>
        <w:tc>
          <w:tcPr>
            <w:tcW w:w="873" w:type="pct"/>
            <w:noWrap w:val="0"/>
            <w:vAlign w:val="center"/>
          </w:tcPr>
          <w:p w14:paraId="132CDBE5">
            <w:pPr>
              <w:pStyle w:val="79"/>
              <w:widowControl w:val="0"/>
              <w:spacing w:line="240" w:lineRule="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E</w:t>
            </w:r>
            <w:r>
              <w:rPr>
                <w:rFonts w:hint="default" w:ascii="Times New Roman" w:hAnsi="Times New Roman" w:cs="Times New Roman"/>
                <w:color w:val="auto"/>
                <w:sz w:val="21"/>
                <w:highlight w:val="none"/>
                <w:lang w:val="en-US"/>
              </w:rPr>
              <w:t>1</w:t>
            </w:r>
          </w:p>
        </w:tc>
        <w:tc>
          <w:tcPr>
            <w:tcW w:w="1123" w:type="pct"/>
            <w:noWrap w:val="0"/>
            <w:vAlign w:val="center"/>
          </w:tcPr>
          <w:p w14:paraId="153D2CBA">
            <w:pPr>
              <w:widowControl w:val="0"/>
              <w:snapToGrid w:val="0"/>
              <w:jc w:val="center"/>
              <w:rPr>
                <w:rFonts w:hint="default" w:ascii="Times New Roman" w:hAnsi="Times New Roman" w:cs="Times New Roman"/>
                <w:color w:val="auto"/>
                <w:sz w:val="21"/>
              </w:rPr>
            </w:pPr>
            <w:r>
              <w:rPr>
                <w:rFonts w:hint="default" w:ascii="Times New Roman" w:hAnsi="Times New Roman" w:cs="Times New Roman"/>
                <w:color w:val="auto"/>
                <w:sz w:val="21"/>
              </w:rPr>
              <w:t>Ⅲ</w:t>
            </w:r>
          </w:p>
        </w:tc>
        <w:tc>
          <w:tcPr>
            <w:tcW w:w="963" w:type="pct"/>
            <w:vMerge w:val="continue"/>
            <w:noWrap w:val="0"/>
            <w:vAlign w:val="center"/>
          </w:tcPr>
          <w:p w14:paraId="00CF06DA">
            <w:pPr>
              <w:pStyle w:val="79"/>
              <w:widowControl w:val="0"/>
              <w:spacing w:line="240" w:lineRule="auto"/>
              <w:rPr>
                <w:rFonts w:hint="default" w:ascii="Times New Roman" w:hAnsi="Times New Roman" w:cs="Times New Roman"/>
                <w:color w:val="auto"/>
                <w:sz w:val="21"/>
              </w:rPr>
            </w:pPr>
          </w:p>
        </w:tc>
      </w:tr>
      <w:tr w14:paraId="32DA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23" w:type="pct"/>
            <w:noWrap w:val="0"/>
            <w:vAlign w:val="center"/>
          </w:tcPr>
          <w:p w14:paraId="567B8F58">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3</w:t>
            </w:r>
          </w:p>
        </w:tc>
        <w:tc>
          <w:tcPr>
            <w:tcW w:w="825" w:type="pct"/>
            <w:vMerge w:val="continue"/>
            <w:noWrap w:val="0"/>
            <w:vAlign w:val="center"/>
          </w:tcPr>
          <w:p w14:paraId="7DFA76C3">
            <w:pPr>
              <w:pStyle w:val="79"/>
              <w:widowControl w:val="0"/>
              <w:spacing w:line="240" w:lineRule="auto"/>
              <w:rPr>
                <w:rFonts w:hint="default" w:ascii="Times New Roman" w:hAnsi="Times New Roman" w:cs="Times New Roman"/>
                <w:color w:val="auto"/>
                <w:sz w:val="21"/>
              </w:rPr>
            </w:pPr>
          </w:p>
        </w:tc>
        <w:tc>
          <w:tcPr>
            <w:tcW w:w="891" w:type="pct"/>
            <w:noWrap w:val="0"/>
            <w:vAlign w:val="center"/>
          </w:tcPr>
          <w:p w14:paraId="05C75FCA">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地下水环境</w:t>
            </w:r>
          </w:p>
        </w:tc>
        <w:tc>
          <w:tcPr>
            <w:tcW w:w="873" w:type="pct"/>
            <w:noWrap w:val="0"/>
            <w:vAlign w:val="center"/>
          </w:tcPr>
          <w:p w14:paraId="5C870DE0">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E</w:t>
            </w:r>
            <w:r>
              <w:rPr>
                <w:rFonts w:hint="default" w:ascii="Times New Roman" w:hAnsi="Times New Roman" w:cs="Times New Roman"/>
                <w:color w:val="auto"/>
                <w:sz w:val="21"/>
                <w:lang w:val="en-US"/>
              </w:rPr>
              <w:t>3</w:t>
            </w:r>
          </w:p>
        </w:tc>
        <w:tc>
          <w:tcPr>
            <w:tcW w:w="1123" w:type="pct"/>
            <w:noWrap w:val="0"/>
            <w:vAlign w:val="center"/>
          </w:tcPr>
          <w:p w14:paraId="703E8FCB">
            <w:pPr>
              <w:pStyle w:val="79"/>
              <w:widowControl w:val="0"/>
              <w:spacing w:line="240" w:lineRule="auto"/>
              <w:rPr>
                <w:rFonts w:hint="default" w:ascii="Times New Roman" w:hAnsi="Times New Roman" w:cs="Times New Roman"/>
                <w:color w:val="auto"/>
                <w:sz w:val="21"/>
              </w:rPr>
            </w:pPr>
            <w:r>
              <w:rPr>
                <w:rFonts w:hint="default" w:ascii="Times New Roman" w:hAnsi="Times New Roman" w:cs="Times New Roman"/>
                <w:color w:val="auto"/>
                <w:sz w:val="21"/>
              </w:rPr>
              <w:t>Ⅰ</w:t>
            </w:r>
          </w:p>
        </w:tc>
        <w:tc>
          <w:tcPr>
            <w:tcW w:w="963" w:type="pct"/>
            <w:vMerge w:val="continue"/>
            <w:noWrap w:val="0"/>
            <w:vAlign w:val="center"/>
          </w:tcPr>
          <w:p w14:paraId="43DCEE20">
            <w:pPr>
              <w:pStyle w:val="79"/>
              <w:widowControl w:val="0"/>
              <w:spacing w:line="240" w:lineRule="auto"/>
              <w:rPr>
                <w:rFonts w:hint="default" w:ascii="Times New Roman" w:hAnsi="Times New Roman" w:cs="Times New Roman"/>
                <w:color w:val="auto"/>
                <w:sz w:val="21"/>
              </w:rPr>
            </w:pPr>
          </w:p>
        </w:tc>
      </w:tr>
    </w:tbl>
    <w:p w14:paraId="45C650E9">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bookmarkStart w:id="57" w:name="_Toc15531"/>
      <w:bookmarkStart w:id="58" w:name="_Toc17898"/>
      <w:bookmarkStart w:id="59" w:name="_Toc18310"/>
      <w:r>
        <w:rPr>
          <w:rFonts w:hint="default" w:ascii="Times New Roman" w:hAnsi="Times New Roman" w:cs="Times New Roman"/>
          <w:b/>
          <w:color w:val="auto"/>
          <w:sz w:val="28"/>
          <w:szCs w:val="28"/>
        </w:rPr>
        <w:t>3.6环境风险评价等级及评价范围</w:t>
      </w:r>
      <w:bookmarkEnd w:id="57"/>
      <w:bookmarkEnd w:id="58"/>
      <w:bookmarkEnd w:id="59"/>
    </w:p>
    <w:p w14:paraId="1D71F2D9">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rPr>
          <w:rFonts w:hint="default" w:ascii="Times New Roman" w:hAnsi="Times New Roman" w:cs="Times New Roman"/>
          <w:b/>
          <w:bCs/>
          <w:color w:val="auto"/>
          <w:spacing w:val="6"/>
          <w:sz w:val="24"/>
          <w:szCs w:val="24"/>
        </w:rPr>
      </w:pPr>
      <w:r>
        <w:rPr>
          <w:rFonts w:hint="default" w:ascii="Times New Roman" w:hAnsi="Times New Roman" w:cs="Times New Roman"/>
          <w:b/>
          <w:bCs/>
          <w:color w:val="auto"/>
          <w:spacing w:val="6"/>
          <w:sz w:val="24"/>
          <w:szCs w:val="24"/>
        </w:rPr>
        <w:t>1、评价等级</w:t>
      </w:r>
    </w:p>
    <w:p w14:paraId="53BAD6FD">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根据《建设项目环境风险评价技术导则》（HJ169-2018）的有关规定，风险评价工作等级判定详见下表。</w:t>
      </w:r>
    </w:p>
    <w:p w14:paraId="46D22D31">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评价等级划分表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20"/>
        <w:gridCol w:w="1623"/>
        <w:gridCol w:w="1623"/>
        <w:gridCol w:w="1623"/>
        <w:gridCol w:w="1824"/>
      </w:tblGrid>
      <w:tr w14:paraId="01FB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75" w:type="pct"/>
            <w:noWrap w:val="0"/>
            <w:vAlign w:val="center"/>
          </w:tcPr>
          <w:p w14:paraId="60A3239D">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环境风险潜势</w:t>
            </w:r>
          </w:p>
        </w:tc>
        <w:tc>
          <w:tcPr>
            <w:tcW w:w="976" w:type="pct"/>
            <w:noWrap w:val="0"/>
            <w:vAlign w:val="center"/>
          </w:tcPr>
          <w:p w14:paraId="32370D6C">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Ⅳ、Ⅳ</w:t>
            </w:r>
            <w:r>
              <w:rPr>
                <w:rFonts w:hint="default" w:ascii="Times New Roman" w:hAnsi="Times New Roman" w:cs="Times New Roman"/>
                <w:color w:val="auto"/>
                <w:sz w:val="21"/>
                <w:szCs w:val="21"/>
                <w:vertAlign w:val="superscript"/>
              </w:rPr>
              <w:t>+</w:t>
            </w:r>
          </w:p>
        </w:tc>
        <w:tc>
          <w:tcPr>
            <w:tcW w:w="976" w:type="pct"/>
            <w:noWrap w:val="0"/>
            <w:vAlign w:val="center"/>
          </w:tcPr>
          <w:p w14:paraId="2D6F6563">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Ⅲ</w:t>
            </w:r>
          </w:p>
        </w:tc>
        <w:tc>
          <w:tcPr>
            <w:tcW w:w="976" w:type="pct"/>
            <w:noWrap w:val="0"/>
            <w:vAlign w:val="center"/>
          </w:tcPr>
          <w:p w14:paraId="087619C2">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Ⅱ</w:t>
            </w:r>
          </w:p>
        </w:tc>
        <w:tc>
          <w:tcPr>
            <w:tcW w:w="1095" w:type="pct"/>
            <w:noWrap w:val="0"/>
            <w:vAlign w:val="center"/>
          </w:tcPr>
          <w:p w14:paraId="1D430468">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Ⅰ</w:t>
            </w:r>
          </w:p>
        </w:tc>
      </w:tr>
      <w:tr w14:paraId="1CBC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75" w:type="pct"/>
            <w:noWrap w:val="0"/>
            <w:vAlign w:val="center"/>
          </w:tcPr>
          <w:p w14:paraId="74272B8D">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评价工作等级</w:t>
            </w:r>
          </w:p>
        </w:tc>
        <w:tc>
          <w:tcPr>
            <w:tcW w:w="976" w:type="pct"/>
            <w:noWrap w:val="0"/>
            <w:vAlign w:val="center"/>
          </w:tcPr>
          <w:p w14:paraId="181C09CC">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w:t>
            </w:r>
          </w:p>
        </w:tc>
        <w:tc>
          <w:tcPr>
            <w:tcW w:w="976" w:type="pct"/>
            <w:noWrap w:val="0"/>
            <w:vAlign w:val="center"/>
          </w:tcPr>
          <w:p w14:paraId="0AF50A8E">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w:t>
            </w:r>
          </w:p>
        </w:tc>
        <w:tc>
          <w:tcPr>
            <w:tcW w:w="976" w:type="pct"/>
            <w:noWrap w:val="0"/>
            <w:vAlign w:val="center"/>
          </w:tcPr>
          <w:p w14:paraId="7920396F">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w:t>
            </w:r>
          </w:p>
        </w:tc>
        <w:tc>
          <w:tcPr>
            <w:tcW w:w="1095" w:type="pct"/>
            <w:noWrap w:val="0"/>
            <w:vAlign w:val="center"/>
          </w:tcPr>
          <w:p w14:paraId="7555A79E">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简单分析</w:t>
            </w:r>
          </w:p>
        </w:tc>
      </w:tr>
      <w:tr w14:paraId="3A0B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000" w:type="pct"/>
            <w:gridSpan w:val="5"/>
            <w:noWrap w:val="0"/>
            <w:vAlign w:val="center"/>
          </w:tcPr>
          <w:p w14:paraId="40BFD1F3">
            <w:pPr>
              <w:widowControl w:val="0"/>
              <w:adjustRightInd w:val="0"/>
              <w:snapToGrid w:val="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注：a是相对于详细评价工作内容而言，在描述危险物质、环境影响途径、环境危险后果、风险防范措施等方面给出定性的说明。见附录A。</w:t>
            </w:r>
          </w:p>
        </w:tc>
      </w:tr>
    </w:tbl>
    <w:p w14:paraId="0372F88E">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项目的风险潜势为Ⅲ，确定</w:t>
      </w:r>
      <w:r>
        <w:rPr>
          <w:rFonts w:hint="eastAsia" w:ascii="Times New Roman" w:hAnsi="Times New Roman" w:cs="Times New Roman"/>
          <w:color w:val="auto"/>
          <w:spacing w:val="6"/>
          <w:sz w:val="24"/>
          <w:szCs w:val="24"/>
          <w:lang w:val="en-US" w:eastAsia="zh-CN"/>
        </w:rPr>
        <w:t>项目环境</w:t>
      </w:r>
      <w:r>
        <w:rPr>
          <w:rFonts w:hint="default" w:ascii="Times New Roman" w:hAnsi="Times New Roman" w:cs="Times New Roman"/>
          <w:color w:val="auto"/>
          <w:spacing w:val="6"/>
          <w:sz w:val="24"/>
          <w:szCs w:val="24"/>
        </w:rPr>
        <w:t>风险评价工作级别为二级。</w:t>
      </w:r>
    </w:p>
    <w:p w14:paraId="4419070F">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rPr>
          <w:rFonts w:hint="default" w:ascii="Times New Roman" w:hAnsi="Times New Roman" w:cs="Times New Roman"/>
          <w:b/>
          <w:bCs/>
          <w:color w:val="auto"/>
          <w:spacing w:val="6"/>
          <w:sz w:val="24"/>
          <w:szCs w:val="24"/>
        </w:rPr>
      </w:pPr>
      <w:r>
        <w:rPr>
          <w:rFonts w:hint="default" w:ascii="Times New Roman" w:hAnsi="Times New Roman" w:cs="Times New Roman"/>
          <w:b/>
          <w:bCs/>
          <w:color w:val="auto"/>
          <w:spacing w:val="6"/>
          <w:sz w:val="24"/>
          <w:szCs w:val="24"/>
        </w:rPr>
        <w:t>2、风险评价范围</w:t>
      </w:r>
    </w:p>
    <w:p w14:paraId="67E29DB5">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根据预测结果，本项目</w:t>
      </w:r>
      <w:r>
        <w:rPr>
          <w:rFonts w:hint="default" w:ascii="Times New Roman" w:hAnsi="Times New Roman" w:cs="Times New Roman"/>
          <w:color w:val="auto"/>
          <w:spacing w:val="6"/>
          <w:sz w:val="24"/>
          <w:szCs w:val="24"/>
          <w:lang w:val="en-US" w:eastAsia="zh-CN"/>
        </w:rPr>
        <w:t>泄漏物质</w:t>
      </w:r>
      <w:r>
        <w:rPr>
          <w:rFonts w:hint="eastAsia" w:cs="Times New Roman"/>
          <w:color w:val="auto"/>
          <w:spacing w:val="6"/>
          <w:sz w:val="24"/>
          <w:szCs w:val="24"/>
          <w:lang w:val="en-US" w:eastAsia="zh-CN"/>
        </w:rPr>
        <w:t>氯气在下风向出现</w:t>
      </w:r>
      <w:r>
        <w:rPr>
          <w:rFonts w:hint="default" w:ascii="Times New Roman" w:hAnsi="Times New Roman" w:cs="Times New Roman"/>
          <w:color w:val="auto"/>
          <w:spacing w:val="6"/>
          <w:sz w:val="24"/>
          <w:szCs w:val="24"/>
        </w:rPr>
        <w:t>毒性终点浓度</w:t>
      </w:r>
      <w:r>
        <w:rPr>
          <w:rFonts w:hint="eastAsia" w:cs="Times New Roman"/>
          <w:color w:val="auto"/>
          <w:spacing w:val="6"/>
          <w:sz w:val="24"/>
          <w:szCs w:val="24"/>
          <w:lang w:val="en-US" w:eastAsia="zh-CN"/>
        </w:rPr>
        <w:t>-1的</w:t>
      </w:r>
      <w:r>
        <w:rPr>
          <w:rFonts w:hint="default" w:ascii="Times New Roman" w:hAnsi="Times New Roman" w:eastAsia="宋体" w:cs="Times New Roman"/>
          <w:color w:val="auto"/>
          <w:sz w:val="24"/>
          <w:szCs w:val="24"/>
          <w:lang w:val="zh-CN"/>
        </w:rPr>
        <w:t>最远距离</w:t>
      </w:r>
      <w:r>
        <w:rPr>
          <w:rFonts w:hint="eastAsia" w:ascii="Times New Roman" w:hAnsi="Times New Roman" w:eastAsia="宋体" w:cs="Times New Roman"/>
          <w:color w:val="auto"/>
          <w:sz w:val="24"/>
          <w:szCs w:val="24"/>
          <w:lang w:val="en-US" w:eastAsia="zh-CN"/>
        </w:rPr>
        <w:t>1180</w:t>
      </w:r>
      <w:r>
        <w:rPr>
          <w:rFonts w:hint="default" w:ascii="Times New Roman" w:hAnsi="Times New Roman" w:eastAsia="宋体" w:cs="Times New Roman"/>
          <w:color w:val="auto"/>
          <w:sz w:val="24"/>
          <w:szCs w:val="24"/>
          <w:lang w:val="zh-CN"/>
        </w:rPr>
        <w:t>m</w:t>
      </w:r>
      <w:r>
        <w:rPr>
          <w:rFonts w:hint="eastAsia" w:ascii="Times New Roman" w:hAnsi="Times New Roman" w:eastAsia="宋体" w:cs="Times New Roman"/>
          <w:color w:val="auto"/>
          <w:sz w:val="24"/>
          <w:szCs w:val="24"/>
          <w:lang w:val="zh-CN"/>
        </w:rPr>
        <w:t>、</w:t>
      </w:r>
      <w:r>
        <w:rPr>
          <w:rFonts w:hint="eastAsia" w:ascii="Times New Roman" w:hAnsi="Times New Roman" w:eastAsia="宋体" w:cs="Times New Roman"/>
          <w:color w:val="auto"/>
          <w:sz w:val="24"/>
          <w:szCs w:val="24"/>
          <w:lang w:val="en-US" w:eastAsia="zh-CN"/>
        </w:rPr>
        <w:t>出现</w:t>
      </w:r>
      <w:r>
        <w:rPr>
          <w:rFonts w:hint="default" w:ascii="Times New Roman" w:hAnsi="Times New Roman" w:cs="Times New Roman"/>
          <w:color w:val="auto"/>
          <w:spacing w:val="6"/>
          <w:sz w:val="24"/>
          <w:szCs w:val="24"/>
        </w:rPr>
        <w:t>毒性终点浓度</w:t>
      </w:r>
      <w:r>
        <w:rPr>
          <w:rFonts w:hint="eastAsia" w:cs="Times New Roman"/>
          <w:color w:val="auto"/>
          <w:spacing w:val="6"/>
          <w:sz w:val="24"/>
          <w:szCs w:val="24"/>
          <w:lang w:val="en-US" w:eastAsia="zh-CN"/>
        </w:rPr>
        <w:t>-2的</w:t>
      </w:r>
      <w:r>
        <w:rPr>
          <w:rFonts w:hint="default" w:ascii="Times New Roman" w:hAnsi="Times New Roman" w:eastAsia="宋体" w:cs="Times New Roman"/>
          <w:color w:val="auto"/>
          <w:sz w:val="24"/>
          <w:szCs w:val="24"/>
          <w:lang w:val="zh-CN"/>
        </w:rPr>
        <w:t>最远距离最远距离</w:t>
      </w:r>
      <w:r>
        <w:rPr>
          <w:rFonts w:hint="eastAsia" w:ascii="Times New Roman" w:hAnsi="Times New Roman" w:eastAsia="宋体" w:cs="Times New Roman"/>
          <w:color w:val="auto"/>
          <w:sz w:val="24"/>
          <w:szCs w:val="24"/>
          <w:lang w:val="en-US" w:eastAsia="zh-CN"/>
        </w:rPr>
        <w:t>4690</w:t>
      </w:r>
      <w:r>
        <w:rPr>
          <w:rFonts w:hint="default" w:ascii="Times New Roman" w:hAnsi="Times New Roman" w:eastAsia="宋体" w:cs="Times New Roman"/>
          <w:color w:val="auto"/>
          <w:sz w:val="24"/>
          <w:szCs w:val="24"/>
          <w:lang w:val="zh-CN"/>
        </w:rPr>
        <w:t>m</w:t>
      </w:r>
      <w:r>
        <w:rPr>
          <w:rFonts w:hint="eastAsia" w:ascii="Times New Roman" w:hAnsi="Times New Roman" w:eastAsia="宋体" w:cs="Times New Roman"/>
          <w:color w:val="auto"/>
          <w:sz w:val="24"/>
          <w:szCs w:val="24"/>
          <w:lang w:val="zh-CN"/>
        </w:rPr>
        <w:t>。</w:t>
      </w:r>
      <w:r>
        <w:rPr>
          <w:rFonts w:hint="default" w:ascii="Times New Roman" w:hAnsi="Times New Roman" w:cs="Times New Roman"/>
          <w:color w:val="auto"/>
          <w:spacing w:val="6"/>
          <w:sz w:val="24"/>
          <w:szCs w:val="24"/>
        </w:rPr>
        <w:t>结合项目风险评价等级，确定项目大气评价范围为距离项目边界5km范围，地下水环境评价范围为厂区范围内地下水所在水文地质单元</w:t>
      </w:r>
      <w:r>
        <w:rPr>
          <w:rFonts w:hint="default" w:ascii="Times New Roman" w:hAnsi="Times New Roman" w:cs="Times New Roman"/>
          <w:color w:val="auto"/>
          <w:spacing w:val="6"/>
          <w:sz w:val="24"/>
          <w:szCs w:val="24"/>
          <w:lang w:eastAsia="zh-CN"/>
        </w:rPr>
        <w:t>；</w:t>
      </w:r>
      <w:r>
        <w:rPr>
          <w:rFonts w:hint="default" w:ascii="Times New Roman" w:hAnsi="Times New Roman" w:cs="Times New Roman"/>
          <w:color w:val="auto"/>
          <w:spacing w:val="6"/>
          <w:sz w:val="24"/>
          <w:szCs w:val="24"/>
        </w:rPr>
        <w:t>地表水环境评价范围为公司</w:t>
      </w:r>
      <w:r>
        <w:rPr>
          <w:rFonts w:hint="eastAsia" w:ascii="Times New Roman" w:hAnsi="Times New Roman" w:cs="Times New Roman"/>
          <w:color w:val="auto"/>
          <w:spacing w:val="6"/>
          <w:sz w:val="24"/>
          <w:szCs w:val="24"/>
          <w:lang w:val="en-US" w:eastAsia="zh-CN"/>
        </w:rPr>
        <w:t>发生泄漏事故后，事故废液通过</w:t>
      </w:r>
      <w:r>
        <w:rPr>
          <w:rFonts w:hint="default" w:ascii="Times New Roman" w:hAnsi="Times New Roman" w:cs="Times New Roman"/>
          <w:color w:val="auto"/>
          <w:spacing w:val="6"/>
          <w:sz w:val="24"/>
          <w:szCs w:val="24"/>
        </w:rPr>
        <w:t>设置在</w:t>
      </w:r>
      <w:r>
        <w:rPr>
          <w:rFonts w:hint="eastAsia" w:ascii="Times New Roman" w:hAnsi="Times New Roman" w:cs="Times New Roman"/>
          <w:color w:val="auto"/>
          <w:spacing w:val="6"/>
          <w:sz w:val="24"/>
          <w:szCs w:val="24"/>
          <w:lang w:val="en-US" w:eastAsia="zh-CN"/>
        </w:rPr>
        <w:t>东洞庭湖</w:t>
      </w:r>
      <w:r>
        <w:rPr>
          <w:rFonts w:hint="default" w:ascii="Times New Roman" w:hAnsi="Times New Roman" w:cs="Times New Roman"/>
          <w:color w:val="auto"/>
          <w:spacing w:val="6"/>
          <w:sz w:val="24"/>
          <w:szCs w:val="24"/>
        </w:rPr>
        <w:t>排口延伸至下游2</w:t>
      </w:r>
      <w:r>
        <w:rPr>
          <w:rFonts w:hint="eastAsia" w:ascii="Times New Roman" w:hAnsi="Times New Roman" w:cs="Times New Roman"/>
          <w:color w:val="auto"/>
          <w:spacing w:val="6"/>
          <w:sz w:val="24"/>
          <w:szCs w:val="24"/>
          <w:lang w:val="en-US" w:eastAsia="zh-CN"/>
        </w:rPr>
        <w:t>0</w:t>
      </w:r>
      <w:r>
        <w:rPr>
          <w:rFonts w:hint="default" w:ascii="Times New Roman" w:hAnsi="Times New Roman" w:cs="Times New Roman"/>
          <w:color w:val="auto"/>
          <w:spacing w:val="6"/>
          <w:sz w:val="24"/>
          <w:szCs w:val="24"/>
        </w:rPr>
        <w:t>km</w:t>
      </w:r>
      <w:r>
        <w:rPr>
          <w:rFonts w:hint="eastAsia" w:ascii="Times New Roman" w:hAnsi="Times New Roman" w:cs="Times New Roman"/>
          <w:color w:val="auto"/>
          <w:spacing w:val="6"/>
          <w:sz w:val="24"/>
          <w:szCs w:val="24"/>
          <w:lang w:eastAsia="zh-CN"/>
        </w:rPr>
        <w:t>（</w:t>
      </w:r>
      <w:r>
        <w:rPr>
          <w:rFonts w:hint="eastAsia" w:ascii="Times New Roman" w:hAnsi="Times New Roman" w:cs="Times New Roman"/>
          <w:color w:val="auto"/>
          <w:spacing w:val="6"/>
          <w:sz w:val="24"/>
          <w:szCs w:val="24"/>
          <w:lang w:val="en-US" w:eastAsia="zh-CN"/>
        </w:rPr>
        <w:t>进入长江江段前</w:t>
      </w:r>
      <w:r>
        <w:rPr>
          <w:rFonts w:hint="eastAsia" w:ascii="Times New Roman" w:hAnsi="Times New Roman" w:cs="Times New Roman"/>
          <w:color w:val="auto"/>
          <w:spacing w:val="6"/>
          <w:sz w:val="24"/>
          <w:szCs w:val="24"/>
          <w:lang w:eastAsia="zh-CN"/>
        </w:rPr>
        <w:t>）</w:t>
      </w:r>
      <w:r>
        <w:rPr>
          <w:rFonts w:hint="default" w:ascii="Times New Roman" w:hAnsi="Times New Roman" w:cs="Times New Roman"/>
          <w:color w:val="auto"/>
          <w:spacing w:val="6"/>
          <w:sz w:val="24"/>
          <w:szCs w:val="24"/>
        </w:rPr>
        <w:t>水域范围。</w:t>
      </w:r>
    </w:p>
    <w:p w14:paraId="7066F3B9">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表3-</w:t>
      </w:r>
      <w:r>
        <w:rPr>
          <w:rFonts w:hint="eastAsia" w:cs="Times New Roman"/>
          <w:color w:val="auto"/>
          <w:sz w:val="24"/>
          <w:szCs w:val="24"/>
          <w:lang w:val="en-US" w:eastAsia="zh-CN"/>
        </w:rPr>
        <w:t>7</w:t>
      </w:r>
      <w:r>
        <w:rPr>
          <w:rFonts w:hint="default" w:ascii="Times New Roman" w:hAnsi="Times New Roman" w:eastAsia="宋体" w:cs="Times New Roman"/>
          <w:color w:val="auto"/>
          <w:sz w:val="24"/>
          <w:szCs w:val="24"/>
          <w:lang w:val="en-US" w:eastAsia="zh-CN"/>
        </w:rPr>
        <w:t xml:space="preserve">  各环境要素风险评价范围</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37"/>
        <w:gridCol w:w="1301"/>
        <w:gridCol w:w="6275"/>
      </w:tblGrid>
      <w:tr w14:paraId="5576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443" w:type="pct"/>
            <w:noWrap w:val="0"/>
            <w:vAlign w:val="center"/>
          </w:tcPr>
          <w:p w14:paraId="354F3B22">
            <w:pPr>
              <w:widowControl w:val="0"/>
              <w:snapToGrid w:val="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编号</w:t>
            </w:r>
          </w:p>
        </w:tc>
        <w:tc>
          <w:tcPr>
            <w:tcW w:w="782" w:type="pct"/>
            <w:noWrap w:val="0"/>
            <w:vAlign w:val="center"/>
          </w:tcPr>
          <w:p w14:paraId="0F59E313">
            <w:pPr>
              <w:widowControl w:val="0"/>
              <w:snapToGrid w:val="0"/>
              <w:jc w:val="center"/>
              <w:rPr>
                <w:rFonts w:hint="default" w:ascii="Times New Roman" w:hAnsi="Times New Roman" w:cs="Times New Roman" w:eastAsiaTheme="minorEastAsia"/>
                <w:b/>
                <w:color w:val="auto"/>
                <w:sz w:val="21"/>
                <w:szCs w:val="21"/>
                <w:lang w:val="en-US" w:eastAsia="zh-CN"/>
              </w:rPr>
            </w:pPr>
            <w:r>
              <w:rPr>
                <w:rFonts w:hint="eastAsia" w:ascii="Times New Roman" w:hAnsi="Times New Roman" w:cs="Times New Roman"/>
                <w:b/>
                <w:color w:val="auto"/>
                <w:sz w:val="21"/>
                <w:szCs w:val="21"/>
                <w:lang w:val="en-US" w:eastAsia="zh-CN"/>
              </w:rPr>
              <w:t>环境要素</w:t>
            </w:r>
          </w:p>
        </w:tc>
        <w:tc>
          <w:tcPr>
            <w:tcW w:w="3773" w:type="pct"/>
            <w:noWrap w:val="0"/>
            <w:vAlign w:val="center"/>
          </w:tcPr>
          <w:p w14:paraId="54B272FE">
            <w:pPr>
              <w:widowControl w:val="0"/>
              <w:snapToGrid w:val="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风险评价范围</w:t>
            </w:r>
          </w:p>
        </w:tc>
      </w:tr>
      <w:tr w14:paraId="07F8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443" w:type="pct"/>
            <w:noWrap w:val="0"/>
            <w:vAlign w:val="center"/>
          </w:tcPr>
          <w:p w14:paraId="0653096B">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782" w:type="pct"/>
            <w:noWrap w:val="0"/>
            <w:vAlign w:val="center"/>
          </w:tcPr>
          <w:p w14:paraId="3C9C26AA">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大气环境</w:t>
            </w:r>
          </w:p>
        </w:tc>
        <w:tc>
          <w:tcPr>
            <w:tcW w:w="3773" w:type="pct"/>
            <w:noWrap w:val="0"/>
            <w:vAlign w:val="center"/>
          </w:tcPr>
          <w:p w14:paraId="187FE56D">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大气环境风险评价范围为距离本项目边界5km的包络线范围内</w:t>
            </w:r>
          </w:p>
        </w:tc>
      </w:tr>
      <w:tr w14:paraId="3E1E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9" w:hRule="atLeast"/>
          <w:jc w:val="center"/>
        </w:trPr>
        <w:tc>
          <w:tcPr>
            <w:tcW w:w="443" w:type="pct"/>
            <w:noWrap w:val="0"/>
            <w:vAlign w:val="center"/>
          </w:tcPr>
          <w:p w14:paraId="05D41050">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782" w:type="pct"/>
            <w:noWrap w:val="0"/>
            <w:vAlign w:val="center"/>
          </w:tcPr>
          <w:p w14:paraId="1B4DD149">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地表水环境</w:t>
            </w:r>
          </w:p>
        </w:tc>
        <w:tc>
          <w:tcPr>
            <w:tcW w:w="3773" w:type="pct"/>
            <w:noWrap w:val="0"/>
            <w:vAlign w:val="center"/>
          </w:tcPr>
          <w:p w14:paraId="37A7A6E7">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厂区</w:t>
            </w:r>
            <w:r>
              <w:rPr>
                <w:rFonts w:hint="eastAsia" w:ascii="Times New Roman" w:hAnsi="Times New Roman" w:cs="Times New Roman"/>
                <w:color w:val="auto"/>
                <w:sz w:val="21"/>
                <w:szCs w:val="21"/>
                <w:lang w:val="en-US" w:eastAsia="zh-CN"/>
              </w:rPr>
              <w:t>事故废水</w:t>
            </w:r>
            <w:r>
              <w:rPr>
                <w:rFonts w:hint="default" w:ascii="Times New Roman" w:hAnsi="Times New Roman" w:cs="Times New Roman"/>
                <w:color w:val="auto"/>
                <w:sz w:val="21"/>
                <w:szCs w:val="21"/>
              </w:rPr>
              <w:t>排口设置在</w:t>
            </w:r>
            <w:r>
              <w:rPr>
                <w:rFonts w:hint="eastAsia" w:ascii="Times New Roman" w:hAnsi="Times New Roman" w:cs="Times New Roman"/>
                <w:color w:val="auto"/>
                <w:sz w:val="21"/>
                <w:szCs w:val="21"/>
                <w:lang w:val="en-US" w:eastAsia="zh-CN"/>
              </w:rPr>
              <w:t>东洞庭湖</w:t>
            </w:r>
            <w:r>
              <w:rPr>
                <w:rFonts w:hint="default" w:ascii="Times New Roman" w:hAnsi="Times New Roman" w:cs="Times New Roman"/>
                <w:color w:val="auto"/>
                <w:sz w:val="21"/>
                <w:szCs w:val="21"/>
              </w:rPr>
              <w:t>至下游2</w:t>
            </w:r>
            <w:r>
              <w:rPr>
                <w:rFonts w:hint="eastAsia" w:ascii="Times New Roman" w:hAnsi="Times New Roman" w:cs="Times New Roman"/>
                <w:color w:val="auto"/>
                <w:sz w:val="21"/>
                <w:szCs w:val="21"/>
                <w:lang w:val="en-US" w:eastAsia="zh-CN"/>
              </w:rPr>
              <w:t>0</w:t>
            </w:r>
            <w:r>
              <w:rPr>
                <w:rFonts w:hint="default" w:ascii="Times New Roman" w:hAnsi="Times New Roman" w:cs="Times New Roman"/>
                <w:color w:val="auto"/>
                <w:sz w:val="21"/>
                <w:szCs w:val="21"/>
              </w:rPr>
              <w:t>km水域</w:t>
            </w:r>
          </w:p>
        </w:tc>
      </w:tr>
      <w:tr w14:paraId="3878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443" w:type="pct"/>
            <w:noWrap w:val="0"/>
            <w:vAlign w:val="center"/>
          </w:tcPr>
          <w:p w14:paraId="3680F303">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782" w:type="pct"/>
            <w:noWrap w:val="0"/>
            <w:vAlign w:val="center"/>
          </w:tcPr>
          <w:p w14:paraId="2D41C61C">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地下水环境</w:t>
            </w:r>
          </w:p>
        </w:tc>
        <w:tc>
          <w:tcPr>
            <w:tcW w:w="3773" w:type="pct"/>
            <w:noWrap w:val="0"/>
            <w:vAlign w:val="center"/>
          </w:tcPr>
          <w:p w14:paraId="62BBB143">
            <w:pPr>
              <w:widowControl w:val="0"/>
              <w:snapToGrid w:val="0"/>
              <w:jc w:val="center"/>
              <w:rPr>
                <w:rFonts w:hint="default" w:ascii="Times New Roman" w:hAnsi="Times New Roman" w:cs="Times New Roman"/>
                <w:color w:val="auto"/>
                <w:sz w:val="21"/>
                <w:szCs w:val="21"/>
              </w:rPr>
            </w:pPr>
            <w:r>
              <w:rPr>
                <w:rFonts w:hint="default" w:ascii="Times New Roman" w:hAnsi="Times New Roman" w:cs="Times New Roman"/>
                <w:sz w:val="21"/>
                <w:szCs w:val="21"/>
              </w:rPr>
              <w:t>厂区范围所在地下水环境一个完整的水文地质单元，</w:t>
            </w:r>
            <w:r>
              <w:rPr>
                <w:rFonts w:hint="default" w:ascii="Times New Roman" w:hAnsi="Times New Roman" w:cs="Times New Roman"/>
                <w:color w:val="auto"/>
                <w:sz w:val="21"/>
                <w:szCs w:val="21"/>
              </w:rPr>
              <w:t>范围面积约</w:t>
            </w:r>
            <w:r>
              <w:rPr>
                <w:rFonts w:hint="eastAsia" w:ascii="Times New Roman" w:hAnsi="Times New Roman" w:cs="Times New Roman"/>
                <w:color w:val="auto"/>
                <w:sz w:val="21"/>
                <w:szCs w:val="21"/>
                <w:lang w:val="en-US" w:eastAsia="zh-CN"/>
              </w:rPr>
              <w:t>6.5</w:t>
            </w:r>
            <w:r>
              <w:rPr>
                <w:rFonts w:hint="default" w:ascii="Times New Roman" w:hAnsi="Times New Roman" w:cs="Times New Roman"/>
                <w:color w:val="auto"/>
                <w:sz w:val="21"/>
                <w:szCs w:val="21"/>
              </w:rPr>
              <w:t>km</w:t>
            </w:r>
            <w:r>
              <w:rPr>
                <w:rFonts w:hint="default" w:ascii="Times New Roman" w:hAnsi="Times New Roman" w:cs="Times New Roman"/>
                <w:color w:val="auto"/>
                <w:sz w:val="21"/>
                <w:szCs w:val="21"/>
                <w:vertAlign w:val="superscript"/>
              </w:rPr>
              <w:t>2</w:t>
            </w:r>
          </w:p>
        </w:tc>
      </w:tr>
    </w:tbl>
    <w:p w14:paraId="110A573E">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p>
    <w:p w14:paraId="199F5D5F">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default" w:ascii="Times New Roman" w:hAnsi="Times New Roman" w:cs="Times New Roman"/>
          <w:b/>
          <w:color w:val="auto"/>
          <w:sz w:val="30"/>
          <w:szCs w:val="30"/>
        </w:rPr>
      </w:pPr>
      <w:bookmarkStart w:id="60" w:name="_Toc9828"/>
      <w:bookmarkStart w:id="61" w:name="_Toc17961"/>
      <w:bookmarkStart w:id="62" w:name="_Toc23687"/>
      <w:bookmarkStart w:id="63" w:name="_Toc15398"/>
      <w:bookmarkStart w:id="64" w:name="_Toc5514"/>
      <w:r>
        <w:rPr>
          <w:rFonts w:hint="default" w:ascii="Times New Roman" w:hAnsi="Times New Roman" w:cs="Times New Roman"/>
          <w:b/>
          <w:color w:val="auto"/>
          <w:sz w:val="30"/>
          <w:szCs w:val="30"/>
        </w:rPr>
        <w:t>4</w:t>
      </w:r>
      <w:r>
        <w:rPr>
          <w:rFonts w:hint="eastAsia" w:ascii="Times New Roman" w:hAnsi="Times New Roman" w:cs="Times New Roman"/>
          <w:b/>
          <w:color w:val="auto"/>
          <w:sz w:val="30"/>
          <w:szCs w:val="30"/>
          <w:lang w:eastAsia="zh-CN"/>
        </w:rPr>
        <w:t>、</w:t>
      </w:r>
      <w:r>
        <w:rPr>
          <w:rFonts w:hint="default" w:ascii="Times New Roman" w:hAnsi="Times New Roman" w:cs="Times New Roman"/>
          <w:b/>
          <w:color w:val="auto"/>
          <w:sz w:val="30"/>
          <w:szCs w:val="30"/>
        </w:rPr>
        <w:t>风险识别</w:t>
      </w:r>
      <w:bookmarkEnd w:id="60"/>
      <w:bookmarkEnd w:id="61"/>
      <w:bookmarkEnd w:id="62"/>
      <w:bookmarkEnd w:id="63"/>
      <w:bookmarkEnd w:id="64"/>
    </w:p>
    <w:p w14:paraId="5BA04451">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bookmarkStart w:id="65" w:name="_Toc25304"/>
      <w:bookmarkStart w:id="66" w:name="_Toc32028"/>
      <w:r>
        <w:rPr>
          <w:rFonts w:hint="default" w:ascii="Times New Roman" w:hAnsi="Times New Roman" w:cs="Times New Roman"/>
          <w:b/>
          <w:color w:val="auto"/>
          <w:sz w:val="28"/>
          <w:szCs w:val="28"/>
        </w:rPr>
        <w:t>4.1物质危险性识别</w:t>
      </w:r>
      <w:bookmarkEnd w:id="65"/>
      <w:bookmarkEnd w:id="66"/>
    </w:p>
    <w:p w14:paraId="0803827A">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lang w:val="zh-TW"/>
        </w:rPr>
        <w:t>根据《建设项目环境风险评价技术导则》（HJ169-2018），本项目涉及的危险物质判断结果详见</w:t>
      </w:r>
      <w:r>
        <w:rPr>
          <w:rFonts w:hint="eastAsia" w:ascii="Times New Roman" w:hAnsi="Times New Roman" w:cs="Times New Roman"/>
          <w:color w:val="auto"/>
          <w:spacing w:val="6"/>
          <w:sz w:val="24"/>
          <w:szCs w:val="24"/>
          <w:lang w:val="en-US" w:eastAsia="zh-CN"/>
        </w:rPr>
        <w:t>专项评价报告</w:t>
      </w:r>
      <w:r>
        <w:rPr>
          <w:rFonts w:hint="default" w:ascii="Times New Roman" w:hAnsi="Times New Roman" w:cs="Times New Roman"/>
          <w:color w:val="auto"/>
          <w:spacing w:val="6"/>
          <w:sz w:val="24"/>
          <w:szCs w:val="24"/>
        </w:rPr>
        <w:t>3</w:t>
      </w:r>
      <w:r>
        <w:rPr>
          <w:rFonts w:hint="eastAsia" w:ascii="Times New Roman" w:hAnsi="Times New Roman" w:cs="Times New Roman"/>
          <w:color w:val="auto"/>
          <w:spacing w:val="6"/>
          <w:sz w:val="24"/>
          <w:szCs w:val="24"/>
          <w:lang w:val="en-US" w:eastAsia="zh-CN"/>
        </w:rPr>
        <w:t>.1</w:t>
      </w:r>
      <w:r>
        <w:rPr>
          <w:rFonts w:hint="default" w:ascii="Times New Roman" w:hAnsi="Times New Roman" w:cs="Times New Roman"/>
          <w:color w:val="auto"/>
          <w:spacing w:val="6"/>
          <w:sz w:val="24"/>
          <w:szCs w:val="24"/>
          <w:lang w:val="zh-TW"/>
        </w:rPr>
        <w:t>小节中表</w:t>
      </w:r>
      <w:r>
        <w:rPr>
          <w:rFonts w:hint="default" w:ascii="Times New Roman" w:hAnsi="Times New Roman" w:cs="Times New Roman"/>
          <w:color w:val="auto"/>
          <w:spacing w:val="6"/>
          <w:sz w:val="24"/>
          <w:szCs w:val="24"/>
        </w:rPr>
        <w:t>3-1</w:t>
      </w:r>
      <w:r>
        <w:rPr>
          <w:rFonts w:hint="eastAsia" w:ascii="Times New Roman" w:hAnsi="Times New Roman" w:cs="Times New Roman"/>
          <w:color w:val="auto"/>
          <w:spacing w:val="6"/>
          <w:sz w:val="24"/>
          <w:szCs w:val="24"/>
          <w:lang w:val="en-US" w:eastAsia="zh-CN"/>
        </w:rPr>
        <w:t>内容</w:t>
      </w:r>
      <w:r>
        <w:rPr>
          <w:rFonts w:hint="default" w:ascii="Times New Roman" w:hAnsi="Times New Roman" w:cs="Times New Roman"/>
          <w:color w:val="auto"/>
          <w:spacing w:val="6"/>
          <w:sz w:val="24"/>
          <w:szCs w:val="24"/>
          <w:lang w:val="zh-TW"/>
        </w:rPr>
        <w:t>，</w:t>
      </w:r>
      <w:r>
        <w:rPr>
          <w:rFonts w:hint="default" w:ascii="Times New Roman" w:hAnsi="Times New Roman" w:cs="Times New Roman"/>
          <w:color w:val="auto"/>
          <w:spacing w:val="6"/>
          <w:sz w:val="24"/>
          <w:szCs w:val="24"/>
        </w:rPr>
        <w:t>经</w:t>
      </w:r>
      <w:r>
        <w:rPr>
          <w:rFonts w:hint="eastAsia" w:ascii="Times New Roman" w:hAnsi="Times New Roman" w:cs="Times New Roman"/>
          <w:color w:val="auto"/>
          <w:spacing w:val="6"/>
          <w:sz w:val="24"/>
          <w:szCs w:val="24"/>
          <w:lang w:val="en-US" w:eastAsia="zh-CN"/>
        </w:rPr>
        <w:t>初步</w:t>
      </w:r>
      <w:r>
        <w:rPr>
          <w:rFonts w:hint="default" w:ascii="Times New Roman" w:hAnsi="Times New Roman" w:cs="Times New Roman"/>
          <w:color w:val="auto"/>
          <w:spacing w:val="6"/>
          <w:sz w:val="24"/>
          <w:szCs w:val="24"/>
        </w:rPr>
        <w:t>统计</w:t>
      </w:r>
      <w:r>
        <w:rPr>
          <w:rFonts w:hint="eastAsia" w:ascii="Times New Roman" w:hAnsi="Times New Roman" w:cs="Times New Roman"/>
          <w:color w:val="auto"/>
          <w:spacing w:val="6"/>
          <w:sz w:val="24"/>
          <w:szCs w:val="24"/>
          <w:lang w:val="en-US" w:eastAsia="zh-CN"/>
        </w:rPr>
        <w:t>分析</w:t>
      </w:r>
      <w:r>
        <w:rPr>
          <w:rFonts w:hint="default" w:ascii="Times New Roman" w:hAnsi="Times New Roman" w:cs="Times New Roman"/>
          <w:color w:val="auto"/>
          <w:spacing w:val="6"/>
          <w:sz w:val="24"/>
          <w:szCs w:val="24"/>
        </w:rPr>
        <w:t>，</w:t>
      </w:r>
      <w:r>
        <w:rPr>
          <w:rFonts w:hint="eastAsia" w:ascii="Times New Roman" w:hAnsi="Times New Roman" w:cs="Times New Roman"/>
          <w:color w:val="auto"/>
          <w:spacing w:val="6"/>
          <w:sz w:val="24"/>
          <w:szCs w:val="24"/>
          <w:lang w:val="en-US" w:eastAsia="zh-CN"/>
        </w:rPr>
        <w:t>公司现有厂区内</w:t>
      </w:r>
      <w:r>
        <w:rPr>
          <w:rFonts w:hint="default" w:ascii="Times New Roman" w:hAnsi="Times New Roman" w:cs="Times New Roman"/>
          <w:color w:val="auto"/>
          <w:spacing w:val="6"/>
          <w:sz w:val="24"/>
          <w:szCs w:val="24"/>
        </w:rPr>
        <w:t>涉及</w:t>
      </w:r>
      <w:r>
        <w:rPr>
          <w:rFonts w:hint="eastAsia" w:ascii="Times New Roman" w:hAnsi="Times New Roman" w:cs="Times New Roman"/>
          <w:color w:val="auto"/>
          <w:spacing w:val="6"/>
          <w:sz w:val="24"/>
          <w:szCs w:val="24"/>
          <w:lang w:val="en-US" w:eastAsia="zh-CN"/>
        </w:rPr>
        <w:t>环境风险</w:t>
      </w:r>
      <w:r>
        <w:rPr>
          <w:rFonts w:hint="default" w:ascii="Times New Roman" w:hAnsi="Times New Roman" w:cs="Times New Roman"/>
          <w:color w:val="auto"/>
          <w:spacing w:val="6"/>
          <w:sz w:val="24"/>
          <w:szCs w:val="24"/>
        </w:rPr>
        <w:t>物质属于《建设项目环境风险评价技术导则》（HJ169-2018）附录B危险物质有：</w:t>
      </w:r>
      <w:r>
        <w:rPr>
          <w:rFonts w:hint="eastAsia" w:ascii="Times New Roman" w:hAnsi="Times New Roman" w:cs="Times New Roman"/>
          <w:color w:val="auto"/>
          <w:spacing w:val="6"/>
          <w:sz w:val="24"/>
          <w:szCs w:val="24"/>
          <w:lang w:val="en-US" w:eastAsia="zh-CN"/>
        </w:rPr>
        <w:t>液氯/氯气、聚合氯化铝</w:t>
      </w:r>
      <w:r>
        <w:rPr>
          <w:rFonts w:hint="default" w:ascii="Times New Roman" w:hAnsi="Times New Roman" w:cs="Times New Roman"/>
          <w:color w:val="auto"/>
          <w:spacing w:val="6"/>
          <w:sz w:val="24"/>
          <w:szCs w:val="24"/>
          <w:lang w:val="en-US" w:eastAsia="zh-CN"/>
        </w:rPr>
        <w:t>等</w:t>
      </w:r>
      <w:r>
        <w:rPr>
          <w:rFonts w:hint="default" w:ascii="Times New Roman" w:hAnsi="Times New Roman" w:cs="Times New Roman"/>
          <w:color w:val="auto"/>
          <w:spacing w:val="6"/>
          <w:sz w:val="24"/>
          <w:szCs w:val="24"/>
        </w:rPr>
        <w:t>。</w:t>
      </w:r>
    </w:p>
    <w:p w14:paraId="15A2ACA0">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rPr>
      </w:pPr>
      <w:bookmarkStart w:id="67" w:name="_Toc29678"/>
      <w:bookmarkStart w:id="68" w:name="_Toc29953"/>
      <w:r>
        <w:rPr>
          <w:rFonts w:hint="default" w:ascii="Times New Roman" w:hAnsi="Times New Roman" w:cs="Times New Roman"/>
          <w:b/>
          <w:color w:val="auto"/>
          <w:sz w:val="28"/>
          <w:szCs w:val="28"/>
        </w:rPr>
        <w:t>4.2生产系统危险性识别</w:t>
      </w:r>
      <w:bookmarkEnd w:id="67"/>
      <w:bookmarkEnd w:id="68"/>
    </w:p>
    <w:p w14:paraId="66F88BA5">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zh-TW"/>
        </w:rPr>
      </w:pPr>
      <w:r>
        <w:rPr>
          <w:rFonts w:hint="default" w:ascii="Times New Roman" w:hAnsi="Times New Roman" w:cs="Times New Roman"/>
          <w:color w:val="auto"/>
          <w:spacing w:val="6"/>
          <w:sz w:val="24"/>
          <w:szCs w:val="24"/>
          <w:lang w:val="zh-TW"/>
        </w:rPr>
        <w:t>生产系统危险性识别，包括主要生产装置、储运设施、公用工程和辅助生产设施，以及环境保护设施等。根据工艺流程和平面布置功能区划可知，本项目危险物质主要分布在</w:t>
      </w:r>
      <w:r>
        <w:rPr>
          <w:rFonts w:hint="eastAsia" w:ascii="Times New Roman" w:hAnsi="Times New Roman" w:cs="Times New Roman"/>
          <w:color w:val="auto"/>
          <w:spacing w:val="6"/>
          <w:sz w:val="24"/>
          <w:szCs w:val="24"/>
          <w:lang w:val="en-US" w:eastAsia="zh-CN"/>
        </w:rPr>
        <w:t>加氯间氯气钢瓶/加氯机输气管道</w:t>
      </w:r>
      <w:r>
        <w:rPr>
          <w:rFonts w:hint="default" w:ascii="Times New Roman" w:hAnsi="Times New Roman" w:cs="Times New Roman"/>
          <w:color w:val="auto"/>
          <w:spacing w:val="6"/>
          <w:sz w:val="24"/>
          <w:szCs w:val="24"/>
          <w:lang w:val="zh-TW"/>
        </w:rPr>
        <w:t>、</w:t>
      </w:r>
      <w:r>
        <w:rPr>
          <w:rFonts w:hint="eastAsia" w:ascii="Times New Roman" w:hAnsi="Times New Roman" w:cs="Times New Roman"/>
          <w:color w:val="auto"/>
          <w:spacing w:val="6"/>
          <w:sz w:val="24"/>
          <w:szCs w:val="24"/>
          <w:lang w:val="en-US" w:eastAsia="zh-CN"/>
        </w:rPr>
        <w:t>加药间</w:t>
      </w:r>
      <w:r>
        <w:rPr>
          <w:rFonts w:hint="default" w:ascii="Times New Roman" w:hAnsi="Times New Roman" w:cs="Times New Roman"/>
          <w:color w:val="auto"/>
          <w:spacing w:val="6"/>
          <w:sz w:val="24"/>
          <w:szCs w:val="24"/>
          <w:lang w:val="zh-TW"/>
        </w:rPr>
        <w:t>原辅料储存区域、</w:t>
      </w:r>
      <w:r>
        <w:rPr>
          <w:rFonts w:hint="eastAsia" w:ascii="Times New Roman" w:hAnsi="Times New Roman" w:cs="Times New Roman"/>
          <w:color w:val="auto"/>
          <w:spacing w:val="6"/>
          <w:sz w:val="24"/>
          <w:szCs w:val="24"/>
          <w:lang w:val="en-US" w:eastAsia="zh-CN"/>
        </w:rPr>
        <w:t>危险废物暂存间</w:t>
      </w:r>
      <w:r>
        <w:rPr>
          <w:rFonts w:hint="default" w:ascii="Times New Roman" w:hAnsi="Times New Roman" w:cs="Times New Roman"/>
          <w:color w:val="auto"/>
          <w:spacing w:val="6"/>
          <w:sz w:val="24"/>
          <w:szCs w:val="24"/>
          <w:lang w:val="zh-TW"/>
        </w:rPr>
        <w:t>，因此</w:t>
      </w:r>
      <w:r>
        <w:rPr>
          <w:rFonts w:hint="eastAsia" w:ascii="Times New Roman" w:hAnsi="Times New Roman" w:cs="Times New Roman"/>
          <w:color w:val="auto"/>
          <w:spacing w:val="6"/>
          <w:sz w:val="24"/>
          <w:szCs w:val="24"/>
          <w:lang w:val="en-US" w:eastAsia="zh-CN"/>
        </w:rPr>
        <w:t>加氯间</w:t>
      </w:r>
      <w:r>
        <w:rPr>
          <w:rFonts w:hint="default" w:ascii="Times New Roman" w:hAnsi="Times New Roman" w:cs="Times New Roman"/>
          <w:color w:val="auto"/>
          <w:spacing w:val="6"/>
          <w:sz w:val="24"/>
          <w:szCs w:val="24"/>
          <w:lang w:val="zh-TW"/>
        </w:rPr>
        <w:t>、</w:t>
      </w:r>
      <w:r>
        <w:rPr>
          <w:rFonts w:hint="eastAsia" w:ascii="Times New Roman" w:hAnsi="Times New Roman" w:cs="Times New Roman"/>
          <w:color w:val="auto"/>
          <w:spacing w:val="6"/>
          <w:sz w:val="24"/>
          <w:szCs w:val="24"/>
          <w:lang w:val="en-US" w:eastAsia="zh-CN"/>
        </w:rPr>
        <w:t>加药间</w:t>
      </w:r>
      <w:r>
        <w:rPr>
          <w:rFonts w:hint="default" w:ascii="Times New Roman" w:hAnsi="Times New Roman" w:cs="Times New Roman"/>
          <w:color w:val="auto"/>
          <w:spacing w:val="6"/>
          <w:sz w:val="24"/>
          <w:szCs w:val="24"/>
          <w:lang w:val="zh-TW"/>
        </w:rPr>
        <w:t>原辅料储存区域、</w:t>
      </w:r>
      <w:r>
        <w:rPr>
          <w:rFonts w:hint="eastAsia" w:ascii="Times New Roman" w:hAnsi="Times New Roman" w:cs="Times New Roman"/>
          <w:color w:val="auto"/>
          <w:spacing w:val="6"/>
          <w:sz w:val="24"/>
          <w:szCs w:val="24"/>
          <w:lang w:val="en-US" w:eastAsia="zh-CN"/>
        </w:rPr>
        <w:t>危险废物暂存间</w:t>
      </w:r>
      <w:r>
        <w:rPr>
          <w:rFonts w:hint="default" w:ascii="Times New Roman" w:hAnsi="Times New Roman" w:cs="Times New Roman"/>
          <w:color w:val="auto"/>
          <w:spacing w:val="6"/>
          <w:sz w:val="24"/>
          <w:szCs w:val="24"/>
          <w:lang w:val="zh-TW"/>
        </w:rPr>
        <w:t>为本项目的主要危险单元。</w:t>
      </w:r>
    </w:p>
    <w:p w14:paraId="47FDBF38">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表4-1  生产系统危险性识别表</w:t>
      </w:r>
    </w:p>
    <w:tbl>
      <w:tblPr>
        <w:tblStyle w:val="24"/>
        <w:tblW w:w="50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29"/>
        <w:gridCol w:w="2495"/>
        <w:gridCol w:w="4229"/>
      </w:tblGrid>
      <w:tr w14:paraId="56B2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75" w:type="pct"/>
            <w:noWrap w:val="0"/>
            <w:vAlign w:val="center"/>
          </w:tcPr>
          <w:p w14:paraId="216233ED">
            <w:pPr>
              <w:widowControl w:val="0"/>
              <w:adjustRightInd w:val="0"/>
              <w:snapToGrid w:val="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危险单元</w:t>
            </w:r>
          </w:p>
        </w:tc>
        <w:tc>
          <w:tcPr>
            <w:tcW w:w="1493" w:type="pct"/>
            <w:noWrap w:val="0"/>
            <w:vAlign w:val="center"/>
          </w:tcPr>
          <w:p w14:paraId="1E9FB67B">
            <w:pPr>
              <w:widowControl w:val="0"/>
              <w:adjustRightInd w:val="0"/>
              <w:snapToGrid w:val="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风险源</w:t>
            </w:r>
          </w:p>
        </w:tc>
        <w:tc>
          <w:tcPr>
            <w:tcW w:w="2531" w:type="pct"/>
            <w:noWrap w:val="0"/>
            <w:vAlign w:val="center"/>
          </w:tcPr>
          <w:p w14:paraId="2A0D09B2">
            <w:pPr>
              <w:widowControl w:val="0"/>
              <w:adjustRightInd w:val="0"/>
              <w:snapToGrid w:val="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环境风险类型</w:t>
            </w:r>
          </w:p>
        </w:tc>
      </w:tr>
      <w:tr w14:paraId="65CC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75" w:type="pct"/>
            <w:shd w:val="clear" w:color="auto" w:fill="auto"/>
            <w:noWrap w:val="0"/>
            <w:vAlign w:val="center"/>
          </w:tcPr>
          <w:p w14:paraId="5C1C3D28">
            <w:pPr>
              <w:widowControl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各个车间内</w:t>
            </w:r>
            <w:r>
              <w:rPr>
                <w:rFonts w:hint="default" w:ascii="Times New Roman" w:hAnsi="Times New Roman" w:cs="Times New Roman"/>
                <w:color w:val="auto"/>
                <w:sz w:val="21"/>
                <w:szCs w:val="21"/>
                <w:lang w:val="en-US" w:eastAsia="zh-CN"/>
              </w:rPr>
              <w:t>原辅料储存区域</w:t>
            </w:r>
          </w:p>
        </w:tc>
        <w:tc>
          <w:tcPr>
            <w:tcW w:w="1493" w:type="pct"/>
            <w:shd w:val="clear" w:color="auto" w:fill="auto"/>
            <w:noWrap w:val="0"/>
            <w:vAlign w:val="center"/>
          </w:tcPr>
          <w:p w14:paraId="2CFEECBF">
            <w:pPr>
              <w:widowControl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液态危险化学品</w:t>
            </w:r>
          </w:p>
        </w:tc>
        <w:tc>
          <w:tcPr>
            <w:tcW w:w="2531" w:type="pct"/>
            <w:vMerge w:val="restart"/>
            <w:noWrap w:val="0"/>
            <w:vAlign w:val="center"/>
          </w:tcPr>
          <w:p w14:paraId="2C0D22B6">
            <w:pPr>
              <w:widowControl w:val="0"/>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危险物质泄漏、火灾爆炸引发次生污染物排放</w:t>
            </w:r>
          </w:p>
        </w:tc>
      </w:tr>
      <w:tr w14:paraId="7589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75" w:type="pct"/>
            <w:noWrap w:val="0"/>
            <w:vAlign w:val="center"/>
          </w:tcPr>
          <w:p w14:paraId="34C7B77E">
            <w:pPr>
              <w:widowControl w:val="0"/>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危废暂存</w:t>
            </w:r>
            <w:r>
              <w:rPr>
                <w:rFonts w:hint="default" w:ascii="Times New Roman" w:hAnsi="Times New Roman" w:cs="Times New Roman"/>
                <w:color w:val="auto"/>
                <w:sz w:val="21"/>
                <w:szCs w:val="21"/>
                <w:lang w:val="en-US" w:eastAsia="zh-CN"/>
              </w:rPr>
              <w:t>库</w:t>
            </w:r>
          </w:p>
        </w:tc>
        <w:tc>
          <w:tcPr>
            <w:tcW w:w="1493" w:type="pct"/>
            <w:noWrap w:val="0"/>
            <w:vAlign w:val="center"/>
          </w:tcPr>
          <w:p w14:paraId="7D4AEA34">
            <w:pPr>
              <w:widowControl w:val="0"/>
              <w:adjustRightInd w:val="0"/>
              <w:snapToGrid w:val="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各类危险废物</w:t>
            </w:r>
          </w:p>
        </w:tc>
        <w:tc>
          <w:tcPr>
            <w:tcW w:w="2531" w:type="pct"/>
            <w:vMerge w:val="continue"/>
            <w:noWrap w:val="0"/>
            <w:vAlign w:val="center"/>
          </w:tcPr>
          <w:p w14:paraId="147DD9D8">
            <w:pPr>
              <w:widowControl w:val="0"/>
              <w:adjustRightInd w:val="0"/>
              <w:snapToGrid w:val="0"/>
              <w:jc w:val="center"/>
              <w:rPr>
                <w:rFonts w:hint="default" w:ascii="Times New Roman" w:hAnsi="Times New Roman" w:cs="Times New Roman"/>
                <w:color w:val="auto"/>
                <w:sz w:val="21"/>
                <w:szCs w:val="21"/>
              </w:rPr>
            </w:pPr>
          </w:p>
        </w:tc>
      </w:tr>
      <w:tr w14:paraId="32D77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75" w:type="pct"/>
            <w:noWrap w:val="0"/>
            <w:vAlign w:val="center"/>
          </w:tcPr>
          <w:p w14:paraId="401F6AD1">
            <w:pPr>
              <w:widowControl w:val="0"/>
              <w:adjustRightInd w:val="0"/>
              <w:snapToGrid w:val="0"/>
              <w:jc w:val="center"/>
              <w:rPr>
                <w:rFonts w:hint="default" w:ascii="Times New Roman" w:hAnsi="Times New Roman" w:eastAsia="宋体" w:cs="Times New Roman"/>
                <w:color w:val="auto"/>
                <w:sz w:val="21"/>
                <w:szCs w:val="21"/>
                <w:u w:val="single"/>
                <w:lang w:val="en-US" w:eastAsia="zh-CN"/>
              </w:rPr>
            </w:pPr>
            <w:r>
              <w:rPr>
                <w:rFonts w:hint="eastAsia" w:cs="Times New Roman"/>
                <w:color w:val="auto"/>
                <w:sz w:val="21"/>
                <w:szCs w:val="21"/>
                <w:u w:val="single"/>
                <w:lang w:val="en-US" w:eastAsia="zh-CN"/>
              </w:rPr>
              <w:t>加氯间</w:t>
            </w:r>
          </w:p>
        </w:tc>
        <w:tc>
          <w:tcPr>
            <w:tcW w:w="1493" w:type="pct"/>
            <w:noWrap w:val="0"/>
            <w:vAlign w:val="center"/>
          </w:tcPr>
          <w:p w14:paraId="74ABA786">
            <w:pPr>
              <w:widowControl w:val="0"/>
              <w:adjustRightInd w:val="0"/>
              <w:snapToGrid w:val="0"/>
              <w:jc w:val="center"/>
              <w:rPr>
                <w:rFonts w:hint="eastAsia" w:ascii="Times New Roman" w:hAnsi="Times New Roman" w:eastAsia="宋体" w:cs="Times New Roman"/>
                <w:color w:val="auto"/>
                <w:sz w:val="21"/>
                <w:szCs w:val="21"/>
                <w:u w:val="single"/>
                <w:lang w:val="en-US" w:eastAsia="zh-CN"/>
              </w:rPr>
            </w:pPr>
            <w:r>
              <w:rPr>
                <w:rFonts w:hint="eastAsia" w:cs="Times New Roman"/>
                <w:color w:val="auto"/>
                <w:sz w:val="21"/>
                <w:szCs w:val="21"/>
                <w:u w:val="single"/>
                <w:lang w:val="en-US" w:eastAsia="zh-CN"/>
              </w:rPr>
              <w:t>氯气</w:t>
            </w:r>
          </w:p>
        </w:tc>
        <w:tc>
          <w:tcPr>
            <w:tcW w:w="2531" w:type="pct"/>
            <w:noWrap w:val="0"/>
            <w:vAlign w:val="center"/>
          </w:tcPr>
          <w:p w14:paraId="6CEBA36B">
            <w:pPr>
              <w:widowControl w:val="0"/>
              <w:adjustRightInd w:val="0"/>
              <w:snapToGrid w:val="0"/>
              <w:jc w:val="center"/>
              <w:rPr>
                <w:rFonts w:hint="default" w:ascii="Times New Roman" w:hAnsi="Times New Roman" w:eastAsia="宋体" w:cs="Times New Roman"/>
                <w:color w:val="auto"/>
                <w:sz w:val="21"/>
                <w:szCs w:val="21"/>
                <w:u w:val="single"/>
                <w:lang w:val="en-US" w:eastAsia="zh-CN"/>
              </w:rPr>
            </w:pPr>
            <w:r>
              <w:rPr>
                <w:rFonts w:hint="eastAsia" w:cs="Times New Roman"/>
                <w:color w:val="auto"/>
                <w:sz w:val="21"/>
                <w:szCs w:val="21"/>
                <w:u w:val="single"/>
                <w:lang w:val="en-US" w:eastAsia="zh-CN"/>
              </w:rPr>
              <w:t>在气瓶存放区、加氯工序环节发生泄漏，对区域环境空气造成影响</w:t>
            </w:r>
          </w:p>
        </w:tc>
      </w:tr>
    </w:tbl>
    <w:p w14:paraId="3CF32513">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rPr>
      </w:pPr>
      <w:r>
        <w:rPr>
          <w:rFonts w:hint="default" w:ascii="Times New Roman" w:hAnsi="Times New Roman" w:cs="Times New Roman"/>
          <w:color w:val="auto"/>
          <w:spacing w:val="6"/>
          <w:sz w:val="24"/>
          <w:szCs w:val="24"/>
          <w:lang w:val="en-US" w:eastAsia="zh-CN"/>
        </w:rPr>
        <w:t>本项目废水主要为</w:t>
      </w:r>
      <w:r>
        <w:rPr>
          <w:rFonts w:hint="eastAsia" w:ascii="Times New Roman" w:hAnsi="Times New Roman" w:cs="Times New Roman"/>
          <w:color w:val="auto"/>
          <w:spacing w:val="6"/>
          <w:sz w:val="24"/>
          <w:szCs w:val="24"/>
          <w:lang w:val="en-US" w:eastAsia="zh-CN"/>
        </w:rPr>
        <w:t>净水生产过程排泥水（含泥沙杂质废水）、职工生活废水，</w:t>
      </w:r>
      <w:r>
        <w:rPr>
          <w:rFonts w:hint="default" w:ascii="Times New Roman" w:hAnsi="Times New Roman" w:cs="Times New Roman"/>
          <w:color w:val="auto"/>
          <w:spacing w:val="6"/>
          <w:sz w:val="24"/>
          <w:szCs w:val="24"/>
          <w:lang w:val="en-US" w:eastAsia="zh-CN"/>
        </w:rPr>
        <w:t>生活污水经</w:t>
      </w:r>
      <w:r>
        <w:rPr>
          <w:rFonts w:hint="eastAsia" w:ascii="Times New Roman" w:hAnsi="Times New Roman" w:cs="Times New Roman"/>
          <w:color w:val="auto"/>
          <w:spacing w:val="6"/>
          <w:sz w:val="24"/>
          <w:szCs w:val="24"/>
          <w:lang w:val="en-US" w:eastAsia="zh-CN"/>
        </w:rPr>
        <w:t>化粪池预处理后外排市政污水收集管网、排泥水经排泥水处理系统处理后外排市政污水收集管网，一般情况不会发生废水泄漏情形；同时厂区拥有一座300m</w:t>
      </w:r>
      <w:r>
        <w:rPr>
          <w:rFonts w:hint="eastAsia" w:ascii="Times New Roman" w:hAnsi="Times New Roman" w:cs="Times New Roman"/>
          <w:color w:val="auto"/>
          <w:spacing w:val="6"/>
          <w:sz w:val="24"/>
          <w:szCs w:val="24"/>
          <w:vertAlign w:val="superscript"/>
          <w:lang w:val="en-US" w:eastAsia="zh-CN"/>
        </w:rPr>
        <w:t>3</w:t>
      </w:r>
      <w:r>
        <w:rPr>
          <w:rFonts w:hint="eastAsia" w:ascii="Times New Roman" w:hAnsi="Times New Roman" w:cs="Times New Roman"/>
          <w:color w:val="auto"/>
          <w:spacing w:val="6"/>
          <w:sz w:val="24"/>
          <w:szCs w:val="24"/>
          <w:lang w:val="en-US" w:eastAsia="zh-CN"/>
        </w:rPr>
        <w:t>的回用水池（收集净水生产线反冲洗废水）、一座300m</w:t>
      </w:r>
      <w:r>
        <w:rPr>
          <w:rFonts w:hint="eastAsia" w:ascii="Times New Roman" w:hAnsi="Times New Roman" w:cs="Times New Roman"/>
          <w:color w:val="auto"/>
          <w:spacing w:val="6"/>
          <w:sz w:val="24"/>
          <w:szCs w:val="24"/>
          <w:vertAlign w:val="superscript"/>
          <w:lang w:val="en-US" w:eastAsia="zh-CN"/>
        </w:rPr>
        <w:t>3</w:t>
      </w:r>
      <w:r>
        <w:rPr>
          <w:rFonts w:hint="eastAsia" w:ascii="Times New Roman" w:hAnsi="Times New Roman" w:cs="Times New Roman"/>
          <w:color w:val="auto"/>
          <w:spacing w:val="6"/>
          <w:sz w:val="24"/>
          <w:szCs w:val="24"/>
          <w:lang w:val="en-US" w:eastAsia="zh-CN"/>
        </w:rPr>
        <w:t>的排泥水收集池，</w:t>
      </w:r>
      <w:r>
        <w:rPr>
          <w:rFonts w:hint="default" w:ascii="Times New Roman" w:hAnsi="Times New Roman" w:cs="Times New Roman"/>
          <w:color w:val="auto"/>
          <w:spacing w:val="6"/>
          <w:sz w:val="24"/>
          <w:szCs w:val="24"/>
          <w:lang w:val="en-US" w:eastAsia="zh-CN"/>
        </w:rPr>
        <w:t>在正常情况下</w:t>
      </w:r>
      <w:r>
        <w:rPr>
          <w:rFonts w:hint="default" w:ascii="Times New Roman" w:hAnsi="Times New Roman" w:cs="Times New Roman"/>
          <w:color w:val="auto"/>
          <w:spacing w:val="6"/>
          <w:sz w:val="24"/>
          <w:szCs w:val="24"/>
          <w:lang w:val="zh-TW"/>
        </w:rPr>
        <w:t>本项目能够将</w:t>
      </w:r>
      <w:r>
        <w:rPr>
          <w:rFonts w:hint="eastAsia" w:ascii="Times New Roman" w:hAnsi="Times New Roman" w:cs="Times New Roman"/>
          <w:color w:val="auto"/>
          <w:spacing w:val="6"/>
          <w:sz w:val="24"/>
          <w:szCs w:val="24"/>
          <w:lang w:val="en-US" w:eastAsia="zh-CN"/>
        </w:rPr>
        <w:t>废水收集</w:t>
      </w:r>
      <w:r>
        <w:rPr>
          <w:rFonts w:hint="default" w:ascii="Times New Roman" w:hAnsi="Times New Roman" w:cs="Times New Roman"/>
          <w:color w:val="auto"/>
          <w:spacing w:val="6"/>
          <w:sz w:val="24"/>
          <w:szCs w:val="24"/>
          <w:lang w:val="zh-TW"/>
        </w:rPr>
        <w:t>在厂区内</w:t>
      </w:r>
      <w:r>
        <w:rPr>
          <w:rFonts w:hint="eastAsia" w:ascii="Times New Roman" w:hAnsi="Times New Roman" w:cs="Times New Roman"/>
          <w:color w:val="auto"/>
          <w:spacing w:val="6"/>
          <w:sz w:val="24"/>
          <w:szCs w:val="24"/>
          <w:lang w:val="zh-TW" w:eastAsia="zh-CN"/>
        </w:rPr>
        <w:t>，</w:t>
      </w:r>
      <w:r>
        <w:rPr>
          <w:rFonts w:hint="eastAsia" w:ascii="Times New Roman" w:hAnsi="Times New Roman" w:cs="Times New Roman"/>
          <w:color w:val="auto"/>
          <w:spacing w:val="6"/>
          <w:sz w:val="24"/>
          <w:szCs w:val="24"/>
          <w:lang w:val="en-US" w:eastAsia="zh-CN"/>
        </w:rPr>
        <w:t>不会影响外界环境；在排泥水处理设施发生故障时，由于排泥水污染成分较为简单，主要为含泥沙、颗粒悬浮物较多的废水，且水源主要为地表水体取水，除少量净水剂（PAC溶液，一般配置成15mg/L浓度加入）外，无添加其他化学物，一般情况经排泥水沉淀池沉淀后溢流水对地表水环境不会造成明显影响，则非正常情况下，废水溢流水不会对外界水环境造成事故风险影响。</w:t>
      </w:r>
    </w:p>
    <w:p w14:paraId="2E9430E3">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lang w:val="en-US" w:eastAsia="zh-CN"/>
        </w:rPr>
      </w:pPr>
      <w:r>
        <w:rPr>
          <w:rFonts w:hint="default" w:ascii="Times New Roman" w:hAnsi="Times New Roman" w:cs="Times New Roman"/>
          <w:b/>
          <w:color w:val="auto"/>
          <w:sz w:val="28"/>
          <w:szCs w:val="28"/>
          <w:lang w:val="en-US" w:eastAsia="zh-CN"/>
        </w:rPr>
        <w:t>4.3危险物质向环境转移途径识别</w:t>
      </w:r>
    </w:p>
    <w:p w14:paraId="740996C9">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eastAsia="zh-CN"/>
        </w:rPr>
      </w:pPr>
      <w:r>
        <w:rPr>
          <w:rFonts w:hint="default" w:ascii="Times New Roman" w:hAnsi="Times New Roman" w:cs="Times New Roman"/>
          <w:color w:val="auto"/>
          <w:spacing w:val="6"/>
          <w:sz w:val="24"/>
          <w:szCs w:val="24"/>
          <w:lang w:val="en-US" w:eastAsia="zh-CN"/>
        </w:rPr>
        <w:t>结合</w:t>
      </w:r>
      <w:r>
        <w:rPr>
          <w:rFonts w:hint="eastAsia" w:ascii="Times New Roman" w:hAnsi="Times New Roman" w:cs="Times New Roman"/>
          <w:color w:val="auto"/>
          <w:spacing w:val="6"/>
          <w:sz w:val="24"/>
          <w:szCs w:val="24"/>
          <w:lang w:val="en-US" w:eastAsia="zh-CN"/>
        </w:rPr>
        <w:t>厂区实际现状情况和</w:t>
      </w:r>
      <w:r>
        <w:rPr>
          <w:rFonts w:hint="default" w:ascii="Times New Roman" w:hAnsi="Times New Roman" w:cs="Times New Roman"/>
          <w:color w:val="auto"/>
          <w:spacing w:val="6"/>
          <w:sz w:val="24"/>
          <w:szCs w:val="24"/>
          <w:lang w:val="en-US" w:eastAsia="zh-CN"/>
        </w:rPr>
        <w:t>周围环境敏感特征，本次评价识别所涉及的危险物质可能的环境风</w:t>
      </w:r>
      <w:r>
        <w:rPr>
          <w:rFonts w:hint="default" w:ascii="Times New Roman" w:hAnsi="Times New Roman" w:cs="Times New Roman"/>
          <w:color w:val="auto"/>
          <w:spacing w:val="6"/>
          <w:sz w:val="24"/>
          <w:szCs w:val="24"/>
          <w:highlight w:val="none"/>
          <w:lang w:val="en-US" w:eastAsia="zh-CN"/>
        </w:rPr>
        <w:t>险类型为</w:t>
      </w:r>
      <w:r>
        <w:rPr>
          <w:rFonts w:hint="eastAsia" w:ascii="Times New Roman" w:hAnsi="Times New Roman" w:cs="Times New Roman"/>
          <w:color w:val="auto"/>
          <w:spacing w:val="6"/>
          <w:sz w:val="24"/>
          <w:szCs w:val="24"/>
          <w:highlight w:val="none"/>
          <w:lang w:val="en-US" w:eastAsia="zh-CN"/>
        </w:rPr>
        <w:t>有毒气体、事故状态下废水</w:t>
      </w:r>
      <w:r>
        <w:rPr>
          <w:rFonts w:hint="default" w:ascii="Times New Roman" w:hAnsi="Times New Roman" w:cs="Times New Roman"/>
          <w:color w:val="auto"/>
          <w:spacing w:val="6"/>
          <w:sz w:val="24"/>
          <w:szCs w:val="24"/>
          <w:highlight w:val="none"/>
          <w:lang w:val="en-US" w:eastAsia="zh-CN"/>
        </w:rPr>
        <w:t>泄漏，</w:t>
      </w:r>
      <w:r>
        <w:rPr>
          <w:rFonts w:hint="eastAsia" w:ascii="Times New Roman" w:hAnsi="Times New Roman" w:cs="Times New Roman"/>
          <w:color w:val="auto"/>
          <w:spacing w:val="6"/>
          <w:sz w:val="24"/>
          <w:szCs w:val="24"/>
          <w:highlight w:val="none"/>
          <w:lang w:val="en-US" w:eastAsia="zh-CN"/>
        </w:rPr>
        <w:t>同时若</w:t>
      </w:r>
      <w:r>
        <w:rPr>
          <w:rFonts w:hint="eastAsia" w:ascii="Times New Roman" w:hAnsi="Times New Roman" w:cs="Times New Roman"/>
          <w:color w:val="auto"/>
          <w:spacing w:val="6"/>
          <w:sz w:val="24"/>
          <w:szCs w:val="24"/>
          <w:lang w:val="en-US" w:eastAsia="zh-CN"/>
        </w:rPr>
        <w:t>氯气泄漏同时接触氧化剂、点火源和高温高热条件下，可能引发火灾/爆炸事件，</w:t>
      </w:r>
      <w:r>
        <w:rPr>
          <w:rFonts w:hint="default" w:ascii="Times New Roman" w:hAnsi="Times New Roman" w:cs="Times New Roman"/>
          <w:color w:val="auto"/>
          <w:spacing w:val="6"/>
          <w:sz w:val="24"/>
          <w:szCs w:val="24"/>
          <w:lang w:val="en-US" w:eastAsia="zh-CN"/>
        </w:rPr>
        <w:t>影响途径为大气扩散、</w:t>
      </w:r>
      <w:r>
        <w:rPr>
          <w:rFonts w:hint="eastAsia" w:ascii="Times New Roman" w:hAnsi="Times New Roman" w:cs="Times New Roman"/>
          <w:color w:val="auto"/>
          <w:spacing w:val="6"/>
          <w:sz w:val="24"/>
          <w:szCs w:val="24"/>
          <w:lang w:val="en-US" w:eastAsia="zh-CN"/>
        </w:rPr>
        <w:t>地表漫流</w:t>
      </w:r>
      <w:r>
        <w:rPr>
          <w:rFonts w:hint="default" w:ascii="Times New Roman" w:hAnsi="Times New Roman" w:cs="Times New Roman"/>
          <w:color w:val="auto"/>
          <w:spacing w:val="6"/>
          <w:sz w:val="24"/>
          <w:szCs w:val="24"/>
          <w:lang w:val="en-US" w:eastAsia="zh-CN"/>
        </w:rPr>
        <w:t>，可能受影响的</w:t>
      </w:r>
      <w:r>
        <w:rPr>
          <w:rFonts w:hint="eastAsia" w:ascii="Times New Roman" w:hAnsi="Times New Roman" w:cs="Times New Roman"/>
          <w:color w:val="auto"/>
          <w:spacing w:val="6"/>
          <w:sz w:val="24"/>
          <w:szCs w:val="24"/>
          <w:lang w:val="en-US" w:eastAsia="zh-CN"/>
        </w:rPr>
        <w:t>环境保护</w:t>
      </w:r>
      <w:r>
        <w:rPr>
          <w:rFonts w:hint="default" w:ascii="Times New Roman" w:hAnsi="Times New Roman" w:cs="Times New Roman"/>
          <w:color w:val="auto"/>
          <w:spacing w:val="6"/>
          <w:sz w:val="24"/>
          <w:szCs w:val="24"/>
          <w:lang w:val="en-US" w:eastAsia="zh-CN"/>
        </w:rPr>
        <w:t>目标为周边居民、地表水、地下水。</w:t>
      </w:r>
    </w:p>
    <w:p w14:paraId="6F2C8455">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lang w:val="en-US" w:eastAsia="zh-CN"/>
        </w:rPr>
      </w:pPr>
      <w:bookmarkStart w:id="69" w:name="_Toc14880"/>
      <w:r>
        <w:rPr>
          <w:rFonts w:hint="default" w:ascii="Times New Roman" w:hAnsi="Times New Roman" w:cs="Times New Roman"/>
          <w:b/>
          <w:color w:val="auto"/>
          <w:sz w:val="28"/>
          <w:szCs w:val="28"/>
          <w:lang w:val="en-US" w:eastAsia="zh-CN"/>
        </w:rPr>
        <w:t>4.4风险识别结果</w:t>
      </w:r>
      <w:bookmarkEnd w:id="69"/>
    </w:p>
    <w:p w14:paraId="575AD261">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eastAsia="zh-CN"/>
        </w:rPr>
      </w:pPr>
      <w:r>
        <w:rPr>
          <w:rFonts w:hint="default" w:ascii="Times New Roman" w:hAnsi="Times New Roman" w:cs="Times New Roman"/>
          <w:color w:val="auto"/>
          <w:spacing w:val="6"/>
          <w:sz w:val="24"/>
          <w:szCs w:val="24"/>
          <w:lang w:val="en-US" w:eastAsia="zh-CN"/>
        </w:rPr>
        <w:t>本项目环境风险识别结果如下。</w:t>
      </w:r>
    </w:p>
    <w:p w14:paraId="7D9EE570">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表4-2   项目环境风险识别</w:t>
      </w:r>
      <w:r>
        <w:rPr>
          <w:rFonts w:hint="eastAsia" w:cs="Times New Roman"/>
          <w:color w:val="auto"/>
          <w:sz w:val="24"/>
          <w:szCs w:val="24"/>
          <w:lang w:val="en-US" w:eastAsia="zh-CN"/>
        </w:rPr>
        <w:t>结果</w:t>
      </w:r>
      <w:r>
        <w:rPr>
          <w:rFonts w:hint="default" w:ascii="Times New Roman" w:hAnsi="Times New Roman" w:eastAsia="宋体" w:cs="Times New Roman"/>
          <w:color w:val="auto"/>
          <w:sz w:val="24"/>
          <w:szCs w:val="24"/>
          <w:lang w:val="en-US" w:eastAsia="zh-CN"/>
        </w:rPr>
        <w:t>表</w:t>
      </w:r>
    </w:p>
    <w:tbl>
      <w:tblPr>
        <w:tblStyle w:val="24"/>
        <w:tblW w:w="8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1"/>
        <w:gridCol w:w="1170"/>
        <w:gridCol w:w="1161"/>
        <w:gridCol w:w="1393"/>
        <w:gridCol w:w="1648"/>
        <w:gridCol w:w="1336"/>
        <w:gridCol w:w="1488"/>
      </w:tblGrid>
      <w:tr w14:paraId="1B07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541" w:type="dxa"/>
            <w:noWrap w:val="0"/>
            <w:vAlign w:val="center"/>
          </w:tcPr>
          <w:p w14:paraId="675B5E1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序号</w:t>
            </w:r>
          </w:p>
        </w:tc>
        <w:tc>
          <w:tcPr>
            <w:tcW w:w="1170" w:type="dxa"/>
            <w:noWrap w:val="0"/>
            <w:vAlign w:val="center"/>
          </w:tcPr>
          <w:p w14:paraId="0DDF9B6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危险单元</w:t>
            </w:r>
          </w:p>
        </w:tc>
        <w:tc>
          <w:tcPr>
            <w:tcW w:w="0" w:type="auto"/>
            <w:noWrap w:val="0"/>
            <w:vAlign w:val="center"/>
          </w:tcPr>
          <w:p w14:paraId="14F3FF7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风险源</w:t>
            </w:r>
          </w:p>
        </w:tc>
        <w:tc>
          <w:tcPr>
            <w:tcW w:w="0" w:type="auto"/>
            <w:noWrap w:val="0"/>
            <w:vAlign w:val="center"/>
          </w:tcPr>
          <w:p w14:paraId="59790C4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bCs/>
                <w:color w:val="auto"/>
                <w:sz w:val="21"/>
                <w:szCs w:val="21"/>
              </w:rPr>
              <w:t>风险物质</w:t>
            </w:r>
          </w:p>
        </w:tc>
        <w:tc>
          <w:tcPr>
            <w:tcW w:w="1648" w:type="dxa"/>
            <w:noWrap w:val="0"/>
            <w:vAlign w:val="center"/>
          </w:tcPr>
          <w:p w14:paraId="5CA7BF4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环境风险类型</w:t>
            </w:r>
          </w:p>
        </w:tc>
        <w:tc>
          <w:tcPr>
            <w:tcW w:w="0" w:type="auto"/>
            <w:noWrap w:val="0"/>
            <w:vAlign w:val="center"/>
          </w:tcPr>
          <w:p w14:paraId="55AAF7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环境影响途径</w:t>
            </w:r>
          </w:p>
        </w:tc>
        <w:tc>
          <w:tcPr>
            <w:tcW w:w="1488" w:type="dxa"/>
            <w:noWrap w:val="0"/>
            <w:vAlign w:val="center"/>
          </w:tcPr>
          <w:p w14:paraId="177F96E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可能受影响的环境敏感目标</w:t>
            </w:r>
          </w:p>
        </w:tc>
      </w:tr>
      <w:tr w14:paraId="38D6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41" w:type="dxa"/>
            <w:vMerge w:val="restart"/>
            <w:noWrap w:val="0"/>
            <w:vAlign w:val="center"/>
          </w:tcPr>
          <w:p w14:paraId="7575976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170" w:type="dxa"/>
            <w:vMerge w:val="restart"/>
            <w:noWrap w:val="0"/>
            <w:vAlign w:val="center"/>
          </w:tcPr>
          <w:p w14:paraId="0F102DBD">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加氯间</w:t>
            </w:r>
          </w:p>
        </w:tc>
        <w:tc>
          <w:tcPr>
            <w:tcW w:w="0" w:type="auto"/>
            <w:noWrap w:val="0"/>
            <w:vAlign w:val="center"/>
          </w:tcPr>
          <w:p w14:paraId="16F2E73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氯气钢瓶</w:t>
            </w:r>
          </w:p>
        </w:tc>
        <w:tc>
          <w:tcPr>
            <w:tcW w:w="0" w:type="auto"/>
            <w:vMerge w:val="restart"/>
            <w:noWrap w:val="0"/>
            <w:vAlign w:val="center"/>
          </w:tcPr>
          <w:p w14:paraId="16F91CA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sz w:val="21"/>
                <w:szCs w:val="21"/>
                <w:lang w:val="en-US" w:eastAsia="zh-CN"/>
              </w:rPr>
              <w:t>氯气</w:t>
            </w:r>
          </w:p>
        </w:tc>
        <w:tc>
          <w:tcPr>
            <w:tcW w:w="1648" w:type="dxa"/>
            <w:vMerge w:val="restart"/>
            <w:noWrap w:val="0"/>
            <w:vAlign w:val="center"/>
          </w:tcPr>
          <w:p w14:paraId="6FD647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泄漏、火灾/爆炸</w:t>
            </w:r>
          </w:p>
        </w:tc>
        <w:tc>
          <w:tcPr>
            <w:tcW w:w="0" w:type="auto"/>
            <w:vMerge w:val="restart"/>
            <w:noWrap w:val="0"/>
            <w:vAlign w:val="center"/>
          </w:tcPr>
          <w:p w14:paraId="0EE08B5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2"/>
                <w:sz w:val="21"/>
                <w:szCs w:val="21"/>
                <w:lang w:val="en-US" w:eastAsia="zh-CN" w:bidi="ar-SA"/>
              </w:rPr>
              <w:t>大气</w:t>
            </w:r>
            <w:r>
              <w:rPr>
                <w:rFonts w:hint="eastAsia" w:ascii="Times New Roman" w:hAnsi="Times New Roman" w:cs="Times New Roman"/>
                <w:color w:val="auto"/>
                <w:kern w:val="2"/>
                <w:sz w:val="21"/>
                <w:szCs w:val="21"/>
                <w:lang w:val="en-US" w:eastAsia="zh-CN" w:bidi="ar-SA"/>
              </w:rPr>
              <w:t>扩散</w:t>
            </w:r>
            <w:r>
              <w:rPr>
                <w:rFonts w:hint="default" w:ascii="Times New Roman" w:hAnsi="Times New Roman" w:cs="Times New Roman"/>
                <w:color w:val="auto"/>
                <w:kern w:val="2"/>
                <w:sz w:val="21"/>
                <w:szCs w:val="21"/>
                <w:lang w:val="en-US" w:eastAsia="zh-CN" w:bidi="ar-SA"/>
              </w:rPr>
              <w:t>、地表</w:t>
            </w:r>
            <w:r>
              <w:rPr>
                <w:rFonts w:hint="eastAsia" w:ascii="Times New Roman" w:hAnsi="Times New Roman" w:cs="Times New Roman"/>
                <w:color w:val="auto"/>
                <w:kern w:val="2"/>
                <w:sz w:val="21"/>
                <w:szCs w:val="21"/>
                <w:lang w:val="en-US" w:eastAsia="zh-CN" w:bidi="ar-SA"/>
              </w:rPr>
              <w:t>漫流</w:t>
            </w:r>
            <w:r>
              <w:rPr>
                <w:rFonts w:hint="default" w:ascii="Times New Roman" w:hAnsi="Times New Roman" w:cs="Times New Roman"/>
                <w:color w:val="auto"/>
                <w:kern w:val="2"/>
                <w:sz w:val="21"/>
                <w:szCs w:val="21"/>
                <w:lang w:val="en-US" w:eastAsia="zh-CN" w:bidi="ar-SA"/>
              </w:rPr>
              <w:t>、</w:t>
            </w:r>
            <w:r>
              <w:rPr>
                <w:rFonts w:hint="eastAsia" w:ascii="Times New Roman" w:hAnsi="Times New Roman" w:cs="Times New Roman"/>
                <w:color w:val="auto"/>
                <w:sz w:val="21"/>
                <w:szCs w:val="21"/>
                <w:lang w:val="en-US" w:eastAsia="zh-CN"/>
              </w:rPr>
              <w:t>地下水</w:t>
            </w:r>
          </w:p>
        </w:tc>
        <w:tc>
          <w:tcPr>
            <w:tcW w:w="1488" w:type="dxa"/>
            <w:vMerge w:val="restart"/>
            <w:noWrap w:val="0"/>
            <w:vAlign w:val="center"/>
          </w:tcPr>
          <w:p w14:paraId="586355C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eastAsia="宋体" w:cs="Times New Roman"/>
                <w:bCs/>
                <w:color w:val="auto"/>
                <w:sz w:val="21"/>
                <w:szCs w:val="21"/>
                <w:lang w:val="en-US" w:eastAsia="zh-CN"/>
              </w:rPr>
              <w:t>大气环境、水环境</w:t>
            </w:r>
          </w:p>
        </w:tc>
      </w:tr>
      <w:tr w14:paraId="6439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41" w:type="dxa"/>
            <w:vMerge w:val="continue"/>
            <w:noWrap w:val="0"/>
            <w:vAlign w:val="center"/>
          </w:tcPr>
          <w:p w14:paraId="0A84DA0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170" w:type="dxa"/>
            <w:vMerge w:val="continue"/>
            <w:noWrap w:val="0"/>
            <w:vAlign w:val="center"/>
          </w:tcPr>
          <w:p w14:paraId="49B9983D">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p>
        </w:tc>
        <w:tc>
          <w:tcPr>
            <w:tcW w:w="0" w:type="auto"/>
            <w:noWrap w:val="0"/>
            <w:vAlign w:val="center"/>
          </w:tcPr>
          <w:p w14:paraId="1619920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加氯机和氯气</w:t>
            </w:r>
            <w:r>
              <w:rPr>
                <w:rFonts w:hint="eastAsia" w:ascii="Times New Roman" w:hAnsi="Times New Roman" w:cs="Times New Roman"/>
                <w:color w:val="auto"/>
                <w:sz w:val="21"/>
                <w:szCs w:val="21"/>
                <w:lang w:val="en-US" w:eastAsia="zh-CN"/>
              </w:rPr>
              <w:t>输送管道</w:t>
            </w:r>
          </w:p>
        </w:tc>
        <w:tc>
          <w:tcPr>
            <w:tcW w:w="0" w:type="auto"/>
            <w:vMerge w:val="continue"/>
            <w:noWrap w:val="0"/>
            <w:vAlign w:val="center"/>
          </w:tcPr>
          <w:p w14:paraId="62AEB4D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eastAsia="zh-CN"/>
              </w:rPr>
            </w:pPr>
          </w:p>
        </w:tc>
        <w:tc>
          <w:tcPr>
            <w:tcW w:w="1648" w:type="dxa"/>
            <w:vMerge w:val="continue"/>
            <w:noWrap w:val="0"/>
            <w:vAlign w:val="center"/>
          </w:tcPr>
          <w:p w14:paraId="0196C02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eastAsia="zh-CN"/>
              </w:rPr>
            </w:pPr>
          </w:p>
        </w:tc>
        <w:tc>
          <w:tcPr>
            <w:tcW w:w="0" w:type="auto"/>
            <w:vMerge w:val="continue"/>
            <w:noWrap w:val="0"/>
            <w:vAlign w:val="center"/>
          </w:tcPr>
          <w:p w14:paraId="3FE94D8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color w:val="auto"/>
                <w:sz w:val="21"/>
                <w:szCs w:val="21"/>
                <w:lang w:val="en-US" w:eastAsia="zh-CN"/>
              </w:rPr>
            </w:pPr>
          </w:p>
        </w:tc>
        <w:tc>
          <w:tcPr>
            <w:tcW w:w="1488" w:type="dxa"/>
            <w:vMerge w:val="continue"/>
            <w:noWrap w:val="0"/>
            <w:vAlign w:val="center"/>
          </w:tcPr>
          <w:p w14:paraId="7B1066E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bCs/>
                <w:color w:val="auto"/>
                <w:sz w:val="21"/>
                <w:szCs w:val="21"/>
                <w:lang w:val="en-US" w:eastAsia="zh-CN"/>
              </w:rPr>
            </w:pPr>
          </w:p>
        </w:tc>
      </w:tr>
      <w:tr w14:paraId="2641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41" w:type="dxa"/>
            <w:noWrap w:val="0"/>
            <w:vAlign w:val="center"/>
          </w:tcPr>
          <w:p w14:paraId="0E091CC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w:t>
            </w:r>
          </w:p>
        </w:tc>
        <w:tc>
          <w:tcPr>
            <w:tcW w:w="1170" w:type="dxa"/>
            <w:noWrap w:val="0"/>
            <w:vAlign w:val="center"/>
          </w:tcPr>
          <w:p w14:paraId="4275157F">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加药间</w:t>
            </w:r>
          </w:p>
        </w:tc>
        <w:tc>
          <w:tcPr>
            <w:tcW w:w="0" w:type="auto"/>
            <w:noWrap w:val="0"/>
            <w:vAlign w:val="center"/>
          </w:tcPr>
          <w:p w14:paraId="2902F2D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eastAsia="zh-CN"/>
              </w:rPr>
            </w:pPr>
            <w:r>
              <w:rPr>
                <w:rFonts w:hint="eastAsia" w:ascii="Times New Roman" w:hAnsi="Times New Roman" w:eastAsia="宋体" w:cs="Times New Roman"/>
                <w:bCs/>
                <w:color w:val="auto"/>
                <w:sz w:val="21"/>
                <w:szCs w:val="21"/>
                <w:u w:val="none"/>
                <w:lang w:val="en-US" w:eastAsia="zh-CN"/>
              </w:rPr>
              <w:t>原矾池（PAC）</w:t>
            </w:r>
          </w:p>
        </w:tc>
        <w:tc>
          <w:tcPr>
            <w:tcW w:w="0" w:type="auto"/>
            <w:noWrap w:val="0"/>
            <w:vAlign w:val="center"/>
          </w:tcPr>
          <w:p w14:paraId="5793D71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sz w:val="21"/>
                <w:szCs w:val="21"/>
                <w:lang w:val="en-US" w:eastAsia="zh-CN"/>
              </w:rPr>
              <w:t>聚合氯化铝溶液</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10</w:t>
            </w:r>
            <w:r>
              <w:rPr>
                <w:rFonts w:hint="default" w:ascii="Times New Roman" w:hAnsi="Times New Roman" w:cs="Times New Roman"/>
                <w:sz w:val="21"/>
                <w:szCs w:val="21"/>
              </w:rPr>
              <w:t>%）</w:t>
            </w:r>
          </w:p>
        </w:tc>
        <w:tc>
          <w:tcPr>
            <w:tcW w:w="1648" w:type="dxa"/>
            <w:noWrap w:val="0"/>
            <w:vAlign w:val="center"/>
          </w:tcPr>
          <w:p w14:paraId="1F06273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泄漏</w:t>
            </w:r>
          </w:p>
        </w:tc>
        <w:tc>
          <w:tcPr>
            <w:tcW w:w="0" w:type="auto"/>
            <w:noWrap w:val="0"/>
            <w:vAlign w:val="center"/>
          </w:tcPr>
          <w:p w14:paraId="7EFBDCD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2"/>
                <w:sz w:val="21"/>
                <w:szCs w:val="21"/>
                <w:lang w:val="en-US" w:eastAsia="zh-CN" w:bidi="ar-SA"/>
              </w:rPr>
              <w:t>地表</w:t>
            </w:r>
            <w:r>
              <w:rPr>
                <w:rFonts w:hint="eastAsia" w:ascii="Times New Roman" w:hAnsi="Times New Roman" w:cs="Times New Roman"/>
                <w:color w:val="auto"/>
                <w:kern w:val="2"/>
                <w:sz w:val="21"/>
                <w:szCs w:val="21"/>
                <w:lang w:val="en-US" w:eastAsia="zh-CN" w:bidi="ar-SA"/>
              </w:rPr>
              <w:t>漫流</w:t>
            </w:r>
          </w:p>
        </w:tc>
        <w:tc>
          <w:tcPr>
            <w:tcW w:w="1488" w:type="dxa"/>
            <w:noWrap w:val="0"/>
            <w:vAlign w:val="center"/>
          </w:tcPr>
          <w:p w14:paraId="4CB2940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水环境</w:t>
            </w:r>
          </w:p>
        </w:tc>
      </w:tr>
      <w:tr w14:paraId="501C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41" w:type="dxa"/>
            <w:noWrap w:val="0"/>
            <w:vAlign w:val="center"/>
          </w:tcPr>
          <w:p w14:paraId="228EFB5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3</w:t>
            </w:r>
          </w:p>
        </w:tc>
        <w:tc>
          <w:tcPr>
            <w:tcW w:w="1170" w:type="dxa"/>
            <w:noWrap w:val="0"/>
            <w:vAlign w:val="center"/>
          </w:tcPr>
          <w:p w14:paraId="5F294C7B">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bCs/>
                <w:color w:val="auto"/>
                <w:sz w:val="21"/>
                <w:szCs w:val="21"/>
                <w:lang w:val="en-US" w:eastAsia="zh-CN"/>
              </w:rPr>
              <w:t>排泥水</w:t>
            </w:r>
            <w:r>
              <w:rPr>
                <w:rFonts w:hint="default" w:ascii="Times New Roman" w:hAnsi="Times New Roman" w:cs="Times New Roman"/>
                <w:bCs/>
                <w:color w:val="auto"/>
                <w:sz w:val="21"/>
                <w:szCs w:val="21"/>
              </w:rPr>
              <w:t>处理</w:t>
            </w:r>
            <w:r>
              <w:rPr>
                <w:rFonts w:hint="eastAsia" w:ascii="Times New Roman" w:hAnsi="Times New Roman" w:cs="Times New Roman"/>
                <w:bCs/>
                <w:color w:val="auto"/>
                <w:sz w:val="21"/>
                <w:szCs w:val="21"/>
                <w:lang w:val="en-US" w:eastAsia="zh-CN"/>
              </w:rPr>
              <w:t>系统</w:t>
            </w:r>
          </w:p>
        </w:tc>
        <w:tc>
          <w:tcPr>
            <w:tcW w:w="0" w:type="auto"/>
            <w:noWrap w:val="0"/>
            <w:vAlign w:val="center"/>
          </w:tcPr>
          <w:p w14:paraId="431118D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生产含泥废</w:t>
            </w:r>
            <w:r>
              <w:rPr>
                <w:rFonts w:hint="default" w:ascii="Times New Roman" w:hAnsi="Times New Roman" w:cs="Times New Roman"/>
                <w:bCs/>
                <w:color w:val="auto"/>
                <w:sz w:val="21"/>
                <w:szCs w:val="21"/>
                <w:lang w:val="en-US" w:eastAsia="zh-CN"/>
              </w:rPr>
              <w:t>水</w:t>
            </w:r>
          </w:p>
        </w:tc>
        <w:tc>
          <w:tcPr>
            <w:tcW w:w="0" w:type="auto"/>
            <w:noWrap w:val="0"/>
            <w:vAlign w:val="center"/>
          </w:tcPr>
          <w:p w14:paraId="34F8720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含泥</w:t>
            </w:r>
            <w:r>
              <w:rPr>
                <w:rFonts w:hint="default" w:ascii="Times New Roman" w:hAnsi="Times New Roman" w:cs="Times New Roman"/>
                <w:bCs/>
                <w:color w:val="auto"/>
                <w:sz w:val="21"/>
                <w:szCs w:val="21"/>
                <w:lang w:val="en-US" w:eastAsia="zh-CN"/>
              </w:rPr>
              <w:t>废水</w:t>
            </w:r>
          </w:p>
        </w:tc>
        <w:tc>
          <w:tcPr>
            <w:tcW w:w="1648" w:type="dxa"/>
            <w:noWrap w:val="0"/>
            <w:vAlign w:val="center"/>
          </w:tcPr>
          <w:p w14:paraId="20FD10B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事故排放</w:t>
            </w:r>
          </w:p>
        </w:tc>
        <w:tc>
          <w:tcPr>
            <w:tcW w:w="0" w:type="auto"/>
            <w:noWrap w:val="0"/>
            <w:vAlign w:val="center"/>
          </w:tcPr>
          <w:p w14:paraId="64F2754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lang w:val="en-US" w:eastAsia="zh-CN" w:bidi="ar-SA"/>
              </w:rPr>
              <w:t>地表</w:t>
            </w:r>
            <w:r>
              <w:rPr>
                <w:rFonts w:hint="eastAsia" w:ascii="Times New Roman" w:hAnsi="Times New Roman" w:cs="Times New Roman"/>
                <w:color w:val="auto"/>
                <w:kern w:val="2"/>
                <w:sz w:val="21"/>
                <w:szCs w:val="21"/>
                <w:lang w:val="en-US" w:eastAsia="zh-CN" w:bidi="ar-SA"/>
              </w:rPr>
              <w:t>漫流</w:t>
            </w:r>
          </w:p>
        </w:tc>
        <w:tc>
          <w:tcPr>
            <w:tcW w:w="1488" w:type="dxa"/>
            <w:noWrap w:val="0"/>
            <w:vAlign w:val="center"/>
          </w:tcPr>
          <w:p w14:paraId="138E713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地表水</w:t>
            </w:r>
          </w:p>
        </w:tc>
      </w:tr>
      <w:tr w14:paraId="22A9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41" w:type="dxa"/>
            <w:noWrap w:val="0"/>
            <w:vAlign w:val="center"/>
          </w:tcPr>
          <w:p w14:paraId="3DC701F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4</w:t>
            </w:r>
          </w:p>
        </w:tc>
        <w:tc>
          <w:tcPr>
            <w:tcW w:w="1170" w:type="dxa"/>
            <w:noWrap w:val="0"/>
            <w:vAlign w:val="center"/>
          </w:tcPr>
          <w:p w14:paraId="5EDF40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危废暂存</w:t>
            </w:r>
            <w:r>
              <w:rPr>
                <w:rFonts w:hint="default" w:ascii="Times New Roman" w:hAnsi="Times New Roman" w:cs="Times New Roman"/>
                <w:color w:val="auto"/>
                <w:sz w:val="21"/>
                <w:szCs w:val="21"/>
                <w:lang w:val="en-US" w:eastAsia="zh-CN"/>
              </w:rPr>
              <w:t>库</w:t>
            </w:r>
          </w:p>
        </w:tc>
        <w:tc>
          <w:tcPr>
            <w:tcW w:w="1161" w:type="dxa"/>
            <w:noWrap w:val="0"/>
            <w:vAlign w:val="center"/>
          </w:tcPr>
          <w:p w14:paraId="4C4CAFFD">
            <w:pPr>
              <w:pageBreakBefore w:val="0"/>
              <w:wordWrap/>
              <w:bidi w:val="0"/>
              <w:snapToGrid w:val="0"/>
              <w:ind w:left="0" w:leftChars="0" w:right="0" w:rightChars="0" w:firstLine="0" w:firstLineChars="0"/>
              <w:jc w:val="left"/>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lang w:val="en-US" w:eastAsia="zh-CN"/>
              </w:rPr>
              <w:t>危险废物盛装容器</w:t>
            </w:r>
          </w:p>
        </w:tc>
        <w:tc>
          <w:tcPr>
            <w:tcW w:w="1393" w:type="dxa"/>
            <w:noWrap w:val="0"/>
            <w:vAlign w:val="center"/>
          </w:tcPr>
          <w:p w14:paraId="3CB90085">
            <w:pPr>
              <w:pageBreakBefore w:val="0"/>
              <w:wordWrap/>
              <w:bidi w:val="0"/>
              <w:snapToGrid w:val="0"/>
              <w:ind w:left="0" w:leftChars="0" w:right="0" w:rightChars="0" w:firstLine="0" w:firstLineChars="0"/>
              <w:jc w:val="left"/>
              <w:textAlignment w:val="center"/>
              <w:rPr>
                <w:rFonts w:hint="default" w:ascii="Times New Roman" w:hAnsi="Times New Roman" w:cs="Times New Roman"/>
                <w:color w:val="auto"/>
                <w:sz w:val="21"/>
                <w:szCs w:val="21"/>
              </w:rPr>
            </w:pPr>
            <w:r>
              <w:rPr>
                <w:rFonts w:hint="default" w:ascii="Times New Roman" w:hAnsi="Times New Roman" w:eastAsia="宋体" w:cs="Times New Roman"/>
                <w:bCs/>
                <w:color w:val="auto"/>
                <w:sz w:val="21"/>
                <w:szCs w:val="21"/>
                <w:lang w:val="en-US" w:eastAsia="zh-CN"/>
              </w:rPr>
              <w:t>危险废物</w:t>
            </w:r>
          </w:p>
        </w:tc>
        <w:tc>
          <w:tcPr>
            <w:tcW w:w="1648" w:type="dxa"/>
            <w:noWrap w:val="0"/>
            <w:vAlign w:val="center"/>
          </w:tcPr>
          <w:p w14:paraId="35976874">
            <w:pPr>
              <w:pageBreakBefore w:val="0"/>
              <w:wordWrap/>
              <w:bidi w:val="0"/>
              <w:snapToGrid w:val="0"/>
              <w:ind w:left="0" w:leftChars="0" w:right="0" w:rightChars="0" w:firstLine="0" w:firstLineChars="0"/>
              <w:jc w:val="left"/>
              <w:textAlignment w:val="center"/>
              <w:rPr>
                <w:rFonts w:hint="default" w:ascii="Times New Roman" w:hAnsi="Times New Roman" w:cs="Times New Roman"/>
                <w:color w:val="auto"/>
                <w:sz w:val="21"/>
                <w:szCs w:val="21"/>
              </w:rPr>
            </w:pPr>
            <w:r>
              <w:rPr>
                <w:rFonts w:hint="default" w:ascii="Times New Roman" w:hAnsi="Times New Roman" w:eastAsia="宋体" w:cs="Times New Roman"/>
                <w:bCs/>
                <w:color w:val="auto"/>
                <w:sz w:val="21"/>
                <w:szCs w:val="21"/>
                <w:lang w:val="en-US" w:eastAsia="zh-CN"/>
              </w:rPr>
              <w:t>盛装容器储存</w:t>
            </w:r>
            <w:r>
              <w:rPr>
                <w:rFonts w:hint="eastAsia" w:ascii="Times New Roman" w:hAnsi="Times New Roman" w:eastAsia="宋体" w:cs="Times New Roman"/>
                <w:bCs/>
                <w:color w:val="auto"/>
                <w:sz w:val="21"/>
                <w:szCs w:val="21"/>
                <w:lang w:val="en-US" w:eastAsia="zh-CN"/>
              </w:rPr>
              <w:t>或搬运转移</w:t>
            </w:r>
            <w:r>
              <w:rPr>
                <w:rFonts w:hint="default" w:ascii="Times New Roman" w:hAnsi="Times New Roman" w:eastAsia="宋体" w:cs="Times New Roman"/>
                <w:bCs/>
                <w:color w:val="auto"/>
                <w:sz w:val="21"/>
                <w:szCs w:val="21"/>
                <w:lang w:val="en-US" w:eastAsia="zh-CN"/>
              </w:rPr>
              <w:t>过程中发生破损，发生泄漏</w:t>
            </w:r>
          </w:p>
        </w:tc>
        <w:tc>
          <w:tcPr>
            <w:tcW w:w="1336" w:type="dxa"/>
            <w:noWrap w:val="0"/>
            <w:vAlign w:val="center"/>
          </w:tcPr>
          <w:p w14:paraId="3E82C43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eastAsia="宋体" w:cs="Times New Roman"/>
                <w:bCs/>
                <w:color w:val="auto"/>
                <w:sz w:val="21"/>
                <w:szCs w:val="21"/>
                <w:lang w:val="en-US" w:eastAsia="zh-CN"/>
              </w:rPr>
              <w:t>破损、设施故障</w:t>
            </w:r>
          </w:p>
        </w:tc>
        <w:tc>
          <w:tcPr>
            <w:tcW w:w="1488" w:type="dxa"/>
            <w:noWrap w:val="0"/>
            <w:vAlign w:val="center"/>
          </w:tcPr>
          <w:p w14:paraId="49C21D9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rPr>
              <w:t>土壤、</w:t>
            </w:r>
            <w:r>
              <w:rPr>
                <w:rFonts w:hint="default" w:ascii="Times New Roman" w:hAnsi="Times New Roman" w:eastAsia="宋体" w:cs="Times New Roman"/>
                <w:bCs/>
                <w:color w:val="auto"/>
                <w:sz w:val="21"/>
                <w:szCs w:val="21"/>
                <w:lang w:val="en-US" w:eastAsia="zh-CN"/>
              </w:rPr>
              <w:t>水环境</w:t>
            </w:r>
          </w:p>
        </w:tc>
      </w:tr>
    </w:tbl>
    <w:p w14:paraId="646D4DD1">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eastAsia="zh-CN"/>
        </w:rPr>
      </w:pPr>
    </w:p>
    <w:p w14:paraId="06E9F727">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default" w:ascii="Times New Roman" w:hAnsi="Times New Roman" w:cs="Times New Roman"/>
          <w:b/>
          <w:color w:val="auto"/>
          <w:sz w:val="30"/>
          <w:szCs w:val="30"/>
          <w:lang w:eastAsia="zh-CN"/>
        </w:rPr>
      </w:pPr>
      <w:bookmarkStart w:id="70" w:name="_Toc26863"/>
      <w:bookmarkStart w:id="71" w:name="_Toc15017"/>
      <w:bookmarkStart w:id="72" w:name="_Toc2858"/>
      <w:r>
        <w:rPr>
          <w:rFonts w:hint="default" w:ascii="Times New Roman" w:hAnsi="Times New Roman" w:cs="Times New Roman"/>
          <w:b/>
          <w:color w:val="auto"/>
          <w:sz w:val="30"/>
          <w:szCs w:val="30"/>
        </w:rPr>
        <w:t>5</w:t>
      </w:r>
      <w:r>
        <w:rPr>
          <w:rFonts w:hint="eastAsia" w:ascii="Times New Roman" w:hAnsi="Times New Roman" w:cs="Times New Roman"/>
          <w:b/>
          <w:color w:val="auto"/>
          <w:sz w:val="30"/>
          <w:szCs w:val="30"/>
          <w:lang w:eastAsia="zh-CN"/>
        </w:rPr>
        <w:t>、</w:t>
      </w:r>
      <w:r>
        <w:rPr>
          <w:rFonts w:hint="default" w:ascii="Times New Roman" w:hAnsi="Times New Roman" w:cs="Times New Roman"/>
          <w:b/>
          <w:color w:val="auto"/>
          <w:sz w:val="30"/>
          <w:szCs w:val="30"/>
        </w:rPr>
        <w:t>风险事故情形</w:t>
      </w:r>
      <w:bookmarkEnd w:id="70"/>
      <w:bookmarkEnd w:id="71"/>
      <w:bookmarkEnd w:id="72"/>
      <w:r>
        <w:rPr>
          <w:rFonts w:hint="default" w:ascii="Times New Roman" w:hAnsi="Times New Roman" w:cs="Times New Roman"/>
          <w:b/>
          <w:color w:val="auto"/>
          <w:sz w:val="30"/>
          <w:szCs w:val="30"/>
          <w:lang w:val="en-US" w:eastAsia="zh-CN"/>
        </w:rPr>
        <w:t>设置</w:t>
      </w:r>
    </w:p>
    <w:p w14:paraId="3FE44C50">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eastAsia="zh-CN"/>
        </w:rPr>
      </w:pPr>
      <w:r>
        <w:rPr>
          <w:rFonts w:hint="default" w:ascii="Times New Roman" w:hAnsi="Times New Roman" w:cs="Times New Roman"/>
          <w:color w:val="auto"/>
          <w:spacing w:val="6"/>
          <w:sz w:val="24"/>
          <w:szCs w:val="24"/>
          <w:lang w:val="en-US" w:eastAsia="zh-CN"/>
        </w:rPr>
        <w:t>潜在的危险事故有可能是重大事故，但有些事故并不一定对环境或社会产生严重的影响。如一些机械伤害事故、坠落或遭物体打击事故、触电伤害事故等，有可能造成人员伤害、财产损失而成为重大事故，这些事故对环境的污染与破坏是较小的。对环境风险分析来讲，更关心的是火灾、爆炸、中毒的危险。交通事故致使化学品泄漏造成的环境污染主要与道路交通运输风险相关，本项目环境风险分析主要考虑项目厂区内的火灾、爆炸、泄漏所引起的环境风险。</w:t>
      </w:r>
    </w:p>
    <w:p w14:paraId="5C6B5BC7">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zh-CN" w:eastAsia="zh-CN"/>
        </w:rPr>
      </w:pPr>
      <w:r>
        <w:rPr>
          <w:rFonts w:hint="default" w:ascii="Times New Roman" w:hAnsi="Times New Roman" w:cs="Times New Roman"/>
          <w:color w:val="auto"/>
          <w:spacing w:val="6"/>
          <w:sz w:val="24"/>
          <w:szCs w:val="24"/>
          <w:lang w:val="zh-CN" w:eastAsia="zh-CN"/>
        </w:rPr>
        <w:t>根据《建设项目环境风险评价技术导则》（HJ169-2018），“8.1.2.4风险事故情形设定的不确定性与筛选。由于事故触发因素具有不确定性，因此事故情形的设定并不能包含全部可能的环境风险，但通过具有代表性的事故情形分析可为风险管理提供科学依据。事故情形的设定应在环境风险识别的基础上筛选，设定的事故情形应具有危险物质、环境危害、影响途径等方面的代表性。”</w:t>
      </w:r>
    </w:p>
    <w:p w14:paraId="569101F2">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zh-CN" w:eastAsia="zh-CN"/>
        </w:rPr>
      </w:pPr>
      <w:r>
        <w:rPr>
          <w:rFonts w:hint="default" w:ascii="Times New Roman" w:hAnsi="Times New Roman" w:cs="Times New Roman"/>
          <w:color w:val="auto"/>
          <w:spacing w:val="6"/>
          <w:sz w:val="24"/>
          <w:szCs w:val="24"/>
          <w:lang w:val="zh-CN" w:eastAsia="zh-CN"/>
        </w:rPr>
        <w:t>本次在风险识别的基础上，选取了具有危险物质、环境危害、影响途径等方面的代表性的风险事故情形</w:t>
      </w:r>
      <w:r>
        <w:rPr>
          <w:rFonts w:hint="eastAsia" w:ascii="Times New Roman" w:hAnsi="Times New Roman" w:cs="Times New Roman"/>
          <w:color w:val="auto"/>
          <w:spacing w:val="6"/>
          <w:sz w:val="24"/>
          <w:szCs w:val="24"/>
          <w:lang w:val="zh-CN" w:eastAsia="zh-CN"/>
        </w:rPr>
        <w:t>。</w:t>
      </w:r>
      <w:r>
        <w:rPr>
          <w:rFonts w:hint="default" w:ascii="Times New Roman" w:hAnsi="Times New Roman" w:cs="Times New Roman"/>
          <w:color w:val="auto"/>
          <w:spacing w:val="6"/>
          <w:sz w:val="24"/>
          <w:szCs w:val="24"/>
          <w:lang w:val="zh-CN" w:eastAsia="zh-CN"/>
        </w:rPr>
        <w:t>本项目主要风险事故为</w:t>
      </w:r>
      <w:r>
        <w:rPr>
          <w:rFonts w:hint="eastAsia" w:ascii="Times New Roman" w:hAnsi="Times New Roman" w:cs="Times New Roman"/>
          <w:color w:val="auto"/>
          <w:spacing w:val="6"/>
          <w:sz w:val="24"/>
          <w:szCs w:val="24"/>
          <w:lang w:val="en-US" w:eastAsia="zh-CN"/>
        </w:rPr>
        <w:t>加氯间内</w:t>
      </w:r>
      <w:r>
        <w:rPr>
          <w:rFonts w:hint="default" w:ascii="Times New Roman" w:hAnsi="Times New Roman" w:cs="Times New Roman"/>
          <w:color w:val="auto"/>
          <w:spacing w:val="6"/>
          <w:sz w:val="24"/>
          <w:szCs w:val="24"/>
          <w:lang w:val="zh-CN" w:eastAsia="zh-CN"/>
        </w:rPr>
        <w:t>氯气</w:t>
      </w:r>
      <w:r>
        <w:rPr>
          <w:rFonts w:hint="eastAsia" w:ascii="Times New Roman" w:hAnsi="Times New Roman" w:cs="Times New Roman"/>
          <w:color w:val="auto"/>
          <w:spacing w:val="6"/>
          <w:sz w:val="24"/>
          <w:szCs w:val="24"/>
          <w:lang w:val="en-US" w:eastAsia="zh-CN"/>
        </w:rPr>
        <w:t>存放区、加氯机</w:t>
      </w:r>
      <w:r>
        <w:rPr>
          <w:rFonts w:hint="default" w:ascii="Times New Roman" w:hAnsi="Times New Roman" w:cs="Times New Roman"/>
          <w:color w:val="auto"/>
          <w:spacing w:val="6"/>
          <w:sz w:val="24"/>
          <w:szCs w:val="24"/>
          <w:lang w:val="zh-CN" w:eastAsia="zh-CN"/>
        </w:rPr>
        <w:t>气化</w:t>
      </w:r>
      <w:r>
        <w:rPr>
          <w:rFonts w:hint="eastAsia" w:ascii="Times New Roman" w:hAnsi="Times New Roman" w:cs="Times New Roman"/>
          <w:color w:val="auto"/>
          <w:spacing w:val="6"/>
          <w:sz w:val="24"/>
          <w:szCs w:val="24"/>
          <w:lang w:val="en-US" w:eastAsia="zh-CN"/>
        </w:rPr>
        <w:t>工序</w:t>
      </w:r>
      <w:r>
        <w:rPr>
          <w:rFonts w:hint="default" w:ascii="Times New Roman" w:hAnsi="Times New Roman" w:cs="Times New Roman"/>
          <w:color w:val="auto"/>
          <w:spacing w:val="6"/>
          <w:sz w:val="24"/>
          <w:szCs w:val="24"/>
          <w:lang w:val="zh-CN" w:eastAsia="zh-CN"/>
        </w:rPr>
        <w:t>氯气泄漏，其中氯气库液氯为常温液态储存于</w:t>
      </w:r>
      <w:r>
        <w:rPr>
          <w:rFonts w:hint="eastAsia" w:ascii="Times New Roman" w:hAnsi="Times New Roman" w:cs="Times New Roman"/>
          <w:color w:val="auto"/>
          <w:spacing w:val="6"/>
          <w:sz w:val="24"/>
          <w:szCs w:val="24"/>
          <w:lang w:val="en-US" w:eastAsia="zh-CN"/>
        </w:rPr>
        <w:t>氯气工业</w:t>
      </w:r>
      <w:r>
        <w:rPr>
          <w:rFonts w:hint="default" w:ascii="Times New Roman" w:hAnsi="Times New Roman" w:cs="Times New Roman"/>
          <w:color w:val="auto"/>
          <w:spacing w:val="6"/>
          <w:sz w:val="24"/>
          <w:szCs w:val="24"/>
          <w:lang w:val="zh-CN" w:eastAsia="zh-CN"/>
        </w:rPr>
        <w:t>钢瓶（</w:t>
      </w:r>
      <w:r>
        <w:rPr>
          <w:rFonts w:hint="eastAsia" w:ascii="Times New Roman" w:hAnsi="Times New Roman" w:cs="Times New Roman"/>
          <w:color w:val="auto"/>
          <w:spacing w:val="6"/>
          <w:sz w:val="24"/>
          <w:szCs w:val="24"/>
          <w:lang w:val="en-US" w:eastAsia="zh-CN"/>
        </w:rPr>
        <w:t>容器</w:t>
      </w:r>
      <w:r>
        <w:rPr>
          <w:rFonts w:hint="default" w:ascii="Times New Roman" w:hAnsi="Times New Roman" w:cs="Times New Roman"/>
          <w:color w:val="auto"/>
          <w:spacing w:val="6"/>
          <w:sz w:val="24"/>
          <w:szCs w:val="24"/>
          <w:lang w:val="zh-CN" w:eastAsia="zh-CN"/>
        </w:rPr>
        <w:t>1t）内，储存压力为</w:t>
      </w:r>
      <w:r>
        <w:rPr>
          <w:rFonts w:hint="eastAsia" w:cs="Times New Roman"/>
          <w:color w:val="auto"/>
          <w:spacing w:val="6"/>
          <w:sz w:val="24"/>
          <w:szCs w:val="24"/>
          <w:lang w:val="en-US" w:eastAsia="zh-CN"/>
        </w:rPr>
        <w:t>2</w:t>
      </w:r>
      <w:r>
        <w:rPr>
          <w:rFonts w:hint="default" w:ascii="Times New Roman" w:hAnsi="Times New Roman" w:cs="Times New Roman"/>
          <w:color w:val="auto"/>
          <w:spacing w:val="6"/>
          <w:sz w:val="24"/>
          <w:szCs w:val="24"/>
          <w:lang w:val="zh-CN" w:eastAsia="zh-CN"/>
        </w:rPr>
        <w:t>.0MPa，氯气钢瓶</w:t>
      </w:r>
      <w:r>
        <w:rPr>
          <w:rFonts w:hint="eastAsia" w:cs="Times New Roman"/>
          <w:color w:val="auto"/>
          <w:spacing w:val="6"/>
          <w:sz w:val="24"/>
          <w:szCs w:val="24"/>
          <w:lang w:val="zh-CN" w:eastAsia="zh-CN"/>
        </w:rPr>
        <w:t>（</w:t>
      </w:r>
      <w:r>
        <w:rPr>
          <w:rFonts w:hint="eastAsia" w:cs="Times New Roman"/>
          <w:color w:val="auto"/>
          <w:spacing w:val="6"/>
          <w:sz w:val="24"/>
          <w:szCs w:val="24"/>
          <w:lang w:val="en-US" w:eastAsia="zh-CN"/>
        </w:rPr>
        <w:t>气瓶阀门</w:t>
      </w:r>
      <w:r>
        <w:rPr>
          <w:rFonts w:hint="eastAsia" w:cs="Times New Roman"/>
          <w:color w:val="auto"/>
          <w:spacing w:val="6"/>
          <w:sz w:val="24"/>
          <w:szCs w:val="24"/>
          <w:lang w:val="zh-CN" w:eastAsia="zh-CN"/>
        </w:rPr>
        <w:t>）</w:t>
      </w:r>
      <w:r>
        <w:rPr>
          <w:rFonts w:hint="default" w:ascii="Times New Roman" w:hAnsi="Times New Roman" w:cs="Times New Roman"/>
          <w:color w:val="auto"/>
          <w:spacing w:val="6"/>
          <w:sz w:val="24"/>
          <w:szCs w:val="24"/>
          <w:lang w:val="zh-CN" w:eastAsia="zh-CN"/>
        </w:rPr>
        <w:t>最大可信事故的泄漏孔径为1</w:t>
      </w:r>
      <w:r>
        <w:rPr>
          <w:rFonts w:hint="eastAsia" w:cs="Times New Roman"/>
          <w:color w:val="auto"/>
          <w:spacing w:val="6"/>
          <w:sz w:val="24"/>
          <w:szCs w:val="24"/>
          <w:lang w:val="en-US" w:eastAsia="zh-CN"/>
        </w:rPr>
        <w:t>0</w:t>
      </w:r>
      <w:r>
        <w:rPr>
          <w:rFonts w:hint="default" w:ascii="Times New Roman" w:hAnsi="Times New Roman" w:cs="Times New Roman"/>
          <w:color w:val="auto"/>
          <w:spacing w:val="6"/>
          <w:sz w:val="24"/>
          <w:szCs w:val="24"/>
          <w:lang w:val="zh-CN" w:eastAsia="zh-CN"/>
        </w:rPr>
        <w:t>mm，泄漏频率为4×10</w:t>
      </w:r>
      <w:r>
        <w:rPr>
          <w:rFonts w:hint="default" w:ascii="Times New Roman" w:hAnsi="Times New Roman" w:cs="Times New Roman"/>
          <w:color w:val="auto"/>
          <w:spacing w:val="6"/>
          <w:sz w:val="24"/>
          <w:szCs w:val="24"/>
          <w:vertAlign w:val="superscript"/>
          <w:lang w:val="zh-CN" w:eastAsia="zh-CN"/>
        </w:rPr>
        <w:t>-5</w:t>
      </w:r>
      <w:r>
        <w:rPr>
          <w:rFonts w:hint="default" w:ascii="Times New Roman" w:hAnsi="Times New Roman" w:cs="Times New Roman"/>
          <w:color w:val="auto"/>
          <w:spacing w:val="6"/>
          <w:sz w:val="24"/>
          <w:szCs w:val="24"/>
          <w:lang w:val="zh-CN" w:eastAsia="zh-CN"/>
        </w:rPr>
        <w:t>；</w:t>
      </w:r>
      <w:r>
        <w:rPr>
          <w:rFonts w:hint="eastAsia" w:ascii="Times New Roman" w:hAnsi="Times New Roman" w:cs="Times New Roman"/>
          <w:color w:val="auto"/>
          <w:spacing w:val="6"/>
          <w:sz w:val="24"/>
          <w:szCs w:val="24"/>
          <w:lang w:val="en-US" w:eastAsia="zh-CN"/>
        </w:rPr>
        <w:t>加氯机</w:t>
      </w:r>
      <w:r>
        <w:rPr>
          <w:rFonts w:hint="default" w:ascii="Times New Roman" w:hAnsi="Times New Roman" w:cs="Times New Roman"/>
          <w:color w:val="auto"/>
          <w:spacing w:val="6"/>
          <w:sz w:val="24"/>
          <w:szCs w:val="24"/>
          <w:lang w:val="zh-CN" w:eastAsia="zh-CN"/>
        </w:rPr>
        <w:t>气化氯气主要以气态存在于气化设施和氯气缓冲罐内，温度为</w:t>
      </w:r>
      <w:r>
        <w:rPr>
          <w:rFonts w:hint="eastAsia" w:ascii="Times New Roman" w:hAnsi="Times New Roman" w:cs="Times New Roman"/>
          <w:color w:val="auto"/>
          <w:spacing w:val="6"/>
          <w:sz w:val="24"/>
          <w:szCs w:val="24"/>
          <w:lang w:val="en-US" w:eastAsia="zh-CN"/>
        </w:rPr>
        <w:t>室温、</w:t>
      </w:r>
      <w:r>
        <w:rPr>
          <w:rFonts w:hint="default" w:ascii="Times New Roman" w:hAnsi="Times New Roman" w:cs="Times New Roman"/>
          <w:color w:val="auto"/>
          <w:spacing w:val="6"/>
          <w:sz w:val="24"/>
          <w:szCs w:val="24"/>
          <w:lang w:val="zh-CN" w:eastAsia="zh-CN"/>
        </w:rPr>
        <w:t>压力为1.0MPa，根据《建设项目环境风险评价技术导则》（HJ169-2018）附录E.1，</w:t>
      </w:r>
      <w:r>
        <w:rPr>
          <w:rFonts w:hint="eastAsia" w:cs="Times New Roman"/>
          <w:color w:val="auto"/>
          <w:spacing w:val="6"/>
          <w:sz w:val="24"/>
          <w:szCs w:val="24"/>
          <w:lang w:val="en-US" w:eastAsia="zh-CN"/>
        </w:rPr>
        <w:t>加氯间加氯机</w:t>
      </w:r>
      <w:r>
        <w:rPr>
          <w:rFonts w:hint="default" w:ascii="Times New Roman" w:hAnsi="Times New Roman" w:cs="Times New Roman"/>
          <w:color w:val="auto"/>
          <w:spacing w:val="6"/>
          <w:sz w:val="24"/>
          <w:szCs w:val="24"/>
          <w:lang w:val="zh-CN" w:eastAsia="zh-CN"/>
        </w:rPr>
        <w:t>氯气最大可信事故的泄漏孔径为10mm，泄露频率为1×10</w:t>
      </w:r>
      <w:r>
        <w:rPr>
          <w:rFonts w:hint="default" w:ascii="Times New Roman" w:hAnsi="Times New Roman" w:cs="Times New Roman"/>
          <w:color w:val="auto"/>
          <w:spacing w:val="6"/>
          <w:sz w:val="24"/>
          <w:szCs w:val="24"/>
          <w:vertAlign w:val="superscript"/>
          <w:lang w:val="zh-CN" w:eastAsia="zh-CN"/>
        </w:rPr>
        <w:t>-4</w:t>
      </w:r>
      <w:r>
        <w:rPr>
          <w:rFonts w:hint="default" w:ascii="Times New Roman" w:hAnsi="Times New Roman" w:cs="Times New Roman"/>
          <w:color w:val="auto"/>
          <w:spacing w:val="6"/>
          <w:sz w:val="24"/>
          <w:szCs w:val="24"/>
          <w:lang w:val="zh-CN" w:eastAsia="zh-CN"/>
        </w:rPr>
        <w:t>。综上，本项目环境风险事故情形考虑最大风险事故情形为</w:t>
      </w:r>
      <w:r>
        <w:rPr>
          <w:rFonts w:hint="eastAsia" w:ascii="Times New Roman" w:hAnsi="Times New Roman" w:cs="Times New Roman"/>
          <w:color w:val="auto"/>
          <w:spacing w:val="6"/>
          <w:sz w:val="24"/>
          <w:szCs w:val="24"/>
          <w:lang w:val="en-US" w:eastAsia="zh-CN"/>
        </w:rPr>
        <w:t>加氯间内加氯机（含缓冲罐）和氯气钢瓶发生</w:t>
      </w:r>
      <w:r>
        <w:rPr>
          <w:rFonts w:hint="default" w:ascii="Times New Roman" w:hAnsi="Times New Roman" w:cs="Times New Roman"/>
          <w:color w:val="auto"/>
          <w:spacing w:val="6"/>
          <w:sz w:val="24"/>
          <w:szCs w:val="24"/>
          <w:lang w:val="zh-CN" w:eastAsia="zh-CN"/>
        </w:rPr>
        <w:t>氯气泄漏，设定事故情形具体见下表</w:t>
      </w:r>
      <w:r>
        <w:rPr>
          <w:rFonts w:hint="eastAsia" w:ascii="Times New Roman" w:hAnsi="Times New Roman" w:cs="Times New Roman"/>
          <w:color w:val="auto"/>
          <w:spacing w:val="6"/>
          <w:sz w:val="24"/>
          <w:szCs w:val="24"/>
          <w:lang w:val="zh-CN" w:eastAsia="zh-CN"/>
        </w:rPr>
        <w:t>：</w:t>
      </w:r>
    </w:p>
    <w:p w14:paraId="6C32AB62">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lang w:val="en-US" w:eastAsia="zh-CN"/>
        </w:rPr>
        <w:t>项目涉及环境风险事故设置情景一览表</w:t>
      </w:r>
    </w:p>
    <w:tbl>
      <w:tblPr>
        <w:tblStyle w:val="24"/>
        <w:tblW w:w="8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712"/>
        <w:gridCol w:w="814"/>
        <w:gridCol w:w="917"/>
        <w:gridCol w:w="716"/>
        <w:gridCol w:w="1351"/>
        <w:gridCol w:w="1545"/>
        <w:gridCol w:w="1134"/>
        <w:gridCol w:w="851"/>
      </w:tblGrid>
      <w:tr w14:paraId="0234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EE5CA61">
            <w:pPr>
              <w:pStyle w:val="80"/>
              <w:rPr>
                <w:rFonts w:ascii="Times New Roman" w:hAnsi="Times New Roman"/>
                <w:b/>
                <w:kern w:val="0"/>
                <w:sz w:val="20"/>
              </w:rPr>
            </w:pPr>
            <w:r>
              <w:rPr>
                <w:rFonts w:hint="eastAsia" w:ascii="Times New Roman" w:hAnsi="Times New Roman"/>
                <w:b/>
              </w:rPr>
              <w:t>风险</w:t>
            </w:r>
          </w:p>
          <w:p w14:paraId="0091EE24">
            <w:pPr>
              <w:pStyle w:val="80"/>
              <w:rPr>
                <w:rFonts w:ascii="Times New Roman" w:hAnsi="Times New Roman"/>
                <w:b/>
              </w:rPr>
            </w:pPr>
            <w:r>
              <w:rPr>
                <w:rFonts w:hint="eastAsia" w:ascii="Times New Roman" w:hAnsi="Times New Roman"/>
                <w:b/>
              </w:rPr>
              <w:t>单元</w:t>
            </w:r>
          </w:p>
        </w:tc>
        <w:tc>
          <w:tcPr>
            <w:tcW w:w="712" w:type="dxa"/>
            <w:tcBorders>
              <w:top w:val="single" w:color="auto" w:sz="4" w:space="0"/>
              <w:left w:val="single" w:color="auto" w:sz="4" w:space="0"/>
              <w:bottom w:val="single" w:color="auto" w:sz="4" w:space="0"/>
              <w:right w:val="single" w:color="auto" w:sz="4" w:space="0"/>
            </w:tcBorders>
            <w:vAlign w:val="center"/>
          </w:tcPr>
          <w:p w14:paraId="79699B23">
            <w:pPr>
              <w:pStyle w:val="80"/>
              <w:rPr>
                <w:rFonts w:ascii="Times New Roman" w:hAnsi="Times New Roman"/>
                <w:b/>
              </w:rPr>
            </w:pPr>
            <w:r>
              <w:rPr>
                <w:rFonts w:hint="eastAsia" w:ascii="Times New Roman" w:hAnsi="Times New Roman"/>
                <w:b/>
              </w:rPr>
              <w:t>风险源</w:t>
            </w:r>
          </w:p>
        </w:tc>
        <w:tc>
          <w:tcPr>
            <w:tcW w:w="814" w:type="dxa"/>
            <w:tcBorders>
              <w:top w:val="single" w:color="auto" w:sz="4" w:space="0"/>
              <w:left w:val="single" w:color="auto" w:sz="4" w:space="0"/>
              <w:bottom w:val="single" w:color="auto" w:sz="4" w:space="0"/>
              <w:right w:val="single" w:color="auto" w:sz="4" w:space="0"/>
            </w:tcBorders>
            <w:vAlign w:val="center"/>
          </w:tcPr>
          <w:p w14:paraId="63719988">
            <w:pPr>
              <w:pStyle w:val="80"/>
              <w:rPr>
                <w:rFonts w:ascii="Times New Roman" w:hAnsi="Times New Roman"/>
                <w:b/>
              </w:rPr>
            </w:pPr>
            <w:r>
              <w:rPr>
                <w:rFonts w:hint="eastAsia" w:ascii="Times New Roman" w:hAnsi="Times New Roman"/>
                <w:b/>
              </w:rPr>
              <w:t>风险物质</w:t>
            </w:r>
          </w:p>
        </w:tc>
        <w:tc>
          <w:tcPr>
            <w:tcW w:w="917" w:type="dxa"/>
            <w:tcBorders>
              <w:top w:val="single" w:color="auto" w:sz="4" w:space="0"/>
              <w:left w:val="single" w:color="auto" w:sz="4" w:space="0"/>
              <w:bottom w:val="single" w:color="auto" w:sz="4" w:space="0"/>
              <w:right w:val="single" w:color="auto" w:sz="4" w:space="0"/>
            </w:tcBorders>
            <w:vAlign w:val="center"/>
          </w:tcPr>
          <w:p w14:paraId="181BD98A">
            <w:pPr>
              <w:pStyle w:val="80"/>
              <w:rPr>
                <w:rFonts w:ascii="Times New Roman" w:hAnsi="Times New Roman"/>
                <w:b/>
              </w:rPr>
            </w:pPr>
            <w:r>
              <w:rPr>
                <w:rFonts w:hint="eastAsia" w:ascii="Times New Roman" w:hAnsi="Times New Roman"/>
                <w:b/>
              </w:rPr>
              <w:t>风险事故类型</w:t>
            </w:r>
          </w:p>
        </w:tc>
        <w:tc>
          <w:tcPr>
            <w:tcW w:w="716" w:type="dxa"/>
            <w:tcBorders>
              <w:top w:val="single" w:color="auto" w:sz="4" w:space="0"/>
              <w:left w:val="single" w:color="auto" w:sz="4" w:space="0"/>
              <w:bottom w:val="single" w:color="auto" w:sz="4" w:space="0"/>
              <w:right w:val="single" w:color="auto" w:sz="4" w:space="0"/>
            </w:tcBorders>
            <w:vAlign w:val="center"/>
          </w:tcPr>
          <w:p w14:paraId="7F754285">
            <w:pPr>
              <w:pStyle w:val="80"/>
              <w:rPr>
                <w:rFonts w:ascii="Times New Roman" w:hAnsi="Times New Roman"/>
                <w:b/>
              </w:rPr>
            </w:pPr>
            <w:r>
              <w:rPr>
                <w:rFonts w:hint="eastAsia" w:ascii="Times New Roman" w:hAnsi="Times New Roman"/>
                <w:b/>
              </w:rPr>
              <w:t>影响途径</w:t>
            </w:r>
          </w:p>
        </w:tc>
        <w:tc>
          <w:tcPr>
            <w:tcW w:w="1351" w:type="dxa"/>
            <w:tcBorders>
              <w:top w:val="single" w:color="auto" w:sz="4" w:space="0"/>
              <w:left w:val="single" w:color="auto" w:sz="4" w:space="0"/>
              <w:bottom w:val="single" w:color="auto" w:sz="4" w:space="0"/>
              <w:right w:val="single" w:color="auto" w:sz="4" w:space="0"/>
            </w:tcBorders>
            <w:vAlign w:val="center"/>
          </w:tcPr>
          <w:p w14:paraId="5085DBC8">
            <w:pPr>
              <w:pStyle w:val="80"/>
              <w:rPr>
                <w:rFonts w:ascii="Times New Roman" w:hAnsi="Times New Roman"/>
                <w:b/>
                <w:kern w:val="0"/>
                <w:sz w:val="20"/>
              </w:rPr>
            </w:pPr>
            <w:r>
              <w:rPr>
                <w:rFonts w:hint="eastAsia" w:ascii="Times New Roman" w:hAnsi="Times New Roman"/>
                <w:b/>
              </w:rPr>
              <w:t>部件</w:t>
            </w:r>
          </w:p>
          <w:p w14:paraId="3A4D5E0D">
            <w:pPr>
              <w:pStyle w:val="80"/>
              <w:rPr>
                <w:rFonts w:ascii="Times New Roman" w:hAnsi="Times New Roman"/>
                <w:b/>
              </w:rPr>
            </w:pPr>
            <w:r>
              <w:rPr>
                <w:rFonts w:hint="eastAsia" w:ascii="Times New Roman" w:hAnsi="Times New Roman"/>
                <w:b/>
              </w:rPr>
              <w:t>类型</w:t>
            </w:r>
          </w:p>
        </w:tc>
        <w:tc>
          <w:tcPr>
            <w:tcW w:w="1545" w:type="dxa"/>
            <w:tcBorders>
              <w:top w:val="single" w:color="auto" w:sz="4" w:space="0"/>
              <w:left w:val="single" w:color="auto" w:sz="4" w:space="0"/>
              <w:bottom w:val="single" w:color="auto" w:sz="4" w:space="0"/>
              <w:right w:val="single" w:color="auto" w:sz="4" w:space="0"/>
            </w:tcBorders>
            <w:vAlign w:val="center"/>
          </w:tcPr>
          <w:p w14:paraId="451DDCC2">
            <w:pPr>
              <w:pStyle w:val="80"/>
              <w:rPr>
                <w:rFonts w:ascii="Times New Roman" w:hAnsi="Times New Roman"/>
                <w:b/>
              </w:rPr>
            </w:pPr>
            <w:r>
              <w:rPr>
                <w:rFonts w:hint="eastAsia" w:ascii="Times New Roman" w:hAnsi="Times New Roman"/>
                <w:b/>
              </w:rPr>
              <w:t>泄漏模式</w:t>
            </w:r>
          </w:p>
        </w:tc>
        <w:tc>
          <w:tcPr>
            <w:tcW w:w="1134" w:type="dxa"/>
            <w:tcBorders>
              <w:top w:val="single" w:color="auto" w:sz="4" w:space="0"/>
              <w:left w:val="single" w:color="auto" w:sz="4" w:space="0"/>
              <w:bottom w:val="single" w:color="auto" w:sz="4" w:space="0"/>
              <w:right w:val="single" w:color="auto" w:sz="4" w:space="0"/>
            </w:tcBorders>
            <w:vAlign w:val="center"/>
          </w:tcPr>
          <w:p w14:paraId="25AAD59F">
            <w:pPr>
              <w:pStyle w:val="80"/>
              <w:rPr>
                <w:rFonts w:ascii="Times New Roman" w:hAnsi="Times New Roman"/>
                <w:b/>
              </w:rPr>
            </w:pPr>
            <w:r>
              <w:rPr>
                <w:rFonts w:hint="eastAsia" w:ascii="Times New Roman" w:hAnsi="Times New Roman"/>
                <w:b/>
              </w:rPr>
              <w:t>泄漏频率</w:t>
            </w:r>
          </w:p>
        </w:tc>
        <w:tc>
          <w:tcPr>
            <w:tcW w:w="851" w:type="dxa"/>
            <w:tcBorders>
              <w:top w:val="single" w:color="auto" w:sz="4" w:space="0"/>
              <w:left w:val="single" w:color="auto" w:sz="4" w:space="0"/>
              <w:bottom w:val="single" w:color="auto" w:sz="4" w:space="0"/>
              <w:right w:val="single" w:color="auto" w:sz="4" w:space="0"/>
            </w:tcBorders>
            <w:vAlign w:val="center"/>
          </w:tcPr>
          <w:p w14:paraId="25D1F1C1">
            <w:pPr>
              <w:pStyle w:val="80"/>
              <w:rPr>
                <w:rFonts w:ascii="Times New Roman" w:hAnsi="Times New Roman"/>
                <w:b/>
              </w:rPr>
            </w:pPr>
            <w:r>
              <w:rPr>
                <w:rFonts w:hint="eastAsia" w:ascii="Times New Roman" w:hAnsi="Times New Roman"/>
                <w:b/>
              </w:rPr>
              <w:t>事故持续时间</w:t>
            </w:r>
          </w:p>
        </w:tc>
      </w:tr>
      <w:tr w14:paraId="6144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vMerge w:val="restart"/>
            <w:tcBorders>
              <w:top w:val="single" w:color="auto" w:sz="4" w:space="0"/>
              <w:left w:val="single" w:color="auto" w:sz="4" w:space="0"/>
              <w:bottom w:val="single" w:color="auto" w:sz="4" w:space="0"/>
              <w:right w:val="single" w:color="auto" w:sz="4" w:space="0"/>
            </w:tcBorders>
            <w:vAlign w:val="center"/>
          </w:tcPr>
          <w:p w14:paraId="2B8A75E2">
            <w:pPr>
              <w:pStyle w:val="80"/>
              <w:rPr>
                <w:rFonts w:hint="eastAsia" w:ascii="Times New Roman" w:hAnsi="Times New Roman" w:eastAsiaTheme="minorEastAsia"/>
                <w:lang w:eastAsia="zh-CN"/>
              </w:rPr>
            </w:pPr>
            <w:r>
              <w:rPr>
                <w:rFonts w:hint="eastAsia" w:ascii="Times New Roman" w:hAnsi="Times New Roman"/>
                <w:lang w:val="en-US" w:eastAsia="zh-CN"/>
              </w:rPr>
              <w:t>加氯间</w:t>
            </w:r>
          </w:p>
        </w:tc>
        <w:tc>
          <w:tcPr>
            <w:tcW w:w="712" w:type="dxa"/>
            <w:vMerge w:val="restart"/>
            <w:tcBorders>
              <w:top w:val="single" w:color="auto" w:sz="4" w:space="0"/>
              <w:left w:val="single" w:color="auto" w:sz="4" w:space="0"/>
              <w:bottom w:val="single" w:color="auto" w:sz="4" w:space="0"/>
              <w:right w:val="single" w:color="auto" w:sz="4" w:space="0"/>
            </w:tcBorders>
            <w:vAlign w:val="center"/>
          </w:tcPr>
          <w:p w14:paraId="79D9368B">
            <w:pPr>
              <w:pStyle w:val="80"/>
              <w:rPr>
                <w:rFonts w:hint="default" w:ascii="Times New Roman" w:hAnsi="Times New Roman" w:eastAsiaTheme="minorEastAsia"/>
                <w:lang w:val="en-US" w:eastAsia="zh-CN"/>
              </w:rPr>
            </w:pPr>
            <w:r>
              <w:rPr>
                <w:rFonts w:hint="eastAsia" w:ascii="Times New Roman" w:hAnsi="Times New Roman"/>
                <w:lang w:val="en-US" w:eastAsia="zh-CN"/>
              </w:rPr>
              <w:t>加氯过程</w:t>
            </w:r>
          </w:p>
        </w:tc>
        <w:tc>
          <w:tcPr>
            <w:tcW w:w="814" w:type="dxa"/>
            <w:vMerge w:val="restart"/>
            <w:tcBorders>
              <w:top w:val="single" w:color="auto" w:sz="4" w:space="0"/>
              <w:left w:val="single" w:color="auto" w:sz="4" w:space="0"/>
              <w:bottom w:val="single" w:color="auto" w:sz="4" w:space="0"/>
              <w:right w:val="single" w:color="auto" w:sz="4" w:space="0"/>
            </w:tcBorders>
            <w:vAlign w:val="center"/>
          </w:tcPr>
          <w:p w14:paraId="1D0E625E">
            <w:pPr>
              <w:pStyle w:val="80"/>
              <w:rPr>
                <w:rFonts w:hint="eastAsia" w:ascii="Times New Roman" w:hAnsi="Times New Roman" w:eastAsiaTheme="minorEastAsia"/>
                <w:lang w:eastAsia="zh-CN"/>
              </w:rPr>
            </w:pPr>
            <w:r>
              <w:rPr>
                <w:rFonts w:hint="eastAsia" w:ascii="Times New Roman" w:hAnsi="Times New Roman"/>
                <w:lang w:val="en-US" w:eastAsia="zh-CN"/>
              </w:rPr>
              <w:t>氯气</w:t>
            </w:r>
          </w:p>
        </w:tc>
        <w:tc>
          <w:tcPr>
            <w:tcW w:w="917" w:type="dxa"/>
            <w:vMerge w:val="restart"/>
            <w:tcBorders>
              <w:top w:val="single" w:color="auto" w:sz="4" w:space="0"/>
              <w:left w:val="single" w:color="auto" w:sz="4" w:space="0"/>
              <w:bottom w:val="single" w:color="auto" w:sz="4" w:space="0"/>
              <w:right w:val="single" w:color="auto" w:sz="4" w:space="0"/>
            </w:tcBorders>
            <w:vAlign w:val="center"/>
          </w:tcPr>
          <w:p w14:paraId="4BE06AF7">
            <w:pPr>
              <w:pStyle w:val="80"/>
              <w:rPr>
                <w:rFonts w:ascii="Times New Roman" w:hAnsi="Times New Roman"/>
              </w:rPr>
            </w:pPr>
            <w:r>
              <w:rPr>
                <w:rFonts w:hint="eastAsia" w:ascii="Times New Roman" w:hAnsi="Times New Roman"/>
              </w:rPr>
              <w:t>泄漏</w:t>
            </w:r>
          </w:p>
        </w:tc>
        <w:tc>
          <w:tcPr>
            <w:tcW w:w="716" w:type="dxa"/>
            <w:tcBorders>
              <w:top w:val="single" w:color="auto" w:sz="4" w:space="0"/>
              <w:left w:val="single" w:color="auto" w:sz="4" w:space="0"/>
              <w:bottom w:val="single" w:color="auto" w:sz="4" w:space="0"/>
              <w:right w:val="single" w:color="auto" w:sz="4" w:space="0"/>
            </w:tcBorders>
            <w:vAlign w:val="center"/>
          </w:tcPr>
          <w:p w14:paraId="3DE46EC9">
            <w:pPr>
              <w:pStyle w:val="80"/>
              <w:rPr>
                <w:rFonts w:ascii="Times New Roman" w:hAnsi="Times New Roman"/>
              </w:rPr>
            </w:pPr>
            <w:r>
              <w:rPr>
                <w:rFonts w:hint="eastAsia" w:ascii="Times New Roman" w:hAnsi="Times New Roman"/>
              </w:rPr>
              <w:t>大气</w:t>
            </w:r>
          </w:p>
        </w:tc>
        <w:tc>
          <w:tcPr>
            <w:tcW w:w="1351" w:type="dxa"/>
            <w:tcBorders>
              <w:top w:val="single" w:color="auto" w:sz="4" w:space="0"/>
              <w:left w:val="single" w:color="auto" w:sz="4" w:space="0"/>
              <w:bottom w:val="single" w:color="auto" w:sz="4" w:space="0"/>
              <w:right w:val="single" w:color="auto" w:sz="4" w:space="0"/>
            </w:tcBorders>
            <w:vAlign w:val="center"/>
          </w:tcPr>
          <w:p w14:paraId="7F7AE1AB">
            <w:pPr>
              <w:pStyle w:val="80"/>
              <w:rPr>
                <w:rFonts w:hint="default" w:ascii="Times New Roman" w:hAnsi="Times New Roman" w:eastAsiaTheme="minorEastAsia"/>
                <w:lang w:val="en-US" w:eastAsia="zh-CN"/>
              </w:rPr>
            </w:pPr>
            <w:r>
              <w:rPr>
                <w:rFonts w:hint="eastAsia" w:ascii="Times New Roman" w:hAnsi="Times New Roman"/>
                <w:lang w:val="en-US" w:eastAsia="zh-CN"/>
              </w:rPr>
              <w:t>氯气钢瓶</w:t>
            </w:r>
            <w:r>
              <w:rPr>
                <w:rFonts w:hint="eastAsia"/>
                <w:lang w:val="en-US" w:eastAsia="zh-CN"/>
              </w:rPr>
              <w:t>阀门</w:t>
            </w:r>
          </w:p>
        </w:tc>
        <w:tc>
          <w:tcPr>
            <w:tcW w:w="1545" w:type="dxa"/>
            <w:tcBorders>
              <w:top w:val="single" w:color="auto" w:sz="4" w:space="0"/>
              <w:left w:val="single" w:color="auto" w:sz="4" w:space="0"/>
              <w:bottom w:val="single" w:color="auto" w:sz="4" w:space="0"/>
              <w:right w:val="single" w:color="auto" w:sz="4" w:space="0"/>
            </w:tcBorders>
            <w:vAlign w:val="center"/>
          </w:tcPr>
          <w:p w14:paraId="2830565B">
            <w:pPr>
              <w:pStyle w:val="80"/>
              <w:rPr>
                <w:rFonts w:ascii="Times New Roman" w:hAnsi="Times New Roman"/>
              </w:rPr>
            </w:pPr>
            <w:r>
              <w:rPr>
                <w:rFonts w:hint="eastAsia" w:ascii="Times New Roman" w:hAnsi="Times New Roman"/>
              </w:rPr>
              <w:t>孔径1</w:t>
            </w:r>
            <w:r>
              <w:rPr>
                <w:rFonts w:hint="eastAsia"/>
                <w:lang w:val="en-US" w:eastAsia="zh-CN"/>
              </w:rPr>
              <w:t>0</w:t>
            </w:r>
            <w:r>
              <w:rPr>
                <w:rFonts w:hint="eastAsia" w:ascii="Times New Roman" w:hAnsi="Times New Roman"/>
              </w:rPr>
              <w:t>mm泄漏</w:t>
            </w:r>
          </w:p>
        </w:tc>
        <w:tc>
          <w:tcPr>
            <w:tcW w:w="1134" w:type="dxa"/>
            <w:tcBorders>
              <w:top w:val="single" w:color="auto" w:sz="4" w:space="0"/>
              <w:left w:val="single" w:color="auto" w:sz="4" w:space="0"/>
              <w:bottom w:val="single" w:color="auto" w:sz="4" w:space="0"/>
              <w:right w:val="single" w:color="auto" w:sz="4" w:space="0"/>
            </w:tcBorders>
            <w:vAlign w:val="center"/>
          </w:tcPr>
          <w:p w14:paraId="616DB700">
            <w:pPr>
              <w:pStyle w:val="80"/>
              <w:rPr>
                <w:rFonts w:ascii="Times New Roman" w:hAnsi="Times New Roman"/>
              </w:rPr>
            </w:pPr>
            <w:r>
              <w:rPr>
                <w:rFonts w:hint="eastAsia" w:ascii="Times New Roman" w:hAnsi="Times New Roman"/>
                <w:lang w:val="en-US" w:eastAsia="zh-CN"/>
              </w:rPr>
              <w:t>4</w:t>
            </w:r>
            <w:r>
              <w:rPr>
                <w:rFonts w:ascii="Times New Roman" w:hAnsi="Times New Roman"/>
              </w:rPr>
              <w:t>.00×10</w:t>
            </w:r>
            <w:r>
              <w:rPr>
                <w:rFonts w:ascii="Times New Roman" w:hAnsi="Times New Roman"/>
                <w:vertAlign w:val="superscript"/>
              </w:rPr>
              <w:t>-</w:t>
            </w:r>
            <w:r>
              <w:rPr>
                <w:rFonts w:hint="eastAsia" w:ascii="Times New Roman" w:hAnsi="Times New Roman"/>
                <w:vertAlign w:val="superscript"/>
                <w:lang w:val="en-US" w:eastAsia="zh-CN"/>
              </w:rPr>
              <w:t>5</w:t>
            </w:r>
            <w:r>
              <w:rPr>
                <w:rFonts w:ascii="Times New Roman" w:hAnsi="Times New Roman"/>
              </w:rPr>
              <w:t>/a</w:t>
            </w:r>
          </w:p>
        </w:tc>
        <w:tc>
          <w:tcPr>
            <w:tcW w:w="851" w:type="dxa"/>
            <w:tcBorders>
              <w:top w:val="single" w:color="auto" w:sz="4" w:space="0"/>
              <w:left w:val="single" w:color="auto" w:sz="4" w:space="0"/>
              <w:bottom w:val="single" w:color="auto" w:sz="4" w:space="0"/>
              <w:right w:val="single" w:color="auto" w:sz="4" w:space="0"/>
            </w:tcBorders>
            <w:vAlign w:val="center"/>
          </w:tcPr>
          <w:p w14:paraId="491261F4">
            <w:pPr>
              <w:pStyle w:val="80"/>
              <w:rPr>
                <w:rFonts w:ascii="Times New Roman" w:hAnsi="Times New Roman"/>
              </w:rPr>
            </w:pPr>
            <w:r>
              <w:rPr>
                <w:rFonts w:hint="eastAsia" w:ascii="Times New Roman" w:hAnsi="Times New Roman"/>
                <w:lang w:val="en-US" w:eastAsia="zh-CN"/>
              </w:rPr>
              <w:t>1</w:t>
            </w:r>
            <w:r>
              <w:rPr>
                <w:rFonts w:ascii="Times New Roman" w:hAnsi="Times New Roman"/>
              </w:rPr>
              <w:t>0min</w:t>
            </w:r>
          </w:p>
        </w:tc>
      </w:tr>
      <w:tr w14:paraId="3D35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0" w:type="dxa"/>
            <w:vMerge w:val="continue"/>
            <w:tcBorders>
              <w:top w:val="single" w:color="auto" w:sz="4" w:space="0"/>
              <w:left w:val="single" w:color="auto" w:sz="4" w:space="0"/>
              <w:bottom w:val="single" w:color="auto" w:sz="4" w:space="0"/>
              <w:right w:val="single" w:color="auto" w:sz="4" w:space="0"/>
            </w:tcBorders>
            <w:vAlign w:val="center"/>
          </w:tcPr>
          <w:p w14:paraId="1F67478D">
            <w:pPr>
              <w:widowControl/>
              <w:jc w:val="left"/>
              <w:rPr>
                <w:rFonts w:ascii="Times New Roman" w:hAnsi="Times New Roman"/>
                <w:kern w:val="0"/>
                <w:sz w:val="20"/>
                <w:szCs w:val="21"/>
                <w:lang w:val="zh-CN"/>
              </w:rPr>
            </w:pPr>
          </w:p>
        </w:tc>
        <w:tc>
          <w:tcPr>
            <w:tcW w:w="712" w:type="dxa"/>
            <w:vMerge w:val="continue"/>
            <w:tcBorders>
              <w:top w:val="single" w:color="auto" w:sz="4" w:space="0"/>
              <w:left w:val="single" w:color="auto" w:sz="4" w:space="0"/>
              <w:bottom w:val="single" w:color="auto" w:sz="4" w:space="0"/>
              <w:right w:val="single" w:color="auto" w:sz="4" w:space="0"/>
            </w:tcBorders>
            <w:vAlign w:val="center"/>
          </w:tcPr>
          <w:p w14:paraId="5830AF48">
            <w:pPr>
              <w:widowControl/>
              <w:jc w:val="left"/>
              <w:rPr>
                <w:rFonts w:ascii="Times New Roman" w:hAnsi="Times New Roman"/>
                <w:kern w:val="0"/>
                <w:sz w:val="20"/>
                <w:szCs w:val="21"/>
                <w:lang w:val="zh-CN"/>
              </w:rPr>
            </w:pPr>
          </w:p>
        </w:tc>
        <w:tc>
          <w:tcPr>
            <w:tcW w:w="814" w:type="dxa"/>
            <w:vMerge w:val="continue"/>
            <w:tcBorders>
              <w:top w:val="single" w:color="auto" w:sz="4" w:space="0"/>
              <w:left w:val="single" w:color="auto" w:sz="4" w:space="0"/>
              <w:bottom w:val="single" w:color="auto" w:sz="4" w:space="0"/>
              <w:right w:val="single" w:color="auto" w:sz="4" w:space="0"/>
            </w:tcBorders>
            <w:vAlign w:val="center"/>
          </w:tcPr>
          <w:p w14:paraId="5EC14CCC">
            <w:pPr>
              <w:widowControl/>
              <w:jc w:val="left"/>
              <w:rPr>
                <w:rFonts w:ascii="Times New Roman" w:hAnsi="Times New Roman"/>
                <w:kern w:val="0"/>
                <w:sz w:val="20"/>
                <w:szCs w:val="21"/>
                <w:lang w:val="zh-CN"/>
              </w:rPr>
            </w:pP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38AC20AD">
            <w:pPr>
              <w:widowControl/>
              <w:jc w:val="left"/>
              <w:rPr>
                <w:rFonts w:ascii="Times New Roman" w:hAnsi="Times New Roman"/>
                <w:kern w:val="0"/>
                <w:sz w:val="20"/>
                <w:szCs w:val="21"/>
                <w:lang w:val="zh-CN"/>
              </w:rPr>
            </w:pPr>
          </w:p>
        </w:tc>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2AD6B196">
            <w:pPr>
              <w:pStyle w:val="80"/>
              <w:rPr>
                <w:rFonts w:ascii="Times New Roman" w:hAnsi="Times New Roman" w:eastAsiaTheme="minorEastAsia" w:cstheme="minorBidi"/>
                <w:kern w:val="2"/>
                <w:sz w:val="21"/>
                <w:szCs w:val="21"/>
                <w:lang w:val="zh-CN" w:eastAsia="zh-CN" w:bidi="ar-SA"/>
              </w:rPr>
            </w:pPr>
            <w:r>
              <w:rPr>
                <w:rFonts w:hint="eastAsia" w:ascii="Times New Roman" w:hAnsi="Times New Roman"/>
              </w:rPr>
              <w:t>大气</w:t>
            </w: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09679E43">
            <w:pPr>
              <w:pStyle w:val="80"/>
              <w:rPr>
                <w:rFonts w:hint="default" w:ascii="Times New Roman" w:hAnsi="Times New Roman" w:eastAsiaTheme="minorEastAsia" w:cstheme="minorBidi"/>
                <w:kern w:val="2"/>
                <w:sz w:val="21"/>
                <w:szCs w:val="21"/>
                <w:lang w:val="en-US" w:eastAsia="zh-CN" w:bidi="ar-SA"/>
              </w:rPr>
            </w:pPr>
            <w:r>
              <w:rPr>
                <w:rFonts w:hint="eastAsia" w:ascii="Times New Roman" w:hAnsi="Times New Roman"/>
                <w:lang w:val="en-US" w:eastAsia="zh-CN"/>
              </w:rPr>
              <w:t>加氯机</w:t>
            </w:r>
            <w:r>
              <w:rPr>
                <w:rFonts w:hint="eastAsia"/>
                <w:lang w:val="en-US" w:eastAsia="zh-CN"/>
              </w:rPr>
              <w:t>管道及连接处</w:t>
            </w:r>
          </w:p>
        </w:tc>
        <w:tc>
          <w:tcPr>
            <w:tcW w:w="1545" w:type="dxa"/>
            <w:tcBorders>
              <w:top w:val="single" w:color="auto" w:sz="4" w:space="0"/>
              <w:left w:val="single" w:color="auto" w:sz="4" w:space="0"/>
              <w:bottom w:val="single" w:color="auto" w:sz="4" w:space="0"/>
              <w:right w:val="single" w:color="auto" w:sz="4" w:space="0"/>
            </w:tcBorders>
            <w:vAlign w:val="center"/>
          </w:tcPr>
          <w:p w14:paraId="672F30DA">
            <w:pPr>
              <w:pStyle w:val="80"/>
              <w:rPr>
                <w:rFonts w:ascii="Times New Roman" w:hAnsi="Times New Roman"/>
              </w:rPr>
            </w:pPr>
            <w:r>
              <w:rPr>
                <w:rFonts w:hint="eastAsia" w:ascii="Times New Roman" w:hAnsi="Times New Roman"/>
              </w:rPr>
              <w:t>孔径</w:t>
            </w:r>
            <w:r>
              <w:rPr>
                <w:rFonts w:ascii="Times New Roman" w:hAnsi="Times New Roman"/>
              </w:rPr>
              <w:t>10mm</w:t>
            </w:r>
            <w:r>
              <w:rPr>
                <w:rFonts w:hint="eastAsia" w:ascii="Times New Roman" w:hAnsi="Times New Roman"/>
              </w:rPr>
              <w:t>泄漏</w:t>
            </w:r>
          </w:p>
        </w:tc>
        <w:tc>
          <w:tcPr>
            <w:tcW w:w="1134" w:type="dxa"/>
            <w:tcBorders>
              <w:top w:val="single" w:color="auto" w:sz="4" w:space="0"/>
              <w:left w:val="single" w:color="auto" w:sz="4" w:space="0"/>
              <w:bottom w:val="single" w:color="auto" w:sz="4" w:space="0"/>
              <w:right w:val="single" w:color="auto" w:sz="4" w:space="0"/>
            </w:tcBorders>
            <w:vAlign w:val="center"/>
          </w:tcPr>
          <w:p w14:paraId="18720419">
            <w:pPr>
              <w:pStyle w:val="80"/>
              <w:rPr>
                <w:rFonts w:ascii="Times New Roman" w:hAnsi="Times New Roman"/>
              </w:rPr>
            </w:pPr>
            <w:r>
              <w:rPr>
                <w:rFonts w:ascii="Times New Roman" w:hAnsi="Times New Roman"/>
              </w:rPr>
              <w:t>1.00×10</w:t>
            </w:r>
            <w:r>
              <w:rPr>
                <w:rFonts w:ascii="Times New Roman" w:hAnsi="Times New Roman"/>
                <w:vertAlign w:val="superscript"/>
              </w:rPr>
              <w:t>-4</w:t>
            </w:r>
            <w:r>
              <w:rPr>
                <w:rFonts w:ascii="Times New Roman" w:hAnsi="Times New Roman"/>
              </w:rPr>
              <w:t>/a</w:t>
            </w:r>
          </w:p>
        </w:tc>
        <w:tc>
          <w:tcPr>
            <w:tcW w:w="851" w:type="dxa"/>
            <w:tcBorders>
              <w:top w:val="single" w:color="auto" w:sz="4" w:space="0"/>
              <w:left w:val="single" w:color="auto" w:sz="4" w:space="0"/>
              <w:bottom w:val="single" w:color="auto" w:sz="4" w:space="0"/>
              <w:right w:val="single" w:color="auto" w:sz="4" w:space="0"/>
            </w:tcBorders>
            <w:vAlign w:val="center"/>
          </w:tcPr>
          <w:p w14:paraId="6913F1F2">
            <w:pPr>
              <w:pStyle w:val="80"/>
              <w:rPr>
                <w:rFonts w:ascii="Times New Roman" w:hAnsi="Times New Roman"/>
              </w:rPr>
            </w:pPr>
            <w:r>
              <w:rPr>
                <w:rFonts w:hint="eastAsia" w:ascii="Times New Roman" w:hAnsi="Times New Roman"/>
                <w:lang w:val="en-US" w:eastAsia="zh-CN"/>
              </w:rPr>
              <w:t>1</w:t>
            </w:r>
            <w:r>
              <w:rPr>
                <w:rFonts w:ascii="Times New Roman" w:hAnsi="Times New Roman"/>
              </w:rPr>
              <w:t>0min</w:t>
            </w:r>
          </w:p>
        </w:tc>
      </w:tr>
    </w:tbl>
    <w:p w14:paraId="08119458">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zh-CN" w:eastAsia="zh-CN"/>
        </w:rPr>
      </w:pPr>
    </w:p>
    <w:p w14:paraId="653EFF80">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default" w:ascii="Times New Roman" w:hAnsi="Times New Roman" w:cs="Times New Roman"/>
          <w:b/>
          <w:color w:val="auto"/>
          <w:sz w:val="30"/>
          <w:szCs w:val="30"/>
        </w:rPr>
      </w:pPr>
      <w:bookmarkStart w:id="73" w:name="_Toc31385"/>
      <w:bookmarkStart w:id="74" w:name="_Toc6627"/>
      <w:bookmarkStart w:id="75" w:name="_Toc14573"/>
      <w:bookmarkStart w:id="76" w:name="_Toc15218"/>
      <w:bookmarkStart w:id="77" w:name="_Toc25811"/>
      <w:r>
        <w:rPr>
          <w:rFonts w:hint="default" w:ascii="Times New Roman" w:hAnsi="Times New Roman" w:cs="Times New Roman"/>
          <w:b/>
          <w:color w:val="auto"/>
          <w:sz w:val="30"/>
          <w:szCs w:val="30"/>
        </w:rPr>
        <w:t>6</w:t>
      </w:r>
      <w:r>
        <w:rPr>
          <w:rFonts w:hint="eastAsia" w:ascii="Times New Roman" w:hAnsi="Times New Roman" w:cs="Times New Roman"/>
          <w:b/>
          <w:color w:val="auto"/>
          <w:sz w:val="30"/>
          <w:szCs w:val="30"/>
          <w:lang w:eastAsia="zh-CN"/>
        </w:rPr>
        <w:t>、</w:t>
      </w:r>
      <w:r>
        <w:rPr>
          <w:rFonts w:hint="default" w:ascii="Times New Roman" w:hAnsi="Times New Roman" w:cs="Times New Roman"/>
          <w:b/>
          <w:color w:val="auto"/>
          <w:sz w:val="30"/>
          <w:szCs w:val="30"/>
        </w:rPr>
        <w:t>源强分析</w:t>
      </w:r>
      <w:bookmarkEnd w:id="73"/>
      <w:bookmarkEnd w:id="74"/>
      <w:bookmarkEnd w:id="75"/>
      <w:bookmarkEnd w:id="76"/>
      <w:bookmarkEnd w:id="77"/>
    </w:p>
    <w:p w14:paraId="5BC06C99">
      <w:pPr>
        <w:pStyle w:val="81"/>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根据《建设项目环境风险评价技术导则》（HJ</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lang w:eastAsia="zh-CN"/>
        </w:rPr>
        <w:t>169-2018）</w:t>
      </w:r>
      <w:r>
        <w:rPr>
          <w:rFonts w:hint="eastAsia" w:cs="Times New Roman"/>
          <w:color w:val="auto"/>
          <w:lang w:val="en-US" w:eastAsia="zh-CN"/>
        </w:rPr>
        <w:t>和</w:t>
      </w:r>
      <w:r>
        <w:rPr>
          <w:rFonts w:hint="default" w:ascii="Times New Roman" w:hAnsi="Times New Roman" w:eastAsia="宋体" w:cs="Times New Roman"/>
          <w:color w:val="auto"/>
          <w:lang w:eastAsia="zh-CN"/>
        </w:rPr>
        <w:t>本项目</w:t>
      </w:r>
      <w:r>
        <w:rPr>
          <w:rFonts w:hint="eastAsia" w:cs="Times New Roman"/>
          <w:color w:val="auto"/>
          <w:lang w:val="en-US" w:eastAsia="zh-CN"/>
        </w:rPr>
        <w:t>实际情况</w:t>
      </w:r>
      <w:r>
        <w:rPr>
          <w:rFonts w:hint="default" w:ascii="Times New Roman" w:hAnsi="Times New Roman" w:eastAsia="宋体" w:cs="Times New Roman"/>
          <w:color w:val="auto"/>
          <w:lang w:eastAsia="zh-CN"/>
        </w:rPr>
        <w:t>特点，确定最大可信事故</w:t>
      </w:r>
      <w:r>
        <w:rPr>
          <w:rFonts w:hint="eastAsia" w:cs="Times New Roman"/>
          <w:color w:val="auto"/>
          <w:lang w:eastAsia="zh-CN"/>
        </w:rPr>
        <w:t>：</w:t>
      </w:r>
      <w:r>
        <w:rPr>
          <w:rFonts w:hint="eastAsia" w:ascii="Times New Roman" w:hAnsi="Times New Roman"/>
          <w:lang w:val="en-US" w:eastAsia="zh-CN"/>
        </w:rPr>
        <w:t>加氯机</w:t>
      </w:r>
      <w:r>
        <w:rPr>
          <w:rFonts w:hint="eastAsia"/>
          <w:lang w:val="en-US" w:eastAsia="zh-CN"/>
        </w:rPr>
        <w:t>管道及连接处发生</w:t>
      </w:r>
      <w:r>
        <w:rPr>
          <w:rFonts w:hint="default" w:ascii="Times New Roman" w:hAnsi="Times New Roman" w:eastAsia="宋体" w:cs="Times New Roman"/>
          <w:color w:val="auto"/>
          <w:lang w:eastAsia="zh-CN"/>
        </w:rPr>
        <w:t>泄漏孔径为10mm，概率为1.0×10</w:t>
      </w:r>
      <w:r>
        <w:rPr>
          <w:rFonts w:hint="default" w:ascii="Times New Roman" w:hAnsi="Times New Roman" w:eastAsia="宋体" w:cs="Times New Roman"/>
          <w:color w:val="auto"/>
          <w:vertAlign w:val="superscript"/>
          <w:lang w:eastAsia="zh-CN"/>
        </w:rPr>
        <w:t>-4</w:t>
      </w:r>
      <w:r>
        <w:rPr>
          <w:rFonts w:hint="default" w:ascii="Times New Roman" w:hAnsi="Times New Roman" w:eastAsia="宋体" w:cs="Times New Roman"/>
          <w:color w:val="auto"/>
          <w:lang w:eastAsia="zh-CN"/>
        </w:rPr>
        <w:t>/a。氯气泄漏后，</w:t>
      </w:r>
      <w:r>
        <w:rPr>
          <w:rFonts w:hint="eastAsia" w:cs="Times New Roman"/>
          <w:color w:val="auto"/>
          <w:lang w:val="en-US" w:eastAsia="zh-CN"/>
        </w:rPr>
        <w:t>车间内氯气泄漏</w:t>
      </w:r>
      <w:r>
        <w:rPr>
          <w:rFonts w:hint="default" w:ascii="Times New Roman" w:hAnsi="Times New Roman" w:eastAsia="宋体" w:cs="Times New Roman"/>
          <w:color w:val="auto"/>
          <w:lang w:eastAsia="zh-CN"/>
        </w:rPr>
        <w:t>安全系统报警，</w:t>
      </w:r>
      <w:r>
        <w:rPr>
          <w:rFonts w:hint="eastAsia" w:cs="Times New Roman"/>
          <w:color w:val="auto"/>
          <w:lang w:val="en-US" w:eastAsia="zh-CN"/>
        </w:rPr>
        <w:t>启动车间漏氯吸收安全装置，同步车间</w:t>
      </w:r>
      <w:r>
        <w:rPr>
          <w:rFonts w:hint="default" w:ascii="Times New Roman" w:hAnsi="Times New Roman" w:eastAsia="宋体" w:cs="Times New Roman"/>
          <w:color w:val="auto"/>
          <w:lang w:eastAsia="zh-CN"/>
        </w:rPr>
        <w:t>操作人员采用专用的充气堵漏工具进行迅速堵漏，在10min内使泄漏得到制止，并采取有效的处理措施。</w:t>
      </w:r>
      <w:r>
        <w:rPr>
          <w:rFonts w:hint="eastAsia" w:cs="Times New Roman"/>
          <w:color w:val="auto"/>
          <w:lang w:val="en-US" w:eastAsia="zh-CN"/>
        </w:rPr>
        <w:t>气体</w:t>
      </w:r>
      <w:r>
        <w:rPr>
          <w:rFonts w:hint="default" w:ascii="Times New Roman" w:hAnsi="Times New Roman" w:eastAsia="宋体" w:cs="Times New Roman"/>
          <w:color w:val="auto"/>
          <w:lang w:eastAsia="zh-CN"/>
        </w:rPr>
        <w:t>泄漏速率</w:t>
      </w:r>
      <w:r>
        <w:rPr>
          <w:rFonts w:hint="eastAsia" w:cs="Times New Roman"/>
          <w:color w:val="auto"/>
          <w:lang w:val="en-US" w:eastAsia="zh-CN"/>
        </w:rPr>
        <w:t>按导则推荐公式</w:t>
      </w:r>
      <w:r>
        <w:rPr>
          <w:rFonts w:hint="default" w:ascii="Times New Roman" w:hAnsi="Times New Roman" w:eastAsia="宋体" w:cs="Times New Roman"/>
          <w:color w:val="auto"/>
          <w:lang w:eastAsia="zh-CN"/>
        </w:rPr>
        <w:t>计算：</w:t>
      </w:r>
    </w:p>
    <w:p w14:paraId="7A363FAC">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default" w:ascii="Times New Roman" w:hAnsi="Times New Roman" w:cs="Times New Roman"/>
          <w:color w:val="auto"/>
          <w:spacing w:val="6"/>
          <w:sz w:val="24"/>
          <w:szCs w:val="24"/>
          <w:lang w:val="zh-TW" w:eastAsia="zh-CN"/>
        </w:rPr>
      </w:pPr>
      <w:r>
        <w:drawing>
          <wp:inline distT="0" distB="0" distL="114300" distR="114300">
            <wp:extent cx="2602230" cy="646430"/>
            <wp:effectExtent l="0" t="0" r="7620" b="1270"/>
            <wp:docPr id="1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3"/>
                    <pic:cNvPicPr>
                      <a:picLocks noChangeAspect="1"/>
                    </pic:cNvPicPr>
                  </pic:nvPicPr>
                  <pic:blipFill>
                    <a:blip r:embed="rId64"/>
                    <a:stretch>
                      <a:fillRect/>
                    </a:stretch>
                  </pic:blipFill>
                  <pic:spPr>
                    <a:xfrm>
                      <a:off x="0" y="0"/>
                      <a:ext cx="2602230" cy="646430"/>
                    </a:xfrm>
                    <a:prstGeom prst="rect">
                      <a:avLst/>
                    </a:prstGeom>
                    <a:noFill/>
                    <a:ln>
                      <a:noFill/>
                    </a:ln>
                  </pic:spPr>
                </pic:pic>
              </a:graphicData>
            </a:graphic>
          </wp:inline>
        </w:drawing>
      </w:r>
    </w:p>
    <w:p w14:paraId="4E60644F">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式中：Q</w:t>
      </w:r>
      <w:r>
        <w:rPr>
          <w:rFonts w:hint="eastAsia" w:ascii="Times New Roman" w:hAnsi="Times New Roman" w:cs="Times New Roman"/>
          <w:color w:val="auto"/>
          <w:spacing w:val="6"/>
          <w:sz w:val="24"/>
          <w:szCs w:val="24"/>
          <w:vertAlign w:val="subscript"/>
          <w:lang w:val="en-US" w:eastAsia="zh-CN"/>
        </w:rPr>
        <w:t>G</w:t>
      </w:r>
      <w:r>
        <w:rPr>
          <w:rFonts w:hint="eastAsia" w:ascii="Times New Roman" w:hAnsi="Times New Roman" w:cs="Times New Roman"/>
          <w:color w:val="auto"/>
          <w:spacing w:val="6"/>
          <w:sz w:val="24"/>
          <w:szCs w:val="24"/>
          <w:lang w:val="en-US" w:eastAsia="zh-CN"/>
        </w:rPr>
        <w:t>—气体泄漏速率，kg/s；</w:t>
      </w:r>
    </w:p>
    <w:p w14:paraId="0EDCA7A1">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P—容器压力，Pa；取</w:t>
      </w:r>
      <w:r>
        <w:rPr>
          <w:rFonts w:hint="default" w:ascii="Times New Roman" w:hAnsi="Times New Roman" w:cs="Times New Roman"/>
          <w:color w:val="auto"/>
          <w:spacing w:val="6"/>
          <w:sz w:val="24"/>
          <w:szCs w:val="24"/>
          <w:lang w:val="zh-CN" w:eastAsia="zh-CN"/>
        </w:rPr>
        <w:t>1.0MPa</w:t>
      </w:r>
    </w:p>
    <w:p w14:paraId="344277B1">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highlight w:val="none"/>
          <w:lang w:val="en-US" w:eastAsia="zh-CN"/>
        </w:rPr>
      </w:pPr>
      <w:r>
        <w:rPr>
          <w:rFonts w:hint="eastAsia" w:ascii="Times New Roman" w:hAnsi="Times New Roman" w:cs="Times New Roman"/>
          <w:color w:val="auto"/>
          <w:spacing w:val="6"/>
          <w:sz w:val="24"/>
          <w:szCs w:val="24"/>
          <w:lang w:val="en-US" w:eastAsia="zh-CN"/>
        </w:rPr>
        <w:t>C</w:t>
      </w:r>
      <w:r>
        <w:rPr>
          <w:rFonts w:hint="eastAsia" w:ascii="Times New Roman" w:hAnsi="Times New Roman" w:cs="Times New Roman"/>
          <w:color w:val="auto"/>
          <w:spacing w:val="6"/>
          <w:sz w:val="24"/>
          <w:szCs w:val="24"/>
          <w:vertAlign w:val="subscript"/>
          <w:lang w:val="en-US" w:eastAsia="zh-CN"/>
        </w:rPr>
        <w:t>d</w:t>
      </w:r>
      <w:r>
        <w:rPr>
          <w:rFonts w:hint="eastAsia" w:ascii="Times New Roman" w:hAnsi="Times New Roman" w:cs="Times New Roman"/>
          <w:color w:val="auto"/>
          <w:spacing w:val="6"/>
          <w:sz w:val="24"/>
          <w:szCs w:val="24"/>
          <w:lang w:val="en-US" w:eastAsia="zh-CN"/>
        </w:rPr>
        <w:t>—气体泄</w:t>
      </w:r>
      <w:r>
        <w:rPr>
          <w:rFonts w:hint="eastAsia" w:ascii="Times New Roman" w:hAnsi="Times New Roman" w:cs="Times New Roman"/>
          <w:color w:val="auto"/>
          <w:spacing w:val="6"/>
          <w:sz w:val="24"/>
          <w:szCs w:val="24"/>
          <w:highlight w:val="none"/>
          <w:lang w:val="en-US" w:eastAsia="zh-CN"/>
        </w:rPr>
        <w:t>漏系数；当裂口形状为圆形时取1.00，三角形时取0.95，长方形时取0.90；取圆形1.0</w:t>
      </w:r>
    </w:p>
    <w:p w14:paraId="45C7550D">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M—物质的摩尔质量，kg/mol；</w:t>
      </w:r>
    </w:p>
    <w:p w14:paraId="286A0FD8">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R—气体常数，J/(mol·K)；</w:t>
      </w:r>
    </w:p>
    <w:p w14:paraId="29048D51">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T</w:t>
      </w:r>
      <w:r>
        <w:rPr>
          <w:rFonts w:hint="eastAsia" w:ascii="Times New Roman" w:hAnsi="Times New Roman" w:cs="Times New Roman"/>
          <w:color w:val="auto"/>
          <w:spacing w:val="6"/>
          <w:sz w:val="24"/>
          <w:szCs w:val="24"/>
          <w:vertAlign w:val="subscript"/>
          <w:lang w:val="en-US" w:eastAsia="zh-CN"/>
        </w:rPr>
        <w:t>G</w:t>
      </w:r>
      <w:r>
        <w:rPr>
          <w:rFonts w:hint="eastAsia" w:ascii="Times New Roman" w:hAnsi="Times New Roman" w:cs="Times New Roman"/>
          <w:color w:val="auto"/>
          <w:spacing w:val="6"/>
          <w:sz w:val="24"/>
          <w:szCs w:val="24"/>
          <w:lang w:val="en-US" w:eastAsia="zh-CN"/>
        </w:rPr>
        <w:t>—气体温度，K；取293.15</w:t>
      </w:r>
    </w:p>
    <w:p w14:paraId="7FB36F9A">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a—裂口面积，m</w:t>
      </w:r>
      <w:r>
        <w:rPr>
          <w:rFonts w:hint="eastAsia" w:ascii="Times New Roman" w:hAnsi="Times New Roman" w:cs="Times New Roman"/>
          <w:color w:val="auto"/>
          <w:spacing w:val="6"/>
          <w:sz w:val="24"/>
          <w:szCs w:val="24"/>
          <w:vertAlign w:val="superscript"/>
          <w:lang w:val="en-US" w:eastAsia="zh-CN"/>
        </w:rPr>
        <w:t>2</w:t>
      </w:r>
      <w:r>
        <w:rPr>
          <w:rFonts w:hint="eastAsia" w:ascii="Times New Roman" w:hAnsi="Times New Roman" w:cs="Times New Roman"/>
          <w:color w:val="auto"/>
          <w:spacing w:val="6"/>
          <w:sz w:val="24"/>
          <w:szCs w:val="24"/>
          <w:lang w:val="en-US" w:eastAsia="zh-CN"/>
        </w:rPr>
        <w:t>；</w:t>
      </w:r>
    </w:p>
    <w:p w14:paraId="1176E958">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Y—流出系数，对于临界流Y=1.0；对于次临界流按公式另行计算。</w:t>
      </w:r>
    </w:p>
    <w:p w14:paraId="54AFF066">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当下式成立时，气体流动属音速流动（临界流）：</w:t>
      </w:r>
    </w:p>
    <w:p w14:paraId="4BC85C09">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Times New Roman" w:hAnsi="Times New Roman" w:cs="Times New Roman"/>
          <w:color w:val="auto"/>
          <w:spacing w:val="6"/>
          <w:sz w:val="24"/>
          <w:szCs w:val="24"/>
          <w:lang w:val="en-US" w:eastAsia="zh-CN"/>
        </w:rPr>
      </w:pPr>
      <w:r>
        <w:drawing>
          <wp:inline distT="0" distB="0" distL="114300" distR="114300">
            <wp:extent cx="1481455" cy="653415"/>
            <wp:effectExtent l="0" t="0" r="4445" b="13335"/>
            <wp:docPr id="1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
                    <pic:cNvPicPr>
                      <a:picLocks noChangeAspect="1"/>
                    </pic:cNvPicPr>
                  </pic:nvPicPr>
                  <pic:blipFill>
                    <a:blip r:embed="rId65"/>
                    <a:stretch>
                      <a:fillRect/>
                    </a:stretch>
                  </pic:blipFill>
                  <pic:spPr>
                    <a:xfrm>
                      <a:off x="0" y="0"/>
                      <a:ext cx="1481455" cy="653415"/>
                    </a:xfrm>
                    <a:prstGeom prst="rect">
                      <a:avLst/>
                    </a:prstGeom>
                    <a:noFill/>
                    <a:ln>
                      <a:noFill/>
                    </a:ln>
                  </pic:spPr>
                </pic:pic>
              </a:graphicData>
            </a:graphic>
          </wp:inline>
        </w:drawing>
      </w:r>
    </w:p>
    <w:p w14:paraId="4D1F7D88">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当下式成立时，气体流动属于亚音速流动（次临界流）：</w:t>
      </w:r>
    </w:p>
    <w:p w14:paraId="0E38741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both"/>
        <w:textAlignment w:val="auto"/>
        <w:rPr>
          <w:rFonts w:hint="eastAsia" w:ascii="Times New Roman" w:hAnsi="Times New Roman" w:cs="Times New Roman"/>
          <w:color w:val="auto"/>
          <w:spacing w:val="6"/>
          <w:sz w:val="24"/>
          <w:szCs w:val="24"/>
          <w:lang w:val="en-US" w:eastAsia="zh-CN"/>
        </w:rPr>
      </w:pPr>
      <w:r>
        <w:drawing>
          <wp:inline distT="0" distB="0" distL="114300" distR="114300">
            <wp:extent cx="1362075" cy="685800"/>
            <wp:effectExtent l="0" t="0" r="9525" b="0"/>
            <wp:docPr id="1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5"/>
                    <pic:cNvPicPr>
                      <a:picLocks noChangeAspect="1"/>
                    </pic:cNvPicPr>
                  </pic:nvPicPr>
                  <pic:blipFill>
                    <a:blip r:embed="rId66"/>
                    <a:stretch>
                      <a:fillRect/>
                    </a:stretch>
                  </pic:blipFill>
                  <pic:spPr>
                    <a:xfrm>
                      <a:off x="0" y="0"/>
                      <a:ext cx="1362075" cy="685800"/>
                    </a:xfrm>
                    <a:prstGeom prst="rect">
                      <a:avLst/>
                    </a:prstGeom>
                    <a:noFill/>
                    <a:ln>
                      <a:noFill/>
                    </a:ln>
                  </pic:spPr>
                </pic:pic>
              </a:graphicData>
            </a:graphic>
          </wp:inline>
        </w:drawing>
      </w:r>
    </w:p>
    <w:p w14:paraId="12EEF203">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式中：P-容器压力，Pa；本项目</w:t>
      </w:r>
      <w:r>
        <w:rPr>
          <w:rFonts w:hint="eastAsia" w:cs="Times New Roman"/>
          <w:color w:val="auto"/>
          <w:spacing w:val="6"/>
          <w:sz w:val="24"/>
          <w:szCs w:val="24"/>
          <w:lang w:val="en-US" w:eastAsia="zh-CN"/>
        </w:rPr>
        <w:t>加氯机输送管道</w:t>
      </w:r>
      <w:r>
        <w:rPr>
          <w:rFonts w:hint="eastAsia" w:ascii="Times New Roman" w:hAnsi="Times New Roman" w:cs="Times New Roman"/>
          <w:color w:val="auto"/>
          <w:spacing w:val="6"/>
          <w:sz w:val="24"/>
          <w:szCs w:val="24"/>
          <w:lang w:val="en-US" w:eastAsia="zh-CN"/>
        </w:rPr>
        <w:t>取</w:t>
      </w:r>
      <w:r>
        <w:rPr>
          <w:rFonts w:hint="default" w:ascii="Times New Roman" w:hAnsi="Times New Roman" w:cs="Times New Roman"/>
          <w:color w:val="auto"/>
          <w:spacing w:val="6"/>
          <w:sz w:val="24"/>
          <w:szCs w:val="24"/>
          <w:lang w:val="zh-CN" w:eastAsia="zh-CN"/>
        </w:rPr>
        <w:t>1.0MPa</w:t>
      </w:r>
    </w:p>
    <w:p w14:paraId="0A046BE0">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P</w:t>
      </w:r>
      <w:r>
        <w:rPr>
          <w:rFonts w:hint="eastAsia" w:ascii="Times New Roman" w:hAnsi="Times New Roman" w:cs="Times New Roman"/>
          <w:color w:val="auto"/>
          <w:spacing w:val="6"/>
          <w:sz w:val="24"/>
          <w:szCs w:val="24"/>
          <w:vertAlign w:val="subscript"/>
          <w:lang w:val="en-US" w:eastAsia="zh-CN"/>
        </w:rPr>
        <w:t>0</w:t>
      </w:r>
      <w:r>
        <w:rPr>
          <w:rFonts w:hint="eastAsia" w:ascii="Times New Roman" w:hAnsi="Times New Roman" w:cs="Times New Roman"/>
          <w:color w:val="auto"/>
          <w:spacing w:val="6"/>
          <w:sz w:val="24"/>
          <w:szCs w:val="24"/>
          <w:lang w:val="en-US" w:eastAsia="zh-CN"/>
        </w:rPr>
        <w:t>-环境压力，Pa；本项目取101325</w:t>
      </w:r>
      <w:r>
        <w:rPr>
          <w:rFonts w:hint="default" w:ascii="Times New Roman" w:hAnsi="Times New Roman" w:cs="Times New Roman"/>
          <w:color w:val="auto"/>
          <w:spacing w:val="6"/>
          <w:sz w:val="24"/>
          <w:szCs w:val="24"/>
          <w:lang w:val="zh-CN" w:eastAsia="zh-CN"/>
        </w:rPr>
        <w:t>Pa</w:t>
      </w:r>
    </w:p>
    <w:p w14:paraId="64D118D0">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y-气体的绝热指数（比热容比)，即定压比热容C与定容比热容Cv之比，本项目氯气取1.308；</w:t>
      </w:r>
    </w:p>
    <w:p w14:paraId="0FE5B025">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default"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根据计算项目氯气泄漏气体流动属于音速流动（临界流），则Y—流出系数取值1.0。</w:t>
      </w:r>
    </w:p>
    <w:p w14:paraId="0BAABDA8">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r>
        <w:rPr>
          <w:rFonts w:hint="eastAsia" w:ascii="Times New Roman" w:hAnsi="Times New Roman" w:cs="Times New Roman"/>
          <w:color w:val="auto"/>
          <w:spacing w:val="6"/>
          <w:sz w:val="24"/>
          <w:szCs w:val="24"/>
          <w:lang w:val="en-US" w:eastAsia="zh-CN"/>
        </w:rPr>
        <w:t>根据计算本项目设定的氯气泄漏后蒸发源强见下表：</w:t>
      </w:r>
    </w:p>
    <w:p w14:paraId="7A37C136">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w:t>
      </w:r>
      <w:r>
        <w:rPr>
          <w:rFonts w:hint="eastAsia" w:cs="Times New Roman"/>
          <w:color w:val="auto"/>
          <w:sz w:val="24"/>
          <w:szCs w:val="24"/>
          <w:lang w:val="en-US" w:eastAsia="zh-CN"/>
        </w:rPr>
        <w:t>6</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1</w:t>
      </w:r>
      <w:r>
        <w:rPr>
          <w:rFonts w:hint="eastAsia" w:ascii="Times New Roman" w:hAnsi="Times New Roman" w:eastAsia="宋体" w:cs="Times New Roman"/>
          <w:color w:val="auto"/>
          <w:sz w:val="24"/>
          <w:szCs w:val="24"/>
          <w:lang w:val="en-US" w:eastAsia="zh-CN"/>
        </w:rPr>
        <w:t xml:space="preserve">  物料泄漏量源强计算表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1273"/>
        <w:gridCol w:w="1499"/>
        <w:gridCol w:w="1498"/>
        <w:gridCol w:w="1499"/>
        <w:gridCol w:w="1511"/>
      </w:tblGrid>
      <w:tr w14:paraId="4FFD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7" w:type="pct"/>
            <w:tcBorders>
              <w:top w:val="single" w:color="auto" w:sz="4" w:space="0"/>
              <w:left w:val="single" w:color="auto" w:sz="4" w:space="0"/>
              <w:bottom w:val="single" w:color="auto" w:sz="4" w:space="0"/>
              <w:right w:val="single" w:color="auto" w:sz="4" w:space="0"/>
            </w:tcBorders>
            <w:vAlign w:val="center"/>
          </w:tcPr>
          <w:p w14:paraId="47FC3FC2">
            <w:pPr>
              <w:adjustRightInd w:val="0"/>
              <w:snapToGrid w:val="0"/>
              <w:jc w:val="center"/>
              <w:rPr>
                <w:rFonts w:ascii="Times New Roman" w:hAnsi="Times New Roman"/>
                <w:szCs w:val="21"/>
              </w:rPr>
            </w:pPr>
            <w:r>
              <w:rPr>
                <w:rFonts w:hint="eastAsia" w:ascii="Times New Roman" w:hAnsi="Times New Roman"/>
                <w:szCs w:val="21"/>
              </w:rPr>
              <w:t>泄漏物质</w:t>
            </w:r>
          </w:p>
        </w:tc>
        <w:tc>
          <w:tcPr>
            <w:tcW w:w="747" w:type="pct"/>
            <w:tcBorders>
              <w:top w:val="single" w:color="auto" w:sz="4" w:space="0"/>
              <w:left w:val="single" w:color="auto" w:sz="4" w:space="0"/>
              <w:bottom w:val="single" w:color="auto" w:sz="4" w:space="0"/>
              <w:right w:val="single" w:color="auto" w:sz="4" w:space="0"/>
            </w:tcBorders>
            <w:vAlign w:val="center"/>
          </w:tcPr>
          <w:p w14:paraId="3326DB28">
            <w:pPr>
              <w:adjustRightInd w:val="0"/>
              <w:snapToGrid w:val="0"/>
              <w:jc w:val="center"/>
              <w:rPr>
                <w:rFonts w:hint="default" w:ascii="Times New Roman" w:hAnsi="Times New Roman" w:eastAsiaTheme="minorEastAsia"/>
                <w:szCs w:val="21"/>
                <w:lang w:val="en-US" w:eastAsia="zh-CN"/>
              </w:rPr>
            </w:pPr>
            <w:r>
              <w:rPr>
                <w:rFonts w:hint="eastAsia" w:ascii="Times New Roman" w:hAnsi="Times New Roman"/>
                <w:szCs w:val="21"/>
                <w:lang w:val="en-US" w:eastAsia="zh-CN"/>
              </w:rPr>
              <w:t>大气稳定度</w:t>
            </w:r>
          </w:p>
        </w:tc>
        <w:tc>
          <w:tcPr>
            <w:tcW w:w="880" w:type="pct"/>
            <w:tcBorders>
              <w:top w:val="single" w:color="auto" w:sz="4" w:space="0"/>
              <w:left w:val="single" w:color="auto" w:sz="4" w:space="0"/>
              <w:bottom w:val="single" w:color="auto" w:sz="4" w:space="0"/>
              <w:right w:val="single" w:color="auto" w:sz="4" w:space="0"/>
            </w:tcBorders>
            <w:vAlign w:val="center"/>
          </w:tcPr>
          <w:p w14:paraId="5CC3104B">
            <w:pPr>
              <w:adjustRightInd w:val="0"/>
              <w:snapToGrid w:val="0"/>
              <w:jc w:val="center"/>
              <w:rPr>
                <w:rFonts w:ascii="Times New Roman" w:hAnsi="Times New Roman"/>
                <w:szCs w:val="21"/>
              </w:rPr>
            </w:pPr>
            <w:r>
              <w:rPr>
                <w:rFonts w:hint="eastAsia" w:ascii="Times New Roman" w:hAnsi="Times New Roman"/>
                <w:szCs w:val="21"/>
                <w:lang w:val="en-US" w:eastAsia="zh-CN"/>
              </w:rPr>
              <w:t>环境温度</w:t>
            </w:r>
            <w:r>
              <w:rPr>
                <w:rFonts w:hint="eastAsia" w:ascii="Times New Roman" w:hAnsi="Times New Roman"/>
                <w:szCs w:val="21"/>
              </w:rPr>
              <w:t>（℃）</w:t>
            </w:r>
          </w:p>
        </w:tc>
        <w:tc>
          <w:tcPr>
            <w:tcW w:w="879" w:type="pct"/>
            <w:tcBorders>
              <w:top w:val="single" w:color="auto" w:sz="4" w:space="0"/>
              <w:left w:val="single" w:color="auto" w:sz="4" w:space="0"/>
              <w:bottom w:val="single" w:color="auto" w:sz="4" w:space="0"/>
              <w:right w:val="single" w:color="auto" w:sz="4" w:space="0"/>
            </w:tcBorders>
            <w:shd w:val="clear" w:color="auto" w:fill="auto"/>
            <w:vAlign w:val="center"/>
          </w:tcPr>
          <w:p w14:paraId="5B63DB40">
            <w:pPr>
              <w:adjustRightInd w:val="0"/>
              <w:snapToGrid w:val="0"/>
              <w:jc w:val="center"/>
              <w:rPr>
                <w:rFonts w:hint="eastAsia" w:ascii="Times New Roman" w:hAnsi="Times New Roman" w:eastAsiaTheme="minorEastAsia" w:cstheme="minorBidi"/>
                <w:kern w:val="2"/>
                <w:sz w:val="21"/>
                <w:szCs w:val="21"/>
                <w:lang w:val="en-US" w:eastAsia="zh-CN" w:bidi="ar-SA"/>
              </w:rPr>
            </w:pPr>
            <w:bookmarkStart w:id="78" w:name="OLE_LINK22"/>
            <w:r>
              <w:rPr>
                <w:rFonts w:hint="eastAsia" w:ascii="Times New Roman" w:hAnsi="Times New Roman"/>
                <w:szCs w:val="21"/>
              </w:rPr>
              <w:t>泄漏速率（</w:t>
            </w:r>
            <w:r>
              <w:rPr>
                <w:rFonts w:ascii="Times New Roman" w:hAnsi="Times New Roman"/>
                <w:szCs w:val="21"/>
              </w:rPr>
              <w:t>kg/s</w:t>
            </w:r>
            <w:r>
              <w:rPr>
                <w:rFonts w:hint="eastAsia" w:ascii="Times New Roman" w:hAnsi="Times New Roman"/>
                <w:szCs w:val="21"/>
              </w:rPr>
              <w:t>）</w:t>
            </w:r>
          </w:p>
        </w:tc>
        <w:tc>
          <w:tcPr>
            <w:tcW w:w="880" w:type="pct"/>
            <w:tcBorders>
              <w:top w:val="single" w:color="auto" w:sz="4" w:space="0"/>
              <w:left w:val="single" w:color="auto" w:sz="4" w:space="0"/>
              <w:bottom w:val="single" w:color="auto" w:sz="4" w:space="0"/>
              <w:right w:val="single" w:color="auto" w:sz="4" w:space="0"/>
            </w:tcBorders>
            <w:shd w:val="clear" w:color="auto" w:fill="auto"/>
            <w:vAlign w:val="center"/>
          </w:tcPr>
          <w:p w14:paraId="639C32DC">
            <w:pPr>
              <w:adjustRightInd w:val="0"/>
              <w:snapToGrid w:val="0"/>
              <w:jc w:val="center"/>
              <w:rPr>
                <w:rFonts w:hint="eastAsia" w:ascii="Times New Roman" w:hAnsi="Times New Roman" w:eastAsiaTheme="minorEastAsia" w:cstheme="minorBidi"/>
                <w:kern w:val="2"/>
                <w:sz w:val="21"/>
                <w:szCs w:val="21"/>
                <w:lang w:val="en-US" w:eastAsia="zh-CN" w:bidi="ar-SA"/>
              </w:rPr>
            </w:pPr>
            <w:r>
              <w:rPr>
                <w:rFonts w:hint="eastAsia" w:ascii="Times New Roman" w:hAnsi="Times New Roman"/>
                <w:szCs w:val="21"/>
              </w:rPr>
              <w:t>最大泄漏量（</w:t>
            </w:r>
            <w:r>
              <w:rPr>
                <w:rFonts w:ascii="Times New Roman" w:hAnsi="Times New Roman"/>
                <w:szCs w:val="21"/>
              </w:rPr>
              <w:t>kg</w:t>
            </w:r>
            <w:r>
              <w:rPr>
                <w:rFonts w:hint="eastAsia" w:ascii="Times New Roman" w:hAnsi="Times New Roman"/>
                <w:szCs w:val="21"/>
              </w:rPr>
              <w:t>）</w:t>
            </w:r>
          </w:p>
        </w:tc>
        <w:tc>
          <w:tcPr>
            <w:tcW w:w="883" w:type="pct"/>
            <w:tcBorders>
              <w:top w:val="single" w:color="auto" w:sz="4" w:space="0"/>
              <w:left w:val="single" w:color="auto" w:sz="4" w:space="0"/>
              <w:bottom w:val="single" w:color="auto" w:sz="4" w:space="0"/>
              <w:right w:val="single" w:color="auto" w:sz="4" w:space="0"/>
            </w:tcBorders>
            <w:vAlign w:val="center"/>
          </w:tcPr>
          <w:p w14:paraId="4254F313">
            <w:pPr>
              <w:adjustRightInd w:val="0"/>
              <w:snapToGrid w:val="0"/>
              <w:jc w:val="center"/>
              <w:rPr>
                <w:rFonts w:ascii="Times New Roman" w:hAnsi="Times New Roman"/>
                <w:szCs w:val="21"/>
              </w:rPr>
            </w:pPr>
            <w:r>
              <w:rPr>
                <w:rFonts w:hint="eastAsia" w:ascii="Times New Roman" w:hAnsi="Times New Roman"/>
                <w:szCs w:val="21"/>
              </w:rPr>
              <w:t>泄漏</w:t>
            </w:r>
            <w:bookmarkEnd w:id="78"/>
            <w:r>
              <w:rPr>
                <w:rFonts w:hint="eastAsia" w:ascii="Times New Roman" w:hAnsi="Times New Roman"/>
                <w:szCs w:val="21"/>
                <w:lang w:val="en-US" w:eastAsia="zh-CN"/>
              </w:rPr>
              <w:t>时间</w:t>
            </w:r>
            <w:r>
              <w:rPr>
                <w:rFonts w:hint="eastAsia" w:ascii="Times New Roman" w:hAnsi="Times New Roman"/>
                <w:szCs w:val="21"/>
              </w:rPr>
              <w:t>（</w:t>
            </w:r>
            <w:r>
              <w:rPr>
                <w:rFonts w:hint="eastAsia" w:ascii="Times New Roman" w:hAnsi="Times New Roman"/>
                <w:szCs w:val="21"/>
                <w:lang w:val="en-US" w:eastAsia="zh-CN"/>
              </w:rPr>
              <w:t>min</w:t>
            </w:r>
            <w:r>
              <w:rPr>
                <w:rFonts w:hint="eastAsia" w:ascii="Times New Roman" w:hAnsi="Times New Roman"/>
                <w:szCs w:val="21"/>
              </w:rPr>
              <w:t>）</w:t>
            </w:r>
          </w:p>
        </w:tc>
      </w:tr>
      <w:tr w14:paraId="0320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7" w:type="pct"/>
            <w:tcBorders>
              <w:top w:val="single" w:color="auto" w:sz="4" w:space="0"/>
              <w:left w:val="single" w:color="auto" w:sz="4" w:space="0"/>
              <w:right w:val="single" w:color="auto" w:sz="4" w:space="0"/>
            </w:tcBorders>
            <w:vAlign w:val="center"/>
          </w:tcPr>
          <w:p w14:paraId="5B2528EB">
            <w:pPr>
              <w:adjustRightInd w:val="0"/>
              <w:snapToGrid w:val="0"/>
              <w:jc w:val="center"/>
              <w:rPr>
                <w:rFonts w:hint="eastAsia" w:ascii="Times New Roman" w:hAnsi="Times New Roman" w:eastAsiaTheme="minorEastAsia"/>
                <w:szCs w:val="21"/>
                <w:u w:val="single"/>
                <w:lang w:val="en-US" w:eastAsia="zh-CN"/>
              </w:rPr>
            </w:pPr>
            <w:r>
              <w:rPr>
                <w:rFonts w:hint="eastAsia" w:ascii="Times New Roman" w:hAnsi="Times New Roman"/>
                <w:szCs w:val="21"/>
                <w:u w:val="single"/>
                <w:lang w:val="en-US" w:eastAsia="zh-CN"/>
              </w:rPr>
              <w:t>氯气</w:t>
            </w:r>
          </w:p>
        </w:tc>
        <w:tc>
          <w:tcPr>
            <w:tcW w:w="747" w:type="pct"/>
            <w:tcBorders>
              <w:top w:val="single" w:color="auto" w:sz="4" w:space="0"/>
              <w:left w:val="single" w:color="auto" w:sz="4" w:space="0"/>
              <w:bottom w:val="single" w:color="auto" w:sz="4" w:space="0"/>
              <w:right w:val="single" w:color="auto" w:sz="4" w:space="0"/>
            </w:tcBorders>
            <w:vAlign w:val="center"/>
          </w:tcPr>
          <w:p w14:paraId="05330F7A">
            <w:pPr>
              <w:adjustRightInd w:val="0"/>
              <w:snapToGrid w:val="0"/>
              <w:jc w:val="center"/>
              <w:rPr>
                <w:rFonts w:hint="eastAsia" w:ascii="Times New Roman" w:hAnsi="Times New Roman" w:eastAsiaTheme="minorEastAsia"/>
                <w:szCs w:val="21"/>
                <w:u w:val="single"/>
                <w:lang w:eastAsia="zh-CN"/>
              </w:rPr>
            </w:pPr>
            <w:r>
              <w:rPr>
                <w:rFonts w:hint="eastAsia" w:ascii="Times New Roman" w:hAnsi="Times New Roman"/>
                <w:szCs w:val="21"/>
                <w:u w:val="single"/>
                <w:lang w:val="en-US" w:eastAsia="zh-CN"/>
              </w:rPr>
              <w:t>F</w:t>
            </w:r>
          </w:p>
        </w:tc>
        <w:tc>
          <w:tcPr>
            <w:tcW w:w="880" w:type="pct"/>
            <w:tcBorders>
              <w:top w:val="single" w:color="auto" w:sz="4" w:space="0"/>
              <w:left w:val="single" w:color="auto" w:sz="4" w:space="0"/>
              <w:bottom w:val="single" w:color="auto" w:sz="4" w:space="0"/>
              <w:right w:val="single" w:color="auto" w:sz="4" w:space="0"/>
            </w:tcBorders>
            <w:vAlign w:val="center"/>
          </w:tcPr>
          <w:p w14:paraId="2545921C">
            <w:pPr>
              <w:adjustRightInd w:val="0"/>
              <w:snapToGrid w:val="0"/>
              <w:jc w:val="center"/>
              <w:rPr>
                <w:rFonts w:hint="default" w:ascii="Times New Roman" w:hAnsi="Times New Roman" w:eastAsiaTheme="minorEastAsia"/>
                <w:szCs w:val="21"/>
                <w:u w:val="single"/>
                <w:lang w:val="en-US" w:eastAsia="zh-CN"/>
              </w:rPr>
            </w:pPr>
            <w:r>
              <w:rPr>
                <w:rFonts w:hint="eastAsia" w:ascii="Times New Roman" w:hAnsi="Times New Roman"/>
                <w:szCs w:val="21"/>
                <w:u w:val="single"/>
                <w:lang w:val="en-US" w:eastAsia="zh-CN"/>
              </w:rPr>
              <w:t>25</w:t>
            </w:r>
          </w:p>
        </w:tc>
        <w:tc>
          <w:tcPr>
            <w:tcW w:w="879" w:type="pct"/>
            <w:tcBorders>
              <w:top w:val="single" w:color="auto" w:sz="4" w:space="0"/>
              <w:left w:val="single" w:color="auto" w:sz="4" w:space="0"/>
              <w:bottom w:val="single" w:color="auto" w:sz="4" w:space="0"/>
              <w:right w:val="single" w:color="auto" w:sz="4" w:space="0"/>
            </w:tcBorders>
            <w:shd w:val="clear" w:color="auto" w:fill="auto"/>
            <w:vAlign w:val="center"/>
          </w:tcPr>
          <w:p w14:paraId="066CD66E">
            <w:pPr>
              <w:adjustRightInd w:val="0"/>
              <w:snapToGrid w:val="0"/>
              <w:jc w:val="center"/>
              <w:rPr>
                <w:rFonts w:ascii="Times New Roman" w:hAnsi="Times New Roman" w:eastAsiaTheme="minorEastAsia" w:cstheme="minorBidi"/>
                <w:kern w:val="2"/>
                <w:sz w:val="21"/>
                <w:szCs w:val="21"/>
                <w:u w:val="single"/>
                <w:lang w:val="en-US" w:eastAsia="zh-CN" w:bidi="ar-SA"/>
              </w:rPr>
            </w:pPr>
            <w:r>
              <w:rPr>
                <w:rFonts w:ascii="Times New Roman" w:hAnsi="Times New Roman"/>
                <w:szCs w:val="21"/>
                <w:u w:val="single"/>
              </w:rPr>
              <w:t>0.</w:t>
            </w:r>
            <w:r>
              <w:rPr>
                <w:rFonts w:hint="eastAsia" w:ascii="Times New Roman" w:hAnsi="Times New Roman"/>
                <w:szCs w:val="21"/>
                <w:u w:val="single"/>
              </w:rPr>
              <w:t>31356</w:t>
            </w:r>
          </w:p>
        </w:tc>
        <w:tc>
          <w:tcPr>
            <w:tcW w:w="880" w:type="pct"/>
            <w:tcBorders>
              <w:top w:val="single" w:color="auto" w:sz="4" w:space="0"/>
              <w:left w:val="single" w:color="auto" w:sz="4" w:space="0"/>
              <w:bottom w:val="single" w:color="auto" w:sz="4" w:space="0"/>
              <w:right w:val="single" w:color="auto" w:sz="4" w:space="0"/>
            </w:tcBorders>
            <w:shd w:val="clear" w:color="auto" w:fill="auto"/>
            <w:vAlign w:val="center"/>
          </w:tcPr>
          <w:p w14:paraId="2C9514B0">
            <w:pPr>
              <w:adjustRightInd w:val="0"/>
              <w:snapToGrid w:val="0"/>
              <w:jc w:val="center"/>
              <w:rPr>
                <w:rFonts w:ascii="Times New Roman" w:hAnsi="Times New Roman" w:eastAsiaTheme="minorEastAsia" w:cstheme="minorBidi"/>
                <w:kern w:val="2"/>
                <w:sz w:val="21"/>
                <w:szCs w:val="21"/>
                <w:u w:val="single"/>
                <w:lang w:val="en-US" w:eastAsia="zh-CN" w:bidi="ar-SA"/>
              </w:rPr>
            </w:pPr>
            <w:r>
              <w:rPr>
                <w:rFonts w:hint="eastAsia" w:ascii="Times New Roman" w:hAnsi="Times New Roman"/>
                <w:szCs w:val="21"/>
                <w:u w:val="single"/>
              </w:rPr>
              <w:t>188</w:t>
            </w:r>
            <w:r>
              <w:rPr>
                <w:rFonts w:hint="eastAsia"/>
                <w:szCs w:val="21"/>
                <w:u w:val="single"/>
                <w:lang w:val="en-US" w:eastAsia="zh-CN"/>
              </w:rPr>
              <w:t>.</w:t>
            </w:r>
            <w:r>
              <w:rPr>
                <w:rFonts w:hint="eastAsia" w:ascii="Times New Roman" w:hAnsi="Times New Roman"/>
                <w:szCs w:val="21"/>
                <w:u w:val="single"/>
              </w:rPr>
              <w:t>136‬‬</w:t>
            </w:r>
          </w:p>
        </w:tc>
        <w:tc>
          <w:tcPr>
            <w:tcW w:w="883" w:type="pct"/>
            <w:tcBorders>
              <w:top w:val="single" w:color="auto" w:sz="4" w:space="0"/>
              <w:left w:val="single" w:color="auto" w:sz="4" w:space="0"/>
              <w:bottom w:val="single" w:color="auto" w:sz="4" w:space="0"/>
              <w:right w:val="single" w:color="auto" w:sz="4" w:space="0"/>
            </w:tcBorders>
            <w:vAlign w:val="center"/>
          </w:tcPr>
          <w:p w14:paraId="7902FFE7">
            <w:pPr>
              <w:adjustRightInd w:val="0"/>
              <w:snapToGrid w:val="0"/>
              <w:jc w:val="center"/>
              <w:rPr>
                <w:rFonts w:ascii="Times New Roman" w:hAnsi="Times New Roman"/>
                <w:szCs w:val="21"/>
                <w:u w:val="single"/>
              </w:rPr>
            </w:pPr>
            <w:r>
              <w:rPr>
                <w:rFonts w:hint="eastAsia" w:ascii="Times New Roman" w:hAnsi="Times New Roman"/>
                <w:szCs w:val="21"/>
                <w:u w:val="single"/>
                <w:lang w:val="en-US" w:eastAsia="zh-CN"/>
              </w:rPr>
              <w:t>10</w:t>
            </w:r>
            <w:r>
              <w:rPr>
                <w:rFonts w:ascii="Times New Roman" w:hAnsi="Times New Roman"/>
                <w:szCs w:val="21"/>
                <w:u w:val="single"/>
              </w:rPr>
              <w:t>‬</w:t>
            </w:r>
          </w:p>
        </w:tc>
      </w:tr>
      <w:tr w14:paraId="2BA3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6"/>
            <w:tcBorders>
              <w:left w:val="single" w:color="auto" w:sz="4" w:space="0"/>
              <w:bottom w:val="single" w:color="auto" w:sz="4" w:space="0"/>
              <w:right w:val="single" w:color="auto" w:sz="4" w:space="0"/>
            </w:tcBorders>
            <w:vAlign w:val="center"/>
          </w:tcPr>
          <w:p w14:paraId="603FC6A7">
            <w:pPr>
              <w:keepNext w:val="0"/>
              <w:keepLines w:val="0"/>
              <w:widowControl/>
              <w:suppressLineNumbers w:val="0"/>
              <w:jc w:val="left"/>
              <w:rPr>
                <w:rFonts w:ascii="Times New Roman" w:hAnsi="Times New Roman"/>
                <w:szCs w:val="21"/>
              </w:rPr>
            </w:pPr>
            <w:r>
              <w:rPr>
                <w:rFonts w:hint="eastAsia" w:ascii="宋体" w:hAnsi="宋体" w:eastAsia="宋体" w:cs="宋体"/>
                <w:color w:val="000000"/>
                <w:kern w:val="0"/>
                <w:sz w:val="21"/>
                <w:szCs w:val="21"/>
                <w:lang w:val="en-US" w:eastAsia="zh-CN" w:bidi="ar"/>
              </w:rPr>
              <w:t>根据风险导则要求，</w:t>
            </w:r>
            <w:r>
              <w:rPr>
                <w:rFonts w:hint="eastAsia" w:ascii="Times New Roman" w:hAnsi="Times New Roman"/>
                <w:szCs w:val="21"/>
              </w:rPr>
              <w:t>二级评价，需选取最不利气象条件进行后果预测。最不利气象条件取F类稳定度，1.5m/s风速，温度25℃，相对湿度50%。</w:t>
            </w:r>
          </w:p>
        </w:tc>
      </w:tr>
    </w:tbl>
    <w:p w14:paraId="5D590D49">
      <w:pPr>
        <w:keepNext w:val="0"/>
        <w:keepLines w:val="0"/>
        <w:pageBreakBefore w:val="0"/>
        <w:widowControl w:val="0"/>
        <w:kinsoku/>
        <w:wordWrap/>
        <w:overflowPunct/>
        <w:topLinePunct w:val="0"/>
        <w:autoSpaceDE/>
        <w:autoSpaceDN/>
        <w:bidi w:val="0"/>
        <w:adjustRightInd/>
        <w:snapToGrid/>
        <w:spacing w:line="360" w:lineRule="auto"/>
        <w:ind w:right="0" w:firstLine="504" w:firstLineChars="200"/>
        <w:jc w:val="both"/>
        <w:textAlignment w:val="auto"/>
        <w:rPr>
          <w:rFonts w:hint="eastAsia" w:ascii="Times New Roman" w:hAnsi="Times New Roman" w:cs="Times New Roman"/>
          <w:color w:val="auto"/>
          <w:spacing w:val="6"/>
          <w:sz w:val="24"/>
          <w:szCs w:val="24"/>
          <w:lang w:val="en-US" w:eastAsia="zh-CN"/>
        </w:rPr>
      </w:pPr>
    </w:p>
    <w:p w14:paraId="72830936">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default" w:ascii="Times New Roman" w:hAnsi="Times New Roman" w:cs="Times New Roman"/>
          <w:b/>
          <w:color w:val="auto"/>
          <w:sz w:val="30"/>
          <w:szCs w:val="30"/>
        </w:rPr>
      </w:pPr>
      <w:bookmarkStart w:id="79" w:name="_Toc31761"/>
      <w:bookmarkStart w:id="80" w:name="_Toc26252"/>
      <w:r>
        <w:rPr>
          <w:rFonts w:hint="default" w:ascii="Times New Roman" w:hAnsi="Times New Roman" w:cs="Times New Roman"/>
          <w:b/>
          <w:color w:val="auto"/>
          <w:sz w:val="30"/>
          <w:szCs w:val="30"/>
        </w:rPr>
        <w:t>7</w:t>
      </w:r>
      <w:r>
        <w:rPr>
          <w:rFonts w:hint="eastAsia" w:ascii="Times New Roman" w:hAnsi="Times New Roman" w:cs="Times New Roman"/>
          <w:b/>
          <w:color w:val="auto"/>
          <w:sz w:val="30"/>
          <w:szCs w:val="30"/>
          <w:lang w:eastAsia="zh-CN"/>
        </w:rPr>
        <w:t>、</w:t>
      </w:r>
      <w:r>
        <w:rPr>
          <w:rFonts w:hint="default" w:ascii="Times New Roman" w:hAnsi="Times New Roman" w:cs="Times New Roman"/>
          <w:b/>
          <w:color w:val="auto"/>
          <w:sz w:val="30"/>
          <w:szCs w:val="30"/>
        </w:rPr>
        <w:t>风险预测与评价</w:t>
      </w:r>
      <w:bookmarkEnd w:id="79"/>
      <w:bookmarkEnd w:id="80"/>
    </w:p>
    <w:p w14:paraId="4E3F79EB">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lang w:val="en-US" w:eastAsia="zh-CN"/>
        </w:rPr>
      </w:pPr>
      <w:bookmarkStart w:id="81" w:name="_Toc12469"/>
      <w:bookmarkStart w:id="82" w:name="_Toc228"/>
      <w:r>
        <w:rPr>
          <w:rFonts w:hint="default" w:ascii="Times New Roman" w:hAnsi="Times New Roman" w:cs="Times New Roman"/>
          <w:b/>
          <w:color w:val="auto"/>
          <w:sz w:val="28"/>
          <w:szCs w:val="28"/>
          <w:lang w:val="en-US" w:eastAsia="zh-CN"/>
        </w:rPr>
        <w:t>7.1有毒有害物质在大气中的扩散预测与评价</w:t>
      </w:r>
      <w:bookmarkEnd w:id="81"/>
      <w:bookmarkEnd w:id="82"/>
    </w:p>
    <w:p w14:paraId="1030F890">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采用风险导则附录G中G.2推荐的理查德数Ri用为标准判断是否为重质气体。Ri的概念公式为：</w:t>
      </w:r>
    </w:p>
    <w:p w14:paraId="3E231A90">
      <w:pPr>
        <w:widowControl w:val="0"/>
        <w:adjustRightInd w:val="0"/>
        <w:snapToGrid w:val="0"/>
        <w:spacing w:line="360" w:lineRule="auto"/>
        <w:ind w:firstLine="420" w:firstLineChars="20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1677670" cy="453390"/>
            <wp:effectExtent l="0" t="0" r="17780" b="3810"/>
            <wp:docPr id="1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
                    <pic:cNvPicPr>
                      <a:picLocks noChangeAspect="1"/>
                    </pic:cNvPicPr>
                  </pic:nvPicPr>
                  <pic:blipFill>
                    <a:blip r:embed="rId67"/>
                    <a:stretch>
                      <a:fillRect/>
                    </a:stretch>
                  </pic:blipFill>
                  <pic:spPr>
                    <a:xfrm>
                      <a:off x="0" y="0"/>
                      <a:ext cx="1677670" cy="453390"/>
                    </a:xfrm>
                    <a:prstGeom prst="rect">
                      <a:avLst/>
                    </a:prstGeom>
                    <a:noFill/>
                    <a:ln>
                      <a:noFill/>
                    </a:ln>
                  </pic:spPr>
                </pic:pic>
              </a:graphicData>
            </a:graphic>
          </wp:inline>
        </w:drawing>
      </w:r>
    </w:p>
    <w:p w14:paraId="0A7474DD">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Ri是个流体动力学参数。根据不同的排放性质，理查德森数的计算公式不同。一般地，依据排放类型，理查得森数的计算分连续排放、瞬时排放两种形式：</w:t>
      </w:r>
    </w:p>
    <w:p w14:paraId="26040BBF">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连续排放：</w:t>
      </w:r>
    </w:p>
    <w:p w14:paraId="0C8789C3">
      <w:pPr>
        <w:widowControl w:val="0"/>
        <w:adjustRightInd w:val="0"/>
        <w:snapToGrid w:val="0"/>
        <w:spacing w:line="360" w:lineRule="auto"/>
        <w:ind w:firstLine="420" w:firstLineChars="20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2331720" cy="644525"/>
            <wp:effectExtent l="0" t="0" r="11430" b="3175"/>
            <wp:docPr id="1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3"/>
                    <pic:cNvPicPr>
                      <a:picLocks noChangeAspect="1"/>
                    </pic:cNvPicPr>
                  </pic:nvPicPr>
                  <pic:blipFill>
                    <a:blip r:embed="rId68"/>
                    <a:stretch>
                      <a:fillRect/>
                    </a:stretch>
                  </pic:blipFill>
                  <pic:spPr>
                    <a:xfrm>
                      <a:off x="0" y="0"/>
                      <a:ext cx="2331720" cy="644525"/>
                    </a:xfrm>
                    <a:prstGeom prst="rect">
                      <a:avLst/>
                    </a:prstGeom>
                    <a:noFill/>
                    <a:ln>
                      <a:noFill/>
                    </a:ln>
                  </pic:spPr>
                </pic:pic>
              </a:graphicData>
            </a:graphic>
          </wp:inline>
        </w:drawing>
      </w:r>
    </w:p>
    <w:p w14:paraId="37D55554">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瞬时排放：</w:t>
      </w:r>
    </w:p>
    <w:p w14:paraId="371690FE">
      <w:pPr>
        <w:widowControl w:val="0"/>
        <w:adjustRightInd w:val="0"/>
        <w:snapToGrid w:val="0"/>
        <w:spacing w:line="360" w:lineRule="auto"/>
        <w:ind w:firstLine="420" w:firstLineChars="20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2068195" cy="523875"/>
            <wp:effectExtent l="0" t="0" r="8255" b="9525"/>
            <wp:docPr id="1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4"/>
                    <pic:cNvPicPr>
                      <a:picLocks noChangeAspect="1"/>
                    </pic:cNvPicPr>
                  </pic:nvPicPr>
                  <pic:blipFill>
                    <a:blip r:embed="rId69"/>
                    <a:stretch>
                      <a:fillRect/>
                    </a:stretch>
                  </pic:blipFill>
                  <pic:spPr>
                    <a:xfrm>
                      <a:off x="0" y="0"/>
                      <a:ext cx="2068195" cy="523875"/>
                    </a:xfrm>
                    <a:prstGeom prst="rect">
                      <a:avLst/>
                    </a:prstGeom>
                    <a:noFill/>
                    <a:ln>
                      <a:noFill/>
                    </a:ln>
                  </pic:spPr>
                </pic:pic>
              </a:graphicData>
            </a:graphic>
          </wp:inline>
        </w:drawing>
      </w:r>
    </w:p>
    <w:p w14:paraId="3AC6484C">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式中：</w:t>
      </w:r>
    </w:p>
    <w:p w14:paraId="3DD74E9D">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ρ</w:t>
      </w:r>
      <w:r>
        <w:rPr>
          <w:rFonts w:hint="default" w:ascii="Times New Roman" w:hAnsi="Times New Roman" w:cs="Times New Roman"/>
          <w:color w:val="auto"/>
          <w:sz w:val="24"/>
          <w:szCs w:val="32"/>
          <w:vertAlign w:val="subscript"/>
        </w:rPr>
        <w:t>rel</w:t>
      </w:r>
      <w:r>
        <w:rPr>
          <w:rFonts w:hint="default" w:ascii="Times New Roman" w:hAnsi="Times New Roman" w:cs="Times New Roman"/>
          <w:color w:val="auto"/>
          <w:sz w:val="24"/>
          <w:szCs w:val="32"/>
        </w:rPr>
        <w:t>——排放物质进入大气的初始密度，kg/m</w:t>
      </w:r>
      <w:r>
        <w:rPr>
          <w:rFonts w:hint="default" w:ascii="Times New Roman" w:hAnsi="Times New Roman" w:cs="Times New Roman"/>
          <w:color w:val="auto"/>
          <w:sz w:val="24"/>
          <w:szCs w:val="32"/>
          <w:vertAlign w:val="superscript"/>
        </w:rPr>
        <w:t>3</w:t>
      </w:r>
      <w:r>
        <w:rPr>
          <w:rFonts w:hint="default" w:ascii="Times New Roman" w:hAnsi="Times New Roman" w:cs="Times New Roman"/>
          <w:color w:val="auto"/>
          <w:sz w:val="24"/>
          <w:szCs w:val="32"/>
        </w:rPr>
        <w:t>；</w:t>
      </w:r>
    </w:p>
    <w:p w14:paraId="014F4F8B">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ρa——环境空气密度，kg/m</w:t>
      </w:r>
      <w:r>
        <w:rPr>
          <w:rFonts w:hint="default" w:ascii="Times New Roman" w:hAnsi="Times New Roman" w:cs="Times New Roman"/>
          <w:color w:val="auto"/>
          <w:sz w:val="24"/>
          <w:szCs w:val="32"/>
          <w:vertAlign w:val="superscript"/>
        </w:rPr>
        <w:t>3</w:t>
      </w:r>
      <w:r>
        <w:rPr>
          <w:rFonts w:hint="default" w:ascii="Times New Roman" w:hAnsi="Times New Roman" w:cs="Times New Roman"/>
          <w:color w:val="auto"/>
          <w:sz w:val="24"/>
          <w:szCs w:val="32"/>
        </w:rPr>
        <w:t>；</w:t>
      </w:r>
    </w:p>
    <w:p w14:paraId="24937BD5">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Q——连续排放烟羽的排放速率，kg/s；</w:t>
      </w:r>
    </w:p>
    <w:p w14:paraId="0EBE5B83">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Qt——瞬时排放的物质质量，kg；</w:t>
      </w:r>
    </w:p>
    <w:p w14:paraId="29697E8D">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Drel——初始的烟团宽度，即源直径，m；</w:t>
      </w:r>
    </w:p>
    <w:p w14:paraId="4ACA9903">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Ur—10m高处风速，m/s。</w:t>
      </w:r>
    </w:p>
    <w:p w14:paraId="7738C297">
      <w:pPr>
        <w:widowControl w:val="0"/>
        <w:adjustRightInd w:val="0"/>
        <w:snapToGrid w:val="0"/>
        <w:spacing w:line="360" w:lineRule="auto"/>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判定连续排放还是瞬时排放，可以通过对比排放时间Td和污染物到达最近的受体点（网格点或敏感点）的时间T确定。</w:t>
      </w:r>
    </w:p>
    <w:p w14:paraId="6E654963">
      <w:pPr>
        <w:widowControl w:val="0"/>
        <w:adjustRightInd w:val="0"/>
        <w:snapToGrid w:val="0"/>
        <w:spacing w:line="360" w:lineRule="auto"/>
        <w:ind w:firstLine="420" w:firstLineChars="200"/>
        <w:jc w:val="center"/>
        <w:rPr>
          <w:rFonts w:hint="default" w:ascii="Times New Roman" w:hAnsi="Times New Roman" w:cs="Times New Roman"/>
          <w:color w:val="auto"/>
          <w:position w:val="-30"/>
        </w:rPr>
      </w:pPr>
      <w:r>
        <w:rPr>
          <w:rFonts w:hint="default" w:ascii="Times New Roman" w:hAnsi="Times New Roman" w:cs="Times New Roman"/>
          <w:color w:val="auto"/>
          <w:position w:val="-30"/>
        </w:rPr>
        <w:object>
          <v:shape id="_x0000_i1026" o:spt="75" type="#_x0000_t75" style="height:35.45pt;width:41.9pt;" o:ole="t" filled="f" o:preferrelative="t" stroked="f" coordsize="21600,21600">
            <v:path/>
            <v:fill on="f" focussize="0,0"/>
            <v:stroke on="f"/>
            <v:imagedata r:id="rId71" o:title=""/>
            <o:lock v:ext="edit" aspectratio="t"/>
            <w10:wrap type="none"/>
            <w10:anchorlock/>
          </v:shape>
          <o:OLEObject Type="Embed" ProgID="Equation.DSMT4" ShapeID="_x0000_i1026" DrawAspect="Content" ObjectID="_1468075726" r:id="rId70">
            <o:LockedField>false</o:LockedField>
          </o:OLEObject>
        </w:object>
      </w:r>
    </w:p>
    <w:p w14:paraId="3403B5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式中：</w:t>
      </w:r>
    </w:p>
    <w:p w14:paraId="4859C4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X——事故发生地与计算点的距离，m，取网格点间距50m；</w:t>
      </w:r>
    </w:p>
    <w:p w14:paraId="4A5F21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Ur——10m高处风速，m/s。假设风速和风向在T时间段内保持不变，按导则推荐最不利风速1.5m/s取值。</w:t>
      </w:r>
    </w:p>
    <w:p w14:paraId="4CC050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当T</w:t>
      </w:r>
      <w:r>
        <w:rPr>
          <w:rFonts w:hint="default" w:ascii="Times New Roman" w:hAnsi="Times New Roman" w:cs="Times New Roman"/>
          <w:color w:val="auto"/>
          <w:sz w:val="24"/>
          <w:szCs w:val="32"/>
          <w:vertAlign w:val="subscript"/>
        </w:rPr>
        <w:t>d</w:t>
      </w:r>
      <w:r>
        <w:rPr>
          <w:rFonts w:hint="default" w:ascii="Times New Roman" w:hAnsi="Times New Roman" w:cs="Times New Roman"/>
          <w:color w:val="auto"/>
          <w:sz w:val="24"/>
          <w:szCs w:val="32"/>
        </w:rPr>
        <w:t>＞T时，可被认为是连续排放；当T</w:t>
      </w:r>
      <w:r>
        <w:rPr>
          <w:rFonts w:hint="default" w:ascii="Times New Roman" w:hAnsi="Times New Roman" w:cs="Times New Roman"/>
          <w:color w:val="auto"/>
          <w:sz w:val="24"/>
          <w:szCs w:val="32"/>
          <w:vertAlign w:val="subscript"/>
        </w:rPr>
        <w:t>d</w:t>
      </w:r>
      <w:r>
        <w:rPr>
          <w:rFonts w:hint="default" w:ascii="Times New Roman" w:hAnsi="Times New Roman" w:cs="Times New Roman"/>
          <w:color w:val="auto"/>
          <w:sz w:val="24"/>
          <w:szCs w:val="32"/>
        </w:rPr>
        <w:t>≤T时，可被认为是瞬时排放。</w:t>
      </w:r>
    </w:p>
    <w:p w14:paraId="35AB27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 xml:space="preserve">对于连续排放，Ri≥1/6为重质气体，Ri＜1/6为轻质气体；对于瞬时排放，Ri＞0.04为重质气体，Ri≤0.04为轻质气体。当Ri处于临界值附近时，说明烟团/烟羽既不是典型的重质气体扩散，也不是典型的轻质气体扩散。可以进行敏感性分析，分别采用重质气体和轻质气体模型进行模拟，选取影响范围最大的结果。 </w:t>
      </w:r>
    </w:p>
    <w:p w14:paraId="02796DA5">
      <w:pPr>
        <w:pStyle w:val="2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u w:val="none" w:color="auto"/>
          <w:lang w:eastAsia="zh-CN"/>
        </w:rPr>
      </w:pPr>
      <w:r>
        <w:rPr>
          <w:rFonts w:hint="default" w:ascii="Times New Roman" w:hAnsi="Times New Roman" w:cs="Times New Roman"/>
          <w:color w:val="auto"/>
          <w:sz w:val="24"/>
          <w:szCs w:val="32"/>
        </w:rPr>
        <w:t>根据导则附录G2推荐的理查德森数判定，本项目泄漏</w:t>
      </w:r>
      <w:r>
        <w:rPr>
          <w:rFonts w:hint="default" w:ascii="Times New Roman" w:hAnsi="Times New Roman" w:cs="Times New Roman"/>
          <w:color w:val="auto"/>
          <w:sz w:val="24"/>
          <w:szCs w:val="32"/>
          <w:lang w:val="en-US" w:eastAsia="zh-CN"/>
        </w:rPr>
        <w:t>引起火灾</w:t>
      </w:r>
      <w:r>
        <w:rPr>
          <w:rFonts w:hint="default" w:ascii="Times New Roman" w:hAnsi="Times New Roman" w:cs="Times New Roman"/>
          <w:color w:val="auto"/>
          <w:sz w:val="24"/>
          <w:szCs w:val="32"/>
        </w:rPr>
        <w:t>风险事故中排放的</w:t>
      </w:r>
      <w:r>
        <w:rPr>
          <w:rFonts w:hint="eastAsia" w:cs="Times New Roman"/>
          <w:color w:val="auto"/>
          <w:sz w:val="24"/>
          <w:szCs w:val="32"/>
          <w:lang w:val="en-US" w:eastAsia="zh-CN"/>
        </w:rPr>
        <w:t>氯气</w:t>
      </w:r>
      <w:r>
        <w:rPr>
          <w:rFonts w:hint="default" w:ascii="Times New Roman" w:hAnsi="Times New Roman" w:cs="Times New Roman"/>
          <w:color w:val="auto"/>
          <w:sz w:val="24"/>
          <w:szCs w:val="32"/>
        </w:rPr>
        <w:t>为</w:t>
      </w:r>
      <w:r>
        <w:rPr>
          <w:rFonts w:hint="eastAsia" w:cs="Times New Roman"/>
          <w:color w:val="auto"/>
          <w:sz w:val="24"/>
          <w:szCs w:val="32"/>
          <w:lang w:val="en-US" w:eastAsia="zh-CN"/>
        </w:rPr>
        <w:t>重质</w:t>
      </w:r>
      <w:r>
        <w:rPr>
          <w:rFonts w:hint="default" w:ascii="Times New Roman" w:hAnsi="Times New Roman" w:cs="Times New Roman"/>
          <w:color w:val="auto"/>
          <w:sz w:val="24"/>
          <w:szCs w:val="32"/>
        </w:rPr>
        <w:t>气体，采用附录G推荐的SLAB模式，SLAB模式是适用于平坦地形下重质气体排放的扩散模拟。</w:t>
      </w:r>
    </w:p>
    <w:p w14:paraId="612DC679">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default" w:ascii="Times New Roman" w:hAnsi="Times New Roman" w:cs="Times New Roman"/>
          <w:b/>
          <w:bCs/>
          <w:color w:val="auto"/>
          <w:spacing w:val="6"/>
          <w:sz w:val="24"/>
          <w:szCs w:val="24"/>
          <w:lang w:val="en-US" w:eastAsia="zh-CN"/>
        </w:rPr>
      </w:pPr>
      <w:r>
        <w:rPr>
          <w:rFonts w:hint="eastAsia" w:ascii="Times New Roman" w:hAnsi="Times New Roman" w:cs="Times New Roman"/>
          <w:b/>
          <w:bCs/>
          <w:color w:val="auto"/>
          <w:spacing w:val="6"/>
          <w:sz w:val="24"/>
          <w:szCs w:val="24"/>
          <w:lang w:val="en-US" w:eastAsia="zh-CN"/>
        </w:rPr>
        <w:t>1、</w:t>
      </w:r>
      <w:r>
        <w:rPr>
          <w:rFonts w:hint="default" w:ascii="Times New Roman" w:hAnsi="Times New Roman" w:cs="Times New Roman"/>
          <w:b/>
          <w:bCs/>
          <w:color w:val="auto"/>
          <w:spacing w:val="6"/>
          <w:sz w:val="24"/>
          <w:szCs w:val="24"/>
          <w:lang w:val="en-US" w:eastAsia="zh-CN"/>
        </w:rPr>
        <w:t>预测情景</w:t>
      </w:r>
      <w:r>
        <w:rPr>
          <w:rFonts w:hint="eastAsia" w:ascii="Times New Roman" w:hAnsi="Times New Roman" w:cs="Times New Roman"/>
          <w:b/>
          <w:bCs/>
          <w:color w:val="auto"/>
          <w:spacing w:val="6"/>
          <w:sz w:val="24"/>
          <w:szCs w:val="24"/>
          <w:lang w:val="en-US" w:eastAsia="zh-CN"/>
        </w:rPr>
        <w:t>和内容</w:t>
      </w:r>
    </w:p>
    <w:p w14:paraId="64306A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根据上文各种情况下大气环境风险源强计算结果，同时考虑</w:t>
      </w:r>
      <w:r>
        <w:rPr>
          <w:rFonts w:hint="eastAsia" w:ascii="Times New Roman" w:hAnsi="Times New Roman" w:cs="Times New Roman"/>
          <w:color w:val="auto"/>
          <w:sz w:val="24"/>
          <w:szCs w:val="24"/>
          <w:lang w:val="en-US" w:eastAsia="zh-CN"/>
        </w:rPr>
        <w:t>涉及的主要</w:t>
      </w:r>
      <w:r>
        <w:rPr>
          <w:rFonts w:hint="default" w:ascii="Times New Roman" w:hAnsi="Times New Roman" w:cs="Times New Roman"/>
          <w:color w:val="auto"/>
          <w:sz w:val="24"/>
          <w:szCs w:val="24"/>
        </w:rPr>
        <w:t>风险物质的大气毒性终点浓度，本次大气环境风险预测</w:t>
      </w:r>
      <w:r>
        <w:rPr>
          <w:rFonts w:hint="default" w:ascii="Times New Roman" w:hAnsi="Times New Roman" w:cs="Times New Roman"/>
          <w:color w:val="auto"/>
          <w:sz w:val="24"/>
          <w:szCs w:val="24"/>
          <w:highlight w:val="none"/>
        </w:rPr>
        <w:t>选取</w:t>
      </w:r>
      <w:r>
        <w:rPr>
          <w:rFonts w:hint="default" w:ascii="Times New Roman" w:hAnsi="Times New Roman" w:cs="Times New Roman"/>
          <w:color w:val="0000FF"/>
          <w:sz w:val="24"/>
          <w:szCs w:val="24"/>
          <w:highlight w:val="none"/>
        </w:rPr>
        <w:t>：</w:t>
      </w:r>
      <w:r>
        <w:rPr>
          <w:rFonts w:hint="eastAsia" w:ascii="Times New Roman" w:hAnsi="Times New Roman" w:cs="Times New Roman"/>
          <w:color w:val="auto"/>
          <w:sz w:val="24"/>
          <w:szCs w:val="24"/>
          <w:lang w:val="en-US" w:eastAsia="zh-CN"/>
        </w:rPr>
        <w:t>氯气</w:t>
      </w:r>
      <w:r>
        <w:rPr>
          <w:rFonts w:hint="default" w:ascii="Times New Roman" w:hAnsi="Times New Roman" w:cs="Times New Roman"/>
          <w:color w:val="auto"/>
          <w:sz w:val="24"/>
          <w:szCs w:val="24"/>
        </w:rPr>
        <w:t>泄漏发生</w:t>
      </w:r>
      <w:r>
        <w:rPr>
          <w:rFonts w:hint="eastAsia" w:ascii="Times New Roman" w:hAnsi="Times New Roman" w:cs="Times New Roman"/>
          <w:color w:val="auto"/>
          <w:sz w:val="24"/>
          <w:szCs w:val="24"/>
          <w:lang w:val="en-US" w:eastAsia="zh-CN"/>
        </w:rPr>
        <w:t>大气环境污染风险事件</w:t>
      </w:r>
      <w:r>
        <w:rPr>
          <w:rFonts w:hint="default" w:ascii="Times New Roman" w:hAnsi="Times New Roman" w:cs="Times New Roman"/>
          <w:color w:val="auto"/>
          <w:sz w:val="24"/>
          <w:szCs w:val="24"/>
        </w:rPr>
        <w:t>作为预测情景。</w:t>
      </w:r>
    </w:p>
    <w:p w14:paraId="3FE1CA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本次环境风险预测</w:t>
      </w:r>
      <w:r>
        <w:rPr>
          <w:rFonts w:hint="default" w:ascii="Times New Roman" w:hAnsi="Times New Roman" w:cs="Times New Roman"/>
          <w:color w:val="auto"/>
          <w:sz w:val="24"/>
          <w:szCs w:val="24"/>
        </w:rPr>
        <w:t>选择适用的</w:t>
      </w:r>
      <w:r>
        <w:rPr>
          <w:rFonts w:hint="default" w:ascii="Times New Roman" w:hAnsi="Times New Roman" w:cs="Times New Roman"/>
          <w:color w:val="auto"/>
          <w:sz w:val="24"/>
          <w:szCs w:val="32"/>
        </w:rPr>
        <w:t>SLAB</w:t>
      </w:r>
      <w:r>
        <w:rPr>
          <w:rFonts w:hint="eastAsia" w:ascii="Times New Roman" w:hAnsi="Times New Roman" w:cs="Times New Roman"/>
          <w:color w:val="auto"/>
          <w:sz w:val="24"/>
          <w:szCs w:val="32"/>
          <w:lang w:val="en-US" w:eastAsia="zh-CN"/>
        </w:rPr>
        <w:t>模式</w:t>
      </w:r>
      <w:r>
        <w:rPr>
          <w:rFonts w:hint="default" w:ascii="Times New Roman" w:hAnsi="Times New Roman" w:cs="Times New Roman"/>
          <w:color w:val="auto"/>
          <w:sz w:val="24"/>
          <w:szCs w:val="24"/>
        </w:rPr>
        <w:t>方法进行分析预测，给出风险事故情形下危险物质释放可能造成的大气环境影响范围与程度。</w:t>
      </w:r>
    </w:p>
    <w:p w14:paraId="11E747EB">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default" w:ascii="Times New Roman" w:hAnsi="Times New Roman" w:cs="Times New Roman"/>
          <w:b/>
          <w:bCs/>
          <w:color w:val="auto"/>
          <w:spacing w:val="6"/>
          <w:sz w:val="24"/>
          <w:szCs w:val="24"/>
          <w:lang w:val="en-US" w:eastAsia="zh-CN"/>
        </w:rPr>
      </w:pPr>
      <w:r>
        <w:rPr>
          <w:rFonts w:hint="default" w:ascii="Times New Roman" w:hAnsi="Times New Roman" w:cs="Times New Roman"/>
          <w:b/>
          <w:bCs/>
          <w:color w:val="auto"/>
          <w:spacing w:val="6"/>
          <w:sz w:val="24"/>
          <w:szCs w:val="24"/>
          <w:lang w:val="en-US" w:eastAsia="zh-CN"/>
        </w:rPr>
        <w:t>2</w:t>
      </w:r>
      <w:r>
        <w:rPr>
          <w:rFonts w:hint="eastAsia" w:ascii="Times New Roman" w:hAnsi="Times New Roman" w:cs="Times New Roman"/>
          <w:b/>
          <w:bCs/>
          <w:color w:val="auto"/>
          <w:spacing w:val="6"/>
          <w:sz w:val="24"/>
          <w:szCs w:val="24"/>
          <w:lang w:val="en-US" w:eastAsia="zh-CN"/>
        </w:rPr>
        <w:t>、</w:t>
      </w:r>
      <w:r>
        <w:rPr>
          <w:rFonts w:hint="default" w:ascii="Times New Roman" w:hAnsi="Times New Roman" w:cs="Times New Roman"/>
          <w:b/>
          <w:bCs/>
          <w:color w:val="auto"/>
          <w:spacing w:val="6"/>
          <w:sz w:val="24"/>
          <w:szCs w:val="24"/>
          <w:lang w:val="en-US" w:eastAsia="zh-CN"/>
        </w:rPr>
        <w:t>预测因子</w:t>
      </w:r>
    </w:p>
    <w:p w14:paraId="3521A5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rPr>
        <w:t>本次预测因子选取</w:t>
      </w:r>
      <w:r>
        <w:rPr>
          <w:rFonts w:hint="eastAsia" w:ascii="Times New Roman" w:hAnsi="Times New Roman" w:cs="Times New Roman"/>
          <w:color w:val="auto"/>
          <w:sz w:val="24"/>
          <w:szCs w:val="24"/>
          <w:lang w:val="en-US" w:eastAsia="zh-CN"/>
        </w:rPr>
        <w:t>Cl</w:t>
      </w:r>
      <w:r>
        <w:rPr>
          <w:rFonts w:hint="eastAsia" w:ascii="Times New Roman" w:hAnsi="Times New Roman" w:cs="Times New Roman"/>
          <w:color w:val="auto"/>
          <w:sz w:val="24"/>
          <w:szCs w:val="24"/>
          <w:vertAlign w:val="subscript"/>
          <w:lang w:val="en-US" w:eastAsia="zh-CN"/>
        </w:rPr>
        <w:t>2</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根据风险导则，“4.4.4.1对于存在极高大气环境风险的项目，应进一步开展关心点概率分析”“Ⅳ+为极高环境风险”，本项目大气环境风险等级为Ⅲ，不属于极高大气环境风险，本次评价不开展关心点概率分析。</w:t>
      </w:r>
    </w:p>
    <w:p w14:paraId="20E736C7">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default" w:ascii="Times New Roman" w:hAnsi="Times New Roman" w:cs="Times New Roman"/>
          <w:b/>
          <w:bCs/>
          <w:color w:val="auto"/>
          <w:spacing w:val="6"/>
          <w:sz w:val="24"/>
          <w:szCs w:val="24"/>
          <w:lang w:val="en-US" w:eastAsia="zh-CN"/>
        </w:rPr>
      </w:pPr>
      <w:r>
        <w:rPr>
          <w:rFonts w:hint="default" w:ascii="Times New Roman" w:hAnsi="Times New Roman" w:cs="Times New Roman"/>
          <w:b/>
          <w:bCs/>
          <w:color w:val="auto"/>
          <w:spacing w:val="6"/>
          <w:sz w:val="24"/>
          <w:szCs w:val="24"/>
          <w:lang w:val="en-US" w:eastAsia="zh-CN"/>
        </w:rPr>
        <w:t>3</w:t>
      </w:r>
      <w:r>
        <w:rPr>
          <w:rFonts w:hint="eastAsia" w:ascii="Times New Roman" w:hAnsi="Times New Roman" w:cs="Times New Roman"/>
          <w:b/>
          <w:bCs/>
          <w:color w:val="auto"/>
          <w:spacing w:val="6"/>
          <w:sz w:val="24"/>
          <w:szCs w:val="24"/>
          <w:lang w:val="en-US" w:eastAsia="zh-CN"/>
        </w:rPr>
        <w:t>、</w:t>
      </w:r>
      <w:r>
        <w:rPr>
          <w:rFonts w:hint="default" w:ascii="Times New Roman" w:hAnsi="Times New Roman" w:cs="Times New Roman"/>
          <w:b/>
          <w:bCs/>
          <w:color w:val="auto"/>
          <w:spacing w:val="6"/>
          <w:sz w:val="24"/>
          <w:szCs w:val="24"/>
          <w:lang w:val="en-US" w:eastAsia="zh-CN"/>
        </w:rPr>
        <w:t>预测</w:t>
      </w:r>
      <w:r>
        <w:rPr>
          <w:rFonts w:hint="eastAsia" w:ascii="Times New Roman" w:hAnsi="Times New Roman" w:cs="Times New Roman"/>
          <w:b/>
          <w:bCs/>
          <w:color w:val="auto"/>
          <w:spacing w:val="6"/>
          <w:sz w:val="24"/>
          <w:szCs w:val="24"/>
          <w:lang w:val="en-US" w:eastAsia="zh-CN"/>
        </w:rPr>
        <w:t>范围与</w:t>
      </w:r>
      <w:r>
        <w:rPr>
          <w:rFonts w:hint="default" w:ascii="Times New Roman" w:hAnsi="Times New Roman" w:cs="Times New Roman"/>
          <w:b/>
          <w:bCs/>
          <w:color w:val="auto"/>
          <w:spacing w:val="6"/>
          <w:sz w:val="24"/>
          <w:szCs w:val="24"/>
          <w:lang w:val="en-US" w:eastAsia="zh-CN"/>
        </w:rPr>
        <w:t xml:space="preserve">计算点 </w:t>
      </w:r>
    </w:p>
    <w:p w14:paraId="77B1AC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本项目风险评价等级为</w:t>
      </w:r>
      <w:r>
        <w:rPr>
          <w:rFonts w:hint="eastAsia" w:ascii="Times New Roman" w:hAnsi="Times New Roman" w:cs="Times New Roman"/>
          <w:color w:val="auto"/>
          <w:sz w:val="24"/>
          <w:szCs w:val="24"/>
          <w:lang w:val="en-US" w:eastAsia="zh-CN"/>
        </w:rPr>
        <w:t>二</w:t>
      </w:r>
      <w:r>
        <w:rPr>
          <w:rFonts w:hint="default" w:ascii="Times New Roman" w:hAnsi="Times New Roman" w:cs="Times New Roman"/>
          <w:color w:val="auto"/>
          <w:sz w:val="24"/>
          <w:szCs w:val="24"/>
          <w:lang w:val="en-US" w:eastAsia="zh-CN"/>
        </w:rPr>
        <w:t>级，</w:t>
      </w:r>
      <w:r>
        <w:rPr>
          <w:rFonts w:hint="eastAsia" w:ascii="Times New Roman" w:hAnsi="Times New Roman" w:cs="Times New Roman"/>
          <w:color w:val="auto"/>
          <w:sz w:val="24"/>
          <w:szCs w:val="24"/>
          <w:lang w:val="en-US" w:eastAsia="zh-CN"/>
        </w:rPr>
        <w:t>预测范围定位事故发生地至下风向5km区域（预测物质浓度达到评价标准时的最大影响范围），</w:t>
      </w:r>
      <w:r>
        <w:rPr>
          <w:rFonts w:hint="default" w:ascii="Times New Roman" w:hAnsi="Times New Roman" w:cs="Times New Roman"/>
          <w:color w:val="auto"/>
          <w:sz w:val="24"/>
          <w:szCs w:val="24"/>
          <w:lang w:val="en-US" w:eastAsia="zh-CN"/>
        </w:rPr>
        <w:t>计算点包括一般计算点，计算点考虑下风向5km范围，网格间距为50m。</w:t>
      </w:r>
    </w:p>
    <w:p w14:paraId="4799C410">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default" w:ascii="Times New Roman" w:hAnsi="Times New Roman" w:cs="Times New Roman"/>
          <w:b/>
          <w:bCs/>
          <w:color w:val="auto"/>
          <w:spacing w:val="6"/>
          <w:sz w:val="24"/>
          <w:szCs w:val="24"/>
        </w:rPr>
      </w:pPr>
      <w:r>
        <w:rPr>
          <w:rFonts w:hint="eastAsia" w:ascii="Times New Roman" w:hAnsi="Times New Roman" w:cs="Times New Roman"/>
          <w:b/>
          <w:bCs/>
          <w:color w:val="auto"/>
          <w:spacing w:val="6"/>
          <w:sz w:val="24"/>
          <w:szCs w:val="24"/>
          <w:lang w:val="en-US" w:eastAsia="zh-CN"/>
        </w:rPr>
        <w:t>4</w:t>
      </w:r>
      <w:r>
        <w:rPr>
          <w:rFonts w:hint="eastAsia" w:ascii="Times New Roman" w:hAnsi="Times New Roman" w:cs="Times New Roman"/>
          <w:b/>
          <w:bCs/>
          <w:color w:val="auto"/>
          <w:spacing w:val="6"/>
          <w:sz w:val="24"/>
          <w:szCs w:val="24"/>
          <w:lang w:eastAsia="zh-CN"/>
        </w:rPr>
        <w:t>、</w:t>
      </w:r>
      <w:r>
        <w:rPr>
          <w:rFonts w:hint="default" w:ascii="Times New Roman" w:hAnsi="Times New Roman" w:cs="Times New Roman"/>
          <w:b/>
          <w:bCs/>
          <w:color w:val="auto"/>
          <w:spacing w:val="6"/>
          <w:sz w:val="24"/>
          <w:szCs w:val="24"/>
        </w:rPr>
        <w:t>气象参数</w:t>
      </w:r>
    </w:p>
    <w:p w14:paraId="7B7684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本项目风险评价等级为二级评价，根据《建设项目环境风险评价技术导则》（HJ169-2018），需选取选择最不利气象进行后果预测，最不利气象条件F类稳定度，1.5m/s风速，温度25℃，相对湿度50%进行后果预测。</w:t>
      </w:r>
    </w:p>
    <w:p w14:paraId="7920C59A">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eastAsia" w:ascii="Times New Roman" w:hAnsi="Times New Roman" w:cs="Times New Roman"/>
          <w:b/>
          <w:bCs/>
          <w:color w:val="auto"/>
          <w:spacing w:val="6"/>
          <w:sz w:val="24"/>
          <w:szCs w:val="24"/>
          <w:lang w:val="en-US" w:eastAsia="zh-CN"/>
        </w:rPr>
      </w:pPr>
      <w:r>
        <w:rPr>
          <w:rFonts w:hint="eastAsia" w:ascii="Times New Roman" w:hAnsi="Times New Roman" w:cs="Times New Roman"/>
          <w:b/>
          <w:bCs/>
          <w:color w:val="auto"/>
          <w:spacing w:val="6"/>
          <w:sz w:val="24"/>
          <w:szCs w:val="24"/>
          <w:lang w:val="en-US" w:eastAsia="zh-CN"/>
        </w:rPr>
        <w:t>5、大气毒性终点浓度值选取</w:t>
      </w:r>
    </w:p>
    <w:p w14:paraId="440072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根据风险导则，大气毒性终点浓度值分为1、2级。其中1级为当大气中危险物质浓度低于该限值时，绝大多数人员暴露1h不会对生命造成威胁，当超过该限值时，有可能对人群造成生命威胁；2级为当大气中危险物质浓度低于该限值时，暴露1h一般不会对人体造成不可逆的伤害，或出现的症状一般不会损伤该个体采取有效防护措施的能力。</w:t>
      </w:r>
    </w:p>
    <w:p w14:paraId="3A4F96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本项目环境风险物质的大气毒性终点浓度值见下表。</w:t>
      </w:r>
    </w:p>
    <w:p w14:paraId="0FA0D894">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w:t>
      </w:r>
      <w:r>
        <w:rPr>
          <w:rFonts w:hint="eastAsia"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 xml:space="preserve">1   </w:t>
      </w:r>
      <w:r>
        <w:rPr>
          <w:rFonts w:hint="eastAsia" w:ascii="Times New Roman" w:hAnsi="Times New Roman" w:eastAsia="宋体" w:cs="Times New Roman"/>
          <w:color w:val="auto"/>
          <w:sz w:val="24"/>
          <w:szCs w:val="24"/>
          <w:lang w:val="en-US" w:eastAsia="zh-CN"/>
        </w:rPr>
        <w:t xml:space="preserve"> 物质大气毒性终点浓度值</w:t>
      </w:r>
    </w:p>
    <w:tbl>
      <w:tblPr>
        <w:tblStyle w:val="2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1056"/>
        <w:gridCol w:w="1097"/>
        <w:gridCol w:w="2864"/>
        <w:gridCol w:w="2864"/>
      </w:tblGrid>
      <w:tr w14:paraId="52322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BAFFC">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序号</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82C9">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物质名称</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1FC08">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CAS 号</w:t>
            </w:r>
          </w:p>
        </w:tc>
        <w:tc>
          <w:tcPr>
            <w:tcW w:w="1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FD00C">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毒性终点浓度-1/（mg/m3）</w:t>
            </w:r>
          </w:p>
        </w:tc>
        <w:tc>
          <w:tcPr>
            <w:tcW w:w="1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9EBD0">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毒性终点浓度-2/（mg/m3）</w:t>
            </w:r>
          </w:p>
        </w:tc>
      </w:tr>
      <w:tr w14:paraId="5B30F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1A29">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1</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27CB6">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Cl</w:t>
            </w:r>
            <w:r>
              <w:rPr>
                <w:rFonts w:hint="eastAsia" w:ascii="Times New Roman" w:hAnsi="Times New Roman"/>
                <w:szCs w:val="21"/>
                <w:vertAlign w:val="subscript"/>
                <w:lang w:val="en-US" w:eastAsia="zh-CN"/>
              </w:rPr>
              <w:t>2</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DE79">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7782-50-5</w:t>
            </w:r>
          </w:p>
        </w:tc>
        <w:tc>
          <w:tcPr>
            <w:tcW w:w="1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76B4E">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58</w:t>
            </w:r>
          </w:p>
        </w:tc>
        <w:tc>
          <w:tcPr>
            <w:tcW w:w="1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09B4">
            <w:pPr>
              <w:adjustRightInd w:val="0"/>
              <w:snapToGrid w:val="0"/>
              <w:jc w:val="center"/>
              <w:rPr>
                <w:rFonts w:hint="eastAsia" w:ascii="Times New Roman" w:hAnsi="Times New Roman"/>
                <w:szCs w:val="21"/>
                <w:lang w:val="en-US" w:eastAsia="zh-CN"/>
              </w:rPr>
            </w:pPr>
            <w:r>
              <w:rPr>
                <w:rFonts w:hint="eastAsia" w:ascii="Times New Roman" w:hAnsi="Times New Roman"/>
                <w:szCs w:val="21"/>
                <w:lang w:val="en-US" w:eastAsia="zh-CN"/>
              </w:rPr>
              <w:t>5.8</w:t>
            </w:r>
          </w:p>
        </w:tc>
      </w:tr>
    </w:tbl>
    <w:p w14:paraId="0838B7BD">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eastAsia" w:ascii="Times New Roman" w:hAnsi="Times New Roman" w:cs="Times New Roman"/>
          <w:b/>
          <w:bCs/>
          <w:color w:val="auto"/>
          <w:spacing w:val="6"/>
          <w:sz w:val="24"/>
          <w:szCs w:val="24"/>
          <w:lang w:val="en-US" w:eastAsia="zh-CN"/>
        </w:rPr>
      </w:pPr>
      <w:r>
        <w:rPr>
          <w:rFonts w:hint="eastAsia" w:ascii="Times New Roman" w:hAnsi="Times New Roman" w:cs="Times New Roman"/>
          <w:b/>
          <w:bCs/>
          <w:color w:val="auto"/>
          <w:spacing w:val="6"/>
          <w:sz w:val="24"/>
          <w:szCs w:val="24"/>
          <w:lang w:val="en-US" w:eastAsia="zh-CN"/>
        </w:rPr>
        <w:t xml:space="preserve">6、预测结果 </w:t>
      </w:r>
    </w:p>
    <w:p w14:paraId="3B6BAB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snapToGrid w:val="0"/>
          <w:sz w:val="24"/>
          <w:szCs w:val="24"/>
        </w:rPr>
      </w:pPr>
      <w:r>
        <w:rPr>
          <w:rFonts w:hint="eastAsia" w:ascii="Times New Roman" w:hAnsi="Times New Roman" w:cs="Times New Roman"/>
          <w:color w:val="auto"/>
          <w:sz w:val="24"/>
          <w:szCs w:val="24"/>
          <w:lang w:val="en-US" w:eastAsia="zh-CN"/>
        </w:rPr>
        <w:t>本次风险预测选取</w:t>
      </w:r>
      <w:r>
        <w:rPr>
          <w:rFonts w:hint="eastAsia" w:ascii="Times New Roman" w:hAnsi="Times New Roman"/>
          <w:snapToGrid w:val="0"/>
          <w:sz w:val="24"/>
          <w:szCs w:val="24"/>
        </w:rPr>
        <w:t>主要参数详见下表：</w:t>
      </w:r>
    </w:p>
    <w:p w14:paraId="2C9F56EC">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表7-</w:t>
      </w:r>
      <w:r>
        <w:rPr>
          <w:rFonts w:hint="eastAsia"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 xml:space="preserve">  大气风险预测模型主要参数表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2"/>
        <w:gridCol w:w="3133"/>
        <w:gridCol w:w="3321"/>
      </w:tblGrid>
      <w:tr w14:paraId="7764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Align w:val="center"/>
          </w:tcPr>
          <w:p w14:paraId="77D65427">
            <w:pPr>
              <w:jc w:val="center"/>
              <w:rPr>
                <w:rFonts w:ascii="Times New Roman" w:hAnsi="Times New Roman"/>
              </w:rPr>
            </w:pPr>
            <w:r>
              <w:rPr>
                <w:rFonts w:hint="eastAsia" w:ascii="Times New Roman" w:hAnsi="Times New Roman"/>
              </w:rPr>
              <w:t>参数类型</w:t>
            </w:r>
          </w:p>
        </w:tc>
        <w:tc>
          <w:tcPr>
            <w:tcW w:w="3133" w:type="dxa"/>
            <w:vAlign w:val="center"/>
          </w:tcPr>
          <w:p w14:paraId="746753C0">
            <w:pPr>
              <w:jc w:val="center"/>
              <w:rPr>
                <w:rFonts w:ascii="Times New Roman" w:hAnsi="Times New Roman"/>
              </w:rPr>
            </w:pPr>
            <w:r>
              <w:rPr>
                <w:rFonts w:hint="eastAsia" w:ascii="Times New Roman" w:hAnsi="Times New Roman"/>
              </w:rPr>
              <w:t>选项</w:t>
            </w:r>
          </w:p>
        </w:tc>
        <w:tc>
          <w:tcPr>
            <w:tcW w:w="3321" w:type="dxa"/>
            <w:vAlign w:val="center"/>
          </w:tcPr>
          <w:p w14:paraId="466DA51D">
            <w:pPr>
              <w:jc w:val="center"/>
              <w:rPr>
                <w:rFonts w:ascii="Times New Roman" w:hAnsi="Times New Roman"/>
              </w:rPr>
            </w:pPr>
            <w:r>
              <w:rPr>
                <w:rFonts w:hint="eastAsia" w:ascii="Times New Roman" w:hAnsi="Times New Roman"/>
                <w:lang w:val="en-US" w:eastAsia="zh-CN"/>
              </w:rPr>
              <w:t>加氯机泄漏</w:t>
            </w:r>
            <w:r>
              <w:rPr>
                <w:rFonts w:hint="eastAsia" w:ascii="Times New Roman" w:hAnsi="Times New Roman"/>
              </w:rPr>
              <w:t>参数</w:t>
            </w:r>
          </w:p>
        </w:tc>
      </w:tr>
      <w:tr w14:paraId="03A8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restart"/>
            <w:vAlign w:val="center"/>
          </w:tcPr>
          <w:p w14:paraId="56469BB6">
            <w:pPr>
              <w:jc w:val="center"/>
              <w:rPr>
                <w:rFonts w:ascii="Times New Roman" w:hAnsi="Times New Roman"/>
              </w:rPr>
            </w:pPr>
            <w:r>
              <w:rPr>
                <w:rFonts w:hint="eastAsia" w:ascii="Times New Roman" w:hAnsi="Times New Roman"/>
              </w:rPr>
              <w:t>基本情况</w:t>
            </w:r>
          </w:p>
        </w:tc>
        <w:tc>
          <w:tcPr>
            <w:tcW w:w="3133" w:type="dxa"/>
            <w:vAlign w:val="center"/>
          </w:tcPr>
          <w:p w14:paraId="6DD07EFD">
            <w:pPr>
              <w:jc w:val="center"/>
              <w:rPr>
                <w:rFonts w:ascii="Times New Roman" w:hAnsi="Times New Roman"/>
              </w:rPr>
            </w:pPr>
            <w:r>
              <w:rPr>
                <w:rFonts w:hint="eastAsia" w:ascii="Times New Roman" w:hAnsi="Times New Roman"/>
              </w:rPr>
              <w:t>事故源经度</w:t>
            </w:r>
          </w:p>
        </w:tc>
        <w:tc>
          <w:tcPr>
            <w:tcW w:w="3321" w:type="dxa"/>
            <w:vAlign w:val="center"/>
          </w:tcPr>
          <w:p w14:paraId="310E10D7">
            <w:pPr>
              <w:jc w:val="center"/>
              <w:rPr>
                <w:rFonts w:ascii="Times New Roman" w:hAnsi="Times New Roman"/>
              </w:rPr>
            </w:pPr>
            <w:r>
              <w:rPr>
                <w:rFonts w:hint="eastAsia" w:ascii="Times New Roman" w:hAnsi="Times New Roman"/>
              </w:rPr>
              <w:t>113°5′21.751”</w:t>
            </w:r>
            <w:r>
              <w:rPr>
                <w:rFonts w:ascii="Times New Roman" w:hAnsi="Times New Roman"/>
              </w:rPr>
              <w:t>E</w:t>
            </w:r>
          </w:p>
        </w:tc>
      </w:tr>
      <w:tr w14:paraId="2E41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7FBA608D">
            <w:pPr>
              <w:jc w:val="center"/>
              <w:rPr>
                <w:rFonts w:ascii="Times New Roman" w:hAnsi="Times New Roman"/>
              </w:rPr>
            </w:pPr>
          </w:p>
        </w:tc>
        <w:tc>
          <w:tcPr>
            <w:tcW w:w="3133" w:type="dxa"/>
            <w:vAlign w:val="center"/>
          </w:tcPr>
          <w:p w14:paraId="2C16F1B1">
            <w:pPr>
              <w:jc w:val="center"/>
              <w:rPr>
                <w:rFonts w:ascii="Times New Roman" w:hAnsi="Times New Roman"/>
              </w:rPr>
            </w:pPr>
            <w:r>
              <w:rPr>
                <w:rFonts w:hint="eastAsia" w:ascii="Times New Roman" w:hAnsi="Times New Roman"/>
              </w:rPr>
              <w:t>事故源纬度</w:t>
            </w:r>
          </w:p>
        </w:tc>
        <w:tc>
          <w:tcPr>
            <w:tcW w:w="3321" w:type="dxa"/>
            <w:vAlign w:val="center"/>
          </w:tcPr>
          <w:p w14:paraId="2B85274A">
            <w:pPr>
              <w:jc w:val="center"/>
              <w:rPr>
                <w:rFonts w:ascii="Times New Roman" w:hAnsi="Times New Roman"/>
              </w:rPr>
            </w:pPr>
            <w:r>
              <w:rPr>
                <w:rFonts w:hint="eastAsia" w:ascii="Times New Roman" w:hAnsi="Times New Roman"/>
              </w:rPr>
              <w:t>29°23′21.500”</w:t>
            </w:r>
            <w:r>
              <w:rPr>
                <w:rFonts w:ascii="Times New Roman" w:hAnsi="Times New Roman"/>
              </w:rPr>
              <w:t>N</w:t>
            </w:r>
          </w:p>
        </w:tc>
      </w:tr>
      <w:tr w14:paraId="1276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102AF867">
            <w:pPr>
              <w:jc w:val="center"/>
              <w:rPr>
                <w:rFonts w:ascii="Times New Roman" w:hAnsi="Times New Roman"/>
              </w:rPr>
            </w:pPr>
          </w:p>
        </w:tc>
        <w:tc>
          <w:tcPr>
            <w:tcW w:w="3133" w:type="dxa"/>
            <w:vAlign w:val="center"/>
          </w:tcPr>
          <w:p w14:paraId="5B8847EE">
            <w:pPr>
              <w:jc w:val="center"/>
              <w:rPr>
                <w:rFonts w:ascii="Times New Roman" w:hAnsi="Times New Roman"/>
              </w:rPr>
            </w:pPr>
            <w:r>
              <w:rPr>
                <w:rFonts w:hint="eastAsia" w:ascii="Times New Roman" w:hAnsi="Times New Roman"/>
              </w:rPr>
              <w:t>事故源类型</w:t>
            </w:r>
          </w:p>
        </w:tc>
        <w:tc>
          <w:tcPr>
            <w:tcW w:w="3321" w:type="dxa"/>
            <w:vAlign w:val="center"/>
          </w:tcPr>
          <w:p w14:paraId="24FCD4A7">
            <w:pPr>
              <w:jc w:val="center"/>
              <w:rPr>
                <w:rFonts w:ascii="Times New Roman" w:hAnsi="Times New Roman"/>
              </w:rPr>
            </w:pPr>
            <w:r>
              <w:rPr>
                <w:rFonts w:hint="eastAsia" w:ascii="Times New Roman" w:hAnsi="Times New Roman"/>
              </w:rPr>
              <w:t>泄漏</w:t>
            </w:r>
          </w:p>
        </w:tc>
      </w:tr>
      <w:tr w14:paraId="342A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restart"/>
            <w:vAlign w:val="center"/>
          </w:tcPr>
          <w:p w14:paraId="72B0E8DB">
            <w:pPr>
              <w:jc w:val="center"/>
              <w:rPr>
                <w:rFonts w:ascii="Times New Roman" w:hAnsi="Times New Roman"/>
              </w:rPr>
            </w:pPr>
            <w:r>
              <w:rPr>
                <w:rFonts w:hint="eastAsia" w:ascii="Times New Roman" w:hAnsi="Times New Roman"/>
              </w:rPr>
              <w:t>气象参数</w:t>
            </w:r>
          </w:p>
        </w:tc>
        <w:tc>
          <w:tcPr>
            <w:tcW w:w="3133" w:type="dxa"/>
            <w:vAlign w:val="center"/>
          </w:tcPr>
          <w:p w14:paraId="07E220BC">
            <w:pPr>
              <w:jc w:val="center"/>
              <w:rPr>
                <w:rFonts w:ascii="Times New Roman" w:hAnsi="Times New Roman"/>
              </w:rPr>
            </w:pPr>
            <w:r>
              <w:rPr>
                <w:rFonts w:hint="eastAsia" w:ascii="Times New Roman" w:hAnsi="Times New Roman"/>
              </w:rPr>
              <w:t>气象条件类型</w:t>
            </w:r>
          </w:p>
        </w:tc>
        <w:tc>
          <w:tcPr>
            <w:tcW w:w="3321" w:type="dxa"/>
            <w:vAlign w:val="center"/>
          </w:tcPr>
          <w:p w14:paraId="0A7135D1">
            <w:pPr>
              <w:jc w:val="center"/>
              <w:rPr>
                <w:rFonts w:ascii="Times New Roman" w:hAnsi="Times New Roman"/>
              </w:rPr>
            </w:pPr>
            <w:r>
              <w:rPr>
                <w:rFonts w:hint="eastAsia" w:ascii="Times New Roman" w:hAnsi="Times New Roman"/>
              </w:rPr>
              <w:t>最不利气象</w:t>
            </w:r>
          </w:p>
        </w:tc>
      </w:tr>
      <w:tr w14:paraId="1483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52970936">
            <w:pPr>
              <w:widowControl/>
              <w:jc w:val="left"/>
              <w:rPr>
                <w:rFonts w:ascii="Times New Roman" w:hAnsi="Times New Roman"/>
              </w:rPr>
            </w:pPr>
          </w:p>
        </w:tc>
        <w:tc>
          <w:tcPr>
            <w:tcW w:w="3133" w:type="dxa"/>
            <w:vAlign w:val="center"/>
          </w:tcPr>
          <w:p w14:paraId="074950D6">
            <w:pPr>
              <w:jc w:val="center"/>
              <w:rPr>
                <w:rFonts w:ascii="Times New Roman" w:hAnsi="Times New Roman"/>
              </w:rPr>
            </w:pPr>
            <w:r>
              <w:rPr>
                <w:rFonts w:hint="eastAsia" w:ascii="Times New Roman" w:hAnsi="Times New Roman"/>
              </w:rPr>
              <w:t>风速</w:t>
            </w:r>
            <w:r>
              <w:rPr>
                <w:rFonts w:ascii="Times New Roman" w:hAnsi="Times New Roman"/>
                <w:szCs w:val="21"/>
              </w:rPr>
              <w:t>/</w:t>
            </w:r>
            <w:r>
              <w:rPr>
                <w:rFonts w:hint="eastAsia" w:ascii="Times New Roman" w:hAnsi="Times New Roman"/>
                <w:szCs w:val="21"/>
              </w:rPr>
              <w:t>（</w:t>
            </w:r>
            <w:r>
              <w:rPr>
                <w:rFonts w:ascii="Times New Roman" w:hAnsi="Times New Roman"/>
                <w:szCs w:val="21"/>
              </w:rPr>
              <w:t>m/s</w:t>
            </w:r>
            <w:r>
              <w:rPr>
                <w:rFonts w:hint="eastAsia" w:ascii="Times New Roman" w:hAnsi="Times New Roman"/>
                <w:szCs w:val="21"/>
              </w:rPr>
              <w:t>）</w:t>
            </w:r>
          </w:p>
        </w:tc>
        <w:tc>
          <w:tcPr>
            <w:tcW w:w="3321" w:type="dxa"/>
            <w:vAlign w:val="center"/>
          </w:tcPr>
          <w:p w14:paraId="26A14941">
            <w:pPr>
              <w:jc w:val="center"/>
              <w:rPr>
                <w:rFonts w:ascii="Times New Roman" w:hAnsi="Times New Roman"/>
              </w:rPr>
            </w:pPr>
            <w:r>
              <w:rPr>
                <w:rFonts w:ascii="Times New Roman" w:hAnsi="Times New Roman"/>
              </w:rPr>
              <w:t>1.5</w:t>
            </w:r>
          </w:p>
        </w:tc>
      </w:tr>
      <w:tr w14:paraId="6271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264AF91B">
            <w:pPr>
              <w:widowControl/>
              <w:jc w:val="left"/>
              <w:rPr>
                <w:rFonts w:ascii="Times New Roman" w:hAnsi="Times New Roman"/>
              </w:rPr>
            </w:pPr>
          </w:p>
        </w:tc>
        <w:tc>
          <w:tcPr>
            <w:tcW w:w="3133" w:type="dxa"/>
            <w:vAlign w:val="center"/>
          </w:tcPr>
          <w:p w14:paraId="25434A64">
            <w:pPr>
              <w:jc w:val="center"/>
              <w:rPr>
                <w:rFonts w:ascii="Times New Roman" w:hAnsi="Times New Roman"/>
              </w:rPr>
            </w:pPr>
            <w:r>
              <w:rPr>
                <w:rFonts w:hint="eastAsia" w:ascii="Times New Roman" w:hAnsi="Times New Roman"/>
                <w:szCs w:val="21"/>
              </w:rPr>
              <w:t>环境温度</w:t>
            </w:r>
            <w:r>
              <w:rPr>
                <w:rFonts w:ascii="Times New Roman" w:hAnsi="Times New Roman"/>
                <w:szCs w:val="21"/>
              </w:rPr>
              <w:t>/</w:t>
            </w:r>
            <w:r>
              <w:rPr>
                <w:rFonts w:hint="eastAsia" w:ascii="宋体" w:hAnsi="宋体" w:cs="宋体"/>
                <w:szCs w:val="21"/>
              </w:rPr>
              <w:t>℃</w:t>
            </w:r>
          </w:p>
        </w:tc>
        <w:tc>
          <w:tcPr>
            <w:tcW w:w="3321" w:type="dxa"/>
            <w:vAlign w:val="center"/>
          </w:tcPr>
          <w:p w14:paraId="37CD84F0">
            <w:pPr>
              <w:jc w:val="center"/>
              <w:rPr>
                <w:rFonts w:ascii="Times New Roman" w:hAnsi="Times New Roman"/>
              </w:rPr>
            </w:pPr>
            <w:r>
              <w:rPr>
                <w:rFonts w:ascii="Times New Roman" w:hAnsi="Times New Roman"/>
              </w:rPr>
              <w:t>25</w:t>
            </w:r>
          </w:p>
        </w:tc>
      </w:tr>
      <w:tr w14:paraId="28DA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3F338B26">
            <w:pPr>
              <w:widowControl/>
              <w:jc w:val="left"/>
              <w:rPr>
                <w:rFonts w:ascii="Times New Roman" w:hAnsi="Times New Roman"/>
              </w:rPr>
            </w:pPr>
          </w:p>
        </w:tc>
        <w:tc>
          <w:tcPr>
            <w:tcW w:w="3133" w:type="dxa"/>
            <w:vAlign w:val="center"/>
          </w:tcPr>
          <w:p w14:paraId="376E11FD">
            <w:pPr>
              <w:jc w:val="center"/>
              <w:rPr>
                <w:rFonts w:ascii="Times New Roman" w:hAnsi="Times New Roman"/>
              </w:rPr>
            </w:pPr>
            <w:r>
              <w:rPr>
                <w:rFonts w:hint="eastAsia" w:ascii="Times New Roman" w:hAnsi="Times New Roman"/>
              </w:rPr>
              <w:t>相对湿度</w:t>
            </w:r>
            <w:r>
              <w:rPr>
                <w:rFonts w:ascii="Times New Roman" w:hAnsi="Times New Roman"/>
                <w:szCs w:val="21"/>
              </w:rPr>
              <w:t>/%</w:t>
            </w:r>
          </w:p>
        </w:tc>
        <w:tc>
          <w:tcPr>
            <w:tcW w:w="3321" w:type="dxa"/>
            <w:vAlign w:val="center"/>
          </w:tcPr>
          <w:p w14:paraId="7A2642B5">
            <w:pPr>
              <w:jc w:val="center"/>
              <w:rPr>
                <w:rFonts w:ascii="Times New Roman" w:hAnsi="Times New Roman"/>
              </w:rPr>
            </w:pPr>
            <w:r>
              <w:rPr>
                <w:rFonts w:ascii="Times New Roman" w:hAnsi="Times New Roman"/>
              </w:rPr>
              <w:t>50</w:t>
            </w:r>
          </w:p>
        </w:tc>
      </w:tr>
      <w:tr w14:paraId="3269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5025D4B7">
            <w:pPr>
              <w:widowControl/>
              <w:jc w:val="left"/>
              <w:rPr>
                <w:rFonts w:ascii="Times New Roman" w:hAnsi="Times New Roman"/>
              </w:rPr>
            </w:pPr>
          </w:p>
        </w:tc>
        <w:tc>
          <w:tcPr>
            <w:tcW w:w="3133" w:type="dxa"/>
            <w:vAlign w:val="center"/>
          </w:tcPr>
          <w:p w14:paraId="565E5854">
            <w:pPr>
              <w:jc w:val="center"/>
              <w:rPr>
                <w:rFonts w:ascii="Times New Roman" w:hAnsi="Times New Roman"/>
              </w:rPr>
            </w:pPr>
            <w:r>
              <w:rPr>
                <w:rFonts w:hint="eastAsia" w:ascii="Times New Roman" w:hAnsi="Times New Roman"/>
              </w:rPr>
              <w:t>稳定度</w:t>
            </w:r>
          </w:p>
        </w:tc>
        <w:tc>
          <w:tcPr>
            <w:tcW w:w="3321" w:type="dxa"/>
            <w:vAlign w:val="center"/>
          </w:tcPr>
          <w:p w14:paraId="5D58CACF">
            <w:pPr>
              <w:jc w:val="center"/>
              <w:rPr>
                <w:rFonts w:ascii="Times New Roman" w:hAnsi="Times New Roman"/>
              </w:rPr>
            </w:pPr>
            <w:r>
              <w:rPr>
                <w:rFonts w:ascii="Times New Roman" w:hAnsi="Times New Roman"/>
              </w:rPr>
              <w:t>F</w:t>
            </w:r>
          </w:p>
        </w:tc>
      </w:tr>
      <w:tr w14:paraId="5E6A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0DF34BA6">
            <w:pPr>
              <w:widowControl/>
              <w:jc w:val="left"/>
              <w:rPr>
                <w:rFonts w:ascii="Times New Roman" w:hAnsi="Times New Roman"/>
              </w:rPr>
            </w:pPr>
          </w:p>
        </w:tc>
        <w:tc>
          <w:tcPr>
            <w:tcW w:w="3133" w:type="dxa"/>
            <w:vAlign w:val="center"/>
          </w:tcPr>
          <w:p w14:paraId="49A9DA6C">
            <w:pPr>
              <w:jc w:val="center"/>
              <w:rPr>
                <w:rFonts w:ascii="Times New Roman" w:hAnsi="Times New Roman"/>
              </w:rPr>
            </w:pPr>
            <w:r>
              <w:rPr>
                <w:rFonts w:hint="eastAsia" w:ascii="Times New Roman" w:hAnsi="Times New Roman"/>
              </w:rPr>
              <w:t>风向</w:t>
            </w:r>
          </w:p>
        </w:tc>
        <w:tc>
          <w:tcPr>
            <w:tcW w:w="3321" w:type="dxa"/>
            <w:vAlign w:val="center"/>
          </w:tcPr>
          <w:p w14:paraId="280EE4C1">
            <w:pPr>
              <w:jc w:val="center"/>
              <w:rPr>
                <w:rFonts w:ascii="Times New Roman" w:hAnsi="Times New Roman"/>
              </w:rPr>
            </w:pPr>
            <w:r>
              <w:rPr>
                <w:rFonts w:ascii="Times New Roman" w:hAnsi="Times New Roman"/>
              </w:rPr>
              <w:t>N</w:t>
            </w:r>
          </w:p>
        </w:tc>
      </w:tr>
      <w:tr w14:paraId="2129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restart"/>
            <w:vAlign w:val="center"/>
          </w:tcPr>
          <w:p w14:paraId="38DDAB9E">
            <w:pPr>
              <w:widowControl/>
              <w:jc w:val="center"/>
              <w:rPr>
                <w:rFonts w:ascii="Times New Roman" w:hAnsi="Times New Roman"/>
              </w:rPr>
            </w:pPr>
            <w:r>
              <w:rPr>
                <w:rFonts w:hint="eastAsia" w:ascii="Times New Roman" w:hAnsi="Times New Roman"/>
                <w:lang w:val="en-US" w:eastAsia="zh-CN"/>
              </w:rPr>
              <w:t>氯气</w:t>
            </w:r>
            <w:r>
              <w:rPr>
                <w:rFonts w:ascii="Times New Roman" w:hAnsi="Times New Roman"/>
              </w:rPr>
              <w:t>相关参数</w:t>
            </w:r>
          </w:p>
        </w:tc>
        <w:tc>
          <w:tcPr>
            <w:tcW w:w="3133" w:type="dxa"/>
            <w:vAlign w:val="center"/>
          </w:tcPr>
          <w:p w14:paraId="2B0DA09F">
            <w:pPr>
              <w:jc w:val="center"/>
              <w:rPr>
                <w:rFonts w:ascii="Times New Roman" w:hAnsi="Times New Roman"/>
              </w:rPr>
            </w:pPr>
            <w:r>
              <w:rPr>
                <w:rFonts w:hint="eastAsia" w:ascii="Times New Roman" w:hAnsi="Times New Roman"/>
              </w:rPr>
              <w:t>分子量/g</w:t>
            </w:r>
          </w:p>
        </w:tc>
        <w:tc>
          <w:tcPr>
            <w:tcW w:w="3321" w:type="dxa"/>
            <w:vAlign w:val="center"/>
          </w:tcPr>
          <w:p w14:paraId="44D7AD88">
            <w:pPr>
              <w:jc w:val="center"/>
              <w:rPr>
                <w:rFonts w:hint="default" w:ascii="Times New Roman" w:hAnsi="Times New Roman" w:eastAsiaTheme="minorEastAsia"/>
                <w:lang w:val="en-US" w:eastAsia="zh-CN"/>
              </w:rPr>
            </w:pPr>
            <w:r>
              <w:rPr>
                <w:rFonts w:hint="eastAsia" w:ascii="Times New Roman" w:hAnsi="Times New Roman"/>
                <w:lang w:val="en-US" w:eastAsia="zh-CN"/>
              </w:rPr>
              <w:t>70.906</w:t>
            </w:r>
          </w:p>
        </w:tc>
      </w:tr>
      <w:tr w14:paraId="61D6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403CA396">
            <w:pPr>
              <w:widowControl/>
              <w:jc w:val="center"/>
              <w:rPr>
                <w:rFonts w:ascii="Times New Roman" w:hAnsi="Times New Roman"/>
              </w:rPr>
            </w:pPr>
          </w:p>
        </w:tc>
        <w:tc>
          <w:tcPr>
            <w:tcW w:w="3133" w:type="dxa"/>
            <w:vAlign w:val="center"/>
          </w:tcPr>
          <w:p w14:paraId="715C78D2">
            <w:pPr>
              <w:jc w:val="center"/>
              <w:rPr>
                <w:rFonts w:ascii="Times New Roman" w:hAnsi="Times New Roman"/>
              </w:rPr>
            </w:pPr>
            <w:r>
              <w:rPr>
                <w:rFonts w:hint="eastAsia" w:ascii="Times New Roman" w:hAnsi="Times New Roman"/>
              </w:rPr>
              <w:t>蒸汽定压比热容/(J/Kg.K)</w:t>
            </w:r>
          </w:p>
        </w:tc>
        <w:tc>
          <w:tcPr>
            <w:tcW w:w="3321" w:type="dxa"/>
            <w:vAlign w:val="center"/>
          </w:tcPr>
          <w:p w14:paraId="03940D80">
            <w:pPr>
              <w:jc w:val="center"/>
              <w:rPr>
                <w:rFonts w:hint="default" w:ascii="Times New Roman" w:hAnsi="Times New Roman" w:eastAsiaTheme="minorEastAsia"/>
                <w:lang w:val="en-US" w:eastAsia="zh-CN"/>
              </w:rPr>
            </w:pPr>
            <w:r>
              <w:rPr>
                <w:rFonts w:hint="eastAsia" w:ascii="Times New Roman" w:hAnsi="Times New Roman"/>
                <w:lang w:val="en-US" w:eastAsia="zh-CN"/>
              </w:rPr>
              <w:t>498.1</w:t>
            </w:r>
          </w:p>
        </w:tc>
      </w:tr>
      <w:tr w14:paraId="53D9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7E46DA0B">
            <w:pPr>
              <w:widowControl/>
              <w:jc w:val="center"/>
              <w:rPr>
                <w:rFonts w:ascii="Times New Roman" w:hAnsi="Times New Roman"/>
              </w:rPr>
            </w:pPr>
          </w:p>
        </w:tc>
        <w:tc>
          <w:tcPr>
            <w:tcW w:w="3133" w:type="dxa"/>
            <w:vAlign w:val="center"/>
          </w:tcPr>
          <w:p w14:paraId="7F27DFD6">
            <w:pPr>
              <w:jc w:val="center"/>
              <w:rPr>
                <w:rFonts w:ascii="Times New Roman" w:hAnsi="Times New Roman"/>
              </w:rPr>
            </w:pPr>
            <w:r>
              <w:rPr>
                <w:rFonts w:hint="eastAsia" w:ascii="Times New Roman" w:hAnsi="Times New Roman"/>
              </w:rPr>
              <w:t>沸点时的汽化热/(J/Kg)</w:t>
            </w:r>
          </w:p>
        </w:tc>
        <w:tc>
          <w:tcPr>
            <w:tcW w:w="3321" w:type="dxa"/>
            <w:vAlign w:val="center"/>
          </w:tcPr>
          <w:p w14:paraId="37C32115">
            <w:pPr>
              <w:jc w:val="center"/>
              <w:rPr>
                <w:rFonts w:hint="default" w:ascii="Times New Roman" w:hAnsi="Times New Roman" w:eastAsiaTheme="minorEastAsia"/>
                <w:lang w:val="en-US" w:eastAsia="zh-CN"/>
              </w:rPr>
            </w:pPr>
            <w:r>
              <w:rPr>
                <w:rFonts w:hint="eastAsia" w:ascii="Times New Roman" w:hAnsi="Times New Roman"/>
                <w:lang w:val="en-US" w:eastAsia="zh-CN"/>
              </w:rPr>
              <w:t>287840</w:t>
            </w:r>
          </w:p>
        </w:tc>
      </w:tr>
      <w:tr w14:paraId="462B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47968B0A">
            <w:pPr>
              <w:widowControl/>
              <w:jc w:val="center"/>
              <w:rPr>
                <w:rFonts w:ascii="Times New Roman" w:hAnsi="Times New Roman"/>
              </w:rPr>
            </w:pPr>
          </w:p>
        </w:tc>
        <w:tc>
          <w:tcPr>
            <w:tcW w:w="3133" w:type="dxa"/>
            <w:vAlign w:val="center"/>
          </w:tcPr>
          <w:p w14:paraId="7560DF10">
            <w:pPr>
              <w:jc w:val="center"/>
              <w:rPr>
                <w:rFonts w:ascii="Times New Roman" w:hAnsi="Times New Roman"/>
              </w:rPr>
            </w:pPr>
            <w:r>
              <w:rPr>
                <w:rFonts w:hint="eastAsia" w:ascii="Times New Roman" w:hAnsi="Times New Roman"/>
              </w:rPr>
              <w:t>液体比热容/(J/Kg.K)</w:t>
            </w:r>
          </w:p>
        </w:tc>
        <w:tc>
          <w:tcPr>
            <w:tcW w:w="3321" w:type="dxa"/>
            <w:vAlign w:val="center"/>
          </w:tcPr>
          <w:p w14:paraId="205A6040">
            <w:pPr>
              <w:jc w:val="center"/>
              <w:rPr>
                <w:rFonts w:hint="default" w:ascii="Times New Roman" w:hAnsi="Times New Roman" w:eastAsiaTheme="minorEastAsia"/>
                <w:lang w:val="en-US" w:eastAsia="zh-CN"/>
              </w:rPr>
            </w:pPr>
            <w:r>
              <w:rPr>
                <w:rFonts w:hint="eastAsia" w:ascii="Times New Roman" w:hAnsi="Times New Roman"/>
                <w:lang w:val="en-US" w:eastAsia="zh-CN"/>
              </w:rPr>
              <w:t>926.3</w:t>
            </w:r>
          </w:p>
        </w:tc>
      </w:tr>
      <w:tr w14:paraId="116B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042C4F8D">
            <w:pPr>
              <w:widowControl/>
              <w:jc w:val="center"/>
              <w:rPr>
                <w:rFonts w:ascii="Times New Roman" w:hAnsi="Times New Roman"/>
              </w:rPr>
            </w:pPr>
          </w:p>
        </w:tc>
        <w:tc>
          <w:tcPr>
            <w:tcW w:w="3133" w:type="dxa"/>
            <w:vAlign w:val="center"/>
          </w:tcPr>
          <w:p w14:paraId="32F494BD">
            <w:pPr>
              <w:jc w:val="center"/>
              <w:rPr>
                <w:rFonts w:ascii="Times New Roman" w:hAnsi="Times New Roman"/>
              </w:rPr>
            </w:pPr>
            <w:r>
              <w:rPr>
                <w:rFonts w:hint="eastAsia" w:ascii="Times New Roman" w:hAnsi="Times New Roman"/>
              </w:rPr>
              <w:t>液体密度/(kg/m</w:t>
            </w:r>
            <w:r>
              <w:rPr>
                <w:rFonts w:hint="eastAsia" w:ascii="Times New Roman" w:hAnsi="Times New Roman"/>
                <w:vertAlign w:val="superscript"/>
              </w:rPr>
              <w:t>3</w:t>
            </w:r>
            <w:r>
              <w:rPr>
                <w:rFonts w:hint="eastAsia" w:ascii="Times New Roman" w:hAnsi="Times New Roman"/>
              </w:rPr>
              <w:t>)</w:t>
            </w:r>
          </w:p>
        </w:tc>
        <w:tc>
          <w:tcPr>
            <w:tcW w:w="3321" w:type="dxa"/>
            <w:vAlign w:val="center"/>
          </w:tcPr>
          <w:p w14:paraId="6BFAD932">
            <w:pPr>
              <w:jc w:val="center"/>
              <w:rPr>
                <w:rFonts w:hint="default" w:ascii="Times New Roman" w:hAnsi="Times New Roman" w:eastAsiaTheme="minorEastAsia"/>
                <w:lang w:val="en-US" w:eastAsia="zh-CN"/>
              </w:rPr>
            </w:pPr>
            <w:r>
              <w:rPr>
                <w:rFonts w:hint="eastAsia" w:ascii="Times New Roman" w:hAnsi="Times New Roman"/>
                <w:lang w:val="en-US" w:eastAsia="zh-CN"/>
              </w:rPr>
              <w:t>1574</w:t>
            </w:r>
          </w:p>
        </w:tc>
      </w:tr>
      <w:tr w14:paraId="6464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restart"/>
            <w:vAlign w:val="center"/>
          </w:tcPr>
          <w:p w14:paraId="572A7599">
            <w:pPr>
              <w:jc w:val="center"/>
              <w:rPr>
                <w:rFonts w:ascii="Times New Roman" w:hAnsi="Times New Roman"/>
              </w:rPr>
            </w:pPr>
            <w:r>
              <w:rPr>
                <w:rFonts w:hint="eastAsia" w:ascii="Times New Roman" w:hAnsi="Times New Roman"/>
              </w:rPr>
              <w:t>其他参数</w:t>
            </w:r>
          </w:p>
        </w:tc>
        <w:tc>
          <w:tcPr>
            <w:tcW w:w="3133" w:type="dxa"/>
            <w:vAlign w:val="center"/>
          </w:tcPr>
          <w:p w14:paraId="12EE4A72">
            <w:pPr>
              <w:jc w:val="center"/>
              <w:rPr>
                <w:rFonts w:ascii="Times New Roman" w:hAnsi="Times New Roman"/>
              </w:rPr>
            </w:pPr>
            <w:r>
              <w:rPr>
                <w:rFonts w:hint="eastAsia" w:ascii="Times New Roman" w:hAnsi="Times New Roman"/>
              </w:rPr>
              <w:t>地表粗糙度</w:t>
            </w:r>
            <w:r>
              <w:rPr>
                <w:rFonts w:ascii="Times New Roman" w:hAnsi="Times New Roman"/>
              </w:rPr>
              <w:t>/m</w:t>
            </w:r>
          </w:p>
        </w:tc>
        <w:tc>
          <w:tcPr>
            <w:tcW w:w="3321" w:type="dxa"/>
            <w:vAlign w:val="center"/>
          </w:tcPr>
          <w:p w14:paraId="5AAAC56A">
            <w:pPr>
              <w:jc w:val="center"/>
              <w:rPr>
                <w:rFonts w:hint="default" w:ascii="Times New Roman" w:hAnsi="Times New Roman" w:eastAsiaTheme="minorEastAsia"/>
                <w:highlight w:val="none"/>
                <w:lang w:val="en-US" w:eastAsia="zh-CN"/>
              </w:rPr>
            </w:pPr>
            <w:r>
              <w:rPr>
                <w:rFonts w:hint="eastAsia" w:ascii="Times New Roman" w:hAnsi="Times New Roman"/>
                <w:highlight w:val="none"/>
              </w:rPr>
              <w:t>0.</w:t>
            </w:r>
            <w:r>
              <w:rPr>
                <w:rFonts w:hint="eastAsia" w:ascii="Times New Roman" w:hAnsi="Times New Roman"/>
                <w:highlight w:val="none"/>
                <w:lang w:val="en-US" w:eastAsia="zh-CN"/>
              </w:rPr>
              <w:t>03</w:t>
            </w:r>
          </w:p>
        </w:tc>
      </w:tr>
      <w:tr w14:paraId="4B41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77797B2E">
            <w:pPr>
              <w:widowControl/>
              <w:jc w:val="left"/>
              <w:rPr>
                <w:rFonts w:ascii="Times New Roman" w:hAnsi="Times New Roman"/>
              </w:rPr>
            </w:pPr>
          </w:p>
        </w:tc>
        <w:tc>
          <w:tcPr>
            <w:tcW w:w="3133" w:type="dxa"/>
            <w:vAlign w:val="center"/>
          </w:tcPr>
          <w:p w14:paraId="0A7799D6">
            <w:pPr>
              <w:jc w:val="center"/>
              <w:rPr>
                <w:rFonts w:ascii="Times New Roman" w:hAnsi="Times New Roman"/>
              </w:rPr>
            </w:pPr>
            <w:r>
              <w:rPr>
                <w:rFonts w:hint="eastAsia" w:ascii="Times New Roman" w:hAnsi="Times New Roman"/>
              </w:rPr>
              <w:t>是否考虑地形</w:t>
            </w:r>
          </w:p>
        </w:tc>
        <w:tc>
          <w:tcPr>
            <w:tcW w:w="3321" w:type="dxa"/>
            <w:vAlign w:val="center"/>
          </w:tcPr>
          <w:p w14:paraId="29555F9D">
            <w:pPr>
              <w:jc w:val="center"/>
              <w:rPr>
                <w:rFonts w:ascii="Times New Roman" w:hAnsi="Times New Roman"/>
                <w:highlight w:val="none"/>
              </w:rPr>
            </w:pPr>
            <w:r>
              <w:rPr>
                <w:rFonts w:hint="eastAsia" w:ascii="Times New Roman" w:hAnsi="Times New Roman"/>
                <w:highlight w:val="none"/>
              </w:rPr>
              <w:t>否</w:t>
            </w:r>
          </w:p>
        </w:tc>
      </w:tr>
      <w:tr w14:paraId="3674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2" w:type="dxa"/>
            <w:vMerge w:val="continue"/>
            <w:vAlign w:val="center"/>
          </w:tcPr>
          <w:p w14:paraId="390982F9">
            <w:pPr>
              <w:widowControl/>
              <w:jc w:val="left"/>
              <w:rPr>
                <w:rFonts w:ascii="Times New Roman" w:hAnsi="Times New Roman"/>
              </w:rPr>
            </w:pPr>
          </w:p>
        </w:tc>
        <w:tc>
          <w:tcPr>
            <w:tcW w:w="3133" w:type="dxa"/>
            <w:vAlign w:val="center"/>
          </w:tcPr>
          <w:p w14:paraId="3CF24D4B">
            <w:pPr>
              <w:jc w:val="center"/>
              <w:rPr>
                <w:rFonts w:ascii="Times New Roman" w:hAnsi="Times New Roman"/>
              </w:rPr>
            </w:pPr>
            <w:r>
              <w:rPr>
                <w:rFonts w:hint="eastAsia" w:ascii="Times New Roman" w:hAnsi="Times New Roman"/>
              </w:rPr>
              <w:t>地形数据精度</w:t>
            </w:r>
            <w:r>
              <w:rPr>
                <w:rFonts w:ascii="Times New Roman" w:hAnsi="Times New Roman"/>
              </w:rPr>
              <w:t>/m</w:t>
            </w:r>
          </w:p>
        </w:tc>
        <w:tc>
          <w:tcPr>
            <w:tcW w:w="3321" w:type="dxa"/>
            <w:vAlign w:val="center"/>
          </w:tcPr>
          <w:p w14:paraId="368C10FC">
            <w:pPr>
              <w:jc w:val="center"/>
              <w:rPr>
                <w:rFonts w:ascii="Times New Roman" w:hAnsi="Times New Roman"/>
                <w:highlight w:val="none"/>
              </w:rPr>
            </w:pPr>
            <w:r>
              <w:rPr>
                <w:rFonts w:ascii="Times New Roman" w:hAnsi="Times New Roman"/>
                <w:highlight w:val="none"/>
              </w:rPr>
              <w:t>/</w:t>
            </w:r>
          </w:p>
        </w:tc>
      </w:tr>
    </w:tbl>
    <w:p w14:paraId="1140DA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 xml:space="preserve">①下风向预测结果 </w:t>
      </w:r>
    </w:p>
    <w:p w14:paraId="6AD778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rPr>
        <w:t>根据预测模型</w:t>
      </w:r>
      <w:r>
        <w:rPr>
          <w:rFonts w:hint="eastAsia" w:ascii="Times New Roman" w:hAnsi="Times New Roman" w:cs="Times New Roman"/>
          <w:color w:val="auto"/>
          <w:sz w:val="24"/>
          <w:szCs w:val="24"/>
          <w:lang w:val="en-US" w:eastAsia="zh-CN"/>
        </w:rPr>
        <w:t>输入</w:t>
      </w:r>
      <w:r>
        <w:rPr>
          <w:rFonts w:hint="default" w:ascii="Times New Roman" w:hAnsi="Times New Roman" w:cs="Times New Roman"/>
          <w:color w:val="auto"/>
          <w:sz w:val="24"/>
          <w:szCs w:val="24"/>
        </w:rPr>
        <w:t>预测参数</w:t>
      </w:r>
      <w:r>
        <w:rPr>
          <w:rFonts w:hint="eastAsia" w:ascii="Times New Roman" w:hAnsi="Times New Roman" w:cs="Times New Roman"/>
          <w:color w:val="auto"/>
          <w:sz w:val="24"/>
          <w:szCs w:val="24"/>
          <w:lang w:val="en-US" w:eastAsia="zh-CN"/>
        </w:rPr>
        <w:t>进行计算</w:t>
      </w:r>
      <w:r>
        <w:rPr>
          <w:rFonts w:hint="default" w:ascii="Times New Roman" w:hAnsi="Times New Roman" w:cs="Times New Roman"/>
          <w:color w:val="auto"/>
          <w:sz w:val="24"/>
          <w:szCs w:val="24"/>
        </w:rPr>
        <w:t>，轴线各点的最大浓度</w:t>
      </w:r>
      <w:r>
        <w:rPr>
          <w:rFonts w:hint="default" w:ascii="Times New Roman" w:hAnsi="Times New Roman" w:cs="Times New Roman"/>
          <w:color w:val="auto"/>
          <w:sz w:val="24"/>
          <w:szCs w:val="24"/>
          <w:lang w:val="en-US" w:eastAsia="zh-CN"/>
        </w:rPr>
        <w:t>为769</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44mg/m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出现时刻10</w:t>
      </w:r>
      <w:r>
        <w:rPr>
          <w:rFonts w:hint="eastAsia" w:cs="Times New Roman"/>
          <w:color w:val="auto"/>
          <w:sz w:val="24"/>
          <w:szCs w:val="24"/>
          <w:lang w:val="en-US" w:eastAsia="zh-CN"/>
        </w:rPr>
        <w:t>.</w:t>
      </w:r>
      <w:r>
        <w:rPr>
          <w:rFonts w:hint="default" w:ascii="Times New Roman" w:hAnsi="Times New Roman" w:cs="Times New Roman"/>
          <w:color w:val="auto"/>
          <w:sz w:val="24"/>
          <w:szCs w:val="24"/>
        </w:rPr>
        <w:t>176</w:t>
      </w:r>
      <w:r>
        <w:rPr>
          <w:rFonts w:hint="default" w:ascii="Times New Roman" w:hAnsi="Times New Roman" w:cs="Times New Roman"/>
          <w:color w:val="auto"/>
          <w:sz w:val="24"/>
          <w:szCs w:val="24"/>
          <w:lang w:val="en-US" w:eastAsia="zh-CN"/>
        </w:rPr>
        <w:t>min</w:t>
      </w:r>
      <w:r>
        <w:rPr>
          <w:rFonts w:hint="default" w:ascii="Times New Roman" w:hAnsi="Times New Roman" w:cs="Times New Roman"/>
          <w:color w:val="auto"/>
          <w:sz w:val="24"/>
          <w:szCs w:val="24"/>
          <w:lang w:val="zh-CN"/>
        </w:rPr>
        <w:t>，</w:t>
      </w:r>
      <w:r>
        <w:rPr>
          <w:rFonts w:hint="default" w:ascii="Times New Roman" w:hAnsi="Times New Roman" w:cs="Times New Roman"/>
          <w:color w:val="auto"/>
          <w:sz w:val="24"/>
          <w:szCs w:val="24"/>
          <w:lang w:val="en-US" w:eastAsia="zh-CN"/>
        </w:rPr>
        <w:t>距离为1</w:t>
      </w:r>
      <w:r>
        <w:rPr>
          <w:rFonts w:hint="eastAsia" w:cs="Times New Roman"/>
          <w:color w:val="auto"/>
          <w:sz w:val="24"/>
          <w:szCs w:val="24"/>
          <w:lang w:val="en-US" w:eastAsia="zh-CN"/>
        </w:rPr>
        <w:t>7</w:t>
      </w:r>
      <w:r>
        <w:rPr>
          <w:rFonts w:hint="default" w:ascii="Times New Roman" w:hAnsi="Times New Roman" w:cs="Times New Roman"/>
          <w:color w:val="auto"/>
          <w:sz w:val="24"/>
          <w:szCs w:val="24"/>
          <w:lang w:val="en-US" w:eastAsia="zh-CN"/>
        </w:rPr>
        <w:t>0m。质心浓度</w:t>
      </w:r>
      <w:r>
        <w:rPr>
          <w:rFonts w:hint="default" w:ascii="Times New Roman" w:hAnsi="Times New Roman" w:cs="Times New Roman"/>
          <w:color w:val="auto"/>
          <w:sz w:val="24"/>
          <w:szCs w:val="24"/>
        </w:rPr>
        <w:t>最大浓度</w:t>
      </w:r>
      <w:r>
        <w:rPr>
          <w:rFonts w:hint="default" w:ascii="Times New Roman" w:hAnsi="Times New Roman" w:cs="Times New Roman"/>
          <w:color w:val="auto"/>
          <w:sz w:val="24"/>
          <w:szCs w:val="24"/>
          <w:lang w:val="en-US" w:eastAsia="zh-CN"/>
        </w:rPr>
        <w:t>为18768mg/m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lang w:val="en-US" w:eastAsia="zh-CN"/>
        </w:rPr>
        <w:t>，出现时间5.277min</w:t>
      </w:r>
      <w:r>
        <w:rPr>
          <w:rFonts w:hint="eastAsia" w:ascii="Times New Roman" w:hAnsi="Times New Roman" w:cs="Times New Roman"/>
          <w:color w:val="auto"/>
          <w:sz w:val="24"/>
          <w:szCs w:val="24"/>
          <w:lang w:val="zh-CN"/>
        </w:rPr>
        <w:t>。</w:t>
      </w:r>
    </w:p>
    <w:p w14:paraId="16134B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氯气泄漏</w:t>
      </w:r>
      <w:r>
        <w:rPr>
          <w:rFonts w:hint="default" w:ascii="Times New Roman" w:hAnsi="Times New Roman" w:eastAsia="宋体" w:cs="Times New Roman"/>
          <w:color w:val="auto"/>
          <w:sz w:val="24"/>
          <w:szCs w:val="32"/>
          <w:highlight w:val="none"/>
        </w:rPr>
        <w:t>扩散最大浓度分布情况见下图</w:t>
      </w:r>
      <w:r>
        <w:rPr>
          <w:rFonts w:hint="eastAsia" w:ascii="Times New Roman" w:hAnsi="Times New Roman" w:eastAsia="宋体" w:cs="Times New Roman"/>
          <w:color w:val="auto"/>
          <w:sz w:val="24"/>
          <w:szCs w:val="32"/>
          <w:highlight w:val="none"/>
          <w:lang w:eastAsia="zh-CN"/>
        </w:rPr>
        <w:t>：</w:t>
      </w:r>
    </w:p>
    <w:p w14:paraId="5C5F75D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cs="Times New Roman"/>
          <w:color w:val="auto"/>
          <w:sz w:val="24"/>
          <w:szCs w:val="24"/>
          <w:lang w:val="en-US" w:eastAsia="zh-CN"/>
        </w:rPr>
      </w:pPr>
      <w:r>
        <w:drawing>
          <wp:inline distT="0" distB="0" distL="114300" distR="114300">
            <wp:extent cx="5395595" cy="2712085"/>
            <wp:effectExtent l="0" t="0" r="14605" b="12065"/>
            <wp:docPr id="1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7"/>
                    <pic:cNvPicPr>
                      <a:picLocks noChangeAspect="1"/>
                    </pic:cNvPicPr>
                  </pic:nvPicPr>
                  <pic:blipFill>
                    <a:blip r:embed="rId72"/>
                    <a:stretch>
                      <a:fillRect/>
                    </a:stretch>
                  </pic:blipFill>
                  <pic:spPr>
                    <a:xfrm>
                      <a:off x="0" y="0"/>
                      <a:ext cx="5395595" cy="2712085"/>
                    </a:xfrm>
                    <a:prstGeom prst="rect">
                      <a:avLst/>
                    </a:prstGeom>
                    <a:noFill/>
                    <a:ln>
                      <a:noFill/>
                    </a:ln>
                  </pic:spPr>
                </pic:pic>
              </a:graphicData>
            </a:graphic>
          </wp:inline>
        </w:drawing>
      </w:r>
    </w:p>
    <w:p w14:paraId="1A425092">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图7-1  </w:t>
      </w:r>
      <w:r>
        <w:rPr>
          <w:rFonts w:hint="eastAsia" w:cs="Times New Roman"/>
          <w:color w:val="auto"/>
          <w:sz w:val="24"/>
          <w:szCs w:val="24"/>
          <w:lang w:val="en-US" w:eastAsia="zh-CN"/>
        </w:rPr>
        <w:t>加氯间发生氯气泄漏</w:t>
      </w:r>
      <w:r>
        <w:rPr>
          <w:rFonts w:hint="default" w:ascii="Times New Roman" w:hAnsi="Times New Roman" w:eastAsia="宋体" w:cs="Times New Roman"/>
          <w:color w:val="auto"/>
          <w:sz w:val="24"/>
          <w:szCs w:val="24"/>
          <w:lang w:val="en-US" w:eastAsia="zh-CN"/>
        </w:rPr>
        <w:t>扩散轴线浓度随距离变化曲线图</w:t>
      </w:r>
    </w:p>
    <w:p w14:paraId="311B05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zh-CN" w:eastAsia="zh-CN"/>
        </w:rPr>
      </w:pPr>
      <w:r>
        <w:rPr>
          <w:rFonts w:hint="default" w:ascii="Times New Roman" w:hAnsi="Times New Roman" w:cs="Times New Roman"/>
          <w:color w:val="auto"/>
          <w:sz w:val="24"/>
          <w:szCs w:val="24"/>
          <w:lang w:val="en-US" w:eastAsia="zh-CN"/>
        </w:rPr>
        <w:t>②</w:t>
      </w:r>
      <w:r>
        <w:rPr>
          <w:rFonts w:hint="default" w:ascii="Times New Roman" w:hAnsi="Times New Roman" w:cs="Times New Roman"/>
          <w:color w:val="auto"/>
          <w:sz w:val="24"/>
          <w:szCs w:val="24"/>
          <w:lang w:val="zh-CN" w:eastAsia="zh-CN"/>
        </w:rPr>
        <w:t>最大影响范围预测结果</w:t>
      </w:r>
    </w:p>
    <w:p w14:paraId="36FDE586">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zh-CN" w:eastAsia="zh-CN"/>
        </w:rPr>
      </w:pPr>
      <w:r>
        <w:rPr>
          <w:rFonts w:hint="default" w:ascii="Times New Roman" w:hAnsi="Times New Roman" w:eastAsia="宋体" w:cs="Times New Roman"/>
          <w:color w:val="auto"/>
          <w:sz w:val="24"/>
          <w:szCs w:val="24"/>
          <w:lang w:val="zh-CN" w:eastAsia="zh-CN"/>
        </w:rPr>
        <w:t>表7-</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val="zh-CN" w:eastAsia="zh-CN"/>
        </w:rPr>
        <w:t xml:space="preserve">   各阈值的廓线对应的位置（最不利气象条件）</w:t>
      </w:r>
    </w:p>
    <w:tbl>
      <w:tblPr>
        <w:tblStyle w:val="24"/>
        <w:tblW w:w="50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68"/>
        <w:gridCol w:w="1672"/>
        <w:gridCol w:w="1495"/>
        <w:gridCol w:w="1578"/>
        <w:gridCol w:w="1943"/>
      </w:tblGrid>
      <w:tr w14:paraId="7CF1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98" w:type="pct"/>
            <w:noWrap w:val="0"/>
            <w:vAlign w:val="center"/>
          </w:tcPr>
          <w:p w14:paraId="2377AAE5">
            <w:pPr>
              <w:pStyle w:val="8"/>
              <w:widowControl w:val="0"/>
              <w:topLinePunct w:val="0"/>
              <w:spacing w:line="240" w:lineRule="auto"/>
              <w:ind w:firstLine="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阈值(mg/m</w:t>
            </w:r>
            <w:r>
              <w:rPr>
                <w:rFonts w:hint="default" w:ascii="Times New Roman" w:hAnsi="Times New Roman" w:cs="Times New Roman"/>
                <w:color w:val="auto"/>
                <w:sz w:val="21"/>
                <w:szCs w:val="21"/>
                <w:highlight w:val="none"/>
                <w:vertAlign w:val="superscript"/>
                <w:lang w:val="zh-CN"/>
              </w:rPr>
              <w:t>3</w:t>
            </w:r>
            <w:r>
              <w:rPr>
                <w:rFonts w:hint="default" w:ascii="Times New Roman" w:hAnsi="Times New Roman" w:cs="Times New Roman"/>
                <w:color w:val="auto"/>
                <w:sz w:val="21"/>
                <w:szCs w:val="21"/>
                <w:highlight w:val="none"/>
                <w:lang w:val="zh-CN"/>
              </w:rPr>
              <w:t>)</w:t>
            </w:r>
          </w:p>
        </w:tc>
        <w:tc>
          <w:tcPr>
            <w:tcW w:w="1000" w:type="pct"/>
            <w:noWrap w:val="0"/>
            <w:vAlign w:val="center"/>
          </w:tcPr>
          <w:p w14:paraId="6E83E247">
            <w:pPr>
              <w:pStyle w:val="8"/>
              <w:widowControl w:val="0"/>
              <w:topLinePunct w:val="0"/>
              <w:spacing w:line="240" w:lineRule="auto"/>
              <w:ind w:firstLine="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X起点(m)</w:t>
            </w:r>
          </w:p>
        </w:tc>
        <w:tc>
          <w:tcPr>
            <w:tcW w:w="894" w:type="pct"/>
            <w:noWrap w:val="0"/>
            <w:vAlign w:val="center"/>
          </w:tcPr>
          <w:p w14:paraId="3068E8B0">
            <w:pPr>
              <w:pStyle w:val="8"/>
              <w:widowControl w:val="0"/>
              <w:topLinePunct w:val="0"/>
              <w:spacing w:line="240" w:lineRule="auto"/>
              <w:ind w:firstLine="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X终点(m)</w:t>
            </w:r>
          </w:p>
        </w:tc>
        <w:tc>
          <w:tcPr>
            <w:tcW w:w="944" w:type="pct"/>
            <w:noWrap w:val="0"/>
            <w:vAlign w:val="center"/>
          </w:tcPr>
          <w:p w14:paraId="1C935E2F">
            <w:pPr>
              <w:pStyle w:val="8"/>
              <w:widowControl w:val="0"/>
              <w:topLinePunct w:val="0"/>
              <w:spacing w:line="240" w:lineRule="auto"/>
              <w:ind w:firstLine="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最大半宽(m)</w:t>
            </w:r>
          </w:p>
        </w:tc>
        <w:tc>
          <w:tcPr>
            <w:tcW w:w="1162" w:type="pct"/>
            <w:noWrap w:val="0"/>
            <w:vAlign w:val="center"/>
          </w:tcPr>
          <w:p w14:paraId="613CC976">
            <w:pPr>
              <w:pStyle w:val="8"/>
              <w:widowControl w:val="0"/>
              <w:topLinePunct w:val="0"/>
              <w:spacing w:line="240" w:lineRule="auto"/>
              <w:ind w:firstLine="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最大半宽对应X(m)</w:t>
            </w:r>
          </w:p>
        </w:tc>
      </w:tr>
      <w:tr w14:paraId="2441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98" w:type="pct"/>
            <w:noWrap w:val="0"/>
            <w:vAlign w:val="center"/>
          </w:tcPr>
          <w:p w14:paraId="02EFC6A3">
            <w:pPr>
              <w:pStyle w:val="8"/>
              <w:widowControl w:val="0"/>
              <w:topLinePunct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5.8</w:t>
            </w:r>
          </w:p>
        </w:tc>
        <w:tc>
          <w:tcPr>
            <w:tcW w:w="1000" w:type="pct"/>
            <w:noWrap w:val="0"/>
            <w:vAlign w:val="center"/>
          </w:tcPr>
          <w:p w14:paraId="0B4CA5F7">
            <w:pPr>
              <w:pStyle w:val="8"/>
              <w:widowControl w:val="0"/>
              <w:topLinePunct w:val="0"/>
              <w:spacing w:line="240" w:lineRule="auto"/>
              <w:ind w:firstLine="0" w:firstLineChars="0"/>
              <w:jc w:val="center"/>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10</w:t>
            </w:r>
          </w:p>
        </w:tc>
        <w:tc>
          <w:tcPr>
            <w:tcW w:w="894" w:type="pct"/>
            <w:noWrap w:val="0"/>
            <w:vAlign w:val="center"/>
          </w:tcPr>
          <w:p w14:paraId="55EC812C">
            <w:pPr>
              <w:pStyle w:val="8"/>
              <w:widowControl w:val="0"/>
              <w:topLinePunct w:val="0"/>
              <w:spacing w:line="240" w:lineRule="auto"/>
              <w:ind w:firstLine="0" w:firstLineChars="0"/>
              <w:jc w:val="center"/>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469</w:t>
            </w:r>
            <w:r>
              <w:rPr>
                <w:rFonts w:hint="default" w:ascii="Times New Roman" w:hAnsi="Times New Roman" w:eastAsia="宋体" w:cs="Times New Roman"/>
                <w:color w:val="auto"/>
                <w:sz w:val="21"/>
                <w:szCs w:val="21"/>
                <w:highlight w:val="none"/>
                <w:lang w:val="en-US" w:eastAsia="zh-CN"/>
              </w:rPr>
              <w:t>0</w:t>
            </w:r>
          </w:p>
        </w:tc>
        <w:tc>
          <w:tcPr>
            <w:tcW w:w="944" w:type="pct"/>
            <w:noWrap w:val="0"/>
            <w:vAlign w:val="center"/>
          </w:tcPr>
          <w:p w14:paraId="0555D9E4">
            <w:pPr>
              <w:pStyle w:val="8"/>
              <w:widowControl w:val="0"/>
              <w:topLinePunct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304</w:t>
            </w:r>
          </w:p>
        </w:tc>
        <w:tc>
          <w:tcPr>
            <w:tcW w:w="1162" w:type="pct"/>
            <w:noWrap w:val="0"/>
            <w:vAlign w:val="center"/>
          </w:tcPr>
          <w:p w14:paraId="2B0514FE">
            <w:pPr>
              <w:pStyle w:val="8"/>
              <w:widowControl w:val="0"/>
              <w:topLinePunct w:val="0"/>
              <w:spacing w:line="240" w:lineRule="auto"/>
              <w:ind w:firstLine="0" w:firstLineChars="0"/>
              <w:jc w:val="center"/>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311</w:t>
            </w:r>
            <w:r>
              <w:rPr>
                <w:rFonts w:hint="default" w:ascii="Times New Roman" w:hAnsi="Times New Roman" w:eastAsia="宋体" w:cs="Times New Roman"/>
                <w:color w:val="auto"/>
                <w:sz w:val="21"/>
                <w:szCs w:val="21"/>
                <w:highlight w:val="none"/>
                <w:lang w:val="en-US" w:eastAsia="zh-CN"/>
              </w:rPr>
              <w:t>0</w:t>
            </w:r>
          </w:p>
        </w:tc>
      </w:tr>
      <w:tr w14:paraId="4555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998" w:type="pct"/>
            <w:noWrap w:val="0"/>
            <w:vAlign w:val="center"/>
          </w:tcPr>
          <w:p w14:paraId="23CC0AA5">
            <w:pPr>
              <w:pStyle w:val="8"/>
              <w:widowControl w:val="0"/>
              <w:topLinePunct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58</w:t>
            </w:r>
          </w:p>
        </w:tc>
        <w:tc>
          <w:tcPr>
            <w:tcW w:w="1000" w:type="pct"/>
            <w:noWrap w:val="0"/>
            <w:vAlign w:val="center"/>
          </w:tcPr>
          <w:p w14:paraId="43A1C86B">
            <w:pPr>
              <w:pStyle w:val="8"/>
              <w:widowControl w:val="0"/>
              <w:topLinePunct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0</w:t>
            </w:r>
          </w:p>
        </w:tc>
        <w:tc>
          <w:tcPr>
            <w:tcW w:w="894" w:type="pct"/>
            <w:noWrap w:val="0"/>
            <w:vAlign w:val="center"/>
          </w:tcPr>
          <w:p w14:paraId="638AD51A">
            <w:pPr>
              <w:pStyle w:val="8"/>
              <w:widowControl w:val="0"/>
              <w:topLinePunct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118</w:t>
            </w:r>
            <w:r>
              <w:rPr>
                <w:rFonts w:hint="default" w:ascii="Times New Roman" w:hAnsi="Times New Roman" w:eastAsia="宋体" w:cs="Times New Roman"/>
                <w:color w:val="auto"/>
                <w:sz w:val="21"/>
                <w:szCs w:val="21"/>
                <w:highlight w:val="none"/>
                <w:lang w:val="en-US" w:eastAsia="zh-CN"/>
              </w:rPr>
              <w:t>0</w:t>
            </w:r>
          </w:p>
        </w:tc>
        <w:tc>
          <w:tcPr>
            <w:tcW w:w="944" w:type="pct"/>
            <w:noWrap w:val="0"/>
            <w:vAlign w:val="center"/>
          </w:tcPr>
          <w:p w14:paraId="4FB9EF12">
            <w:pPr>
              <w:pStyle w:val="8"/>
              <w:widowControl w:val="0"/>
              <w:topLinePunct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128</w:t>
            </w:r>
          </w:p>
        </w:tc>
        <w:tc>
          <w:tcPr>
            <w:tcW w:w="1162" w:type="pct"/>
            <w:noWrap w:val="0"/>
            <w:vAlign w:val="center"/>
          </w:tcPr>
          <w:p w14:paraId="2F0767E8">
            <w:pPr>
              <w:pStyle w:val="8"/>
              <w:widowControl w:val="0"/>
              <w:topLinePunct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86</w:t>
            </w:r>
            <w:r>
              <w:rPr>
                <w:rFonts w:hint="default" w:ascii="Times New Roman" w:hAnsi="Times New Roman" w:eastAsia="宋体" w:cs="Times New Roman"/>
                <w:color w:val="auto"/>
                <w:sz w:val="21"/>
                <w:szCs w:val="21"/>
                <w:highlight w:val="none"/>
                <w:lang w:val="en-US" w:eastAsia="zh-CN"/>
              </w:rPr>
              <w:t>0</w:t>
            </w:r>
          </w:p>
        </w:tc>
      </w:tr>
    </w:tbl>
    <w:p w14:paraId="173B4F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zh-CN"/>
        </w:rPr>
        <w:t>最小阈值为</w:t>
      </w:r>
      <w:r>
        <w:rPr>
          <w:rFonts w:hint="eastAsia" w:ascii="Times New Roman" w:hAnsi="Times New Roman" w:eastAsia="宋体" w:cs="Times New Roman"/>
          <w:color w:val="auto"/>
          <w:sz w:val="24"/>
          <w:szCs w:val="24"/>
          <w:lang w:val="en-US" w:eastAsia="zh-CN"/>
        </w:rPr>
        <w:t>5.8</w:t>
      </w:r>
      <w:r>
        <w:rPr>
          <w:rFonts w:hint="default" w:ascii="Times New Roman" w:hAnsi="Times New Roman" w:eastAsia="宋体" w:cs="Times New Roman"/>
          <w:color w:val="auto"/>
          <w:sz w:val="24"/>
          <w:szCs w:val="24"/>
          <w:lang w:val="zh-CN"/>
        </w:rPr>
        <w:t>mg/m</w:t>
      </w:r>
      <w:r>
        <w:rPr>
          <w:rFonts w:hint="default" w:ascii="Times New Roman" w:hAnsi="Times New Roman" w:eastAsia="宋体" w:cs="Times New Roman"/>
          <w:color w:val="auto"/>
          <w:sz w:val="24"/>
          <w:szCs w:val="24"/>
          <w:vertAlign w:val="superscript"/>
          <w:lang w:val="zh-CN"/>
        </w:rPr>
        <w:t>3</w:t>
      </w:r>
      <w:r>
        <w:rPr>
          <w:rFonts w:hint="eastAsia" w:ascii="Times New Roman" w:hAnsi="Times New Roman" w:eastAsia="宋体" w:cs="Times New Roman"/>
          <w:color w:val="auto"/>
          <w:sz w:val="24"/>
          <w:szCs w:val="24"/>
          <w:lang w:val="zh-CN"/>
        </w:rPr>
        <w:t>、</w:t>
      </w:r>
      <w:r>
        <w:rPr>
          <w:rFonts w:hint="default" w:ascii="Times New Roman" w:hAnsi="Times New Roman" w:eastAsia="宋体" w:cs="Times New Roman"/>
          <w:color w:val="auto"/>
          <w:sz w:val="24"/>
          <w:szCs w:val="24"/>
          <w:highlight w:val="none"/>
          <w:lang w:val="zh-CN"/>
        </w:rPr>
        <w:t>产生的最远距离</w:t>
      </w:r>
      <w:r>
        <w:rPr>
          <w:rFonts w:hint="eastAsia" w:ascii="Times New Roman" w:hAnsi="Times New Roman" w:eastAsia="宋体" w:cs="Times New Roman"/>
          <w:color w:val="auto"/>
          <w:sz w:val="24"/>
          <w:szCs w:val="24"/>
          <w:highlight w:val="none"/>
          <w:lang w:val="en-US" w:eastAsia="zh-CN"/>
        </w:rPr>
        <w:t>4690</w:t>
      </w:r>
      <w:r>
        <w:rPr>
          <w:rFonts w:hint="default" w:ascii="Times New Roman" w:hAnsi="Times New Roman" w:eastAsia="宋体" w:cs="Times New Roman"/>
          <w:color w:val="auto"/>
          <w:sz w:val="24"/>
          <w:szCs w:val="24"/>
          <w:highlight w:val="none"/>
          <w:lang w:val="zh-CN"/>
        </w:rPr>
        <w:t>m</w:t>
      </w:r>
      <w:r>
        <w:rPr>
          <w:rFonts w:hint="eastAsia" w:ascii="Times New Roman" w:hAnsi="Times New Roman" w:eastAsia="宋体" w:cs="Times New Roman"/>
          <w:color w:val="auto"/>
          <w:sz w:val="24"/>
          <w:szCs w:val="24"/>
          <w:highlight w:val="none"/>
          <w:lang w:val="zh-CN"/>
        </w:rPr>
        <w:t>、</w:t>
      </w:r>
      <w:r>
        <w:rPr>
          <w:rFonts w:hint="default" w:ascii="Times New Roman" w:hAnsi="Times New Roman" w:eastAsia="宋体" w:cs="Times New Roman"/>
          <w:color w:val="auto"/>
          <w:sz w:val="24"/>
          <w:szCs w:val="24"/>
          <w:highlight w:val="none"/>
          <w:lang w:val="zh-CN"/>
        </w:rPr>
        <w:t>发生时间为第73.26min</w:t>
      </w:r>
      <w:r>
        <w:rPr>
          <w:rFonts w:hint="eastAsia" w:ascii="Times New Roman" w:hAnsi="Times New Roman" w:eastAsia="宋体" w:cs="Times New Roman"/>
          <w:color w:val="auto"/>
          <w:sz w:val="24"/>
          <w:szCs w:val="24"/>
          <w:highlight w:val="none"/>
          <w:lang w:val="zh-CN"/>
        </w:rPr>
        <w:t>；</w:t>
      </w:r>
      <w:r>
        <w:rPr>
          <w:rFonts w:hint="default" w:ascii="Times New Roman" w:hAnsi="Times New Roman" w:eastAsia="宋体" w:cs="Times New Roman"/>
          <w:color w:val="auto"/>
          <w:sz w:val="24"/>
          <w:szCs w:val="24"/>
          <w:highlight w:val="none"/>
          <w:lang w:val="zh-CN"/>
        </w:rPr>
        <w:t>最</w:t>
      </w:r>
      <w:r>
        <w:rPr>
          <w:rFonts w:hint="default" w:ascii="Times New Roman" w:hAnsi="Times New Roman" w:eastAsia="宋体" w:cs="Times New Roman"/>
          <w:color w:val="auto"/>
          <w:sz w:val="24"/>
          <w:szCs w:val="24"/>
          <w:highlight w:val="none"/>
          <w:lang w:val="en-US" w:eastAsia="zh-CN"/>
        </w:rPr>
        <w:t>大</w:t>
      </w:r>
      <w:r>
        <w:rPr>
          <w:rFonts w:hint="default" w:ascii="Times New Roman" w:hAnsi="Times New Roman" w:eastAsia="宋体" w:cs="Times New Roman"/>
          <w:color w:val="auto"/>
          <w:sz w:val="24"/>
          <w:szCs w:val="24"/>
          <w:highlight w:val="none"/>
          <w:lang w:val="zh-CN"/>
        </w:rPr>
        <w:t>阈值为</w:t>
      </w:r>
      <w:r>
        <w:rPr>
          <w:rFonts w:hint="eastAsia" w:ascii="Times New Roman" w:hAnsi="Times New Roman" w:eastAsia="宋体" w:cs="Times New Roman"/>
          <w:color w:val="auto"/>
          <w:sz w:val="24"/>
          <w:szCs w:val="24"/>
          <w:highlight w:val="none"/>
          <w:lang w:val="en-US" w:eastAsia="zh-CN"/>
        </w:rPr>
        <w:t>58</w:t>
      </w:r>
      <w:r>
        <w:rPr>
          <w:rFonts w:hint="default" w:ascii="Times New Roman" w:hAnsi="Times New Roman" w:eastAsia="宋体" w:cs="Times New Roman"/>
          <w:color w:val="auto"/>
          <w:sz w:val="24"/>
          <w:szCs w:val="24"/>
          <w:highlight w:val="none"/>
          <w:lang w:val="zh-CN"/>
        </w:rPr>
        <w:t>mg/m</w:t>
      </w:r>
      <w:r>
        <w:rPr>
          <w:rFonts w:hint="default" w:ascii="Times New Roman" w:hAnsi="Times New Roman" w:eastAsia="宋体" w:cs="Times New Roman"/>
          <w:color w:val="auto"/>
          <w:sz w:val="24"/>
          <w:szCs w:val="24"/>
          <w:highlight w:val="none"/>
          <w:vertAlign w:val="superscript"/>
          <w:lang w:val="zh-CN"/>
        </w:rPr>
        <w:t>3</w:t>
      </w:r>
      <w:r>
        <w:rPr>
          <w:rFonts w:hint="eastAsia" w:ascii="Times New Roman" w:hAnsi="Times New Roman" w:eastAsia="宋体" w:cs="Times New Roman"/>
          <w:color w:val="auto"/>
          <w:sz w:val="24"/>
          <w:szCs w:val="24"/>
          <w:highlight w:val="none"/>
          <w:lang w:val="zh-CN"/>
        </w:rPr>
        <w:t>、</w:t>
      </w:r>
      <w:r>
        <w:rPr>
          <w:rFonts w:hint="default" w:ascii="Times New Roman" w:hAnsi="Times New Roman" w:eastAsia="宋体" w:cs="Times New Roman"/>
          <w:color w:val="auto"/>
          <w:sz w:val="24"/>
          <w:szCs w:val="24"/>
          <w:highlight w:val="none"/>
          <w:lang w:val="zh-CN"/>
        </w:rPr>
        <w:t>产生的最远距离</w:t>
      </w:r>
      <w:r>
        <w:rPr>
          <w:rFonts w:hint="eastAsia" w:ascii="Times New Roman" w:hAnsi="Times New Roman" w:eastAsia="宋体" w:cs="Times New Roman"/>
          <w:color w:val="auto"/>
          <w:sz w:val="24"/>
          <w:szCs w:val="24"/>
          <w:highlight w:val="none"/>
          <w:lang w:val="en-US" w:eastAsia="zh-CN"/>
        </w:rPr>
        <w:t>1180</w:t>
      </w:r>
      <w:r>
        <w:rPr>
          <w:rFonts w:hint="default" w:ascii="Times New Roman" w:hAnsi="Times New Roman" w:eastAsia="宋体" w:cs="Times New Roman"/>
          <w:color w:val="auto"/>
          <w:sz w:val="24"/>
          <w:szCs w:val="24"/>
          <w:highlight w:val="none"/>
          <w:lang w:val="zh-CN"/>
        </w:rPr>
        <w:t>m</w:t>
      </w:r>
      <w:r>
        <w:rPr>
          <w:rFonts w:hint="eastAsia" w:ascii="Times New Roman" w:hAnsi="Times New Roman" w:eastAsia="宋体" w:cs="Times New Roman"/>
          <w:color w:val="auto"/>
          <w:sz w:val="24"/>
          <w:szCs w:val="24"/>
          <w:highlight w:val="none"/>
          <w:lang w:val="zh-CN"/>
        </w:rPr>
        <w:t>、</w:t>
      </w:r>
      <w:r>
        <w:rPr>
          <w:rFonts w:hint="default" w:ascii="Times New Roman" w:hAnsi="Times New Roman" w:eastAsia="宋体" w:cs="Times New Roman"/>
          <w:color w:val="auto"/>
          <w:sz w:val="24"/>
          <w:szCs w:val="24"/>
          <w:highlight w:val="none"/>
          <w:lang w:val="zh-CN"/>
        </w:rPr>
        <w:t>发生时间为第</w:t>
      </w:r>
      <w:r>
        <w:rPr>
          <w:rFonts w:hint="eastAsia" w:ascii="Times New Roman" w:hAnsi="Times New Roman" w:eastAsia="宋体" w:cs="Times New Roman"/>
          <w:color w:val="auto"/>
          <w:sz w:val="24"/>
          <w:szCs w:val="24"/>
          <w:highlight w:val="none"/>
          <w:lang w:val="en-US" w:eastAsia="zh-CN"/>
        </w:rPr>
        <w:t>28.5</w:t>
      </w:r>
      <w:r>
        <w:rPr>
          <w:rFonts w:hint="default" w:ascii="Times New Roman" w:hAnsi="Times New Roman" w:eastAsia="宋体" w:cs="Times New Roman"/>
          <w:color w:val="auto"/>
          <w:sz w:val="24"/>
          <w:szCs w:val="24"/>
          <w:highlight w:val="none"/>
          <w:lang w:val="zh-CN"/>
        </w:rPr>
        <w:t>min，</w:t>
      </w:r>
      <w:r>
        <w:rPr>
          <w:rFonts w:hint="eastAsia" w:ascii="Times New Roman" w:hAnsi="Times New Roman" w:eastAsia="宋体" w:cs="Times New Roman"/>
          <w:color w:val="auto"/>
          <w:sz w:val="24"/>
          <w:szCs w:val="24"/>
          <w:lang w:val="en-US" w:eastAsia="zh-CN"/>
        </w:rPr>
        <w:t>具体</w:t>
      </w:r>
      <w:r>
        <w:rPr>
          <w:rFonts w:hint="eastAsia" w:cs="Times New Roman"/>
          <w:color w:val="auto"/>
          <w:sz w:val="24"/>
          <w:szCs w:val="24"/>
          <w:lang w:val="en-US" w:eastAsia="zh-CN"/>
        </w:rPr>
        <w:t>预测浓度网格点分布图如下：</w:t>
      </w:r>
    </w:p>
    <w:p w14:paraId="11A01A9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cs="Times New Roman"/>
          <w:color w:val="auto"/>
          <w:sz w:val="24"/>
          <w:szCs w:val="24"/>
          <w:lang w:val="en-US" w:eastAsia="zh-CN"/>
        </w:rPr>
      </w:pPr>
      <w:r>
        <w:drawing>
          <wp:inline distT="0" distB="0" distL="114300" distR="114300">
            <wp:extent cx="5265420" cy="3213100"/>
            <wp:effectExtent l="0" t="0" r="11430" b="6350"/>
            <wp:docPr id="1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8"/>
                    <pic:cNvPicPr>
                      <a:picLocks noChangeAspect="1"/>
                    </pic:cNvPicPr>
                  </pic:nvPicPr>
                  <pic:blipFill>
                    <a:blip r:embed="rId73"/>
                    <a:stretch>
                      <a:fillRect/>
                    </a:stretch>
                  </pic:blipFill>
                  <pic:spPr>
                    <a:xfrm>
                      <a:off x="0" y="0"/>
                      <a:ext cx="5265420" cy="3213100"/>
                    </a:xfrm>
                    <a:prstGeom prst="rect">
                      <a:avLst/>
                    </a:prstGeom>
                    <a:noFill/>
                    <a:ln>
                      <a:noFill/>
                    </a:ln>
                  </pic:spPr>
                </pic:pic>
              </a:graphicData>
            </a:graphic>
          </wp:inline>
        </w:drawing>
      </w:r>
    </w:p>
    <w:p w14:paraId="2293A72B">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图7-2   毒性终点浓度的</w:t>
      </w:r>
      <w:r>
        <w:rPr>
          <w:rFonts w:hint="eastAsia" w:cs="Times New Roman"/>
          <w:color w:val="auto"/>
          <w:sz w:val="24"/>
          <w:szCs w:val="24"/>
          <w:lang w:val="en-US" w:eastAsia="zh-CN"/>
        </w:rPr>
        <w:t>预测浓度网格点分布</w:t>
      </w:r>
      <w:r>
        <w:rPr>
          <w:rFonts w:hint="default" w:ascii="Times New Roman" w:hAnsi="Times New Roman" w:eastAsia="宋体" w:cs="Times New Roman"/>
          <w:color w:val="auto"/>
          <w:sz w:val="24"/>
          <w:szCs w:val="24"/>
          <w:lang w:val="en-US" w:eastAsia="zh-CN"/>
        </w:rPr>
        <w:t>图（最不利气象条件）</w:t>
      </w:r>
    </w:p>
    <w:p w14:paraId="3E6E5C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③下风向关心点影响程度表</w:t>
      </w:r>
    </w:p>
    <w:p w14:paraId="7392D15D">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drawing>
          <wp:inline distT="0" distB="0" distL="114300" distR="114300">
            <wp:extent cx="5271135" cy="2898140"/>
            <wp:effectExtent l="0" t="0" r="5715" b="16510"/>
            <wp:docPr id="14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0"/>
                    <pic:cNvPicPr>
                      <a:picLocks noChangeAspect="1"/>
                    </pic:cNvPicPr>
                  </pic:nvPicPr>
                  <pic:blipFill>
                    <a:blip r:embed="rId74"/>
                    <a:stretch>
                      <a:fillRect/>
                    </a:stretch>
                  </pic:blipFill>
                  <pic:spPr>
                    <a:xfrm>
                      <a:off x="0" y="0"/>
                      <a:ext cx="5271135" cy="2898140"/>
                    </a:xfrm>
                    <a:prstGeom prst="rect">
                      <a:avLst/>
                    </a:prstGeom>
                    <a:noFill/>
                    <a:ln>
                      <a:noFill/>
                    </a:ln>
                  </pic:spPr>
                </pic:pic>
              </a:graphicData>
            </a:graphic>
          </wp:inline>
        </w:drawing>
      </w:r>
    </w:p>
    <w:p w14:paraId="27EEEB09">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图7-</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 xml:space="preserve">   </w:t>
      </w:r>
      <w:r>
        <w:rPr>
          <w:rFonts w:hint="eastAsia" w:cs="Times New Roman"/>
          <w:color w:val="auto"/>
          <w:sz w:val="24"/>
          <w:szCs w:val="24"/>
          <w:lang w:val="en-US" w:eastAsia="zh-CN"/>
        </w:rPr>
        <w:t>预测浓度影响范围分布示意</w:t>
      </w:r>
      <w:r>
        <w:rPr>
          <w:rFonts w:hint="default" w:ascii="Times New Roman" w:hAnsi="Times New Roman" w:eastAsia="宋体" w:cs="Times New Roman"/>
          <w:color w:val="auto"/>
          <w:sz w:val="24"/>
          <w:szCs w:val="24"/>
          <w:lang w:val="en-US" w:eastAsia="zh-CN"/>
        </w:rPr>
        <w:t>图（最不利气象条件）</w:t>
      </w:r>
    </w:p>
    <w:p w14:paraId="412EC3F9">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表7-</w:t>
      </w:r>
      <w:r>
        <w:rPr>
          <w:rFonts w:hint="eastAsia" w:cs="Times New Roman"/>
          <w:color w:val="auto"/>
          <w:sz w:val="24"/>
          <w:szCs w:val="24"/>
          <w:lang w:val="en-US" w:eastAsia="zh-CN"/>
        </w:rPr>
        <w:t xml:space="preserve">3 </w:t>
      </w:r>
      <w:r>
        <w:rPr>
          <w:rFonts w:hint="default" w:ascii="Times New Roman" w:hAnsi="Times New Roman" w:eastAsia="宋体" w:cs="Times New Roman"/>
          <w:color w:val="auto"/>
          <w:sz w:val="24"/>
          <w:szCs w:val="24"/>
          <w:lang w:val="en-US" w:eastAsia="zh-CN"/>
        </w:rPr>
        <w:t xml:space="preserve"> 下风向相对关心点影响程度预测一览表（最不利气象条件）</w:t>
      </w:r>
    </w:p>
    <w:tbl>
      <w:tblPr>
        <w:tblStyle w:val="24"/>
        <w:tblW w:w="9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1445"/>
        <w:gridCol w:w="1101"/>
        <w:gridCol w:w="1101"/>
        <w:gridCol w:w="1101"/>
        <w:gridCol w:w="1101"/>
        <w:gridCol w:w="1101"/>
        <w:gridCol w:w="1105"/>
      </w:tblGrid>
      <w:tr w14:paraId="6DB0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452431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名称</w:t>
            </w:r>
          </w:p>
        </w:tc>
        <w:tc>
          <w:tcPr>
            <w:tcW w:w="1445" w:type="dxa"/>
            <w:noWrap w:val="0"/>
            <w:vAlign w:val="center"/>
          </w:tcPr>
          <w:p w14:paraId="1CEAA5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最大浓度|时间(min)</w:t>
            </w:r>
          </w:p>
        </w:tc>
        <w:tc>
          <w:tcPr>
            <w:tcW w:w="1101" w:type="dxa"/>
            <w:noWrap w:val="0"/>
            <w:vAlign w:val="center"/>
          </w:tcPr>
          <w:p w14:paraId="0D0CEC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5min</w:t>
            </w:r>
          </w:p>
        </w:tc>
        <w:tc>
          <w:tcPr>
            <w:tcW w:w="1101" w:type="dxa"/>
            <w:noWrap w:val="0"/>
            <w:vAlign w:val="center"/>
          </w:tcPr>
          <w:p w14:paraId="4CFC59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10min</w:t>
            </w:r>
          </w:p>
        </w:tc>
        <w:tc>
          <w:tcPr>
            <w:tcW w:w="1101" w:type="dxa"/>
            <w:noWrap w:val="0"/>
            <w:vAlign w:val="center"/>
          </w:tcPr>
          <w:p w14:paraId="231873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15min</w:t>
            </w:r>
          </w:p>
        </w:tc>
        <w:tc>
          <w:tcPr>
            <w:tcW w:w="1101" w:type="dxa"/>
            <w:noWrap w:val="0"/>
            <w:vAlign w:val="center"/>
          </w:tcPr>
          <w:p w14:paraId="7BC030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20min</w:t>
            </w:r>
          </w:p>
        </w:tc>
        <w:tc>
          <w:tcPr>
            <w:tcW w:w="1101" w:type="dxa"/>
            <w:noWrap w:val="0"/>
            <w:vAlign w:val="center"/>
          </w:tcPr>
          <w:p w14:paraId="4725AA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25min</w:t>
            </w:r>
          </w:p>
        </w:tc>
        <w:tc>
          <w:tcPr>
            <w:tcW w:w="1105" w:type="dxa"/>
            <w:noWrap w:val="0"/>
            <w:vAlign w:val="center"/>
          </w:tcPr>
          <w:p w14:paraId="202AAA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30min</w:t>
            </w:r>
          </w:p>
        </w:tc>
      </w:tr>
      <w:tr w14:paraId="7040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25A079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岳阳市第一中学</w:t>
            </w:r>
          </w:p>
        </w:tc>
        <w:tc>
          <w:tcPr>
            <w:tcW w:w="1445" w:type="dxa"/>
            <w:noWrap w:val="0"/>
            <w:vAlign w:val="center"/>
          </w:tcPr>
          <w:p w14:paraId="3740C7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74.9525|15</w:t>
            </w:r>
          </w:p>
        </w:tc>
        <w:tc>
          <w:tcPr>
            <w:tcW w:w="1101" w:type="dxa"/>
            <w:noWrap w:val="0"/>
            <w:vAlign w:val="center"/>
          </w:tcPr>
          <w:p w14:paraId="1DFE8C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67.4658</w:t>
            </w:r>
          </w:p>
        </w:tc>
        <w:tc>
          <w:tcPr>
            <w:tcW w:w="1101" w:type="dxa"/>
            <w:noWrap w:val="0"/>
            <w:vAlign w:val="center"/>
          </w:tcPr>
          <w:p w14:paraId="07E264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67.4658</w:t>
            </w:r>
          </w:p>
        </w:tc>
        <w:tc>
          <w:tcPr>
            <w:tcW w:w="1101" w:type="dxa"/>
            <w:noWrap w:val="0"/>
            <w:vAlign w:val="center"/>
          </w:tcPr>
          <w:p w14:paraId="4ED138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74.9525</w:t>
            </w:r>
          </w:p>
        </w:tc>
        <w:tc>
          <w:tcPr>
            <w:tcW w:w="1101" w:type="dxa"/>
            <w:noWrap w:val="0"/>
            <w:vAlign w:val="center"/>
          </w:tcPr>
          <w:p w14:paraId="24556E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11.689</w:t>
            </w:r>
          </w:p>
        </w:tc>
        <w:tc>
          <w:tcPr>
            <w:tcW w:w="1101" w:type="dxa"/>
            <w:noWrap w:val="0"/>
            <w:vAlign w:val="center"/>
          </w:tcPr>
          <w:p w14:paraId="0D4D78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2.4916</w:t>
            </w:r>
          </w:p>
        </w:tc>
        <w:tc>
          <w:tcPr>
            <w:tcW w:w="1105" w:type="dxa"/>
            <w:noWrap w:val="0"/>
            <w:vAlign w:val="center"/>
          </w:tcPr>
          <w:p w14:paraId="172180A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0.7201</w:t>
            </w:r>
          </w:p>
        </w:tc>
      </w:tr>
      <w:tr w14:paraId="182C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30B16C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原3517职工家属区</w:t>
            </w:r>
          </w:p>
        </w:tc>
        <w:tc>
          <w:tcPr>
            <w:tcW w:w="1445" w:type="dxa"/>
            <w:noWrap w:val="0"/>
            <w:vAlign w:val="center"/>
          </w:tcPr>
          <w:p w14:paraId="0E91EA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0.0000|15</w:t>
            </w:r>
          </w:p>
        </w:tc>
        <w:tc>
          <w:tcPr>
            <w:tcW w:w="1101" w:type="dxa"/>
            <w:noWrap w:val="0"/>
            <w:vAlign w:val="center"/>
          </w:tcPr>
          <w:p w14:paraId="0C8D61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375A52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2248E8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66A081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08E0331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5" w:type="dxa"/>
            <w:noWrap w:val="0"/>
            <w:vAlign w:val="center"/>
          </w:tcPr>
          <w:p w14:paraId="265E68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r>
      <w:tr w14:paraId="5DB1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1E9B793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东洞庭湖管理局家属区</w:t>
            </w:r>
          </w:p>
        </w:tc>
        <w:tc>
          <w:tcPr>
            <w:tcW w:w="1445" w:type="dxa"/>
            <w:noWrap w:val="0"/>
            <w:vAlign w:val="center"/>
          </w:tcPr>
          <w:p w14:paraId="33D078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0.0000|15</w:t>
            </w:r>
          </w:p>
        </w:tc>
        <w:tc>
          <w:tcPr>
            <w:tcW w:w="1101" w:type="dxa"/>
            <w:noWrap w:val="0"/>
            <w:vAlign w:val="center"/>
          </w:tcPr>
          <w:p w14:paraId="265D7F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3CB61E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4BF4B6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6D1BB2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040DEC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5" w:type="dxa"/>
            <w:noWrap w:val="0"/>
            <w:vAlign w:val="center"/>
          </w:tcPr>
          <w:p w14:paraId="3403BF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r>
      <w:tr w14:paraId="314D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266159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青年堤幼儿园</w:t>
            </w:r>
          </w:p>
        </w:tc>
        <w:tc>
          <w:tcPr>
            <w:tcW w:w="1445" w:type="dxa"/>
            <w:noWrap w:val="0"/>
            <w:vAlign w:val="center"/>
          </w:tcPr>
          <w:p w14:paraId="60ED8E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0.0000|15</w:t>
            </w:r>
          </w:p>
        </w:tc>
        <w:tc>
          <w:tcPr>
            <w:tcW w:w="1101" w:type="dxa"/>
            <w:noWrap w:val="0"/>
            <w:vAlign w:val="center"/>
          </w:tcPr>
          <w:p w14:paraId="7D78D4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351E83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481EC0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45968EA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74E4725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5" w:type="dxa"/>
            <w:noWrap w:val="0"/>
            <w:vAlign w:val="center"/>
          </w:tcPr>
          <w:p w14:paraId="3B4667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r>
      <w:tr w14:paraId="5030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6339D3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岳阳楼景区</w:t>
            </w:r>
          </w:p>
        </w:tc>
        <w:tc>
          <w:tcPr>
            <w:tcW w:w="1445" w:type="dxa"/>
            <w:noWrap w:val="0"/>
            <w:vAlign w:val="center"/>
          </w:tcPr>
          <w:p w14:paraId="6C13EE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145.2378|15</w:t>
            </w:r>
          </w:p>
        </w:tc>
        <w:tc>
          <w:tcPr>
            <w:tcW w:w="1101" w:type="dxa"/>
            <w:noWrap w:val="0"/>
            <w:vAlign w:val="center"/>
          </w:tcPr>
          <w:p w14:paraId="7962CE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1BD59A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4F8A65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145.2378</w:t>
            </w:r>
          </w:p>
        </w:tc>
        <w:tc>
          <w:tcPr>
            <w:tcW w:w="1101" w:type="dxa"/>
            <w:noWrap w:val="0"/>
            <w:vAlign w:val="center"/>
          </w:tcPr>
          <w:p w14:paraId="10946D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145.2378</w:t>
            </w:r>
          </w:p>
        </w:tc>
        <w:tc>
          <w:tcPr>
            <w:tcW w:w="1101" w:type="dxa"/>
            <w:noWrap w:val="0"/>
            <w:vAlign w:val="center"/>
          </w:tcPr>
          <w:p w14:paraId="1980BB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92.5463</w:t>
            </w:r>
          </w:p>
        </w:tc>
        <w:tc>
          <w:tcPr>
            <w:tcW w:w="1105" w:type="dxa"/>
            <w:noWrap w:val="0"/>
            <w:vAlign w:val="center"/>
          </w:tcPr>
          <w:p w14:paraId="6A7B580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27.3963</w:t>
            </w:r>
          </w:p>
        </w:tc>
      </w:tr>
      <w:tr w14:paraId="08C2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5C9B1C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际华·蓓蕾幼儿园</w:t>
            </w:r>
          </w:p>
        </w:tc>
        <w:tc>
          <w:tcPr>
            <w:tcW w:w="1445" w:type="dxa"/>
            <w:noWrap w:val="0"/>
            <w:vAlign w:val="center"/>
          </w:tcPr>
          <w:p w14:paraId="58BF48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0.0000|15</w:t>
            </w:r>
          </w:p>
        </w:tc>
        <w:tc>
          <w:tcPr>
            <w:tcW w:w="1101" w:type="dxa"/>
            <w:noWrap w:val="0"/>
            <w:vAlign w:val="center"/>
          </w:tcPr>
          <w:p w14:paraId="6D93BE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0A3BE0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0B44351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758FB6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4E06B7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5" w:type="dxa"/>
            <w:noWrap w:val="0"/>
            <w:vAlign w:val="center"/>
          </w:tcPr>
          <w:p w14:paraId="45453F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r>
      <w:tr w14:paraId="6EA9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7ECE04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岳阳楼-君山景区管委会</w:t>
            </w:r>
          </w:p>
        </w:tc>
        <w:tc>
          <w:tcPr>
            <w:tcW w:w="1445" w:type="dxa"/>
            <w:noWrap w:val="0"/>
            <w:vAlign w:val="center"/>
          </w:tcPr>
          <w:p w14:paraId="6B082E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108.5954|20</w:t>
            </w:r>
          </w:p>
        </w:tc>
        <w:tc>
          <w:tcPr>
            <w:tcW w:w="1101" w:type="dxa"/>
            <w:noWrap w:val="0"/>
            <w:vAlign w:val="center"/>
          </w:tcPr>
          <w:p w14:paraId="6607695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177DF2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670343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45.255</w:t>
            </w:r>
          </w:p>
        </w:tc>
        <w:tc>
          <w:tcPr>
            <w:tcW w:w="1101" w:type="dxa"/>
            <w:noWrap w:val="0"/>
            <w:vAlign w:val="center"/>
          </w:tcPr>
          <w:p w14:paraId="45267F7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108.5954</w:t>
            </w:r>
          </w:p>
        </w:tc>
        <w:tc>
          <w:tcPr>
            <w:tcW w:w="1101" w:type="dxa"/>
            <w:noWrap w:val="0"/>
            <w:vAlign w:val="center"/>
          </w:tcPr>
          <w:p w14:paraId="20F5A6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108.5954</w:t>
            </w:r>
          </w:p>
        </w:tc>
        <w:tc>
          <w:tcPr>
            <w:tcW w:w="1105" w:type="dxa"/>
            <w:noWrap w:val="0"/>
            <w:vAlign w:val="center"/>
          </w:tcPr>
          <w:p w14:paraId="72B203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78.3372</w:t>
            </w:r>
          </w:p>
        </w:tc>
      </w:tr>
      <w:tr w14:paraId="0FA7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0AB3C8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岳阳楼小学</w:t>
            </w:r>
          </w:p>
        </w:tc>
        <w:tc>
          <w:tcPr>
            <w:tcW w:w="1445" w:type="dxa"/>
            <w:noWrap w:val="0"/>
            <w:vAlign w:val="center"/>
          </w:tcPr>
          <w:p w14:paraId="3CFE8E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88.5794|20</w:t>
            </w:r>
          </w:p>
        </w:tc>
        <w:tc>
          <w:tcPr>
            <w:tcW w:w="1101" w:type="dxa"/>
            <w:noWrap w:val="0"/>
            <w:vAlign w:val="center"/>
          </w:tcPr>
          <w:p w14:paraId="5797F5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1EBF49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422AC5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2.381</w:t>
            </w:r>
          </w:p>
        </w:tc>
        <w:tc>
          <w:tcPr>
            <w:tcW w:w="1101" w:type="dxa"/>
            <w:noWrap w:val="0"/>
            <w:vAlign w:val="center"/>
          </w:tcPr>
          <w:p w14:paraId="02373E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88.5794</w:t>
            </w:r>
          </w:p>
        </w:tc>
        <w:tc>
          <w:tcPr>
            <w:tcW w:w="1101" w:type="dxa"/>
            <w:noWrap w:val="0"/>
            <w:vAlign w:val="center"/>
          </w:tcPr>
          <w:p w14:paraId="572CBC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88.5794</w:t>
            </w:r>
          </w:p>
        </w:tc>
        <w:tc>
          <w:tcPr>
            <w:tcW w:w="1105" w:type="dxa"/>
            <w:noWrap w:val="0"/>
            <w:vAlign w:val="center"/>
          </w:tcPr>
          <w:p w14:paraId="75DD7A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66.5331</w:t>
            </w:r>
          </w:p>
        </w:tc>
      </w:tr>
      <w:tr w14:paraId="6779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167BAB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九华山小学</w:t>
            </w:r>
          </w:p>
        </w:tc>
        <w:tc>
          <w:tcPr>
            <w:tcW w:w="1445" w:type="dxa"/>
            <w:noWrap w:val="0"/>
            <w:vAlign w:val="center"/>
          </w:tcPr>
          <w:p w14:paraId="64C746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0.0000|20</w:t>
            </w:r>
          </w:p>
        </w:tc>
        <w:tc>
          <w:tcPr>
            <w:tcW w:w="1101" w:type="dxa"/>
            <w:noWrap w:val="0"/>
            <w:vAlign w:val="center"/>
          </w:tcPr>
          <w:p w14:paraId="12B80B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23D32A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67FC12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5E0DE33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1221C8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5" w:type="dxa"/>
            <w:noWrap w:val="0"/>
            <w:vAlign w:val="center"/>
          </w:tcPr>
          <w:p w14:paraId="2FE2BC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r>
      <w:tr w14:paraId="2BCE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65F233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洞庭湖学校</w:t>
            </w:r>
          </w:p>
        </w:tc>
        <w:tc>
          <w:tcPr>
            <w:tcW w:w="1445" w:type="dxa"/>
            <w:noWrap w:val="0"/>
            <w:vAlign w:val="center"/>
          </w:tcPr>
          <w:p w14:paraId="59D944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0.0019|25</w:t>
            </w:r>
          </w:p>
        </w:tc>
        <w:tc>
          <w:tcPr>
            <w:tcW w:w="1101" w:type="dxa"/>
            <w:noWrap w:val="0"/>
            <w:vAlign w:val="center"/>
          </w:tcPr>
          <w:p w14:paraId="013EAA8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4DA342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09AA22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196CAE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0.0003</w:t>
            </w:r>
          </w:p>
        </w:tc>
        <w:tc>
          <w:tcPr>
            <w:tcW w:w="1101" w:type="dxa"/>
            <w:noWrap w:val="0"/>
            <w:vAlign w:val="center"/>
          </w:tcPr>
          <w:p w14:paraId="74DC01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0.0019</w:t>
            </w:r>
          </w:p>
        </w:tc>
        <w:tc>
          <w:tcPr>
            <w:tcW w:w="1105" w:type="dxa"/>
            <w:noWrap w:val="0"/>
            <w:vAlign w:val="center"/>
          </w:tcPr>
          <w:p w14:paraId="0BD5CE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0.0017</w:t>
            </w:r>
          </w:p>
        </w:tc>
      </w:tr>
      <w:tr w14:paraId="4900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049C97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市机关二幼儿园</w:t>
            </w:r>
          </w:p>
        </w:tc>
        <w:tc>
          <w:tcPr>
            <w:tcW w:w="1445" w:type="dxa"/>
            <w:noWrap w:val="0"/>
            <w:vAlign w:val="center"/>
          </w:tcPr>
          <w:p w14:paraId="1EDDC7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62.3803|25</w:t>
            </w:r>
          </w:p>
        </w:tc>
        <w:tc>
          <w:tcPr>
            <w:tcW w:w="1101" w:type="dxa"/>
            <w:noWrap w:val="0"/>
            <w:vAlign w:val="center"/>
          </w:tcPr>
          <w:p w14:paraId="357B47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3BC86A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163A88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0.0005</w:t>
            </w:r>
          </w:p>
        </w:tc>
        <w:tc>
          <w:tcPr>
            <w:tcW w:w="1101" w:type="dxa"/>
            <w:noWrap w:val="0"/>
            <w:vAlign w:val="center"/>
          </w:tcPr>
          <w:p w14:paraId="1CACCC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12.2818</w:t>
            </w:r>
          </w:p>
        </w:tc>
        <w:tc>
          <w:tcPr>
            <w:tcW w:w="1101" w:type="dxa"/>
            <w:noWrap w:val="0"/>
            <w:vAlign w:val="center"/>
          </w:tcPr>
          <w:p w14:paraId="51E655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62.3803</w:t>
            </w:r>
          </w:p>
        </w:tc>
        <w:tc>
          <w:tcPr>
            <w:tcW w:w="1105" w:type="dxa"/>
            <w:noWrap w:val="0"/>
            <w:vAlign w:val="center"/>
          </w:tcPr>
          <w:p w14:paraId="34348D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57.2407</w:t>
            </w:r>
          </w:p>
        </w:tc>
      </w:tr>
      <w:tr w14:paraId="734F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560BC9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郭亮社区</w:t>
            </w:r>
          </w:p>
        </w:tc>
        <w:tc>
          <w:tcPr>
            <w:tcW w:w="1445" w:type="dxa"/>
            <w:noWrap w:val="0"/>
            <w:vAlign w:val="center"/>
          </w:tcPr>
          <w:p w14:paraId="0A1D24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27.7032|30</w:t>
            </w:r>
          </w:p>
        </w:tc>
        <w:tc>
          <w:tcPr>
            <w:tcW w:w="1101" w:type="dxa"/>
            <w:noWrap w:val="0"/>
            <w:vAlign w:val="center"/>
          </w:tcPr>
          <w:p w14:paraId="2C8DAB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72CB40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2842DF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7EC82CC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1.5179</w:t>
            </w:r>
          </w:p>
        </w:tc>
        <w:tc>
          <w:tcPr>
            <w:tcW w:w="1101" w:type="dxa"/>
            <w:noWrap w:val="0"/>
            <w:vAlign w:val="center"/>
          </w:tcPr>
          <w:p w14:paraId="3084A1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21.4667</w:t>
            </w:r>
          </w:p>
        </w:tc>
        <w:tc>
          <w:tcPr>
            <w:tcW w:w="1105" w:type="dxa"/>
            <w:noWrap w:val="0"/>
            <w:vAlign w:val="center"/>
          </w:tcPr>
          <w:p w14:paraId="7A5C07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27.7032</w:t>
            </w:r>
          </w:p>
        </w:tc>
      </w:tr>
      <w:tr w14:paraId="447A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5EFBF1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岳阳市第二中学</w:t>
            </w:r>
          </w:p>
        </w:tc>
        <w:tc>
          <w:tcPr>
            <w:tcW w:w="1445" w:type="dxa"/>
            <w:noWrap w:val="0"/>
            <w:vAlign w:val="center"/>
          </w:tcPr>
          <w:p w14:paraId="559C5F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1.7985|30</w:t>
            </w:r>
          </w:p>
        </w:tc>
        <w:tc>
          <w:tcPr>
            <w:tcW w:w="1101" w:type="dxa"/>
            <w:noWrap w:val="0"/>
            <w:vAlign w:val="center"/>
          </w:tcPr>
          <w:p w14:paraId="7E40E8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76F00C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63E4DB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65E45C6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0.1649</w:t>
            </w:r>
          </w:p>
        </w:tc>
        <w:tc>
          <w:tcPr>
            <w:tcW w:w="1101" w:type="dxa"/>
            <w:noWrap w:val="0"/>
            <w:vAlign w:val="center"/>
          </w:tcPr>
          <w:p w14:paraId="1EBC251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1.6179</w:t>
            </w:r>
          </w:p>
        </w:tc>
        <w:tc>
          <w:tcPr>
            <w:tcW w:w="1105" w:type="dxa"/>
            <w:noWrap w:val="0"/>
            <w:vAlign w:val="center"/>
          </w:tcPr>
          <w:p w14:paraId="1F2E39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1.7985</w:t>
            </w:r>
          </w:p>
        </w:tc>
      </w:tr>
      <w:tr w14:paraId="64DA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5C29597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庙前街社区</w:t>
            </w:r>
          </w:p>
        </w:tc>
        <w:tc>
          <w:tcPr>
            <w:tcW w:w="1445" w:type="dxa"/>
            <w:noWrap w:val="0"/>
            <w:vAlign w:val="center"/>
          </w:tcPr>
          <w:p w14:paraId="580DD4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0.0022|30</w:t>
            </w:r>
          </w:p>
        </w:tc>
        <w:tc>
          <w:tcPr>
            <w:tcW w:w="1101" w:type="dxa"/>
            <w:noWrap w:val="0"/>
            <w:vAlign w:val="center"/>
          </w:tcPr>
          <w:p w14:paraId="1022BE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42C53A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3EB209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2399D9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0.0001</w:t>
            </w:r>
          </w:p>
        </w:tc>
        <w:tc>
          <w:tcPr>
            <w:tcW w:w="1101" w:type="dxa"/>
            <w:noWrap w:val="0"/>
            <w:vAlign w:val="center"/>
          </w:tcPr>
          <w:p w14:paraId="3D3EAD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0.0015</w:t>
            </w:r>
          </w:p>
        </w:tc>
        <w:tc>
          <w:tcPr>
            <w:tcW w:w="1105" w:type="dxa"/>
            <w:noWrap w:val="0"/>
            <w:vAlign w:val="center"/>
          </w:tcPr>
          <w:p w14:paraId="14BE5A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0.0022</w:t>
            </w:r>
          </w:p>
        </w:tc>
      </w:tr>
      <w:tr w14:paraId="5004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29853E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桥西小学</w:t>
            </w:r>
          </w:p>
        </w:tc>
        <w:tc>
          <w:tcPr>
            <w:tcW w:w="1445" w:type="dxa"/>
            <w:noWrap w:val="0"/>
            <w:vAlign w:val="center"/>
          </w:tcPr>
          <w:p w14:paraId="1E3131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0.0005|30</w:t>
            </w:r>
          </w:p>
        </w:tc>
        <w:tc>
          <w:tcPr>
            <w:tcW w:w="1101" w:type="dxa"/>
            <w:noWrap w:val="0"/>
            <w:vAlign w:val="center"/>
          </w:tcPr>
          <w:p w14:paraId="6FE6D5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4A69E4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2730FD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203BCC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283A88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0.0003</w:t>
            </w:r>
          </w:p>
        </w:tc>
        <w:tc>
          <w:tcPr>
            <w:tcW w:w="1105" w:type="dxa"/>
            <w:noWrap w:val="0"/>
            <w:vAlign w:val="center"/>
          </w:tcPr>
          <w:p w14:paraId="02ECFC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0.0005</w:t>
            </w:r>
          </w:p>
        </w:tc>
      </w:tr>
      <w:tr w14:paraId="5B43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43785D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洞庭书香苑小区</w:t>
            </w:r>
          </w:p>
        </w:tc>
        <w:tc>
          <w:tcPr>
            <w:tcW w:w="1445" w:type="dxa"/>
            <w:noWrap w:val="0"/>
            <w:vAlign w:val="center"/>
          </w:tcPr>
          <w:p w14:paraId="0FD279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0.0000|30</w:t>
            </w:r>
          </w:p>
        </w:tc>
        <w:tc>
          <w:tcPr>
            <w:tcW w:w="1101" w:type="dxa"/>
            <w:noWrap w:val="0"/>
            <w:vAlign w:val="center"/>
          </w:tcPr>
          <w:p w14:paraId="4FA82E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408E12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3F57A1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134D5D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539EC8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5" w:type="dxa"/>
            <w:noWrap w:val="0"/>
            <w:vAlign w:val="center"/>
          </w:tcPr>
          <w:p w14:paraId="661A2E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r>
      <w:tr w14:paraId="2ACF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4EC946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九华北门新区</w:t>
            </w:r>
          </w:p>
        </w:tc>
        <w:tc>
          <w:tcPr>
            <w:tcW w:w="1445" w:type="dxa"/>
            <w:noWrap w:val="0"/>
            <w:vAlign w:val="center"/>
          </w:tcPr>
          <w:p w14:paraId="7F88911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0.0000|30</w:t>
            </w:r>
          </w:p>
        </w:tc>
        <w:tc>
          <w:tcPr>
            <w:tcW w:w="1101" w:type="dxa"/>
            <w:noWrap w:val="0"/>
            <w:vAlign w:val="center"/>
          </w:tcPr>
          <w:p w14:paraId="4DBD7F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5AD875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342C8C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328E52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479605A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5" w:type="dxa"/>
            <w:noWrap w:val="0"/>
            <w:vAlign w:val="center"/>
          </w:tcPr>
          <w:p w14:paraId="1B57F2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r>
      <w:tr w14:paraId="4C97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7DB31E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金茂洞庭生态新城</w:t>
            </w:r>
          </w:p>
        </w:tc>
        <w:tc>
          <w:tcPr>
            <w:tcW w:w="1445" w:type="dxa"/>
            <w:noWrap w:val="0"/>
            <w:vAlign w:val="center"/>
          </w:tcPr>
          <w:p w14:paraId="237371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0.0000|30</w:t>
            </w:r>
          </w:p>
        </w:tc>
        <w:tc>
          <w:tcPr>
            <w:tcW w:w="1101" w:type="dxa"/>
            <w:noWrap w:val="0"/>
            <w:vAlign w:val="center"/>
          </w:tcPr>
          <w:p w14:paraId="7020B5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7385AC4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50D609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45ADE6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7A7A84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5" w:type="dxa"/>
            <w:noWrap w:val="0"/>
            <w:vAlign w:val="center"/>
          </w:tcPr>
          <w:p w14:paraId="72F909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r>
      <w:tr w14:paraId="5FD4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0184DC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花都市场</w:t>
            </w:r>
          </w:p>
        </w:tc>
        <w:tc>
          <w:tcPr>
            <w:tcW w:w="1445" w:type="dxa"/>
            <w:noWrap w:val="0"/>
            <w:vAlign w:val="center"/>
          </w:tcPr>
          <w:p w14:paraId="65EA34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0.0000|30</w:t>
            </w:r>
          </w:p>
        </w:tc>
        <w:tc>
          <w:tcPr>
            <w:tcW w:w="1101" w:type="dxa"/>
            <w:noWrap w:val="0"/>
            <w:vAlign w:val="center"/>
          </w:tcPr>
          <w:p w14:paraId="61B02A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7A8830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2860C8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25A268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29CB58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5" w:type="dxa"/>
            <w:noWrap w:val="0"/>
            <w:vAlign w:val="center"/>
          </w:tcPr>
          <w:p w14:paraId="5AD9F40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r>
      <w:tr w14:paraId="6A95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08B928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岳阳市第三中学</w:t>
            </w:r>
          </w:p>
        </w:tc>
        <w:tc>
          <w:tcPr>
            <w:tcW w:w="1445" w:type="dxa"/>
            <w:noWrap w:val="0"/>
            <w:vAlign w:val="center"/>
          </w:tcPr>
          <w:p w14:paraId="27B951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9.7525|30</w:t>
            </w:r>
          </w:p>
        </w:tc>
        <w:tc>
          <w:tcPr>
            <w:tcW w:w="1101" w:type="dxa"/>
            <w:noWrap w:val="0"/>
            <w:vAlign w:val="center"/>
          </w:tcPr>
          <w:p w14:paraId="690A11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117458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094D75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2CAEB5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6BAF92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0.1408</w:t>
            </w:r>
          </w:p>
        </w:tc>
        <w:tc>
          <w:tcPr>
            <w:tcW w:w="1105" w:type="dxa"/>
            <w:noWrap w:val="0"/>
            <w:vAlign w:val="center"/>
          </w:tcPr>
          <w:p w14:paraId="6EC29C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9.7525</w:t>
            </w:r>
          </w:p>
        </w:tc>
      </w:tr>
      <w:tr w14:paraId="0879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6B9F54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岳阳市中心医院-东茅岭区</w:t>
            </w:r>
          </w:p>
        </w:tc>
        <w:tc>
          <w:tcPr>
            <w:tcW w:w="1445" w:type="dxa"/>
            <w:noWrap w:val="0"/>
            <w:vAlign w:val="center"/>
          </w:tcPr>
          <w:p w14:paraId="647F1E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0.0000|30</w:t>
            </w:r>
          </w:p>
        </w:tc>
        <w:tc>
          <w:tcPr>
            <w:tcW w:w="1101" w:type="dxa"/>
            <w:noWrap w:val="0"/>
            <w:vAlign w:val="center"/>
          </w:tcPr>
          <w:p w14:paraId="619B5E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269D44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7FB2D1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7F1945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12BB40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5" w:type="dxa"/>
            <w:noWrap w:val="0"/>
            <w:vAlign w:val="center"/>
          </w:tcPr>
          <w:p w14:paraId="59696A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r>
      <w:tr w14:paraId="2B7D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3496D1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青年路小学</w:t>
            </w:r>
          </w:p>
        </w:tc>
        <w:tc>
          <w:tcPr>
            <w:tcW w:w="1445" w:type="dxa"/>
            <w:noWrap w:val="0"/>
            <w:vAlign w:val="center"/>
          </w:tcPr>
          <w:p w14:paraId="752312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0.0016|30</w:t>
            </w:r>
          </w:p>
        </w:tc>
        <w:tc>
          <w:tcPr>
            <w:tcW w:w="1101" w:type="dxa"/>
            <w:noWrap w:val="0"/>
            <w:vAlign w:val="center"/>
          </w:tcPr>
          <w:p w14:paraId="2688FB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3D9A6E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75CF37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56EE8B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3F2239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5" w:type="dxa"/>
            <w:noWrap w:val="0"/>
            <w:vAlign w:val="center"/>
          </w:tcPr>
          <w:p w14:paraId="489A50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0.0016</w:t>
            </w:r>
          </w:p>
        </w:tc>
      </w:tr>
      <w:tr w14:paraId="2DA9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5B865B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岳阳楼区洞庭街道</w:t>
            </w:r>
          </w:p>
        </w:tc>
        <w:tc>
          <w:tcPr>
            <w:tcW w:w="1445" w:type="dxa"/>
            <w:noWrap w:val="0"/>
            <w:vAlign w:val="center"/>
          </w:tcPr>
          <w:p w14:paraId="70D2A1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0.0000|30</w:t>
            </w:r>
          </w:p>
        </w:tc>
        <w:tc>
          <w:tcPr>
            <w:tcW w:w="1101" w:type="dxa"/>
            <w:noWrap w:val="0"/>
            <w:vAlign w:val="center"/>
          </w:tcPr>
          <w:p w14:paraId="141BB7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403F9A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19905D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380EEE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1CCD9D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5" w:type="dxa"/>
            <w:noWrap w:val="0"/>
            <w:vAlign w:val="center"/>
          </w:tcPr>
          <w:p w14:paraId="4D6BD2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r>
      <w:tr w14:paraId="172D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2AEC11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岳阳楼区枫桥湖街道</w:t>
            </w:r>
          </w:p>
        </w:tc>
        <w:tc>
          <w:tcPr>
            <w:tcW w:w="1445" w:type="dxa"/>
            <w:noWrap w:val="0"/>
            <w:vAlign w:val="center"/>
          </w:tcPr>
          <w:p w14:paraId="258201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0.0000|30</w:t>
            </w:r>
          </w:p>
        </w:tc>
        <w:tc>
          <w:tcPr>
            <w:tcW w:w="1101" w:type="dxa"/>
            <w:noWrap w:val="0"/>
            <w:vAlign w:val="center"/>
          </w:tcPr>
          <w:p w14:paraId="7892F0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768992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349E47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6A5E6C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3C408E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5" w:type="dxa"/>
            <w:noWrap w:val="0"/>
            <w:vAlign w:val="center"/>
          </w:tcPr>
          <w:p w14:paraId="27E6C4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r>
      <w:tr w14:paraId="5CA8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748FA4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岳阳楼区吕仙亭街道</w:t>
            </w:r>
          </w:p>
        </w:tc>
        <w:tc>
          <w:tcPr>
            <w:tcW w:w="1445" w:type="dxa"/>
            <w:noWrap w:val="0"/>
            <w:vAlign w:val="center"/>
          </w:tcPr>
          <w:p w14:paraId="2F3FB7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5.8144|30</w:t>
            </w:r>
          </w:p>
        </w:tc>
        <w:tc>
          <w:tcPr>
            <w:tcW w:w="1101" w:type="dxa"/>
            <w:noWrap w:val="0"/>
            <w:vAlign w:val="center"/>
          </w:tcPr>
          <w:p w14:paraId="1C96A6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128978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5AE699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398113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0.0001</w:t>
            </w:r>
          </w:p>
        </w:tc>
        <w:tc>
          <w:tcPr>
            <w:tcW w:w="1101" w:type="dxa"/>
            <w:noWrap w:val="0"/>
            <w:vAlign w:val="center"/>
          </w:tcPr>
          <w:p w14:paraId="7C65F3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0.4191</w:t>
            </w:r>
          </w:p>
        </w:tc>
        <w:tc>
          <w:tcPr>
            <w:tcW w:w="1105" w:type="dxa"/>
            <w:noWrap w:val="0"/>
            <w:vAlign w:val="center"/>
          </w:tcPr>
          <w:p w14:paraId="575294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5.8144</w:t>
            </w:r>
          </w:p>
        </w:tc>
      </w:tr>
      <w:tr w14:paraId="5281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5" w:type="dxa"/>
            <w:noWrap w:val="0"/>
            <w:vAlign w:val="center"/>
          </w:tcPr>
          <w:p w14:paraId="2ADD37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岳阳楼区东茅岭街道</w:t>
            </w:r>
          </w:p>
        </w:tc>
        <w:tc>
          <w:tcPr>
            <w:tcW w:w="1445" w:type="dxa"/>
            <w:noWrap w:val="0"/>
            <w:vAlign w:val="center"/>
          </w:tcPr>
          <w:p w14:paraId="69C66E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0.0000|30</w:t>
            </w:r>
          </w:p>
        </w:tc>
        <w:tc>
          <w:tcPr>
            <w:tcW w:w="1101" w:type="dxa"/>
            <w:noWrap w:val="0"/>
            <w:vAlign w:val="center"/>
          </w:tcPr>
          <w:p w14:paraId="43F8F9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13D79A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211392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03DC26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1" w:type="dxa"/>
            <w:noWrap w:val="0"/>
            <w:vAlign w:val="center"/>
          </w:tcPr>
          <w:p w14:paraId="28E805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c>
          <w:tcPr>
            <w:tcW w:w="1105" w:type="dxa"/>
            <w:noWrap w:val="0"/>
            <w:vAlign w:val="center"/>
          </w:tcPr>
          <w:p w14:paraId="73847E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w:t>
            </w:r>
          </w:p>
        </w:tc>
      </w:tr>
    </w:tbl>
    <w:p w14:paraId="688248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浓度时间图详见下图。</w:t>
      </w:r>
    </w:p>
    <w:p w14:paraId="4E6D4A7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cs="Times New Roman"/>
          <w:color w:val="auto"/>
          <w:sz w:val="24"/>
          <w:szCs w:val="24"/>
          <w:lang w:val="en-US" w:eastAsia="zh-CN"/>
        </w:rPr>
      </w:pPr>
      <w:r>
        <w:drawing>
          <wp:inline distT="0" distB="0" distL="114300" distR="114300">
            <wp:extent cx="5273040" cy="2650490"/>
            <wp:effectExtent l="0" t="0" r="3810" b="16510"/>
            <wp:docPr id="14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9"/>
                    <pic:cNvPicPr>
                      <a:picLocks noChangeAspect="1"/>
                    </pic:cNvPicPr>
                  </pic:nvPicPr>
                  <pic:blipFill>
                    <a:blip r:embed="rId75"/>
                    <a:stretch>
                      <a:fillRect/>
                    </a:stretch>
                  </pic:blipFill>
                  <pic:spPr>
                    <a:xfrm>
                      <a:off x="0" y="0"/>
                      <a:ext cx="5273040" cy="2650490"/>
                    </a:xfrm>
                    <a:prstGeom prst="rect">
                      <a:avLst/>
                    </a:prstGeom>
                    <a:noFill/>
                    <a:ln>
                      <a:noFill/>
                    </a:ln>
                  </pic:spPr>
                </pic:pic>
              </a:graphicData>
            </a:graphic>
          </wp:inline>
        </w:drawing>
      </w:r>
    </w:p>
    <w:p w14:paraId="0994CDB0">
      <w:pPr>
        <w:spacing w:line="360" w:lineRule="auto"/>
        <w:ind w:firstLine="480" w:firstLineChars="200"/>
        <w:rPr>
          <w:rFonts w:ascii="Times New Roman" w:hAnsi="Times New Roman"/>
          <w:snapToGrid w:val="0"/>
          <w:sz w:val="24"/>
          <w:szCs w:val="24"/>
        </w:rPr>
      </w:pPr>
      <w:r>
        <w:rPr>
          <w:rFonts w:ascii="Times New Roman" w:hAnsi="Times New Roman"/>
          <w:snapToGrid w:val="0"/>
          <w:sz w:val="24"/>
          <w:szCs w:val="24"/>
          <w:u w:val="single"/>
        </w:rPr>
        <w:t>根据上述分析结果，</w:t>
      </w:r>
      <w:r>
        <w:rPr>
          <w:rFonts w:hint="eastAsia"/>
          <w:snapToGrid w:val="0"/>
          <w:sz w:val="24"/>
          <w:szCs w:val="24"/>
          <w:u w:val="single"/>
          <w:lang w:val="en-US" w:eastAsia="zh-CN"/>
        </w:rPr>
        <w:t>本项目</w:t>
      </w:r>
      <w:r>
        <w:rPr>
          <w:rFonts w:hint="eastAsia" w:ascii="Times New Roman" w:hAnsi="Times New Roman"/>
          <w:snapToGrid w:val="0"/>
          <w:sz w:val="24"/>
          <w:szCs w:val="24"/>
          <w:u w:val="single"/>
          <w:lang w:val="en-US" w:eastAsia="zh-CN"/>
        </w:rPr>
        <w:t>在环境风险单元加氯间</w:t>
      </w:r>
      <w:r>
        <w:rPr>
          <w:rFonts w:ascii="Times New Roman" w:hAnsi="Times New Roman"/>
          <w:snapToGrid w:val="0"/>
          <w:sz w:val="24"/>
          <w:szCs w:val="24"/>
          <w:u w:val="single"/>
        </w:rPr>
        <w:t>发生</w:t>
      </w:r>
      <w:r>
        <w:rPr>
          <w:rFonts w:hint="eastAsia" w:ascii="Times New Roman" w:hAnsi="Times New Roman"/>
          <w:snapToGrid w:val="0"/>
          <w:sz w:val="24"/>
          <w:szCs w:val="24"/>
          <w:u w:val="single"/>
          <w:lang w:val="en-US" w:eastAsia="zh-CN"/>
        </w:rPr>
        <w:t>氯气</w:t>
      </w:r>
      <w:r>
        <w:rPr>
          <w:rFonts w:hint="eastAsia" w:ascii="Times New Roman" w:hAnsi="Times New Roman"/>
          <w:snapToGrid w:val="0"/>
          <w:sz w:val="24"/>
          <w:szCs w:val="24"/>
          <w:u w:val="single"/>
        </w:rPr>
        <w:t>泄漏</w:t>
      </w:r>
      <w:r>
        <w:rPr>
          <w:rFonts w:ascii="Times New Roman" w:hAnsi="Times New Roman"/>
          <w:snapToGrid w:val="0"/>
          <w:sz w:val="24"/>
          <w:szCs w:val="24"/>
          <w:u w:val="single"/>
        </w:rPr>
        <w:t>时</w:t>
      </w:r>
      <w:r>
        <w:rPr>
          <w:rFonts w:hint="eastAsia" w:ascii="Times New Roman" w:hAnsi="Times New Roman"/>
          <w:snapToGrid w:val="0"/>
          <w:sz w:val="24"/>
          <w:szCs w:val="24"/>
          <w:u w:val="single"/>
        </w:rPr>
        <w:t>对于</w:t>
      </w:r>
      <w:r>
        <w:rPr>
          <w:rFonts w:hint="eastAsia" w:ascii="Times New Roman" w:hAnsi="Times New Roman"/>
          <w:snapToGrid w:val="0"/>
          <w:sz w:val="24"/>
          <w:szCs w:val="24"/>
          <w:u w:val="single"/>
          <w:lang w:val="en-US" w:eastAsia="zh-CN"/>
        </w:rPr>
        <w:t>厂界外各</w:t>
      </w:r>
      <w:r>
        <w:rPr>
          <w:rFonts w:hint="eastAsia" w:ascii="Times New Roman" w:hAnsi="Times New Roman"/>
          <w:snapToGrid w:val="0"/>
          <w:sz w:val="24"/>
          <w:szCs w:val="24"/>
          <w:u w:val="single"/>
        </w:rPr>
        <w:t>关心点</w:t>
      </w:r>
      <w:r>
        <w:rPr>
          <w:rFonts w:hint="eastAsia"/>
          <w:snapToGrid w:val="0"/>
          <w:sz w:val="24"/>
          <w:szCs w:val="24"/>
          <w:u w:val="single"/>
          <w:lang w:val="en-US" w:eastAsia="zh-CN"/>
        </w:rPr>
        <w:t>中有</w:t>
      </w:r>
      <w:r>
        <w:rPr>
          <w:rFonts w:hint="eastAsia" w:ascii="Times New Roman" w:hAnsi="Times New Roman"/>
          <w:snapToGrid w:val="0"/>
          <w:sz w:val="24"/>
          <w:szCs w:val="24"/>
          <w:u w:val="single"/>
        </w:rPr>
        <w:t>影响</w:t>
      </w:r>
      <w:r>
        <w:rPr>
          <w:rFonts w:hint="eastAsia"/>
          <w:snapToGrid w:val="0"/>
          <w:sz w:val="24"/>
          <w:szCs w:val="24"/>
          <w:u w:val="single"/>
          <w:lang w:val="en-US" w:eastAsia="zh-CN"/>
        </w:rPr>
        <w:t>的为：岳阳市第一中学、岳阳楼景区、岳阳楼-君山景区管委会、岳阳楼小学、市机关二幼</w:t>
      </w:r>
      <w:r>
        <w:rPr>
          <w:rFonts w:hint="eastAsia" w:ascii="Times New Roman" w:hAnsi="Times New Roman" w:eastAsia="宋体" w:cs="Times New Roman"/>
          <w:snapToGrid w:val="0"/>
          <w:sz w:val="24"/>
          <w:szCs w:val="24"/>
          <w:u w:val="single"/>
          <w:lang w:val="en-US" w:eastAsia="zh-CN"/>
        </w:rPr>
        <w:t>儿园和</w:t>
      </w:r>
      <w:r>
        <w:rPr>
          <w:rFonts w:hint="default" w:ascii="Times New Roman" w:hAnsi="Times New Roman" w:eastAsia="宋体" w:cs="Times New Roman"/>
          <w:snapToGrid w:val="0"/>
          <w:sz w:val="24"/>
          <w:szCs w:val="24"/>
          <w:u w:val="single"/>
          <w:lang w:val="en-US" w:eastAsia="zh-CN"/>
        </w:rPr>
        <w:t>郭亮社区</w:t>
      </w:r>
      <w:r>
        <w:rPr>
          <w:rFonts w:hint="eastAsia" w:ascii="Times New Roman" w:hAnsi="Times New Roman" w:eastAsia="宋体" w:cs="Times New Roman"/>
          <w:snapToGrid w:val="0"/>
          <w:sz w:val="24"/>
          <w:szCs w:val="24"/>
          <w:u w:val="single"/>
          <w:lang w:val="en-US" w:eastAsia="zh-CN"/>
        </w:rPr>
        <w:t>，</w:t>
      </w:r>
      <w:r>
        <w:rPr>
          <w:rFonts w:hint="eastAsia" w:ascii="Times New Roman" w:hAnsi="Times New Roman"/>
          <w:snapToGrid w:val="0"/>
          <w:sz w:val="24"/>
          <w:szCs w:val="24"/>
          <w:u w:val="single"/>
          <w:lang w:val="en-US" w:eastAsia="zh-CN"/>
        </w:rPr>
        <w:t>均不同程度</w:t>
      </w:r>
      <w:r>
        <w:rPr>
          <w:rFonts w:hint="eastAsia" w:ascii="Times New Roman" w:hAnsi="Times New Roman"/>
          <w:snapToGrid w:val="0"/>
          <w:sz w:val="24"/>
          <w:szCs w:val="24"/>
          <w:u w:val="single"/>
        </w:rPr>
        <w:t>超出毒性终点浓度</w:t>
      </w:r>
      <w:r>
        <w:rPr>
          <w:rFonts w:ascii="Times New Roman" w:hAnsi="Times New Roman"/>
          <w:snapToGrid w:val="0"/>
          <w:sz w:val="24"/>
          <w:szCs w:val="24"/>
          <w:u w:val="single"/>
        </w:rPr>
        <w:t>-1</w:t>
      </w:r>
      <w:r>
        <w:rPr>
          <w:rFonts w:hint="eastAsia" w:ascii="Times New Roman" w:hAnsi="Times New Roman"/>
          <w:snapToGrid w:val="0"/>
          <w:sz w:val="24"/>
          <w:szCs w:val="24"/>
          <w:u w:val="single"/>
        </w:rPr>
        <w:t>值和毒性终点浓度</w:t>
      </w:r>
      <w:r>
        <w:rPr>
          <w:rFonts w:ascii="Times New Roman" w:hAnsi="Times New Roman"/>
          <w:snapToGrid w:val="0"/>
          <w:sz w:val="24"/>
          <w:szCs w:val="24"/>
          <w:u w:val="single"/>
        </w:rPr>
        <w:t>-2</w:t>
      </w:r>
      <w:r>
        <w:rPr>
          <w:rFonts w:hint="eastAsia" w:ascii="Times New Roman" w:hAnsi="Times New Roman"/>
          <w:snapToGrid w:val="0"/>
          <w:sz w:val="24"/>
          <w:szCs w:val="24"/>
          <w:u w:val="single"/>
        </w:rPr>
        <w:t>的浓度值</w:t>
      </w:r>
      <w:r>
        <w:rPr>
          <w:rFonts w:hint="eastAsia" w:ascii="Times New Roman" w:hAnsi="Times New Roman"/>
          <w:snapToGrid w:val="0"/>
          <w:sz w:val="24"/>
          <w:szCs w:val="24"/>
          <w:u w:val="single"/>
          <w:lang w:eastAsia="zh-CN"/>
        </w:rPr>
        <w:t>，其中岳阳市第一中学、</w:t>
      </w:r>
      <w:r>
        <w:rPr>
          <w:rFonts w:hint="eastAsia"/>
          <w:snapToGrid w:val="0"/>
          <w:sz w:val="24"/>
          <w:szCs w:val="24"/>
          <w:u w:val="single"/>
          <w:lang w:val="en-US" w:eastAsia="zh-CN"/>
        </w:rPr>
        <w:t>岳阳楼景区、岳阳楼-君山景区管委会、岳阳楼小学、市机关二幼</w:t>
      </w:r>
      <w:r>
        <w:rPr>
          <w:rFonts w:hint="eastAsia" w:ascii="Times New Roman" w:hAnsi="Times New Roman" w:eastAsia="宋体" w:cs="Times New Roman"/>
          <w:snapToGrid w:val="0"/>
          <w:sz w:val="24"/>
          <w:szCs w:val="24"/>
          <w:u w:val="single"/>
          <w:lang w:val="en-US" w:eastAsia="zh-CN"/>
        </w:rPr>
        <w:t>儿园可能出现对</w:t>
      </w:r>
      <w:r>
        <w:rPr>
          <w:rFonts w:hint="eastAsia" w:ascii="Times New Roman" w:hAnsi="Times New Roman"/>
          <w:snapToGrid w:val="0"/>
          <w:sz w:val="24"/>
          <w:szCs w:val="24"/>
          <w:u w:val="single"/>
          <w:lang w:eastAsia="zh-CN"/>
        </w:rPr>
        <w:t>人群造成生命威胁，</w:t>
      </w:r>
      <w:r>
        <w:rPr>
          <w:rFonts w:hint="eastAsia" w:ascii="Times New Roman" w:hAnsi="Times New Roman"/>
          <w:snapToGrid w:val="0"/>
          <w:sz w:val="24"/>
          <w:szCs w:val="24"/>
          <w:u w:val="single"/>
          <w:lang w:val="en-US" w:eastAsia="zh-CN"/>
        </w:rPr>
        <w:t>初步估算受影响人口数为6950人</w:t>
      </w:r>
      <w:r>
        <w:rPr>
          <w:rFonts w:hint="eastAsia" w:ascii="Times New Roman" w:hAnsi="Times New Roman"/>
          <w:snapToGrid w:val="0"/>
          <w:sz w:val="24"/>
          <w:szCs w:val="24"/>
          <w:u w:val="single"/>
          <w:lang w:eastAsia="zh-CN"/>
        </w:rPr>
        <w:t>；郭亮社区</w:t>
      </w:r>
      <w:r>
        <w:rPr>
          <w:rFonts w:hint="eastAsia" w:ascii="Times New Roman" w:hAnsi="Times New Roman"/>
          <w:snapToGrid w:val="0"/>
          <w:sz w:val="24"/>
          <w:szCs w:val="24"/>
          <w:u w:val="single"/>
          <w:lang w:val="en-US" w:eastAsia="zh-CN"/>
        </w:rPr>
        <w:t>可能出现</w:t>
      </w:r>
      <w:r>
        <w:rPr>
          <w:rFonts w:hint="eastAsia" w:ascii="Times New Roman" w:hAnsi="Times New Roman"/>
          <w:snapToGrid w:val="0"/>
          <w:sz w:val="24"/>
          <w:szCs w:val="24"/>
          <w:u w:val="single"/>
          <w:lang w:eastAsia="zh-CN"/>
        </w:rPr>
        <w:t>暴露1h一般不会对人体造成不可逆的伤害或出现的症状一般不会损伤该个体采取有效防护措施的能力，</w:t>
      </w:r>
      <w:r>
        <w:rPr>
          <w:rFonts w:hint="eastAsia" w:ascii="Times New Roman" w:hAnsi="Times New Roman"/>
          <w:snapToGrid w:val="0"/>
          <w:sz w:val="24"/>
          <w:szCs w:val="24"/>
          <w:u w:val="single"/>
          <w:lang w:val="en-US" w:eastAsia="zh-CN"/>
        </w:rPr>
        <w:t>初步估算受影响人口数为3800人</w:t>
      </w:r>
      <w:r>
        <w:rPr>
          <w:rFonts w:hint="eastAsia" w:ascii="Times New Roman" w:hAnsi="Times New Roman"/>
          <w:snapToGrid w:val="0"/>
          <w:sz w:val="24"/>
          <w:szCs w:val="24"/>
          <w:u w:val="single"/>
          <w:lang w:eastAsia="zh-CN"/>
        </w:rPr>
        <w:t>。</w:t>
      </w:r>
      <w:r>
        <w:rPr>
          <w:rFonts w:hint="eastAsia"/>
          <w:snapToGrid w:val="0"/>
          <w:sz w:val="24"/>
          <w:szCs w:val="24"/>
          <w:lang w:val="en-US" w:eastAsia="zh-CN"/>
        </w:rPr>
        <w:t>其他下风向关心的环境风险影响</w:t>
      </w:r>
      <w:r>
        <w:rPr>
          <w:rFonts w:hint="eastAsia" w:ascii="Times New Roman" w:hAnsi="Times New Roman"/>
          <w:snapToGrid w:val="0"/>
          <w:sz w:val="24"/>
          <w:szCs w:val="24"/>
        </w:rPr>
        <w:t>在可接受范围内。</w:t>
      </w:r>
    </w:p>
    <w:p w14:paraId="2CA39ACD">
      <w:pPr>
        <w:pStyle w:val="72"/>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表</w:t>
      </w:r>
      <w:r>
        <w:rPr>
          <w:rFonts w:hint="default" w:ascii="Times New Roman" w:hAnsi="Times New Roman" w:eastAsia="宋体" w:cs="Times New Roman"/>
          <w:color w:val="auto"/>
          <w:sz w:val="24"/>
          <w:szCs w:val="24"/>
          <w:lang w:val="en-US" w:eastAsia="zh-CN"/>
        </w:rPr>
        <w:t>7-</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lang w:val="en-US" w:eastAsia="zh-CN"/>
        </w:rPr>
        <w:t>事故源项及事故后果基本信息表</w:t>
      </w:r>
    </w:p>
    <w:tbl>
      <w:tblPr>
        <w:tblStyle w:val="24"/>
        <w:tblW w:w="90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6"/>
        <w:gridCol w:w="992"/>
        <w:gridCol w:w="1117"/>
        <w:gridCol w:w="1250"/>
        <w:gridCol w:w="82"/>
        <w:gridCol w:w="1112"/>
        <w:gridCol w:w="447"/>
        <w:gridCol w:w="1276"/>
        <w:gridCol w:w="105"/>
        <w:gridCol w:w="1178"/>
      </w:tblGrid>
      <w:tr w14:paraId="2ACD7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075" w:type="dxa"/>
            <w:gridSpan w:val="10"/>
            <w:tcBorders>
              <w:top w:val="single" w:color="000000" w:sz="4" w:space="0"/>
              <w:left w:val="single" w:color="000000" w:sz="4" w:space="0"/>
              <w:bottom w:val="single" w:color="000000" w:sz="4" w:space="0"/>
              <w:right w:val="single" w:color="000000" w:sz="4" w:space="0"/>
            </w:tcBorders>
            <w:vAlign w:val="center"/>
          </w:tcPr>
          <w:p w14:paraId="1B76775A">
            <w:pPr>
              <w:pStyle w:val="56"/>
              <w:adjustRightInd w:val="0"/>
              <w:snapToGrid w:val="0"/>
              <w:rPr>
                <w:rFonts w:hint="default" w:ascii="Times New Roman" w:hAnsi="Times New Roman" w:eastAsia="宋体" w:cs="Times New Roman"/>
                <w:b/>
                <w:kern w:val="2"/>
                <w:sz w:val="21"/>
                <w:szCs w:val="21"/>
                <w:lang w:eastAsia="zh-CN"/>
              </w:rPr>
            </w:pPr>
            <w:r>
              <w:rPr>
                <w:rFonts w:hint="default" w:ascii="Times New Roman" w:hAnsi="Times New Roman" w:eastAsia="宋体" w:cs="Times New Roman"/>
                <w:b/>
                <w:kern w:val="2"/>
                <w:sz w:val="21"/>
                <w:szCs w:val="21"/>
              </w:rPr>
              <w:t>风险事故情形</w:t>
            </w:r>
            <w:r>
              <w:rPr>
                <w:rFonts w:hint="default" w:ascii="Times New Roman" w:hAnsi="Times New Roman" w:eastAsia="宋体" w:cs="Times New Roman"/>
                <w:b/>
                <w:kern w:val="2"/>
                <w:sz w:val="21"/>
                <w:szCs w:val="21"/>
                <w:lang w:eastAsia="zh-CN"/>
              </w:rPr>
              <w:t>分析</w:t>
            </w:r>
          </w:p>
        </w:tc>
      </w:tr>
      <w:tr w14:paraId="72A0F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vAlign w:val="center"/>
          </w:tcPr>
          <w:p w14:paraId="27ABF09A">
            <w:pPr>
              <w:pStyle w:val="56"/>
              <w:adjustRightInd w:val="0"/>
              <w:snapToGrid w:val="0"/>
              <w:rPr>
                <w:rFonts w:hint="default" w:ascii="Times New Roman" w:hAnsi="Times New Roman" w:eastAsia="Noto Sans CJK JP Regular" w:cs="Times New Roman"/>
                <w:b/>
                <w:kern w:val="2"/>
                <w:sz w:val="21"/>
                <w:szCs w:val="21"/>
                <w:lang w:eastAsia="zh-CN"/>
              </w:rPr>
            </w:pPr>
            <w:r>
              <w:rPr>
                <w:rFonts w:hint="default" w:ascii="Times New Roman" w:hAnsi="Times New Roman" w:eastAsia="宋体" w:cs="Times New Roman"/>
                <w:b/>
                <w:kern w:val="2"/>
                <w:sz w:val="21"/>
                <w:szCs w:val="21"/>
                <w:lang w:eastAsia="zh-CN"/>
              </w:rPr>
              <w:t>代表性风险事故情形描述</w:t>
            </w:r>
          </w:p>
        </w:tc>
        <w:tc>
          <w:tcPr>
            <w:tcW w:w="7559" w:type="dxa"/>
            <w:gridSpan w:val="9"/>
            <w:tcBorders>
              <w:top w:val="single" w:color="000000" w:sz="4" w:space="0"/>
              <w:left w:val="single" w:color="000000" w:sz="4" w:space="0"/>
              <w:bottom w:val="single" w:color="000000" w:sz="4" w:space="0"/>
              <w:right w:val="single" w:color="000000" w:sz="4" w:space="0"/>
            </w:tcBorders>
            <w:vAlign w:val="center"/>
          </w:tcPr>
          <w:p w14:paraId="0A3A1E16">
            <w:pPr>
              <w:pStyle w:val="56"/>
              <w:adjustRightInd w:val="0"/>
              <w:snapToGrid w:val="0"/>
              <w:rPr>
                <w:rFonts w:hint="default" w:ascii="Times New Roman" w:hAnsi="Times New Roman" w:cs="Times New Roman"/>
                <w:kern w:val="2"/>
                <w:sz w:val="21"/>
                <w:szCs w:val="21"/>
                <w:lang w:eastAsia="zh-CN"/>
              </w:rPr>
            </w:pPr>
            <w:r>
              <w:rPr>
                <w:rFonts w:hint="default" w:ascii="Times New Roman" w:hAnsi="Times New Roman" w:eastAsia="宋体" w:cs="Times New Roman"/>
                <w:kern w:val="2"/>
                <w:sz w:val="21"/>
                <w:szCs w:val="21"/>
                <w:lang w:val="en-US" w:eastAsia="zh-CN"/>
              </w:rPr>
              <w:t>加氯间发生氯气</w:t>
            </w:r>
            <w:r>
              <w:rPr>
                <w:rFonts w:hint="default" w:ascii="Times New Roman" w:hAnsi="Times New Roman" w:eastAsia="宋体" w:cs="Times New Roman"/>
                <w:kern w:val="2"/>
                <w:sz w:val="21"/>
                <w:szCs w:val="21"/>
                <w:lang w:eastAsia="zh-CN"/>
              </w:rPr>
              <w:t>泄漏气体污染区域大气环境</w:t>
            </w:r>
          </w:p>
        </w:tc>
      </w:tr>
      <w:tr w14:paraId="6BE8B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vAlign w:val="center"/>
          </w:tcPr>
          <w:p w14:paraId="2483FC41">
            <w:pPr>
              <w:pStyle w:val="56"/>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环境风险类型</w:t>
            </w:r>
          </w:p>
        </w:tc>
        <w:tc>
          <w:tcPr>
            <w:tcW w:w="7559" w:type="dxa"/>
            <w:gridSpan w:val="9"/>
            <w:tcBorders>
              <w:top w:val="single" w:color="000000" w:sz="4" w:space="0"/>
              <w:left w:val="single" w:color="000000" w:sz="4" w:space="0"/>
              <w:bottom w:val="single" w:color="000000" w:sz="4" w:space="0"/>
              <w:right w:val="single" w:color="000000" w:sz="4" w:space="0"/>
            </w:tcBorders>
            <w:vAlign w:val="center"/>
          </w:tcPr>
          <w:p w14:paraId="76711969">
            <w:pPr>
              <w:pStyle w:val="56"/>
              <w:adjustRightInd w:val="0"/>
              <w:snapToGrid w:val="0"/>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有毒有害物质在空气中扩散</w:t>
            </w:r>
          </w:p>
        </w:tc>
      </w:tr>
      <w:tr w14:paraId="4ECE8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vAlign w:val="center"/>
          </w:tcPr>
          <w:p w14:paraId="5A86999A">
            <w:pPr>
              <w:pStyle w:val="56"/>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泄漏设备类型</w:t>
            </w:r>
          </w:p>
        </w:tc>
        <w:tc>
          <w:tcPr>
            <w:tcW w:w="2109" w:type="dxa"/>
            <w:gridSpan w:val="2"/>
            <w:tcBorders>
              <w:top w:val="single" w:color="000000" w:sz="4" w:space="0"/>
              <w:left w:val="single" w:color="000000" w:sz="4" w:space="0"/>
              <w:bottom w:val="single" w:color="000000" w:sz="4" w:space="0"/>
              <w:right w:val="single" w:color="000000" w:sz="4" w:space="0"/>
            </w:tcBorders>
            <w:vAlign w:val="center"/>
          </w:tcPr>
          <w:p w14:paraId="78BF91C4">
            <w:pPr>
              <w:pStyle w:val="56"/>
              <w:adjustRightInd w:val="0"/>
              <w:snapToGrid w:val="0"/>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加氯机</w:t>
            </w:r>
          </w:p>
        </w:tc>
        <w:tc>
          <w:tcPr>
            <w:tcW w:w="1250" w:type="dxa"/>
            <w:tcBorders>
              <w:top w:val="single" w:color="000000" w:sz="4" w:space="0"/>
              <w:left w:val="single" w:color="000000" w:sz="4" w:space="0"/>
              <w:bottom w:val="single" w:color="000000" w:sz="4" w:space="0"/>
              <w:right w:val="single" w:color="000000" w:sz="4" w:space="0"/>
            </w:tcBorders>
            <w:vAlign w:val="center"/>
          </w:tcPr>
          <w:p w14:paraId="684810D3">
            <w:pPr>
              <w:pStyle w:val="56"/>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操作温度</w:t>
            </w:r>
            <w:r>
              <w:rPr>
                <w:rFonts w:hint="default" w:ascii="Times New Roman" w:hAnsi="Times New Roman" w:cs="Times New Roman"/>
                <w:b/>
                <w:kern w:val="2"/>
                <w:sz w:val="21"/>
                <w:szCs w:val="21"/>
              </w:rPr>
              <w:t>/</w:t>
            </w:r>
            <w:r>
              <w:rPr>
                <w:rFonts w:hint="default" w:ascii="Times New Roman" w:hAnsi="Times New Roman" w:eastAsia="宋体" w:cs="Times New Roman"/>
                <w:b/>
                <w:kern w:val="2"/>
                <w:sz w:val="21"/>
                <w:szCs w:val="21"/>
              </w:rPr>
              <w:t>℃</w:t>
            </w:r>
          </w:p>
        </w:tc>
        <w:tc>
          <w:tcPr>
            <w:tcW w:w="1194" w:type="dxa"/>
            <w:gridSpan w:val="2"/>
            <w:tcBorders>
              <w:top w:val="single" w:color="000000" w:sz="4" w:space="0"/>
              <w:left w:val="single" w:color="000000" w:sz="4" w:space="0"/>
              <w:bottom w:val="single" w:color="000000" w:sz="4" w:space="0"/>
              <w:right w:val="single" w:color="000000" w:sz="4" w:space="0"/>
            </w:tcBorders>
            <w:vAlign w:val="center"/>
          </w:tcPr>
          <w:p w14:paraId="2FBA5BF9">
            <w:pPr>
              <w:pStyle w:val="56"/>
              <w:adjustRightInd w:val="0"/>
              <w:snapToGrid w:val="0"/>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常温</w:t>
            </w:r>
          </w:p>
        </w:tc>
        <w:tc>
          <w:tcPr>
            <w:tcW w:w="1828" w:type="dxa"/>
            <w:gridSpan w:val="3"/>
            <w:tcBorders>
              <w:top w:val="single" w:color="000000" w:sz="4" w:space="0"/>
              <w:left w:val="single" w:color="000000" w:sz="4" w:space="0"/>
              <w:bottom w:val="single" w:color="000000" w:sz="4" w:space="0"/>
              <w:right w:val="single" w:color="000000" w:sz="4" w:space="0"/>
            </w:tcBorders>
            <w:vAlign w:val="center"/>
          </w:tcPr>
          <w:p w14:paraId="1B6739D3">
            <w:pPr>
              <w:pStyle w:val="56"/>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操作压力</w:t>
            </w:r>
            <w:r>
              <w:rPr>
                <w:rFonts w:hint="default" w:ascii="Times New Roman" w:hAnsi="Times New Roman" w:cs="Times New Roman"/>
                <w:b/>
                <w:kern w:val="2"/>
                <w:sz w:val="21"/>
                <w:szCs w:val="21"/>
              </w:rPr>
              <w:t>/MPa</w:t>
            </w:r>
          </w:p>
        </w:tc>
        <w:tc>
          <w:tcPr>
            <w:tcW w:w="1178" w:type="dxa"/>
            <w:tcBorders>
              <w:top w:val="single" w:color="000000" w:sz="4" w:space="0"/>
              <w:left w:val="single" w:color="000000" w:sz="4" w:space="0"/>
              <w:bottom w:val="single" w:color="000000" w:sz="4" w:space="0"/>
              <w:right w:val="single" w:color="000000" w:sz="4" w:space="0"/>
            </w:tcBorders>
            <w:vAlign w:val="center"/>
          </w:tcPr>
          <w:p w14:paraId="62220960">
            <w:pPr>
              <w:pStyle w:val="56"/>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1</w:t>
            </w:r>
            <w:r>
              <w:rPr>
                <w:rFonts w:hint="eastAsia" w:ascii="Times New Roman" w:hAnsi="Times New Roman" w:cs="Times New Roman"/>
                <w:kern w:val="2"/>
                <w:sz w:val="21"/>
                <w:szCs w:val="21"/>
                <w:lang w:val="en-US" w:eastAsia="zh-CN"/>
              </w:rPr>
              <w:t>.0</w:t>
            </w:r>
            <w:r>
              <w:rPr>
                <w:rFonts w:hint="eastAsia" w:ascii="Times New Roman" w:hAnsi="Times New Roman" w:eastAsia="宋体" w:cs="Times New Roman"/>
                <w:kern w:val="2"/>
                <w:sz w:val="21"/>
                <w:szCs w:val="21"/>
                <w:lang w:val="en-US" w:eastAsia="zh-CN"/>
              </w:rPr>
              <w:t>MPa</w:t>
            </w:r>
          </w:p>
        </w:tc>
      </w:tr>
      <w:tr w14:paraId="2FD10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vAlign w:val="center"/>
          </w:tcPr>
          <w:p w14:paraId="64AEEB81">
            <w:pPr>
              <w:pStyle w:val="56"/>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泄漏危险物质</w:t>
            </w:r>
          </w:p>
        </w:tc>
        <w:tc>
          <w:tcPr>
            <w:tcW w:w="2109" w:type="dxa"/>
            <w:gridSpan w:val="2"/>
            <w:tcBorders>
              <w:top w:val="single" w:color="000000" w:sz="4" w:space="0"/>
              <w:left w:val="single" w:color="000000" w:sz="4" w:space="0"/>
              <w:bottom w:val="single" w:color="000000" w:sz="4" w:space="0"/>
              <w:right w:val="single" w:color="000000" w:sz="4" w:space="0"/>
            </w:tcBorders>
            <w:vAlign w:val="center"/>
          </w:tcPr>
          <w:p w14:paraId="258D8D54">
            <w:pPr>
              <w:pStyle w:val="56"/>
              <w:adjustRightInd w:val="0"/>
              <w:snapToGrid w:val="0"/>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氯气</w:t>
            </w:r>
          </w:p>
        </w:tc>
        <w:tc>
          <w:tcPr>
            <w:tcW w:w="1250" w:type="dxa"/>
            <w:tcBorders>
              <w:top w:val="single" w:color="000000" w:sz="4" w:space="0"/>
              <w:left w:val="single" w:color="000000" w:sz="4" w:space="0"/>
              <w:bottom w:val="single" w:color="000000" w:sz="4" w:space="0"/>
              <w:right w:val="single" w:color="000000" w:sz="4" w:space="0"/>
            </w:tcBorders>
            <w:vAlign w:val="center"/>
          </w:tcPr>
          <w:p w14:paraId="4273A4B6">
            <w:pPr>
              <w:pStyle w:val="56"/>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最大存在量</w:t>
            </w:r>
            <w:r>
              <w:rPr>
                <w:rFonts w:hint="default" w:ascii="Times New Roman" w:hAnsi="Times New Roman" w:cs="Times New Roman"/>
                <w:b/>
                <w:kern w:val="2"/>
                <w:sz w:val="21"/>
                <w:szCs w:val="21"/>
              </w:rPr>
              <w:t>/kg</w:t>
            </w:r>
          </w:p>
        </w:tc>
        <w:tc>
          <w:tcPr>
            <w:tcW w:w="1194" w:type="dxa"/>
            <w:gridSpan w:val="2"/>
            <w:tcBorders>
              <w:top w:val="single" w:color="000000" w:sz="4" w:space="0"/>
              <w:left w:val="single" w:color="000000" w:sz="4" w:space="0"/>
              <w:bottom w:val="single" w:color="000000" w:sz="4" w:space="0"/>
              <w:right w:val="single" w:color="000000" w:sz="4" w:space="0"/>
            </w:tcBorders>
            <w:vAlign w:val="center"/>
          </w:tcPr>
          <w:p w14:paraId="6982A1BF">
            <w:pPr>
              <w:pStyle w:val="56"/>
              <w:adjustRightInd w:val="0"/>
              <w:snapToGrid w:val="0"/>
              <w:rPr>
                <w:rFonts w:hint="default" w:ascii="Times New Roman" w:hAnsi="Times New Roman" w:eastAsia="宋体" w:cs="Times New Roman"/>
                <w:kern w:val="2"/>
                <w:sz w:val="21"/>
                <w:szCs w:val="21"/>
                <w:lang w:eastAsia="zh-CN"/>
              </w:rPr>
            </w:pPr>
            <w:r>
              <w:rPr>
                <w:rFonts w:hint="eastAsia" w:ascii="Times New Roman" w:hAnsi="Times New Roman" w:eastAsia="宋体" w:cs="Times New Roman"/>
                <w:kern w:val="2"/>
                <w:sz w:val="21"/>
                <w:szCs w:val="21"/>
                <w:lang w:val="en-US" w:eastAsia="zh-CN"/>
              </w:rPr>
              <w:t>10</w:t>
            </w:r>
            <w:r>
              <w:rPr>
                <w:rFonts w:hint="default" w:ascii="Times New Roman" w:hAnsi="Times New Roman" w:eastAsia="宋体" w:cs="Times New Roman"/>
                <w:kern w:val="2"/>
                <w:sz w:val="21"/>
                <w:szCs w:val="21"/>
                <w:lang w:eastAsia="zh-CN"/>
              </w:rPr>
              <w:t>00</w:t>
            </w:r>
          </w:p>
        </w:tc>
        <w:tc>
          <w:tcPr>
            <w:tcW w:w="1828" w:type="dxa"/>
            <w:gridSpan w:val="3"/>
            <w:tcBorders>
              <w:top w:val="single" w:color="000000" w:sz="4" w:space="0"/>
              <w:left w:val="single" w:color="000000" w:sz="4" w:space="0"/>
              <w:bottom w:val="single" w:color="000000" w:sz="4" w:space="0"/>
              <w:right w:val="single" w:color="000000" w:sz="4" w:space="0"/>
            </w:tcBorders>
            <w:vAlign w:val="center"/>
          </w:tcPr>
          <w:p w14:paraId="53840F1A">
            <w:pPr>
              <w:pStyle w:val="56"/>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泄漏孔径</w:t>
            </w:r>
            <w:r>
              <w:rPr>
                <w:rFonts w:hint="default" w:ascii="Times New Roman" w:hAnsi="Times New Roman" w:cs="Times New Roman"/>
                <w:b/>
                <w:kern w:val="2"/>
                <w:sz w:val="21"/>
                <w:szCs w:val="21"/>
              </w:rPr>
              <w:t>/mm</w:t>
            </w:r>
          </w:p>
        </w:tc>
        <w:tc>
          <w:tcPr>
            <w:tcW w:w="1178" w:type="dxa"/>
            <w:tcBorders>
              <w:top w:val="single" w:color="000000" w:sz="4" w:space="0"/>
              <w:left w:val="single" w:color="000000" w:sz="4" w:space="0"/>
              <w:bottom w:val="single" w:color="000000" w:sz="4" w:space="0"/>
              <w:right w:val="single" w:color="000000" w:sz="4" w:space="0"/>
            </w:tcBorders>
            <w:vAlign w:val="center"/>
          </w:tcPr>
          <w:p w14:paraId="0C4435CF">
            <w:pPr>
              <w:pStyle w:val="56"/>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10</w:t>
            </w:r>
          </w:p>
        </w:tc>
      </w:tr>
      <w:tr w14:paraId="73671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vAlign w:val="center"/>
          </w:tcPr>
          <w:p w14:paraId="00E45E0E">
            <w:pPr>
              <w:pStyle w:val="56"/>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泄漏速率</w:t>
            </w:r>
            <w:r>
              <w:rPr>
                <w:rFonts w:hint="default" w:ascii="Times New Roman" w:hAnsi="Times New Roman" w:cs="Times New Roman"/>
                <w:b/>
                <w:kern w:val="2"/>
                <w:sz w:val="21"/>
                <w:szCs w:val="21"/>
              </w:rPr>
              <w:t>/(kg/s)</w:t>
            </w:r>
          </w:p>
        </w:tc>
        <w:tc>
          <w:tcPr>
            <w:tcW w:w="2109" w:type="dxa"/>
            <w:gridSpan w:val="2"/>
            <w:tcBorders>
              <w:top w:val="single" w:color="000000" w:sz="4" w:space="0"/>
              <w:left w:val="single" w:color="000000" w:sz="4" w:space="0"/>
              <w:bottom w:val="single" w:color="000000" w:sz="4" w:space="0"/>
              <w:right w:val="single" w:color="000000" w:sz="4" w:space="0"/>
            </w:tcBorders>
            <w:vAlign w:val="center"/>
          </w:tcPr>
          <w:p w14:paraId="53F8F88E">
            <w:pPr>
              <w:pStyle w:val="56"/>
              <w:adjustRightInd w:val="0"/>
              <w:snapToGrid w:val="0"/>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eastAsia="zh-CN"/>
              </w:rPr>
              <w:t>0.</w:t>
            </w:r>
            <w:r>
              <w:rPr>
                <w:rFonts w:hint="eastAsia" w:ascii="Times New Roman" w:hAnsi="Times New Roman" w:cs="Times New Roman"/>
                <w:kern w:val="2"/>
                <w:sz w:val="21"/>
                <w:szCs w:val="21"/>
                <w:lang w:val="en-US" w:eastAsia="zh-CN"/>
              </w:rPr>
              <w:t>31356</w:t>
            </w:r>
          </w:p>
        </w:tc>
        <w:tc>
          <w:tcPr>
            <w:tcW w:w="1250" w:type="dxa"/>
            <w:tcBorders>
              <w:top w:val="single" w:color="000000" w:sz="4" w:space="0"/>
              <w:left w:val="single" w:color="000000" w:sz="4" w:space="0"/>
              <w:bottom w:val="single" w:color="000000" w:sz="4" w:space="0"/>
              <w:right w:val="single" w:color="000000" w:sz="4" w:space="0"/>
            </w:tcBorders>
            <w:vAlign w:val="center"/>
          </w:tcPr>
          <w:p w14:paraId="116445A5">
            <w:pPr>
              <w:pStyle w:val="56"/>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泄漏时间</w:t>
            </w:r>
            <w:r>
              <w:rPr>
                <w:rFonts w:hint="default" w:ascii="Times New Roman" w:hAnsi="Times New Roman" w:cs="Times New Roman"/>
                <w:b/>
                <w:kern w:val="2"/>
                <w:sz w:val="21"/>
                <w:szCs w:val="21"/>
              </w:rPr>
              <w:t>/min</w:t>
            </w:r>
          </w:p>
        </w:tc>
        <w:tc>
          <w:tcPr>
            <w:tcW w:w="1194" w:type="dxa"/>
            <w:gridSpan w:val="2"/>
            <w:tcBorders>
              <w:top w:val="single" w:color="000000" w:sz="4" w:space="0"/>
              <w:left w:val="single" w:color="000000" w:sz="4" w:space="0"/>
              <w:bottom w:val="single" w:color="000000" w:sz="4" w:space="0"/>
              <w:right w:val="single" w:color="000000" w:sz="4" w:space="0"/>
            </w:tcBorders>
            <w:vAlign w:val="center"/>
          </w:tcPr>
          <w:p w14:paraId="4ED072A7">
            <w:pPr>
              <w:pStyle w:val="56"/>
              <w:adjustRightInd w:val="0"/>
              <w:snapToGrid w:val="0"/>
              <w:rPr>
                <w:rFonts w:hint="default" w:ascii="Times New Roman" w:hAnsi="Times New Roman" w:eastAsia="宋体" w:cs="Times New Roman"/>
                <w:kern w:val="2"/>
                <w:sz w:val="21"/>
                <w:szCs w:val="21"/>
                <w:lang w:eastAsia="zh-CN"/>
              </w:rPr>
            </w:pPr>
            <w:r>
              <w:rPr>
                <w:rFonts w:hint="eastAsia" w:ascii="Times New Roman" w:hAnsi="Times New Roman" w:eastAsia="宋体" w:cs="Times New Roman"/>
                <w:kern w:val="2"/>
                <w:sz w:val="21"/>
                <w:szCs w:val="21"/>
                <w:lang w:val="en-US" w:eastAsia="zh-CN"/>
              </w:rPr>
              <w:t>1</w:t>
            </w:r>
            <w:r>
              <w:rPr>
                <w:rFonts w:hint="default" w:ascii="Times New Roman" w:hAnsi="Times New Roman" w:eastAsia="宋体" w:cs="Times New Roman"/>
                <w:kern w:val="2"/>
                <w:sz w:val="21"/>
                <w:szCs w:val="21"/>
                <w:lang w:eastAsia="zh-CN"/>
              </w:rPr>
              <w:t>0</w:t>
            </w:r>
          </w:p>
        </w:tc>
        <w:tc>
          <w:tcPr>
            <w:tcW w:w="1828" w:type="dxa"/>
            <w:gridSpan w:val="3"/>
            <w:tcBorders>
              <w:top w:val="single" w:color="000000" w:sz="4" w:space="0"/>
              <w:left w:val="single" w:color="000000" w:sz="4" w:space="0"/>
              <w:bottom w:val="single" w:color="000000" w:sz="4" w:space="0"/>
              <w:right w:val="single" w:color="000000" w:sz="4" w:space="0"/>
            </w:tcBorders>
            <w:vAlign w:val="center"/>
          </w:tcPr>
          <w:p w14:paraId="2DCB54D9">
            <w:pPr>
              <w:pStyle w:val="56"/>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泄漏量</w:t>
            </w:r>
            <w:r>
              <w:rPr>
                <w:rFonts w:hint="default" w:ascii="Times New Roman" w:hAnsi="Times New Roman" w:cs="Times New Roman"/>
                <w:b/>
                <w:kern w:val="2"/>
                <w:sz w:val="21"/>
                <w:szCs w:val="21"/>
              </w:rPr>
              <w:t>/kg</w:t>
            </w:r>
          </w:p>
        </w:tc>
        <w:tc>
          <w:tcPr>
            <w:tcW w:w="1178" w:type="dxa"/>
            <w:tcBorders>
              <w:top w:val="single" w:color="000000" w:sz="4" w:space="0"/>
              <w:left w:val="single" w:color="000000" w:sz="4" w:space="0"/>
              <w:bottom w:val="single" w:color="000000" w:sz="4" w:space="0"/>
              <w:right w:val="single" w:color="000000" w:sz="4" w:space="0"/>
            </w:tcBorders>
            <w:vAlign w:val="center"/>
          </w:tcPr>
          <w:p w14:paraId="6C82DD0D">
            <w:pPr>
              <w:pStyle w:val="56"/>
              <w:adjustRightInd w:val="0"/>
              <w:snapToGrid w:val="0"/>
              <w:rPr>
                <w:rFonts w:hint="default" w:ascii="Times New Roman" w:hAnsi="Times New Roman" w:eastAsia="宋体" w:cs="Times New Roman"/>
                <w:kern w:val="2"/>
                <w:sz w:val="21"/>
                <w:szCs w:val="21"/>
                <w:lang w:eastAsia="zh-CN"/>
              </w:rPr>
            </w:pPr>
            <w:r>
              <w:rPr>
                <w:rFonts w:hint="eastAsia" w:ascii="Times New Roman" w:hAnsi="Times New Roman"/>
                <w:szCs w:val="21"/>
              </w:rPr>
              <w:t>188</w:t>
            </w:r>
            <w:r>
              <w:rPr>
                <w:rFonts w:hint="eastAsia" w:ascii="Times New Roman" w:hAnsi="Times New Roman"/>
                <w:szCs w:val="21"/>
                <w:lang w:val="en-US" w:eastAsia="zh-CN"/>
              </w:rPr>
              <w:t>.</w:t>
            </w:r>
            <w:r>
              <w:rPr>
                <w:rFonts w:hint="eastAsia" w:ascii="Times New Roman" w:hAnsi="Times New Roman"/>
                <w:szCs w:val="21"/>
              </w:rPr>
              <w:t>136</w:t>
            </w:r>
          </w:p>
        </w:tc>
      </w:tr>
      <w:tr w14:paraId="5DAC2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tcBorders>
              <w:top w:val="single" w:color="000000" w:sz="4" w:space="0"/>
              <w:left w:val="single" w:color="000000" w:sz="4" w:space="0"/>
              <w:bottom w:val="single" w:color="000000" w:sz="4" w:space="0"/>
              <w:right w:val="single" w:color="000000" w:sz="4" w:space="0"/>
            </w:tcBorders>
            <w:vAlign w:val="center"/>
          </w:tcPr>
          <w:p w14:paraId="55A47C32">
            <w:pPr>
              <w:pStyle w:val="56"/>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泄漏高度</w:t>
            </w:r>
            <w:r>
              <w:rPr>
                <w:rFonts w:hint="default" w:ascii="Times New Roman" w:hAnsi="Times New Roman" w:cs="Times New Roman"/>
                <w:b/>
                <w:kern w:val="2"/>
                <w:sz w:val="21"/>
                <w:szCs w:val="21"/>
              </w:rPr>
              <w:t>/m</w:t>
            </w:r>
          </w:p>
        </w:tc>
        <w:tc>
          <w:tcPr>
            <w:tcW w:w="2109" w:type="dxa"/>
            <w:gridSpan w:val="2"/>
            <w:tcBorders>
              <w:top w:val="single" w:color="000000" w:sz="4" w:space="0"/>
              <w:left w:val="single" w:color="000000" w:sz="4" w:space="0"/>
              <w:bottom w:val="single" w:color="000000" w:sz="4" w:space="0"/>
              <w:right w:val="single" w:color="000000" w:sz="4" w:space="0"/>
            </w:tcBorders>
            <w:vAlign w:val="center"/>
          </w:tcPr>
          <w:p w14:paraId="223D69B3">
            <w:pPr>
              <w:pStyle w:val="56"/>
              <w:adjustRightInd w:val="0"/>
              <w:snapToGrid w:val="0"/>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w:t>
            </w:r>
            <w:r>
              <w:rPr>
                <w:rFonts w:hint="eastAsia" w:ascii="Times New Roman" w:hAnsi="Times New Roman" w:eastAsia="宋体" w:cs="Times New Roman"/>
                <w:kern w:val="2"/>
                <w:sz w:val="21"/>
                <w:szCs w:val="21"/>
                <w:lang w:val="en-US" w:eastAsia="zh-CN"/>
              </w:rPr>
              <w:t>8</w:t>
            </w:r>
          </w:p>
        </w:tc>
        <w:tc>
          <w:tcPr>
            <w:tcW w:w="1250" w:type="dxa"/>
            <w:tcBorders>
              <w:top w:val="single" w:color="000000" w:sz="4" w:space="0"/>
              <w:left w:val="single" w:color="000000" w:sz="4" w:space="0"/>
              <w:bottom w:val="single" w:color="000000" w:sz="4" w:space="0"/>
              <w:right w:val="single" w:color="000000" w:sz="4" w:space="0"/>
            </w:tcBorders>
            <w:vAlign w:val="center"/>
          </w:tcPr>
          <w:p w14:paraId="290CC235">
            <w:pPr>
              <w:pStyle w:val="56"/>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泄漏液体蒸发量</w:t>
            </w:r>
            <w:r>
              <w:rPr>
                <w:rFonts w:hint="default" w:ascii="Times New Roman" w:hAnsi="Times New Roman" w:cs="Times New Roman"/>
                <w:b/>
                <w:kern w:val="2"/>
                <w:sz w:val="21"/>
                <w:szCs w:val="21"/>
              </w:rPr>
              <w:t>/kg</w:t>
            </w:r>
          </w:p>
        </w:tc>
        <w:tc>
          <w:tcPr>
            <w:tcW w:w="1194" w:type="dxa"/>
            <w:gridSpan w:val="2"/>
            <w:tcBorders>
              <w:top w:val="single" w:color="000000" w:sz="4" w:space="0"/>
              <w:left w:val="single" w:color="000000" w:sz="4" w:space="0"/>
              <w:bottom w:val="single" w:color="000000" w:sz="4" w:space="0"/>
              <w:right w:val="single" w:color="000000" w:sz="4" w:space="0"/>
            </w:tcBorders>
            <w:vAlign w:val="center"/>
          </w:tcPr>
          <w:p w14:paraId="69833E59">
            <w:pPr>
              <w:pStyle w:val="56"/>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w:t>
            </w:r>
          </w:p>
        </w:tc>
        <w:tc>
          <w:tcPr>
            <w:tcW w:w="1828" w:type="dxa"/>
            <w:gridSpan w:val="3"/>
            <w:tcBorders>
              <w:top w:val="single" w:color="000000" w:sz="4" w:space="0"/>
              <w:left w:val="single" w:color="000000" w:sz="4" w:space="0"/>
              <w:bottom w:val="single" w:color="000000" w:sz="4" w:space="0"/>
              <w:right w:val="single" w:color="000000" w:sz="4" w:space="0"/>
            </w:tcBorders>
            <w:vAlign w:val="center"/>
          </w:tcPr>
          <w:p w14:paraId="6AFBC707">
            <w:pPr>
              <w:pStyle w:val="56"/>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泄漏频率</w:t>
            </w:r>
          </w:p>
        </w:tc>
        <w:tc>
          <w:tcPr>
            <w:tcW w:w="1178" w:type="dxa"/>
            <w:tcBorders>
              <w:top w:val="single" w:color="000000" w:sz="4" w:space="0"/>
              <w:left w:val="single" w:color="000000" w:sz="4" w:space="0"/>
              <w:bottom w:val="single" w:color="000000" w:sz="4" w:space="0"/>
              <w:right w:val="single" w:color="000000" w:sz="4" w:space="0"/>
            </w:tcBorders>
            <w:vAlign w:val="center"/>
          </w:tcPr>
          <w:p w14:paraId="580F4A8F">
            <w:pPr>
              <w:pStyle w:val="56"/>
              <w:adjustRightInd w:val="0"/>
              <w:snapToGrid w:val="0"/>
              <w:rPr>
                <w:rFonts w:hint="default" w:ascii="Times New Roman" w:hAnsi="Times New Roman" w:eastAsia="宋体" w:cs="Times New Roman"/>
                <w:kern w:val="2"/>
                <w:sz w:val="21"/>
                <w:szCs w:val="21"/>
                <w:lang w:eastAsia="zh-CN"/>
              </w:rPr>
            </w:pPr>
            <w:r>
              <w:rPr>
                <w:rFonts w:hint="eastAsia" w:ascii="Times New Roman" w:hAnsi="Times New Roman" w:eastAsia="宋体" w:cs="Times New Roman"/>
                <w:kern w:val="2"/>
                <w:sz w:val="21"/>
                <w:szCs w:val="21"/>
                <w:lang w:val="en-US" w:eastAsia="zh-CN"/>
              </w:rPr>
              <w:t>1</w:t>
            </w:r>
            <w:r>
              <w:rPr>
                <w:rFonts w:hint="default" w:ascii="Times New Roman" w:hAnsi="Times New Roman" w:eastAsia="宋体" w:cs="Times New Roman"/>
                <w:kern w:val="2"/>
                <w:sz w:val="21"/>
                <w:szCs w:val="21"/>
                <w:lang w:eastAsia="zh-CN"/>
              </w:rPr>
              <w:t>.00×10</w:t>
            </w:r>
            <w:r>
              <w:rPr>
                <w:rFonts w:hint="default" w:ascii="Times New Roman" w:hAnsi="Times New Roman" w:eastAsia="宋体" w:cs="Times New Roman"/>
                <w:kern w:val="2"/>
                <w:sz w:val="21"/>
                <w:szCs w:val="21"/>
                <w:vertAlign w:val="superscript"/>
                <w:lang w:eastAsia="zh-CN"/>
              </w:rPr>
              <w:t>-</w:t>
            </w:r>
            <w:r>
              <w:rPr>
                <w:rFonts w:hint="eastAsia" w:ascii="Times New Roman" w:hAnsi="Times New Roman" w:eastAsia="宋体" w:cs="Times New Roman"/>
                <w:kern w:val="2"/>
                <w:sz w:val="21"/>
                <w:szCs w:val="21"/>
                <w:vertAlign w:val="superscript"/>
                <w:lang w:val="en-US" w:eastAsia="zh-CN"/>
              </w:rPr>
              <w:t>4</w:t>
            </w:r>
            <w:r>
              <w:rPr>
                <w:rFonts w:hint="default" w:ascii="Times New Roman" w:hAnsi="Times New Roman" w:eastAsia="宋体" w:cs="Times New Roman"/>
                <w:kern w:val="2"/>
                <w:sz w:val="21"/>
                <w:szCs w:val="21"/>
                <w:lang w:eastAsia="zh-CN"/>
              </w:rPr>
              <w:t xml:space="preserve">/a          </w:t>
            </w:r>
          </w:p>
        </w:tc>
      </w:tr>
      <w:tr w14:paraId="7B437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075" w:type="dxa"/>
            <w:gridSpan w:val="10"/>
            <w:tcBorders>
              <w:top w:val="single" w:color="000000" w:sz="4" w:space="0"/>
              <w:left w:val="single" w:color="000000" w:sz="4" w:space="0"/>
              <w:bottom w:val="single" w:color="000000" w:sz="4" w:space="0"/>
              <w:right w:val="single" w:color="000000" w:sz="4" w:space="0"/>
            </w:tcBorders>
            <w:vAlign w:val="center"/>
          </w:tcPr>
          <w:p w14:paraId="2FC387F4">
            <w:pPr>
              <w:pStyle w:val="56"/>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事故后果预测</w:t>
            </w:r>
          </w:p>
        </w:tc>
      </w:tr>
      <w:tr w14:paraId="26142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restart"/>
            <w:tcBorders>
              <w:top w:val="single" w:color="000000" w:sz="4" w:space="0"/>
              <w:left w:val="single" w:color="000000" w:sz="4" w:space="0"/>
              <w:bottom w:val="single" w:color="000000" w:sz="4" w:space="0"/>
              <w:right w:val="single" w:color="000000" w:sz="4" w:space="0"/>
            </w:tcBorders>
            <w:vAlign w:val="center"/>
          </w:tcPr>
          <w:p w14:paraId="654109E4">
            <w:pPr>
              <w:pStyle w:val="56"/>
              <w:adjustRightInd w:val="0"/>
              <w:snapToGrid w:val="0"/>
              <w:rPr>
                <w:rFonts w:hint="default" w:ascii="Times New Roman" w:hAnsi="Times New Roman" w:eastAsia="Noto Sans CJK JP Regular" w:cs="Times New Roman"/>
                <w:kern w:val="2"/>
                <w:sz w:val="21"/>
                <w:szCs w:val="21"/>
                <w:lang w:eastAsia="zh-CN"/>
              </w:rPr>
            </w:pPr>
            <w:r>
              <w:rPr>
                <w:rFonts w:hint="default" w:ascii="Times New Roman" w:hAnsi="Times New Roman" w:eastAsia="宋体" w:cs="Times New Roman"/>
                <w:kern w:val="2"/>
                <w:sz w:val="21"/>
                <w:szCs w:val="21"/>
                <w:lang w:eastAsia="zh-CN"/>
              </w:rPr>
              <w:t>大气</w:t>
            </w:r>
          </w:p>
        </w:tc>
        <w:tc>
          <w:tcPr>
            <w:tcW w:w="992" w:type="dxa"/>
            <w:tcBorders>
              <w:top w:val="single" w:color="000000" w:sz="4" w:space="0"/>
              <w:left w:val="single" w:color="000000" w:sz="4" w:space="0"/>
              <w:bottom w:val="single" w:color="000000" w:sz="4" w:space="0"/>
              <w:right w:val="single" w:color="000000" w:sz="4" w:space="0"/>
            </w:tcBorders>
            <w:vAlign w:val="center"/>
          </w:tcPr>
          <w:p w14:paraId="0B254CAB">
            <w:pPr>
              <w:pStyle w:val="56"/>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危险物质</w:t>
            </w:r>
          </w:p>
        </w:tc>
        <w:tc>
          <w:tcPr>
            <w:tcW w:w="6567" w:type="dxa"/>
            <w:gridSpan w:val="8"/>
            <w:tcBorders>
              <w:top w:val="single" w:color="000000" w:sz="4" w:space="0"/>
              <w:left w:val="single" w:color="000000" w:sz="4" w:space="0"/>
              <w:bottom w:val="single" w:color="000000" w:sz="4" w:space="0"/>
              <w:right w:val="single" w:color="000000" w:sz="4" w:space="0"/>
            </w:tcBorders>
            <w:vAlign w:val="center"/>
          </w:tcPr>
          <w:p w14:paraId="30FAF19F">
            <w:pPr>
              <w:pStyle w:val="56"/>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lang w:eastAsia="zh-CN"/>
              </w:rPr>
              <w:t>大气</w:t>
            </w:r>
            <w:r>
              <w:rPr>
                <w:rFonts w:hint="default" w:ascii="Times New Roman" w:hAnsi="Times New Roman" w:eastAsia="宋体" w:cs="Times New Roman"/>
                <w:b/>
                <w:kern w:val="2"/>
                <w:sz w:val="21"/>
                <w:szCs w:val="21"/>
              </w:rPr>
              <w:t>环境影响</w:t>
            </w:r>
          </w:p>
        </w:tc>
      </w:tr>
      <w:tr w14:paraId="61A29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6F52CC0C">
            <w:pPr>
              <w:widowControl/>
              <w:jc w:val="left"/>
              <w:rPr>
                <w:rFonts w:hint="default" w:ascii="Times New Roman" w:hAnsi="Times New Roman" w:eastAsia="Noto Sans CJK JP Regular" w:cs="Times New Roman"/>
                <w:szCs w:val="21"/>
              </w:rPr>
            </w:pPr>
          </w:p>
        </w:tc>
        <w:tc>
          <w:tcPr>
            <w:tcW w:w="992" w:type="dxa"/>
            <w:vMerge w:val="restart"/>
            <w:tcBorders>
              <w:top w:val="single" w:color="000000" w:sz="4" w:space="0"/>
              <w:left w:val="single" w:color="000000" w:sz="4" w:space="0"/>
              <w:bottom w:val="single" w:color="000000" w:sz="4" w:space="0"/>
              <w:right w:val="single" w:color="000000" w:sz="4" w:space="0"/>
            </w:tcBorders>
            <w:vAlign w:val="center"/>
          </w:tcPr>
          <w:p w14:paraId="566AE710">
            <w:pPr>
              <w:pStyle w:val="56"/>
              <w:adjustRightInd w:val="0"/>
              <w:snapToGrid w:val="0"/>
              <w:rPr>
                <w:rFonts w:hint="default" w:ascii="Times New Roman" w:hAnsi="Times New Roman" w:eastAsia="宋体" w:cs="Times New Roman"/>
                <w:kern w:val="2"/>
                <w:sz w:val="21"/>
                <w:szCs w:val="21"/>
                <w:lang w:eastAsia="zh-CN"/>
              </w:rPr>
            </w:pPr>
            <w:r>
              <w:rPr>
                <w:rFonts w:hint="eastAsia" w:ascii="Times New Roman" w:hAnsi="Times New Roman" w:eastAsia="宋体" w:cs="Times New Roman"/>
                <w:kern w:val="2"/>
                <w:sz w:val="21"/>
                <w:szCs w:val="21"/>
                <w:lang w:val="en-US" w:eastAsia="zh-CN"/>
              </w:rPr>
              <w:t>氯气</w:t>
            </w:r>
          </w:p>
        </w:tc>
        <w:tc>
          <w:tcPr>
            <w:tcW w:w="2449" w:type="dxa"/>
            <w:gridSpan w:val="3"/>
            <w:tcBorders>
              <w:top w:val="single" w:color="000000" w:sz="4" w:space="0"/>
              <w:left w:val="single" w:color="000000" w:sz="4" w:space="0"/>
              <w:bottom w:val="single" w:color="000000" w:sz="4" w:space="0"/>
              <w:right w:val="single" w:color="000000" w:sz="4" w:space="0"/>
            </w:tcBorders>
            <w:vAlign w:val="center"/>
          </w:tcPr>
          <w:p w14:paraId="5E2F30A5">
            <w:pPr>
              <w:pStyle w:val="56"/>
              <w:adjustRightInd w:val="0"/>
              <w:snapToGrid w:val="0"/>
              <w:rPr>
                <w:rFonts w:hint="default" w:ascii="Times New Roman" w:hAnsi="Times New Roman" w:eastAsia="Noto Sans CJK JP Regular" w:cs="Times New Roman"/>
                <w:b/>
                <w:kern w:val="2"/>
                <w:sz w:val="21"/>
                <w:szCs w:val="21"/>
                <w:lang w:eastAsia="zh-CN"/>
              </w:rPr>
            </w:pPr>
            <w:r>
              <w:rPr>
                <w:rFonts w:hint="default" w:ascii="Times New Roman" w:hAnsi="Times New Roman" w:eastAsia="宋体" w:cs="Times New Roman"/>
                <w:b/>
                <w:snapToGrid w:val="0"/>
                <w:sz w:val="21"/>
                <w:szCs w:val="21"/>
              </w:rPr>
              <w:t>指标</w:t>
            </w:r>
          </w:p>
        </w:tc>
        <w:tc>
          <w:tcPr>
            <w:tcW w:w="1559" w:type="dxa"/>
            <w:gridSpan w:val="2"/>
            <w:tcBorders>
              <w:top w:val="single" w:color="000000" w:sz="4" w:space="0"/>
              <w:left w:val="single" w:color="000000" w:sz="4" w:space="0"/>
              <w:bottom w:val="single" w:color="000000" w:sz="4" w:space="0"/>
              <w:right w:val="single" w:color="auto" w:sz="4" w:space="0"/>
            </w:tcBorders>
            <w:vAlign w:val="center"/>
          </w:tcPr>
          <w:p w14:paraId="536A0FFE">
            <w:pPr>
              <w:pStyle w:val="56"/>
              <w:adjustRightInd w:val="0"/>
              <w:snapToGrid w:val="0"/>
              <w:rPr>
                <w:rFonts w:hint="default" w:ascii="Times New Roman" w:hAnsi="Times New Roman" w:cs="Times New Roman"/>
                <w:b/>
                <w:kern w:val="2"/>
                <w:sz w:val="21"/>
                <w:szCs w:val="21"/>
                <w:lang w:eastAsia="zh-CN"/>
              </w:rPr>
            </w:pPr>
            <w:r>
              <w:rPr>
                <w:rFonts w:hint="default" w:ascii="Times New Roman" w:hAnsi="Times New Roman" w:eastAsia="宋体" w:cs="Times New Roman"/>
                <w:b/>
                <w:snapToGrid w:val="0"/>
                <w:sz w:val="21"/>
                <w:szCs w:val="21"/>
              </w:rPr>
              <w:t>浓度值</w:t>
            </w:r>
            <w:r>
              <w:rPr>
                <w:rFonts w:hint="default" w:ascii="Times New Roman" w:hAnsi="Times New Roman" w:cs="Times New Roman"/>
                <w:b/>
                <w:snapToGrid w:val="0"/>
                <w:sz w:val="21"/>
                <w:szCs w:val="21"/>
              </w:rPr>
              <w:t>/(mg/m3)</w:t>
            </w:r>
          </w:p>
        </w:tc>
        <w:tc>
          <w:tcPr>
            <w:tcW w:w="1276" w:type="dxa"/>
            <w:tcBorders>
              <w:top w:val="single" w:color="000000" w:sz="4" w:space="0"/>
              <w:left w:val="single" w:color="auto" w:sz="4" w:space="0"/>
              <w:bottom w:val="single" w:color="000000" w:sz="4" w:space="0"/>
              <w:right w:val="single" w:color="000000" w:sz="4" w:space="0"/>
            </w:tcBorders>
            <w:vAlign w:val="center"/>
          </w:tcPr>
          <w:p w14:paraId="26F46C40">
            <w:pPr>
              <w:pStyle w:val="56"/>
              <w:adjustRightInd w:val="0"/>
              <w:snapToGrid w:val="0"/>
              <w:rPr>
                <w:rFonts w:hint="default" w:ascii="Times New Roman" w:hAnsi="Times New Roman" w:cs="Times New Roman"/>
                <w:b/>
                <w:kern w:val="2"/>
                <w:sz w:val="21"/>
                <w:szCs w:val="21"/>
                <w:lang w:eastAsia="zh-CN"/>
              </w:rPr>
            </w:pPr>
            <w:r>
              <w:rPr>
                <w:rFonts w:hint="default" w:ascii="Times New Roman" w:hAnsi="Times New Roman" w:eastAsia="宋体" w:cs="Times New Roman"/>
                <w:b/>
                <w:snapToGrid w:val="0"/>
                <w:sz w:val="21"/>
                <w:szCs w:val="21"/>
              </w:rPr>
              <w:t>最远影响距离</w:t>
            </w:r>
            <w:r>
              <w:rPr>
                <w:rFonts w:hint="default" w:ascii="Times New Roman" w:hAnsi="Times New Roman" w:cs="Times New Roman"/>
                <w:b/>
                <w:snapToGrid w:val="0"/>
                <w:sz w:val="21"/>
                <w:szCs w:val="21"/>
              </w:rPr>
              <w:t>/m</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14:paraId="09E99916">
            <w:pPr>
              <w:pStyle w:val="56"/>
              <w:adjustRightInd w:val="0"/>
              <w:snapToGrid w:val="0"/>
              <w:rPr>
                <w:rFonts w:hint="default" w:ascii="Times New Roman" w:hAnsi="Times New Roman" w:cs="Times New Roman"/>
                <w:b/>
                <w:kern w:val="2"/>
                <w:sz w:val="21"/>
                <w:szCs w:val="21"/>
                <w:lang w:eastAsia="zh-CN"/>
              </w:rPr>
            </w:pPr>
            <w:r>
              <w:rPr>
                <w:rFonts w:hint="default" w:ascii="Times New Roman" w:hAnsi="Times New Roman" w:eastAsia="宋体" w:cs="Times New Roman"/>
                <w:b/>
                <w:snapToGrid w:val="0"/>
                <w:sz w:val="21"/>
                <w:szCs w:val="21"/>
              </w:rPr>
              <w:t>到达时间</w:t>
            </w:r>
            <w:r>
              <w:rPr>
                <w:rFonts w:hint="default" w:ascii="Times New Roman" w:hAnsi="Times New Roman" w:cs="Times New Roman"/>
                <w:b/>
                <w:snapToGrid w:val="0"/>
                <w:sz w:val="21"/>
                <w:szCs w:val="21"/>
              </w:rPr>
              <w:t>/min</w:t>
            </w:r>
          </w:p>
        </w:tc>
      </w:tr>
      <w:tr w14:paraId="3DFC3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36CFFE20">
            <w:pPr>
              <w:widowControl/>
              <w:jc w:val="left"/>
              <w:rPr>
                <w:rFonts w:hint="default" w:ascii="Times New Roman" w:hAnsi="Times New Roman" w:eastAsia="Noto Sans CJK JP Regular" w:cs="Times New Roman"/>
                <w:szCs w:val="21"/>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6454EEE9">
            <w:pPr>
              <w:widowControl/>
              <w:jc w:val="left"/>
              <w:rPr>
                <w:rFonts w:hint="default" w:ascii="Times New Roman" w:hAnsi="Times New Roman" w:cs="Times New Roman"/>
                <w:szCs w:val="21"/>
              </w:rPr>
            </w:pPr>
          </w:p>
        </w:tc>
        <w:tc>
          <w:tcPr>
            <w:tcW w:w="1117" w:type="dxa"/>
            <w:tcBorders>
              <w:top w:val="single" w:color="000000" w:sz="4" w:space="0"/>
              <w:left w:val="single" w:color="000000" w:sz="4" w:space="0"/>
              <w:right w:val="single" w:color="auto" w:sz="4" w:space="0"/>
            </w:tcBorders>
            <w:vAlign w:val="center"/>
          </w:tcPr>
          <w:p w14:paraId="295E3FF4">
            <w:pPr>
              <w:pStyle w:val="56"/>
              <w:adjustRightInd w:val="0"/>
              <w:snapToGrid w:val="0"/>
              <w:rPr>
                <w:rFonts w:hint="default" w:ascii="Times New Roman" w:hAnsi="Times New Roman" w:eastAsia="宋体" w:cs="Times New Roman"/>
                <w:snapToGrid w:val="0"/>
                <w:sz w:val="21"/>
                <w:szCs w:val="21"/>
                <w:lang w:eastAsia="zh-CN"/>
              </w:rPr>
            </w:pPr>
            <w:r>
              <w:rPr>
                <w:rFonts w:hint="default" w:ascii="Times New Roman" w:hAnsi="Times New Roman" w:eastAsia="宋体" w:cs="Times New Roman"/>
                <w:snapToGrid w:val="0"/>
                <w:sz w:val="21"/>
                <w:szCs w:val="21"/>
                <w:lang w:eastAsia="zh-CN"/>
              </w:rPr>
              <w:t>大气毒性终点浓度</w:t>
            </w:r>
            <w:r>
              <w:rPr>
                <w:rFonts w:hint="default" w:ascii="Times New Roman" w:hAnsi="Times New Roman" w:cs="Times New Roman"/>
                <w:snapToGrid w:val="0"/>
                <w:sz w:val="21"/>
                <w:szCs w:val="21"/>
                <w:lang w:eastAsia="zh-CN"/>
              </w:rPr>
              <w:t>-2</w:t>
            </w:r>
          </w:p>
        </w:tc>
        <w:tc>
          <w:tcPr>
            <w:tcW w:w="1332" w:type="dxa"/>
            <w:gridSpan w:val="2"/>
            <w:tcBorders>
              <w:top w:val="single" w:color="000000" w:sz="4" w:space="0"/>
              <w:left w:val="single" w:color="auto" w:sz="4" w:space="0"/>
              <w:bottom w:val="single" w:color="000000" w:sz="4" w:space="0"/>
              <w:right w:val="single" w:color="000000" w:sz="4" w:space="0"/>
            </w:tcBorders>
            <w:vAlign w:val="center"/>
          </w:tcPr>
          <w:p w14:paraId="1FC84F48">
            <w:pPr>
              <w:pStyle w:val="56"/>
              <w:adjustRightInd w:val="0"/>
              <w:snapToGrid w:val="0"/>
              <w:rPr>
                <w:rFonts w:hint="default" w:ascii="Times New Roman" w:hAnsi="Times New Roman" w:eastAsia="宋体" w:cs="Times New Roman"/>
                <w:snapToGrid w:val="0"/>
                <w:sz w:val="21"/>
                <w:szCs w:val="21"/>
                <w:lang w:eastAsia="zh-CN"/>
              </w:rPr>
            </w:pPr>
            <w:r>
              <w:rPr>
                <w:rFonts w:hint="default" w:ascii="Times New Roman" w:hAnsi="Times New Roman" w:eastAsia="宋体" w:cs="Times New Roman"/>
                <w:snapToGrid w:val="0"/>
                <w:sz w:val="21"/>
                <w:szCs w:val="21"/>
                <w:lang w:eastAsia="zh-CN"/>
              </w:rPr>
              <w:t>最不利气象条件</w:t>
            </w:r>
          </w:p>
        </w:tc>
        <w:tc>
          <w:tcPr>
            <w:tcW w:w="1559" w:type="dxa"/>
            <w:gridSpan w:val="2"/>
            <w:tcBorders>
              <w:top w:val="single" w:color="000000" w:sz="4" w:space="0"/>
              <w:left w:val="single" w:color="000000" w:sz="4" w:space="0"/>
              <w:bottom w:val="single" w:color="000000" w:sz="4" w:space="0"/>
              <w:right w:val="single" w:color="auto" w:sz="4" w:space="0"/>
            </w:tcBorders>
            <w:vAlign w:val="center"/>
          </w:tcPr>
          <w:p w14:paraId="62963640">
            <w:pPr>
              <w:pStyle w:val="56"/>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58</w:t>
            </w:r>
          </w:p>
        </w:tc>
        <w:tc>
          <w:tcPr>
            <w:tcW w:w="1276" w:type="dxa"/>
            <w:tcBorders>
              <w:top w:val="single" w:color="000000" w:sz="4" w:space="0"/>
              <w:left w:val="single" w:color="auto" w:sz="4" w:space="0"/>
              <w:bottom w:val="single" w:color="000000" w:sz="4" w:space="0"/>
              <w:right w:val="single" w:color="000000" w:sz="4" w:space="0"/>
            </w:tcBorders>
            <w:vAlign w:val="center"/>
          </w:tcPr>
          <w:p w14:paraId="37AC1ED3">
            <w:pPr>
              <w:pStyle w:val="56"/>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1180</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14:paraId="61275BDE">
            <w:pPr>
              <w:pStyle w:val="56"/>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28.5</w:t>
            </w:r>
          </w:p>
        </w:tc>
      </w:tr>
      <w:tr w14:paraId="28993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65457B4D">
            <w:pPr>
              <w:widowControl/>
              <w:jc w:val="left"/>
              <w:rPr>
                <w:rFonts w:hint="default" w:ascii="Times New Roman" w:hAnsi="Times New Roman" w:eastAsia="Noto Sans CJK JP Regular" w:cs="Times New Roman"/>
                <w:szCs w:val="21"/>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35981775">
            <w:pPr>
              <w:widowControl/>
              <w:jc w:val="left"/>
              <w:rPr>
                <w:rFonts w:hint="default" w:ascii="Times New Roman" w:hAnsi="Times New Roman" w:cs="Times New Roman"/>
                <w:szCs w:val="21"/>
              </w:rPr>
            </w:pPr>
          </w:p>
        </w:tc>
        <w:tc>
          <w:tcPr>
            <w:tcW w:w="1117" w:type="dxa"/>
            <w:tcBorders>
              <w:left w:val="single" w:color="000000" w:sz="4" w:space="0"/>
              <w:right w:val="single" w:color="auto" w:sz="4" w:space="0"/>
            </w:tcBorders>
            <w:vAlign w:val="center"/>
          </w:tcPr>
          <w:p w14:paraId="26C8BF38">
            <w:pPr>
              <w:pStyle w:val="56"/>
              <w:adjustRightInd w:val="0"/>
              <w:snapToGrid w:val="0"/>
              <w:rPr>
                <w:rFonts w:hint="default" w:ascii="Times New Roman" w:hAnsi="Times New Roman" w:eastAsia="宋体" w:cs="Times New Roman"/>
                <w:snapToGrid w:val="0"/>
                <w:sz w:val="21"/>
                <w:szCs w:val="21"/>
                <w:lang w:eastAsia="zh-CN"/>
              </w:rPr>
            </w:pPr>
            <w:r>
              <w:rPr>
                <w:rFonts w:hint="default" w:ascii="Times New Roman" w:hAnsi="Times New Roman" w:eastAsia="宋体" w:cs="Times New Roman"/>
                <w:snapToGrid w:val="0"/>
                <w:sz w:val="21"/>
                <w:szCs w:val="21"/>
                <w:lang w:eastAsia="zh-CN"/>
              </w:rPr>
              <w:t>大气毒性终点浓度</w:t>
            </w:r>
            <w:r>
              <w:rPr>
                <w:rFonts w:hint="default" w:ascii="Times New Roman" w:hAnsi="Times New Roman" w:cs="Times New Roman"/>
                <w:snapToGrid w:val="0"/>
                <w:sz w:val="21"/>
                <w:szCs w:val="21"/>
                <w:lang w:eastAsia="zh-CN"/>
              </w:rPr>
              <w:t>-1</w:t>
            </w:r>
          </w:p>
        </w:tc>
        <w:tc>
          <w:tcPr>
            <w:tcW w:w="1332" w:type="dxa"/>
            <w:gridSpan w:val="2"/>
            <w:tcBorders>
              <w:top w:val="single" w:color="000000" w:sz="4" w:space="0"/>
              <w:left w:val="single" w:color="auto" w:sz="4" w:space="0"/>
              <w:bottom w:val="single" w:color="000000" w:sz="4" w:space="0"/>
              <w:right w:val="single" w:color="000000" w:sz="4" w:space="0"/>
            </w:tcBorders>
            <w:vAlign w:val="center"/>
          </w:tcPr>
          <w:p w14:paraId="7E5C8767">
            <w:pPr>
              <w:pStyle w:val="56"/>
              <w:adjustRightInd w:val="0"/>
              <w:snapToGrid w:val="0"/>
              <w:rPr>
                <w:rFonts w:hint="default" w:ascii="Times New Roman" w:hAnsi="Times New Roman" w:eastAsia="宋体" w:cs="Times New Roman"/>
                <w:snapToGrid w:val="0"/>
                <w:sz w:val="21"/>
                <w:szCs w:val="21"/>
                <w:lang w:eastAsia="zh-CN"/>
              </w:rPr>
            </w:pPr>
            <w:r>
              <w:rPr>
                <w:rFonts w:hint="default" w:ascii="Times New Roman" w:hAnsi="Times New Roman" w:eastAsia="宋体" w:cs="Times New Roman"/>
                <w:snapToGrid w:val="0"/>
                <w:sz w:val="21"/>
                <w:szCs w:val="21"/>
                <w:lang w:eastAsia="zh-CN"/>
              </w:rPr>
              <w:t>最不利气象条件</w:t>
            </w:r>
          </w:p>
        </w:tc>
        <w:tc>
          <w:tcPr>
            <w:tcW w:w="1559" w:type="dxa"/>
            <w:gridSpan w:val="2"/>
            <w:tcBorders>
              <w:top w:val="single" w:color="000000" w:sz="4" w:space="0"/>
              <w:left w:val="single" w:color="000000" w:sz="4" w:space="0"/>
              <w:bottom w:val="single" w:color="000000" w:sz="4" w:space="0"/>
              <w:right w:val="single" w:color="auto" w:sz="4" w:space="0"/>
            </w:tcBorders>
            <w:vAlign w:val="center"/>
          </w:tcPr>
          <w:p w14:paraId="3EC3863C">
            <w:pPr>
              <w:pStyle w:val="56"/>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5.8</w:t>
            </w:r>
          </w:p>
        </w:tc>
        <w:tc>
          <w:tcPr>
            <w:tcW w:w="1276" w:type="dxa"/>
            <w:tcBorders>
              <w:top w:val="single" w:color="000000" w:sz="4" w:space="0"/>
              <w:left w:val="single" w:color="auto" w:sz="4" w:space="0"/>
              <w:bottom w:val="single" w:color="000000" w:sz="4" w:space="0"/>
              <w:right w:val="single" w:color="000000" w:sz="4" w:space="0"/>
            </w:tcBorders>
            <w:vAlign w:val="center"/>
          </w:tcPr>
          <w:p w14:paraId="6E018389">
            <w:pPr>
              <w:pStyle w:val="56"/>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4690</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14:paraId="4B201382">
            <w:pPr>
              <w:pStyle w:val="56"/>
              <w:adjustRightInd w:val="0"/>
              <w:snapToGrid w:val="0"/>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73.26</w:t>
            </w:r>
          </w:p>
        </w:tc>
      </w:tr>
      <w:tr w14:paraId="47FCC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6715C0F9">
            <w:pPr>
              <w:widowControl/>
              <w:jc w:val="left"/>
              <w:rPr>
                <w:rFonts w:hint="default" w:ascii="Times New Roman" w:hAnsi="Times New Roman" w:eastAsia="Noto Sans CJK JP Regular" w:cs="Times New Roman"/>
                <w:szCs w:val="21"/>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489910CF">
            <w:pPr>
              <w:widowControl/>
              <w:jc w:val="left"/>
              <w:rPr>
                <w:rFonts w:hint="default" w:ascii="Times New Roman" w:hAnsi="Times New Roman" w:cs="Times New Roman"/>
                <w:szCs w:val="21"/>
              </w:rPr>
            </w:pPr>
          </w:p>
        </w:tc>
        <w:tc>
          <w:tcPr>
            <w:tcW w:w="2449" w:type="dxa"/>
            <w:gridSpan w:val="3"/>
            <w:tcBorders>
              <w:top w:val="single" w:color="000000" w:sz="4" w:space="0"/>
              <w:left w:val="single" w:color="000000" w:sz="4" w:space="0"/>
              <w:bottom w:val="single" w:color="000000" w:sz="4" w:space="0"/>
              <w:right w:val="single" w:color="000000" w:sz="4" w:space="0"/>
            </w:tcBorders>
            <w:vAlign w:val="center"/>
          </w:tcPr>
          <w:p w14:paraId="3326B4CF">
            <w:pPr>
              <w:pStyle w:val="56"/>
              <w:adjustRightInd w:val="0"/>
              <w:snapToGrid w:val="0"/>
              <w:rPr>
                <w:rFonts w:hint="default" w:ascii="Times New Roman" w:hAnsi="Times New Roman" w:eastAsia="Noto Sans CJK JP Regular" w:cs="Times New Roman"/>
                <w:b/>
                <w:kern w:val="2"/>
                <w:sz w:val="21"/>
                <w:szCs w:val="21"/>
              </w:rPr>
            </w:pPr>
            <w:r>
              <w:rPr>
                <w:rFonts w:hint="default" w:ascii="Times New Roman" w:hAnsi="Times New Roman" w:eastAsia="宋体" w:cs="Times New Roman"/>
                <w:b/>
                <w:kern w:val="2"/>
                <w:sz w:val="21"/>
                <w:szCs w:val="21"/>
              </w:rPr>
              <w:t>敏感目标名称</w:t>
            </w:r>
          </w:p>
        </w:tc>
        <w:tc>
          <w:tcPr>
            <w:tcW w:w="1559" w:type="dxa"/>
            <w:gridSpan w:val="2"/>
            <w:tcBorders>
              <w:top w:val="single" w:color="000000" w:sz="4" w:space="0"/>
              <w:left w:val="single" w:color="000000" w:sz="4" w:space="0"/>
              <w:bottom w:val="single" w:color="000000" w:sz="4" w:space="0"/>
              <w:right w:val="single" w:color="auto" w:sz="4" w:space="0"/>
            </w:tcBorders>
            <w:vAlign w:val="center"/>
          </w:tcPr>
          <w:p w14:paraId="6EF33A58">
            <w:pPr>
              <w:pStyle w:val="56"/>
              <w:adjustRightInd w:val="0"/>
              <w:snapToGrid w:val="0"/>
              <w:rPr>
                <w:rFonts w:hint="default" w:ascii="Times New Roman" w:hAnsi="Times New Roman" w:cs="Times New Roman"/>
                <w:b/>
                <w:kern w:val="2"/>
                <w:sz w:val="21"/>
                <w:szCs w:val="21"/>
                <w:lang w:eastAsia="zh-CN"/>
              </w:rPr>
            </w:pPr>
            <w:r>
              <w:rPr>
                <w:rFonts w:hint="default" w:ascii="Times New Roman" w:hAnsi="Times New Roman" w:eastAsia="宋体" w:cs="Times New Roman"/>
                <w:b/>
                <w:kern w:val="2"/>
                <w:sz w:val="21"/>
                <w:szCs w:val="21"/>
                <w:lang w:eastAsia="zh-CN"/>
              </w:rPr>
              <w:t>超标时间</w:t>
            </w:r>
            <w:r>
              <w:rPr>
                <w:rFonts w:hint="default" w:ascii="Times New Roman" w:hAnsi="Times New Roman" w:cs="Times New Roman"/>
                <w:b/>
                <w:kern w:val="2"/>
                <w:sz w:val="21"/>
                <w:szCs w:val="21"/>
                <w:lang w:eastAsia="zh-CN"/>
              </w:rPr>
              <w:t>/</w:t>
            </w:r>
            <w:r>
              <w:rPr>
                <w:rFonts w:hint="default" w:ascii="Times New Roman" w:hAnsi="Times New Roman" w:eastAsia="宋体" w:cs="Times New Roman"/>
                <w:b/>
                <w:kern w:val="2"/>
                <w:sz w:val="21"/>
                <w:szCs w:val="21"/>
                <w:lang w:eastAsia="zh-CN"/>
              </w:rPr>
              <w:t>min</w:t>
            </w:r>
          </w:p>
        </w:tc>
        <w:tc>
          <w:tcPr>
            <w:tcW w:w="1276" w:type="dxa"/>
            <w:tcBorders>
              <w:top w:val="single" w:color="000000" w:sz="4" w:space="0"/>
              <w:left w:val="single" w:color="auto" w:sz="4" w:space="0"/>
              <w:bottom w:val="single" w:color="000000" w:sz="4" w:space="0"/>
              <w:right w:val="single" w:color="000000" w:sz="4" w:space="0"/>
            </w:tcBorders>
            <w:vAlign w:val="center"/>
          </w:tcPr>
          <w:p w14:paraId="0412374F">
            <w:pPr>
              <w:pStyle w:val="56"/>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lang w:eastAsia="zh-CN"/>
              </w:rPr>
              <w:t>超标持续时间</w:t>
            </w:r>
            <w:r>
              <w:rPr>
                <w:rFonts w:hint="default" w:ascii="Times New Roman" w:hAnsi="Times New Roman" w:cs="Times New Roman"/>
                <w:b/>
                <w:kern w:val="2"/>
                <w:sz w:val="21"/>
                <w:szCs w:val="21"/>
                <w:lang w:eastAsia="zh-CN"/>
              </w:rPr>
              <w:t>/</w:t>
            </w:r>
            <w:r>
              <w:rPr>
                <w:rFonts w:hint="default" w:ascii="Times New Roman" w:hAnsi="Times New Roman" w:eastAsia="宋体" w:cs="Times New Roman"/>
                <w:b/>
                <w:kern w:val="2"/>
                <w:sz w:val="21"/>
                <w:szCs w:val="21"/>
                <w:lang w:eastAsia="zh-CN"/>
              </w:rPr>
              <w:t>min</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14:paraId="49E0968F">
            <w:pPr>
              <w:pStyle w:val="56"/>
              <w:adjustRightInd w:val="0"/>
              <w:snapToGrid w:val="0"/>
              <w:rPr>
                <w:rFonts w:hint="default" w:ascii="Times New Roman" w:hAnsi="Times New Roman" w:cs="Times New Roman"/>
                <w:b/>
                <w:kern w:val="2"/>
                <w:sz w:val="21"/>
                <w:szCs w:val="21"/>
              </w:rPr>
            </w:pPr>
            <w:r>
              <w:rPr>
                <w:rFonts w:hint="default" w:ascii="Times New Roman" w:hAnsi="Times New Roman" w:eastAsia="宋体" w:cs="Times New Roman"/>
                <w:b/>
                <w:kern w:val="2"/>
                <w:sz w:val="21"/>
                <w:szCs w:val="21"/>
              </w:rPr>
              <w:t>最大浓度</w:t>
            </w:r>
            <w:r>
              <w:rPr>
                <w:rFonts w:hint="default" w:ascii="Times New Roman" w:hAnsi="Times New Roman" w:cs="Times New Roman"/>
                <w:b/>
                <w:kern w:val="2"/>
                <w:sz w:val="21"/>
                <w:szCs w:val="21"/>
              </w:rPr>
              <w:t>/(mg/</w:t>
            </w:r>
            <w:r>
              <w:rPr>
                <w:rFonts w:hint="default" w:ascii="Times New Roman" w:hAnsi="Times New Roman" w:eastAsia="宋体" w:cs="Times New Roman"/>
                <w:b/>
                <w:kern w:val="2"/>
                <w:sz w:val="21"/>
                <w:szCs w:val="21"/>
                <w:lang w:eastAsia="zh-CN"/>
              </w:rPr>
              <w:t>m3</w:t>
            </w:r>
            <w:r>
              <w:rPr>
                <w:rFonts w:hint="default" w:ascii="Times New Roman" w:hAnsi="Times New Roman" w:cs="Times New Roman"/>
                <w:b/>
                <w:kern w:val="2"/>
                <w:sz w:val="21"/>
                <w:szCs w:val="21"/>
              </w:rPr>
              <w:t>)</w:t>
            </w:r>
          </w:p>
        </w:tc>
      </w:tr>
      <w:tr w14:paraId="48A29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51A462F5">
            <w:pPr>
              <w:widowControl/>
              <w:jc w:val="left"/>
              <w:rPr>
                <w:rFonts w:hint="default" w:ascii="Times New Roman" w:hAnsi="Times New Roman" w:eastAsia="Noto Sans CJK JP Regular" w:cs="Times New Roman"/>
                <w:szCs w:val="21"/>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2D1831B8">
            <w:pPr>
              <w:widowControl/>
              <w:jc w:val="left"/>
              <w:rPr>
                <w:rFonts w:hint="default" w:ascii="Times New Roman" w:hAnsi="Times New Roman" w:cs="Times New Roman"/>
                <w:szCs w:val="21"/>
              </w:rPr>
            </w:pPr>
          </w:p>
        </w:tc>
        <w:tc>
          <w:tcPr>
            <w:tcW w:w="2449" w:type="dxa"/>
            <w:gridSpan w:val="3"/>
            <w:tcBorders>
              <w:top w:val="single" w:color="000000" w:sz="4" w:space="0"/>
              <w:left w:val="single" w:color="000000" w:sz="4" w:space="0"/>
              <w:bottom w:val="single" w:color="000000" w:sz="4" w:space="0"/>
              <w:right w:val="single" w:color="000000" w:sz="4" w:space="0"/>
            </w:tcBorders>
            <w:vAlign w:val="center"/>
          </w:tcPr>
          <w:p w14:paraId="6600C098">
            <w:pPr>
              <w:pStyle w:val="56"/>
              <w:adjustRightInd w:val="0"/>
              <w:snapToGrid w:val="0"/>
              <w:rPr>
                <w:rFonts w:hint="default" w:ascii="Times New Roman" w:hAnsi="Times New Roman" w:eastAsia="宋体" w:cs="Times New Roman"/>
                <w:b/>
                <w:kern w:val="2"/>
                <w:sz w:val="21"/>
                <w:szCs w:val="21"/>
                <w:u w:val="single"/>
              </w:rPr>
            </w:pPr>
            <w:r>
              <w:rPr>
                <w:rFonts w:hint="default" w:ascii="Times New Roman" w:hAnsi="Times New Roman" w:eastAsia="宋体" w:cs="Times New Roman"/>
                <w:i w:val="0"/>
                <w:iCs w:val="0"/>
                <w:color w:val="000000"/>
                <w:kern w:val="0"/>
                <w:sz w:val="22"/>
                <w:szCs w:val="22"/>
                <w:u w:val="single"/>
                <w:lang w:val="en-US" w:eastAsia="zh-CN" w:bidi="ar"/>
              </w:rPr>
              <w:t>岳阳市第一中学</w:t>
            </w:r>
          </w:p>
        </w:tc>
        <w:tc>
          <w:tcPr>
            <w:tcW w:w="1559" w:type="dxa"/>
            <w:gridSpan w:val="2"/>
            <w:tcBorders>
              <w:top w:val="single" w:color="000000" w:sz="4" w:space="0"/>
              <w:left w:val="single" w:color="000000" w:sz="4" w:space="0"/>
              <w:bottom w:val="single" w:color="000000" w:sz="4" w:space="0"/>
              <w:right w:val="single" w:color="auto" w:sz="4" w:space="0"/>
            </w:tcBorders>
            <w:vAlign w:val="center"/>
          </w:tcPr>
          <w:p w14:paraId="06C2B846">
            <w:pPr>
              <w:pStyle w:val="56"/>
              <w:adjustRightInd w:val="0"/>
              <w:snapToGrid w:val="0"/>
              <w:rPr>
                <w:rFonts w:hint="default" w:ascii="Times New Roman" w:hAnsi="Times New Roman" w:eastAsia="宋体" w:cs="Times New Roman"/>
                <w:b w:val="0"/>
                <w:bCs/>
                <w:kern w:val="2"/>
                <w:sz w:val="21"/>
                <w:szCs w:val="21"/>
                <w:u w:val="single"/>
                <w:lang w:val="en-US" w:eastAsia="zh-CN"/>
              </w:rPr>
            </w:pPr>
            <w:r>
              <w:rPr>
                <w:rFonts w:hint="eastAsia" w:ascii="Times New Roman" w:hAnsi="Times New Roman" w:cs="Times New Roman"/>
                <w:b w:val="0"/>
                <w:bCs/>
                <w:kern w:val="2"/>
                <w:sz w:val="21"/>
                <w:szCs w:val="21"/>
                <w:u w:val="single"/>
                <w:lang w:val="en-US" w:eastAsia="zh-CN"/>
              </w:rPr>
              <w:t>5</w:t>
            </w:r>
          </w:p>
        </w:tc>
        <w:tc>
          <w:tcPr>
            <w:tcW w:w="1276" w:type="dxa"/>
            <w:tcBorders>
              <w:top w:val="single" w:color="000000" w:sz="4" w:space="0"/>
              <w:left w:val="single" w:color="auto" w:sz="4" w:space="0"/>
              <w:bottom w:val="single" w:color="000000" w:sz="4" w:space="0"/>
              <w:right w:val="single" w:color="000000" w:sz="4" w:space="0"/>
            </w:tcBorders>
            <w:vAlign w:val="center"/>
          </w:tcPr>
          <w:p w14:paraId="4316938B">
            <w:pPr>
              <w:pStyle w:val="56"/>
              <w:adjustRightInd w:val="0"/>
              <w:snapToGrid w:val="0"/>
              <w:rPr>
                <w:rFonts w:hint="default" w:ascii="Times New Roman" w:hAnsi="Times New Roman" w:eastAsia="宋体" w:cs="Times New Roman"/>
                <w:b w:val="0"/>
                <w:bCs/>
                <w:kern w:val="2"/>
                <w:sz w:val="21"/>
                <w:szCs w:val="21"/>
                <w:u w:val="single"/>
                <w:lang w:val="en-US" w:eastAsia="zh-CN"/>
              </w:rPr>
            </w:pPr>
            <w:r>
              <w:rPr>
                <w:rFonts w:hint="eastAsia" w:ascii="Times New Roman" w:hAnsi="Times New Roman" w:cs="Times New Roman"/>
                <w:b w:val="0"/>
                <w:bCs/>
                <w:kern w:val="2"/>
                <w:sz w:val="21"/>
                <w:szCs w:val="21"/>
                <w:u w:val="single"/>
                <w:lang w:val="en-US" w:eastAsia="zh-CN"/>
              </w:rPr>
              <w:t>18</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14:paraId="4AFCCDAD">
            <w:pPr>
              <w:pStyle w:val="56"/>
              <w:adjustRightInd w:val="0"/>
              <w:snapToGrid w:val="0"/>
              <w:rPr>
                <w:rFonts w:hint="default" w:ascii="Times New Roman" w:hAnsi="Times New Roman" w:eastAsia="宋体" w:cs="Times New Roman"/>
                <w:b w:val="0"/>
                <w:bCs/>
                <w:kern w:val="2"/>
                <w:sz w:val="21"/>
                <w:szCs w:val="21"/>
                <w:u w:val="single"/>
              </w:rPr>
            </w:pPr>
            <w:r>
              <w:rPr>
                <w:rFonts w:hint="eastAsia" w:ascii="Times New Roman" w:hAnsi="Times New Roman" w:eastAsia="宋体" w:cs="Times New Roman"/>
                <w:b w:val="0"/>
                <w:bCs/>
                <w:i w:val="0"/>
                <w:iCs w:val="0"/>
                <w:color w:val="000000"/>
                <w:kern w:val="0"/>
                <w:sz w:val="22"/>
                <w:szCs w:val="22"/>
                <w:u w:val="single"/>
                <w:lang w:val="en-US" w:eastAsia="zh-CN" w:bidi="ar"/>
              </w:rPr>
              <w:t>74.9525</w:t>
            </w:r>
          </w:p>
        </w:tc>
      </w:tr>
      <w:tr w14:paraId="60BE3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4C03426C">
            <w:pPr>
              <w:widowControl/>
              <w:jc w:val="left"/>
              <w:rPr>
                <w:rFonts w:hint="default" w:ascii="Times New Roman" w:hAnsi="Times New Roman" w:eastAsia="Noto Sans CJK JP Regular" w:cs="Times New Roman"/>
                <w:szCs w:val="21"/>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1BDDF977">
            <w:pPr>
              <w:widowControl/>
              <w:jc w:val="left"/>
              <w:rPr>
                <w:rFonts w:hint="default" w:ascii="Times New Roman" w:hAnsi="Times New Roman" w:cs="Times New Roman"/>
                <w:szCs w:val="21"/>
              </w:rPr>
            </w:pPr>
          </w:p>
        </w:tc>
        <w:tc>
          <w:tcPr>
            <w:tcW w:w="2449" w:type="dxa"/>
            <w:gridSpan w:val="3"/>
            <w:tcBorders>
              <w:top w:val="single" w:color="000000" w:sz="4" w:space="0"/>
              <w:left w:val="single" w:color="000000" w:sz="4" w:space="0"/>
              <w:bottom w:val="single" w:color="000000" w:sz="4" w:space="0"/>
              <w:right w:val="single" w:color="000000" w:sz="4" w:space="0"/>
            </w:tcBorders>
            <w:vAlign w:val="center"/>
          </w:tcPr>
          <w:p w14:paraId="39298721">
            <w:pPr>
              <w:pStyle w:val="56"/>
              <w:adjustRightInd w:val="0"/>
              <w:snapToGrid w:val="0"/>
              <w:rPr>
                <w:rFonts w:hint="default" w:ascii="Times New Roman" w:hAnsi="Times New Roman" w:eastAsia="宋体" w:cs="Times New Roman"/>
                <w:b/>
                <w:kern w:val="2"/>
                <w:sz w:val="21"/>
                <w:szCs w:val="21"/>
                <w:u w:val="single"/>
              </w:rPr>
            </w:pPr>
            <w:r>
              <w:rPr>
                <w:rFonts w:hint="default" w:ascii="Times New Roman" w:hAnsi="Times New Roman" w:eastAsia="宋体" w:cs="Times New Roman"/>
                <w:i w:val="0"/>
                <w:iCs w:val="0"/>
                <w:color w:val="000000"/>
                <w:kern w:val="0"/>
                <w:sz w:val="22"/>
                <w:szCs w:val="22"/>
                <w:u w:val="single"/>
                <w:lang w:val="en-US" w:eastAsia="zh-CN" w:bidi="ar"/>
              </w:rPr>
              <w:t>岳阳楼景区</w:t>
            </w:r>
          </w:p>
        </w:tc>
        <w:tc>
          <w:tcPr>
            <w:tcW w:w="1559"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24446DFF">
            <w:pPr>
              <w:pStyle w:val="56"/>
              <w:adjustRightInd w:val="0"/>
              <w:snapToGrid w:val="0"/>
              <w:rPr>
                <w:rFonts w:hint="default" w:ascii="Times New Roman" w:hAnsi="Times New Roman" w:eastAsia="宋体" w:cs="Times New Roman"/>
                <w:b w:val="0"/>
                <w:bCs/>
                <w:kern w:val="2"/>
                <w:sz w:val="21"/>
                <w:szCs w:val="21"/>
                <w:u w:val="single"/>
                <w:lang w:val="en-US" w:eastAsia="zh-CN" w:bidi="ar-SA"/>
              </w:rPr>
            </w:pPr>
            <w:r>
              <w:rPr>
                <w:rFonts w:hint="eastAsia" w:ascii="Times New Roman" w:hAnsi="Times New Roman" w:cs="Times New Roman"/>
                <w:b w:val="0"/>
                <w:bCs/>
                <w:kern w:val="2"/>
                <w:sz w:val="21"/>
                <w:szCs w:val="21"/>
                <w:u w:val="single"/>
                <w:lang w:val="en-US" w:eastAsia="zh-CN"/>
              </w:rPr>
              <w:t>11</w:t>
            </w:r>
          </w:p>
        </w:tc>
        <w:tc>
          <w:tcPr>
            <w:tcW w:w="1276" w:type="dxa"/>
            <w:tcBorders>
              <w:top w:val="single" w:color="000000" w:sz="4" w:space="0"/>
              <w:left w:val="single" w:color="auto" w:sz="4" w:space="0"/>
              <w:bottom w:val="single" w:color="000000" w:sz="4" w:space="0"/>
              <w:right w:val="single" w:color="000000" w:sz="4" w:space="0"/>
            </w:tcBorders>
            <w:shd w:val="clear" w:color="auto" w:fill="auto"/>
            <w:vAlign w:val="center"/>
          </w:tcPr>
          <w:p w14:paraId="094A3E4F">
            <w:pPr>
              <w:pStyle w:val="56"/>
              <w:adjustRightInd w:val="0"/>
              <w:snapToGrid w:val="0"/>
              <w:rPr>
                <w:rFonts w:hint="default" w:ascii="Times New Roman" w:hAnsi="Times New Roman" w:eastAsia="宋体" w:cs="Times New Roman"/>
                <w:b w:val="0"/>
                <w:bCs/>
                <w:kern w:val="2"/>
                <w:sz w:val="21"/>
                <w:szCs w:val="21"/>
                <w:u w:val="single"/>
                <w:lang w:val="en-US" w:eastAsia="zh-CN" w:bidi="ar-SA"/>
              </w:rPr>
            </w:pPr>
            <w:r>
              <w:rPr>
                <w:rFonts w:hint="eastAsia" w:ascii="Times New Roman" w:hAnsi="Times New Roman" w:cs="Times New Roman"/>
                <w:b w:val="0"/>
                <w:bCs/>
                <w:kern w:val="2"/>
                <w:sz w:val="21"/>
                <w:szCs w:val="21"/>
                <w:u w:val="single"/>
                <w:lang w:val="en-US" w:eastAsia="zh-CN"/>
              </w:rPr>
              <w:t>25</w:t>
            </w:r>
          </w:p>
        </w:tc>
        <w:tc>
          <w:tcPr>
            <w:tcW w:w="1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958AF">
            <w:pPr>
              <w:pStyle w:val="56"/>
              <w:adjustRightInd w:val="0"/>
              <w:snapToGrid w:val="0"/>
              <w:rPr>
                <w:rFonts w:hint="default" w:ascii="Times New Roman" w:hAnsi="Times New Roman" w:eastAsia="宋体" w:cs="Times New Roman"/>
                <w:b w:val="0"/>
                <w:bCs/>
                <w:kern w:val="2"/>
                <w:sz w:val="21"/>
                <w:szCs w:val="21"/>
                <w:u w:val="single"/>
                <w:lang w:val="en-US" w:eastAsia="en-US" w:bidi="ar-SA"/>
              </w:rPr>
            </w:pPr>
            <w:r>
              <w:rPr>
                <w:rFonts w:hint="eastAsia" w:ascii="Times New Roman" w:hAnsi="Times New Roman" w:eastAsia="宋体" w:cs="Times New Roman"/>
                <w:i w:val="0"/>
                <w:iCs w:val="0"/>
                <w:color w:val="000000"/>
                <w:kern w:val="0"/>
                <w:sz w:val="22"/>
                <w:szCs w:val="22"/>
                <w:u w:val="single"/>
                <w:lang w:val="en-US" w:eastAsia="zh-CN" w:bidi="ar"/>
              </w:rPr>
              <w:t>145.2378</w:t>
            </w:r>
          </w:p>
        </w:tc>
      </w:tr>
      <w:tr w14:paraId="5181D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01FB4D30">
            <w:pPr>
              <w:widowControl/>
              <w:jc w:val="left"/>
              <w:rPr>
                <w:rFonts w:hint="default" w:ascii="Times New Roman" w:hAnsi="Times New Roman" w:eastAsia="Noto Sans CJK JP Regular" w:cs="Times New Roman"/>
                <w:szCs w:val="21"/>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43B6844B">
            <w:pPr>
              <w:widowControl/>
              <w:jc w:val="left"/>
              <w:rPr>
                <w:rFonts w:hint="default" w:ascii="Times New Roman" w:hAnsi="Times New Roman" w:cs="Times New Roman"/>
                <w:szCs w:val="21"/>
              </w:rPr>
            </w:pPr>
          </w:p>
        </w:tc>
        <w:tc>
          <w:tcPr>
            <w:tcW w:w="2449" w:type="dxa"/>
            <w:gridSpan w:val="3"/>
            <w:tcBorders>
              <w:top w:val="single" w:color="000000" w:sz="4" w:space="0"/>
              <w:left w:val="single" w:color="000000" w:sz="4" w:space="0"/>
              <w:bottom w:val="single" w:color="000000" w:sz="4" w:space="0"/>
              <w:right w:val="single" w:color="000000" w:sz="4" w:space="0"/>
            </w:tcBorders>
            <w:vAlign w:val="center"/>
          </w:tcPr>
          <w:p w14:paraId="7CEA2DC3">
            <w:pPr>
              <w:pStyle w:val="56"/>
              <w:adjustRightInd w:val="0"/>
              <w:snapToGrid w:val="0"/>
              <w:rPr>
                <w:rFonts w:hint="default" w:ascii="Times New Roman" w:hAnsi="Times New Roman" w:eastAsia="宋体" w:cs="Times New Roman"/>
                <w:b/>
                <w:kern w:val="2"/>
                <w:sz w:val="21"/>
                <w:szCs w:val="21"/>
                <w:u w:val="single"/>
              </w:rPr>
            </w:pPr>
            <w:r>
              <w:rPr>
                <w:rFonts w:hint="default" w:ascii="Times New Roman" w:hAnsi="Times New Roman" w:eastAsia="宋体" w:cs="Times New Roman"/>
                <w:i w:val="0"/>
                <w:iCs w:val="0"/>
                <w:color w:val="000000"/>
                <w:kern w:val="0"/>
                <w:sz w:val="22"/>
                <w:szCs w:val="22"/>
                <w:u w:val="single"/>
                <w:lang w:val="en-US" w:eastAsia="zh-CN" w:bidi="ar"/>
              </w:rPr>
              <w:t>岳阳楼-君山景区管委会</w:t>
            </w:r>
          </w:p>
        </w:tc>
        <w:tc>
          <w:tcPr>
            <w:tcW w:w="1559"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502F75FC">
            <w:pPr>
              <w:pStyle w:val="56"/>
              <w:adjustRightInd w:val="0"/>
              <w:snapToGrid w:val="0"/>
              <w:rPr>
                <w:rFonts w:hint="default" w:ascii="Times New Roman" w:hAnsi="Times New Roman" w:eastAsia="宋体" w:cs="Times New Roman"/>
                <w:b w:val="0"/>
                <w:bCs/>
                <w:kern w:val="2"/>
                <w:sz w:val="21"/>
                <w:szCs w:val="21"/>
                <w:u w:val="single"/>
                <w:lang w:val="en-US" w:eastAsia="zh-CN" w:bidi="ar-SA"/>
              </w:rPr>
            </w:pPr>
            <w:r>
              <w:rPr>
                <w:rFonts w:hint="eastAsia" w:ascii="Times New Roman" w:hAnsi="Times New Roman" w:cs="Times New Roman"/>
                <w:b w:val="0"/>
                <w:bCs/>
                <w:kern w:val="2"/>
                <w:sz w:val="21"/>
                <w:szCs w:val="21"/>
                <w:u w:val="single"/>
                <w:lang w:val="en-US" w:eastAsia="zh-CN"/>
              </w:rPr>
              <w:t>11</w:t>
            </w:r>
          </w:p>
        </w:tc>
        <w:tc>
          <w:tcPr>
            <w:tcW w:w="1276" w:type="dxa"/>
            <w:tcBorders>
              <w:top w:val="single" w:color="000000" w:sz="4" w:space="0"/>
              <w:left w:val="single" w:color="auto" w:sz="4" w:space="0"/>
              <w:bottom w:val="single" w:color="000000" w:sz="4" w:space="0"/>
              <w:right w:val="single" w:color="000000" w:sz="4" w:space="0"/>
            </w:tcBorders>
            <w:shd w:val="clear" w:color="auto" w:fill="auto"/>
            <w:vAlign w:val="center"/>
          </w:tcPr>
          <w:p w14:paraId="30972C7F">
            <w:pPr>
              <w:pStyle w:val="56"/>
              <w:adjustRightInd w:val="0"/>
              <w:snapToGrid w:val="0"/>
              <w:rPr>
                <w:rFonts w:hint="default" w:ascii="Times New Roman" w:hAnsi="Times New Roman" w:eastAsia="宋体" w:cs="Times New Roman"/>
                <w:b w:val="0"/>
                <w:bCs/>
                <w:kern w:val="2"/>
                <w:sz w:val="21"/>
                <w:szCs w:val="21"/>
                <w:u w:val="single"/>
                <w:lang w:val="en-US" w:eastAsia="zh-CN" w:bidi="ar-SA"/>
              </w:rPr>
            </w:pPr>
            <w:r>
              <w:rPr>
                <w:rFonts w:hint="eastAsia" w:ascii="Times New Roman" w:hAnsi="Times New Roman" w:cs="Times New Roman"/>
                <w:b w:val="0"/>
                <w:bCs/>
                <w:kern w:val="2"/>
                <w:sz w:val="21"/>
                <w:szCs w:val="21"/>
                <w:u w:val="single"/>
                <w:lang w:val="en-US" w:eastAsia="zh-CN"/>
              </w:rPr>
              <w:t>29</w:t>
            </w:r>
          </w:p>
        </w:tc>
        <w:tc>
          <w:tcPr>
            <w:tcW w:w="1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369DC">
            <w:pPr>
              <w:pStyle w:val="56"/>
              <w:adjustRightInd w:val="0"/>
              <w:snapToGrid w:val="0"/>
              <w:rPr>
                <w:rFonts w:hint="default" w:ascii="Times New Roman" w:hAnsi="Times New Roman" w:eastAsia="宋体" w:cs="Times New Roman"/>
                <w:b w:val="0"/>
                <w:bCs/>
                <w:kern w:val="2"/>
                <w:sz w:val="21"/>
                <w:szCs w:val="21"/>
                <w:u w:val="single"/>
                <w:lang w:val="en-US" w:eastAsia="en-US" w:bidi="ar-SA"/>
              </w:rPr>
            </w:pPr>
            <w:r>
              <w:rPr>
                <w:rFonts w:hint="eastAsia" w:ascii="Times New Roman" w:hAnsi="Times New Roman" w:eastAsia="宋体" w:cs="Times New Roman"/>
                <w:i w:val="0"/>
                <w:iCs w:val="0"/>
                <w:color w:val="000000"/>
                <w:kern w:val="0"/>
                <w:sz w:val="22"/>
                <w:szCs w:val="22"/>
                <w:u w:val="single"/>
                <w:lang w:val="en-US" w:eastAsia="zh-CN" w:bidi="ar"/>
              </w:rPr>
              <w:t>108.5954</w:t>
            </w:r>
          </w:p>
        </w:tc>
      </w:tr>
      <w:tr w14:paraId="5C8C2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439EFA9D">
            <w:pPr>
              <w:widowControl/>
              <w:jc w:val="left"/>
              <w:rPr>
                <w:rFonts w:hint="default" w:ascii="Times New Roman" w:hAnsi="Times New Roman" w:eastAsia="Noto Sans CJK JP Regular" w:cs="Times New Roman"/>
                <w:szCs w:val="21"/>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1E8823CF">
            <w:pPr>
              <w:widowControl/>
              <w:jc w:val="left"/>
              <w:rPr>
                <w:rFonts w:hint="default" w:ascii="Times New Roman" w:hAnsi="Times New Roman" w:cs="Times New Roman"/>
                <w:szCs w:val="21"/>
              </w:rPr>
            </w:pPr>
          </w:p>
        </w:tc>
        <w:tc>
          <w:tcPr>
            <w:tcW w:w="2449" w:type="dxa"/>
            <w:gridSpan w:val="3"/>
            <w:tcBorders>
              <w:top w:val="single" w:color="000000" w:sz="4" w:space="0"/>
              <w:left w:val="single" w:color="000000" w:sz="4" w:space="0"/>
              <w:bottom w:val="single" w:color="000000" w:sz="4" w:space="0"/>
              <w:right w:val="single" w:color="000000" w:sz="4" w:space="0"/>
            </w:tcBorders>
            <w:vAlign w:val="center"/>
          </w:tcPr>
          <w:p w14:paraId="7B92EB3A">
            <w:pPr>
              <w:pStyle w:val="56"/>
              <w:adjustRightInd w:val="0"/>
              <w:snapToGrid w:val="0"/>
              <w:rPr>
                <w:rFonts w:hint="default" w:ascii="Times New Roman" w:hAnsi="Times New Roman" w:eastAsia="宋体" w:cs="Times New Roman"/>
                <w:i w:val="0"/>
                <w:iCs w:val="0"/>
                <w:color w:val="000000"/>
                <w:kern w:val="0"/>
                <w:sz w:val="22"/>
                <w:szCs w:val="22"/>
                <w:u w:val="single"/>
                <w:lang w:val="en-US" w:eastAsia="zh-CN" w:bidi="ar"/>
              </w:rPr>
            </w:pPr>
            <w:r>
              <w:rPr>
                <w:rFonts w:hint="default" w:ascii="Times New Roman" w:hAnsi="Times New Roman" w:eastAsia="宋体" w:cs="Times New Roman"/>
                <w:i w:val="0"/>
                <w:iCs w:val="0"/>
                <w:color w:val="000000"/>
                <w:kern w:val="0"/>
                <w:sz w:val="22"/>
                <w:szCs w:val="22"/>
                <w:u w:val="single"/>
                <w:lang w:val="en-US" w:eastAsia="zh-CN" w:bidi="ar"/>
              </w:rPr>
              <w:t>岳阳楼小学</w:t>
            </w:r>
          </w:p>
        </w:tc>
        <w:tc>
          <w:tcPr>
            <w:tcW w:w="1559" w:type="dxa"/>
            <w:gridSpan w:val="2"/>
            <w:tcBorders>
              <w:top w:val="single" w:color="000000" w:sz="4" w:space="0"/>
              <w:left w:val="single" w:color="000000" w:sz="4" w:space="0"/>
              <w:bottom w:val="single" w:color="000000" w:sz="4" w:space="0"/>
              <w:right w:val="single" w:color="auto" w:sz="4" w:space="0"/>
            </w:tcBorders>
            <w:vAlign w:val="center"/>
          </w:tcPr>
          <w:p w14:paraId="722BB1CA">
            <w:pPr>
              <w:pStyle w:val="56"/>
              <w:adjustRightInd w:val="0"/>
              <w:snapToGrid w:val="0"/>
              <w:rPr>
                <w:rFonts w:hint="default" w:ascii="Times New Roman" w:hAnsi="Times New Roman" w:eastAsia="宋体" w:cs="Times New Roman"/>
                <w:b w:val="0"/>
                <w:bCs/>
                <w:kern w:val="2"/>
                <w:sz w:val="21"/>
                <w:szCs w:val="21"/>
                <w:u w:val="single"/>
                <w:lang w:val="en-US" w:eastAsia="zh-CN"/>
              </w:rPr>
            </w:pPr>
            <w:r>
              <w:rPr>
                <w:rFonts w:hint="eastAsia" w:ascii="Times New Roman" w:hAnsi="Times New Roman" w:cs="Times New Roman"/>
                <w:b w:val="0"/>
                <w:bCs/>
                <w:kern w:val="2"/>
                <w:sz w:val="21"/>
                <w:szCs w:val="21"/>
                <w:u w:val="single"/>
                <w:lang w:val="en-US" w:eastAsia="zh-CN"/>
              </w:rPr>
              <w:t>11</w:t>
            </w:r>
          </w:p>
        </w:tc>
        <w:tc>
          <w:tcPr>
            <w:tcW w:w="1276" w:type="dxa"/>
            <w:tcBorders>
              <w:top w:val="single" w:color="000000" w:sz="4" w:space="0"/>
              <w:left w:val="single" w:color="auto" w:sz="4" w:space="0"/>
              <w:bottom w:val="single" w:color="000000" w:sz="4" w:space="0"/>
              <w:right w:val="single" w:color="000000" w:sz="4" w:space="0"/>
            </w:tcBorders>
            <w:vAlign w:val="center"/>
          </w:tcPr>
          <w:p w14:paraId="1C0E24CD">
            <w:pPr>
              <w:pStyle w:val="56"/>
              <w:adjustRightInd w:val="0"/>
              <w:snapToGrid w:val="0"/>
              <w:rPr>
                <w:rFonts w:hint="default" w:ascii="Times New Roman" w:hAnsi="Times New Roman" w:eastAsia="宋体" w:cs="Times New Roman"/>
                <w:b w:val="0"/>
                <w:bCs/>
                <w:kern w:val="2"/>
                <w:sz w:val="21"/>
                <w:szCs w:val="21"/>
                <w:u w:val="single"/>
                <w:lang w:val="en-US" w:eastAsia="zh-CN"/>
              </w:rPr>
            </w:pPr>
            <w:r>
              <w:rPr>
                <w:rFonts w:hint="eastAsia" w:ascii="Times New Roman" w:hAnsi="Times New Roman" w:cs="Times New Roman"/>
                <w:b w:val="0"/>
                <w:bCs/>
                <w:kern w:val="2"/>
                <w:sz w:val="21"/>
                <w:szCs w:val="21"/>
                <w:u w:val="single"/>
                <w:lang w:val="en-US" w:eastAsia="zh-CN"/>
              </w:rPr>
              <w:t>31</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14:paraId="69308345">
            <w:pPr>
              <w:pStyle w:val="56"/>
              <w:adjustRightInd w:val="0"/>
              <w:snapToGrid w:val="0"/>
              <w:rPr>
                <w:rFonts w:hint="default" w:ascii="Times New Roman" w:hAnsi="Times New Roman" w:eastAsia="宋体" w:cs="Times New Roman"/>
                <w:b w:val="0"/>
                <w:bCs/>
                <w:kern w:val="2"/>
                <w:sz w:val="21"/>
                <w:szCs w:val="21"/>
                <w:u w:val="single"/>
                <w:lang w:val="en-US" w:eastAsia="zh-CN"/>
              </w:rPr>
            </w:pPr>
            <w:r>
              <w:rPr>
                <w:rFonts w:hint="eastAsia" w:ascii="Times New Roman" w:hAnsi="Times New Roman" w:cs="Times New Roman"/>
                <w:b w:val="0"/>
                <w:bCs/>
                <w:kern w:val="2"/>
                <w:sz w:val="21"/>
                <w:szCs w:val="21"/>
                <w:u w:val="single"/>
                <w:lang w:val="en-US" w:eastAsia="zh-CN"/>
              </w:rPr>
              <w:t>88.5794</w:t>
            </w:r>
          </w:p>
        </w:tc>
      </w:tr>
      <w:tr w14:paraId="688AF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7CD677FF">
            <w:pPr>
              <w:widowControl/>
              <w:jc w:val="left"/>
              <w:rPr>
                <w:rFonts w:hint="default" w:ascii="Times New Roman" w:hAnsi="Times New Roman" w:eastAsia="Noto Sans CJK JP Regular" w:cs="Times New Roman"/>
                <w:szCs w:val="21"/>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3D0CF820">
            <w:pPr>
              <w:widowControl/>
              <w:jc w:val="left"/>
              <w:rPr>
                <w:rFonts w:hint="default" w:ascii="Times New Roman" w:hAnsi="Times New Roman" w:cs="Times New Roman"/>
                <w:szCs w:val="21"/>
              </w:rPr>
            </w:pPr>
          </w:p>
        </w:tc>
        <w:tc>
          <w:tcPr>
            <w:tcW w:w="2449" w:type="dxa"/>
            <w:gridSpan w:val="3"/>
            <w:tcBorders>
              <w:top w:val="single" w:color="000000" w:sz="4" w:space="0"/>
              <w:left w:val="single" w:color="000000" w:sz="4" w:space="0"/>
              <w:bottom w:val="single" w:color="000000" w:sz="4" w:space="0"/>
              <w:right w:val="single" w:color="000000" w:sz="4" w:space="0"/>
            </w:tcBorders>
            <w:vAlign w:val="center"/>
          </w:tcPr>
          <w:p w14:paraId="08279262">
            <w:pPr>
              <w:pStyle w:val="56"/>
              <w:adjustRightInd w:val="0"/>
              <w:snapToGrid w:val="0"/>
              <w:rPr>
                <w:rFonts w:hint="default" w:ascii="Times New Roman" w:hAnsi="Times New Roman" w:eastAsia="宋体" w:cs="Times New Roman"/>
                <w:i w:val="0"/>
                <w:iCs w:val="0"/>
                <w:color w:val="000000"/>
                <w:kern w:val="0"/>
                <w:sz w:val="22"/>
                <w:szCs w:val="22"/>
                <w:u w:val="single"/>
                <w:lang w:val="en-US" w:eastAsia="zh-CN" w:bidi="ar"/>
              </w:rPr>
            </w:pPr>
            <w:r>
              <w:rPr>
                <w:rFonts w:hint="default" w:ascii="Times New Roman" w:hAnsi="Times New Roman" w:eastAsia="宋体" w:cs="Times New Roman"/>
                <w:i w:val="0"/>
                <w:iCs w:val="0"/>
                <w:color w:val="000000"/>
                <w:kern w:val="0"/>
                <w:sz w:val="22"/>
                <w:szCs w:val="22"/>
                <w:u w:val="single"/>
                <w:lang w:val="en-US" w:eastAsia="zh-CN" w:bidi="ar"/>
              </w:rPr>
              <w:t>市机关二幼儿园</w:t>
            </w:r>
          </w:p>
        </w:tc>
        <w:tc>
          <w:tcPr>
            <w:tcW w:w="1559" w:type="dxa"/>
            <w:gridSpan w:val="2"/>
            <w:tcBorders>
              <w:top w:val="single" w:color="000000" w:sz="4" w:space="0"/>
              <w:left w:val="single" w:color="000000" w:sz="4" w:space="0"/>
              <w:bottom w:val="single" w:color="000000" w:sz="4" w:space="0"/>
              <w:right w:val="single" w:color="auto" w:sz="4" w:space="0"/>
            </w:tcBorders>
            <w:vAlign w:val="center"/>
          </w:tcPr>
          <w:p w14:paraId="129E6B95">
            <w:pPr>
              <w:pStyle w:val="56"/>
              <w:adjustRightInd w:val="0"/>
              <w:snapToGrid w:val="0"/>
              <w:rPr>
                <w:rFonts w:hint="default" w:ascii="Times New Roman" w:hAnsi="Times New Roman" w:eastAsia="宋体" w:cs="Times New Roman"/>
                <w:b w:val="0"/>
                <w:bCs/>
                <w:kern w:val="2"/>
                <w:sz w:val="21"/>
                <w:szCs w:val="21"/>
                <w:u w:val="single"/>
                <w:lang w:val="en-US" w:eastAsia="zh-CN"/>
              </w:rPr>
            </w:pPr>
            <w:r>
              <w:rPr>
                <w:rFonts w:hint="eastAsia" w:ascii="Times New Roman" w:hAnsi="Times New Roman" w:cs="Times New Roman"/>
                <w:b w:val="0"/>
                <w:bCs/>
                <w:kern w:val="2"/>
                <w:sz w:val="21"/>
                <w:szCs w:val="21"/>
                <w:u w:val="single"/>
                <w:lang w:val="en-US" w:eastAsia="zh-CN"/>
              </w:rPr>
              <w:t>17</w:t>
            </w:r>
          </w:p>
        </w:tc>
        <w:tc>
          <w:tcPr>
            <w:tcW w:w="1276" w:type="dxa"/>
            <w:tcBorders>
              <w:top w:val="single" w:color="000000" w:sz="4" w:space="0"/>
              <w:left w:val="single" w:color="auto" w:sz="4" w:space="0"/>
              <w:bottom w:val="single" w:color="000000" w:sz="4" w:space="0"/>
              <w:right w:val="single" w:color="000000" w:sz="4" w:space="0"/>
            </w:tcBorders>
            <w:vAlign w:val="center"/>
          </w:tcPr>
          <w:p w14:paraId="34576D5F">
            <w:pPr>
              <w:pStyle w:val="56"/>
              <w:adjustRightInd w:val="0"/>
              <w:snapToGrid w:val="0"/>
              <w:rPr>
                <w:rFonts w:hint="default" w:ascii="Times New Roman" w:hAnsi="Times New Roman" w:eastAsia="宋体" w:cs="Times New Roman"/>
                <w:b w:val="0"/>
                <w:bCs/>
                <w:kern w:val="2"/>
                <w:sz w:val="21"/>
                <w:szCs w:val="21"/>
                <w:u w:val="single"/>
                <w:lang w:val="en-US" w:eastAsia="zh-CN"/>
              </w:rPr>
            </w:pPr>
            <w:r>
              <w:rPr>
                <w:rFonts w:hint="eastAsia" w:ascii="Times New Roman" w:hAnsi="Times New Roman" w:cs="Times New Roman"/>
                <w:b w:val="0"/>
                <w:bCs/>
                <w:kern w:val="2"/>
                <w:sz w:val="21"/>
                <w:szCs w:val="21"/>
                <w:u w:val="single"/>
                <w:lang w:val="en-US" w:eastAsia="zh-CN"/>
              </w:rPr>
              <w:t>28</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14:paraId="414919D4">
            <w:pPr>
              <w:pStyle w:val="56"/>
              <w:adjustRightInd w:val="0"/>
              <w:snapToGrid w:val="0"/>
              <w:rPr>
                <w:rFonts w:hint="default" w:ascii="Times New Roman" w:hAnsi="Times New Roman" w:eastAsia="宋体" w:cs="Times New Roman"/>
                <w:b w:val="0"/>
                <w:bCs/>
                <w:kern w:val="2"/>
                <w:sz w:val="21"/>
                <w:szCs w:val="21"/>
                <w:u w:val="single"/>
                <w:lang w:val="en-US" w:eastAsia="zh-CN"/>
              </w:rPr>
            </w:pPr>
            <w:r>
              <w:rPr>
                <w:rFonts w:hint="eastAsia" w:ascii="Times New Roman" w:hAnsi="Times New Roman" w:cs="Times New Roman"/>
                <w:b w:val="0"/>
                <w:bCs/>
                <w:kern w:val="2"/>
                <w:sz w:val="21"/>
                <w:szCs w:val="21"/>
                <w:u w:val="single"/>
                <w:lang w:val="en-US" w:eastAsia="zh-CN"/>
              </w:rPr>
              <w:t>62.3802</w:t>
            </w:r>
          </w:p>
        </w:tc>
      </w:tr>
      <w:tr w14:paraId="2871B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16" w:type="dxa"/>
            <w:vMerge w:val="continue"/>
            <w:tcBorders>
              <w:top w:val="single" w:color="000000" w:sz="4" w:space="0"/>
              <w:left w:val="single" w:color="000000" w:sz="4" w:space="0"/>
              <w:bottom w:val="single" w:color="000000" w:sz="4" w:space="0"/>
              <w:right w:val="single" w:color="000000" w:sz="4" w:space="0"/>
            </w:tcBorders>
            <w:vAlign w:val="center"/>
          </w:tcPr>
          <w:p w14:paraId="73B7B6D8">
            <w:pPr>
              <w:widowControl/>
              <w:jc w:val="left"/>
              <w:rPr>
                <w:rFonts w:hint="default" w:ascii="Times New Roman" w:hAnsi="Times New Roman" w:eastAsia="Noto Sans CJK JP Regular" w:cs="Times New Roman"/>
                <w:szCs w:val="21"/>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0CDAAC86">
            <w:pPr>
              <w:widowControl/>
              <w:jc w:val="left"/>
              <w:rPr>
                <w:rFonts w:hint="default" w:ascii="Times New Roman" w:hAnsi="Times New Roman" w:cs="Times New Roman"/>
                <w:szCs w:val="21"/>
              </w:rPr>
            </w:pPr>
          </w:p>
        </w:tc>
        <w:tc>
          <w:tcPr>
            <w:tcW w:w="2449" w:type="dxa"/>
            <w:gridSpan w:val="3"/>
            <w:tcBorders>
              <w:top w:val="single" w:color="000000" w:sz="4" w:space="0"/>
              <w:left w:val="single" w:color="000000" w:sz="4" w:space="0"/>
              <w:bottom w:val="single" w:color="000000" w:sz="4" w:space="0"/>
              <w:right w:val="single" w:color="000000" w:sz="4" w:space="0"/>
            </w:tcBorders>
            <w:vAlign w:val="center"/>
          </w:tcPr>
          <w:p w14:paraId="3C19510B">
            <w:pPr>
              <w:pStyle w:val="56"/>
              <w:adjustRightInd w:val="0"/>
              <w:snapToGrid w:val="0"/>
              <w:rPr>
                <w:rFonts w:hint="default" w:ascii="Times New Roman" w:hAnsi="Times New Roman" w:eastAsia="宋体" w:cs="Times New Roman"/>
                <w:snapToGrid w:val="0"/>
                <w:sz w:val="21"/>
                <w:szCs w:val="21"/>
                <w:u w:val="single"/>
                <w:lang w:eastAsia="zh-CN"/>
              </w:rPr>
            </w:pPr>
            <w:r>
              <w:rPr>
                <w:rFonts w:hint="default" w:ascii="Times New Roman" w:hAnsi="Times New Roman" w:eastAsia="宋体" w:cs="Times New Roman"/>
                <w:i w:val="0"/>
                <w:iCs w:val="0"/>
                <w:color w:val="000000"/>
                <w:kern w:val="0"/>
                <w:sz w:val="22"/>
                <w:szCs w:val="22"/>
                <w:u w:val="single"/>
                <w:lang w:val="en-US" w:eastAsia="zh-CN" w:bidi="ar"/>
              </w:rPr>
              <w:t>郭亮社区</w:t>
            </w:r>
          </w:p>
        </w:tc>
        <w:tc>
          <w:tcPr>
            <w:tcW w:w="1559" w:type="dxa"/>
            <w:gridSpan w:val="2"/>
            <w:tcBorders>
              <w:top w:val="single" w:color="000000" w:sz="4" w:space="0"/>
              <w:left w:val="single" w:color="000000" w:sz="4" w:space="0"/>
              <w:bottom w:val="single" w:color="000000" w:sz="4" w:space="0"/>
              <w:right w:val="single" w:color="auto" w:sz="4" w:space="0"/>
            </w:tcBorders>
            <w:vAlign w:val="center"/>
          </w:tcPr>
          <w:p w14:paraId="3246EDF6">
            <w:pPr>
              <w:pStyle w:val="56"/>
              <w:adjustRightInd w:val="0"/>
              <w:snapToGrid w:val="0"/>
              <w:rPr>
                <w:rFonts w:hint="default" w:ascii="Times New Roman" w:hAnsi="Times New Roman" w:eastAsia="宋体" w:cs="Times New Roman"/>
                <w:b w:val="0"/>
                <w:bCs/>
                <w:snapToGrid w:val="0"/>
                <w:sz w:val="21"/>
                <w:szCs w:val="21"/>
                <w:u w:val="single"/>
                <w:lang w:val="en-US" w:eastAsia="zh-CN"/>
              </w:rPr>
            </w:pPr>
            <w:r>
              <w:rPr>
                <w:rFonts w:hint="eastAsia" w:ascii="Times New Roman" w:hAnsi="Times New Roman" w:cs="Times New Roman"/>
                <w:b w:val="0"/>
                <w:bCs/>
                <w:snapToGrid w:val="0"/>
                <w:sz w:val="21"/>
                <w:szCs w:val="21"/>
                <w:u w:val="single"/>
                <w:lang w:val="en-US" w:eastAsia="zh-CN"/>
              </w:rPr>
              <w:t>22</w:t>
            </w:r>
          </w:p>
        </w:tc>
        <w:tc>
          <w:tcPr>
            <w:tcW w:w="1276" w:type="dxa"/>
            <w:tcBorders>
              <w:top w:val="single" w:color="000000" w:sz="4" w:space="0"/>
              <w:left w:val="single" w:color="auto" w:sz="4" w:space="0"/>
              <w:bottom w:val="single" w:color="000000" w:sz="4" w:space="0"/>
              <w:right w:val="single" w:color="000000" w:sz="4" w:space="0"/>
            </w:tcBorders>
            <w:vAlign w:val="center"/>
          </w:tcPr>
          <w:p w14:paraId="6623BD79">
            <w:pPr>
              <w:pStyle w:val="56"/>
              <w:adjustRightInd w:val="0"/>
              <w:snapToGrid w:val="0"/>
              <w:rPr>
                <w:rFonts w:hint="default" w:ascii="Times New Roman" w:hAnsi="Times New Roman" w:eastAsia="宋体" w:cs="Times New Roman"/>
                <w:b w:val="0"/>
                <w:bCs/>
                <w:snapToGrid w:val="0"/>
                <w:sz w:val="21"/>
                <w:szCs w:val="21"/>
                <w:u w:val="single"/>
                <w:lang w:val="en-US" w:eastAsia="zh-CN"/>
              </w:rPr>
            </w:pPr>
            <w:r>
              <w:rPr>
                <w:rFonts w:hint="eastAsia" w:ascii="Times New Roman" w:hAnsi="Times New Roman" w:cs="Times New Roman"/>
                <w:b w:val="0"/>
                <w:bCs/>
                <w:snapToGrid w:val="0"/>
                <w:sz w:val="21"/>
                <w:szCs w:val="21"/>
                <w:u w:val="single"/>
                <w:lang w:val="en-US" w:eastAsia="zh-CN"/>
              </w:rPr>
              <w:t>19</w:t>
            </w:r>
          </w:p>
        </w:tc>
        <w:tc>
          <w:tcPr>
            <w:tcW w:w="1283" w:type="dxa"/>
            <w:gridSpan w:val="2"/>
            <w:tcBorders>
              <w:top w:val="single" w:color="000000" w:sz="4" w:space="0"/>
              <w:left w:val="single" w:color="000000" w:sz="4" w:space="0"/>
              <w:bottom w:val="single" w:color="000000" w:sz="4" w:space="0"/>
              <w:right w:val="single" w:color="000000" w:sz="4" w:space="0"/>
            </w:tcBorders>
            <w:vAlign w:val="center"/>
          </w:tcPr>
          <w:p w14:paraId="0428B343">
            <w:pPr>
              <w:pStyle w:val="56"/>
              <w:adjustRightInd w:val="0"/>
              <w:snapToGrid w:val="0"/>
              <w:rPr>
                <w:rFonts w:hint="default" w:ascii="Times New Roman" w:hAnsi="Times New Roman" w:eastAsia="宋体" w:cs="Times New Roman"/>
                <w:b w:val="0"/>
                <w:bCs/>
                <w:snapToGrid w:val="0"/>
                <w:sz w:val="21"/>
                <w:szCs w:val="21"/>
                <w:u w:val="single"/>
                <w:lang w:val="en-US" w:eastAsia="zh-CN"/>
              </w:rPr>
            </w:pPr>
            <w:r>
              <w:rPr>
                <w:rFonts w:hint="eastAsia" w:ascii="Times New Roman" w:hAnsi="Times New Roman" w:cs="Times New Roman"/>
                <w:b w:val="0"/>
                <w:bCs/>
                <w:snapToGrid w:val="0"/>
                <w:sz w:val="21"/>
                <w:szCs w:val="21"/>
                <w:u w:val="single"/>
                <w:lang w:val="en-US" w:eastAsia="zh-CN"/>
              </w:rPr>
              <w:t>26.1006</w:t>
            </w:r>
          </w:p>
        </w:tc>
      </w:tr>
    </w:tbl>
    <w:p w14:paraId="03EEBF39">
      <w:pPr>
        <w:spacing w:line="360" w:lineRule="auto"/>
        <w:ind w:firstLine="480" w:firstLineChars="200"/>
        <w:rPr>
          <w:rFonts w:hint="default"/>
          <w:snapToGrid w:val="0"/>
          <w:sz w:val="24"/>
          <w:szCs w:val="24"/>
          <w:lang w:val="en-US" w:eastAsia="zh-CN"/>
        </w:rPr>
      </w:pPr>
      <w:r>
        <w:rPr>
          <w:rFonts w:hint="eastAsia" w:ascii="Times New Roman" w:hAnsi="Times New Roman"/>
          <w:snapToGrid w:val="0"/>
          <w:sz w:val="24"/>
          <w:szCs w:val="24"/>
          <w:u w:val="single"/>
          <w:lang w:val="en-US" w:eastAsia="zh-CN"/>
        </w:rPr>
        <w:t>由</w:t>
      </w:r>
      <w:r>
        <w:rPr>
          <w:rFonts w:hint="eastAsia"/>
          <w:snapToGrid w:val="0"/>
          <w:sz w:val="24"/>
          <w:szCs w:val="24"/>
          <w:u w:val="single"/>
          <w:lang w:val="en-US" w:eastAsia="zh-CN"/>
        </w:rPr>
        <w:t>上述风险事件后果影响</w:t>
      </w:r>
      <w:r>
        <w:rPr>
          <w:rFonts w:hint="eastAsia" w:ascii="Times New Roman" w:hAnsi="Times New Roman"/>
          <w:snapToGrid w:val="0"/>
          <w:sz w:val="24"/>
          <w:szCs w:val="24"/>
          <w:u w:val="single"/>
          <w:lang w:val="en-US" w:eastAsia="zh-CN"/>
        </w:rPr>
        <w:t>预测可知，当液氯泄漏产生氯气</w:t>
      </w:r>
      <w:r>
        <w:rPr>
          <w:rFonts w:hint="eastAsia"/>
          <w:snapToGrid w:val="0"/>
          <w:sz w:val="24"/>
          <w:szCs w:val="24"/>
          <w:u w:val="single"/>
          <w:lang w:val="en-US" w:eastAsia="zh-CN"/>
        </w:rPr>
        <w:t>的</w:t>
      </w:r>
      <w:r>
        <w:rPr>
          <w:rFonts w:hint="eastAsia" w:ascii="Times New Roman" w:hAnsi="Times New Roman"/>
          <w:snapToGrid w:val="0"/>
          <w:sz w:val="24"/>
          <w:szCs w:val="24"/>
          <w:u w:val="single"/>
          <w:lang w:val="en-US" w:eastAsia="zh-CN"/>
        </w:rPr>
        <w:t>最不利气象条件下，</w:t>
      </w:r>
      <w:r>
        <w:rPr>
          <w:rFonts w:hint="eastAsia"/>
          <w:snapToGrid w:val="0"/>
          <w:sz w:val="24"/>
          <w:szCs w:val="24"/>
          <w:u w:val="single"/>
          <w:lang w:val="en-US" w:eastAsia="zh-CN"/>
        </w:rPr>
        <w:t>评价</w:t>
      </w:r>
      <w:r>
        <w:rPr>
          <w:rFonts w:hint="eastAsia" w:ascii="Times New Roman" w:hAnsi="Times New Roman"/>
          <w:snapToGrid w:val="0"/>
          <w:sz w:val="24"/>
          <w:szCs w:val="24"/>
          <w:u w:val="single"/>
          <w:lang w:val="en-US" w:eastAsia="zh-CN"/>
        </w:rPr>
        <w:t>范围内</w:t>
      </w:r>
      <w:r>
        <w:rPr>
          <w:rFonts w:hint="eastAsia"/>
          <w:snapToGrid w:val="0"/>
          <w:sz w:val="24"/>
          <w:szCs w:val="24"/>
          <w:u w:val="single"/>
          <w:lang w:val="en-US" w:eastAsia="zh-CN"/>
        </w:rPr>
        <w:t>有部分人口可能会出现生命威胁或</w:t>
      </w:r>
      <w:r>
        <w:rPr>
          <w:rFonts w:hint="eastAsia" w:ascii="Times New Roman" w:hAnsi="Times New Roman"/>
          <w:snapToGrid w:val="0"/>
          <w:sz w:val="24"/>
          <w:szCs w:val="24"/>
          <w:u w:val="single"/>
          <w:lang w:eastAsia="zh-CN"/>
        </w:rPr>
        <w:t>出现的症状一般不会损伤该个体采取有效防护措施的能力。</w:t>
      </w:r>
      <w:r>
        <w:rPr>
          <w:rFonts w:hint="eastAsia" w:ascii="Times New Roman" w:hAnsi="Times New Roman"/>
          <w:snapToGrid w:val="0"/>
          <w:sz w:val="24"/>
          <w:szCs w:val="24"/>
          <w:u w:val="single"/>
          <w:lang w:val="en-US" w:eastAsia="zh-CN"/>
        </w:rPr>
        <w:t>因此，本次评价要求，发生</w:t>
      </w:r>
      <w:r>
        <w:rPr>
          <w:rFonts w:hint="eastAsia"/>
          <w:snapToGrid w:val="0"/>
          <w:sz w:val="24"/>
          <w:szCs w:val="24"/>
          <w:u w:val="single"/>
          <w:lang w:val="en-US" w:eastAsia="zh-CN"/>
        </w:rPr>
        <w:t>上述情形</w:t>
      </w:r>
      <w:r>
        <w:rPr>
          <w:rFonts w:hint="eastAsia" w:ascii="Times New Roman" w:hAnsi="Times New Roman"/>
          <w:snapToGrid w:val="0"/>
          <w:sz w:val="24"/>
          <w:szCs w:val="24"/>
          <w:u w:val="single"/>
          <w:lang w:val="en-US" w:eastAsia="zh-CN"/>
        </w:rPr>
        <w:t>氯气泄漏环境风险事件时，应立即启动</w:t>
      </w:r>
      <w:r>
        <w:rPr>
          <w:rFonts w:hint="eastAsia"/>
          <w:snapToGrid w:val="0"/>
          <w:sz w:val="24"/>
          <w:szCs w:val="24"/>
          <w:u w:val="single"/>
          <w:lang w:val="en-US" w:eastAsia="zh-CN"/>
        </w:rPr>
        <w:t>企业和区域的突发</w:t>
      </w:r>
      <w:r>
        <w:rPr>
          <w:rFonts w:hint="eastAsia" w:ascii="Times New Roman" w:hAnsi="Times New Roman"/>
          <w:snapToGrid w:val="0"/>
          <w:sz w:val="24"/>
          <w:szCs w:val="24"/>
          <w:u w:val="single"/>
          <w:lang w:val="en-US" w:eastAsia="zh-CN"/>
        </w:rPr>
        <w:t>环境风险</w:t>
      </w:r>
      <w:r>
        <w:rPr>
          <w:rFonts w:hint="eastAsia"/>
          <w:snapToGrid w:val="0"/>
          <w:sz w:val="24"/>
          <w:szCs w:val="24"/>
          <w:u w:val="single"/>
          <w:lang w:val="en-US" w:eastAsia="zh-CN"/>
        </w:rPr>
        <w:t>事件</w:t>
      </w:r>
      <w:r>
        <w:rPr>
          <w:rFonts w:hint="eastAsia" w:ascii="Times New Roman" w:hAnsi="Times New Roman"/>
          <w:snapToGrid w:val="0"/>
          <w:sz w:val="24"/>
          <w:szCs w:val="24"/>
          <w:u w:val="single"/>
          <w:lang w:val="en-US" w:eastAsia="zh-CN"/>
        </w:rPr>
        <w:t>应急预案，</w:t>
      </w:r>
      <w:r>
        <w:rPr>
          <w:rFonts w:hint="eastAsia"/>
          <w:snapToGrid w:val="0"/>
          <w:sz w:val="24"/>
          <w:szCs w:val="24"/>
          <w:u w:val="single"/>
          <w:lang w:val="en-US" w:eastAsia="zh-CN"/>
        </w:rPr>
        <w:t>结合现场实际情况</w:t>
      </w:r>
      <w:r>
        <w:rPr>
          <w:rFonts w:hint="eastAsia" w:ascii="Times New Roman" w:hAnsi="Times New Roman"/>
          <w:snapToGrid w:val="0"/>
          <w:sz w:val="24"/>
          <w:szCs w:val="24"/>
          <w:u w:val="single"/>
          <w:lang w:val="en-US" w:eastAsia="zh-CN"/>
        </w:rPr>
        <w:t>采取有效应对措施，把泄漏影响控制在厂区内；若应急反应在10分钟内得不到有效控制，应立即启动对下风向临近</w:t>
      </w:r>
      <w:r>
        <w:rPr>
          <w:rFonts w:hint="eastAsia"/>
          <w:snapToGrid w:val="0"/>
          <w:sz w:val="24"/>
          <w:szCs w:val="24"/>
          <w:u w:val="single"/>
          <w:lang w:val="en-US" w:eastAsia="zh-CN"/>
        </w:rPr>
        <w:t>环境风险敏感</w:t>
      </w:r>
      <w:r>
        <w:rPr>
          <w:rFonts w:hint="eastAsia" w:ascii="Times New Roman" w:hAnsi="Times New Roman"/>
          <w:snapToGrid w:val="0"/>
          <w:sz w:val="24"/>
          <w:szCs w:val="24"/>
          <w:u w:val="single"/>
          <w:lang w:val="en-US" w:eastAsia="zh-CN"/>
        </w:rPr>
        <w:t>保护目标岳阳市第一中学</w:t>
      </w:r>
      <w:r>
        <w:rPr>
          <w:rFonts w:hint="eastAsia"/>
          <w:snapToGrid w:val="0"/>
          <w:sz w:val="24"/>
          <w:szCs w:val="24"/>
          <w:u w:val="single"/>
          <w:lang w:val="en-US" w:eastAsia="zh-CN"/>
        </w:rPr>
        <w:t>、岳阳楼景区、岳阳楼-君山景区管委会、岳阳楼小学、市机关二幼儿园等</w:t>
      </w:r>
      <w:r>
        <w:rPr>
          <w:rFonts w:hint="eastAsia" w:ascii="Times New Roman" w:hAnsi="Times New Roman"/>
          <w:snapToGrid w:val="0"/>
          <w:sz w:val="24"/>
          <w:szCs w:val="24"/>
          <w:u w:val="single"/>
          <w:lang w:val="en-US" w:eastAsia="zh-CN"/>
        </w:rPr>
        <w:t>应急疏散工作，</w:t>
      </w:r>
      <w:r>
        <w:rPr>
          <w:rFonts w:hint="eastAsia"/>
          <w:snapToGrid w:val="0"/>
          <w:sz w:val="24"/>
          <w:szCs w:val="24"/>
          <w:u w:val="single"/>
          <w:lang w:val="en-US" w:eastAsia="zh-CN"/>
        </w:rPr>
        <w:t>确保不对敏感目标内人口造成不可逆的生命安全影响。</w:t>
      </w:r>
    </w:p>
    <w:p w14:paraId="4B5A2383">
      <w:pPr>
        <w:spacing w:line="360" w:lineRule="auto"/>
        <w:ind w:firstLine="480" w:firstLineChars="200"/>
        <w:rPr>
          <w:rFonts w:hint="default" w:ascii="Times New Roman" w:hAnsi="Times New Roman"/>
          <w:snapToGrid w:val="0"/>
          <w:sz w:val="24"/>
          <w:szCs w:val="24"/>
          <w:lang w:val="en-US" w:eastAsia="zh-CN"/>
        </w:rPr>
      </w:pPr>
      <w:r>
        <w:rPr>
          <w:rFonts w:hint="eastAsia" w:ascii="Times New Roman" w:hAnsi="Times New Roman"/>
          <w:snapToGrid w:val="0"/>
          <w:sz w:val="24"/>
          <w:szCs w:val="24"/>
          <w:lang w:val="en-US" w:eastAsia="zh-CN"/>
        </w:rPr>
        <w:t>为了最大限度降低发生氯气泄漏环境风险事故泄漏影响，项目应加强风险管理</w:t>
      </w:r>
      <w:r>
        <w:rPr>
          <w:rFonts w:hint="eastAsia"/>
          <w:snapToGrid w:val="0"/>
          <w:sz w:val="24"/>
          <w:szCs w:val="24"/>
          <w:lang w:val="en-US" w:eastAsia="zh-CN"/>
        </w:rPr>
        <w:t>、建立环境风险源监控和排查制度</w:t>
      </w:r>
      <w:r>
        <w:rPr>
          <w:rFonts w:hint="eastAsia" w:ascii="Times New Roman" w:hAnsi="Times New Roman"/>
          <w:snapToGrid w:val="0"/>
          <w:sz w:val="24"/>
          <w:szCs w:val="24"/>
          <w:lang w:val="en-US" w:eastAsia="zh-CN"/>
        </w:rPr>
        <w:t>，</w:t>
      </w:r>
      <w:r>
        <w:rPr>
          <w:rFonts w:hint="eastAsia"/>
          <w:snapToGrid w:val="0"/>
          <w:sz w:val="24"/>
          <w:szCs w:val="24"/>
          <w:lang w:val="en-US" w:eastAsia="zh-CN"/>
        </w:rPr>
        <w:t>定期维护各类环境风险应对措施和设施，当</w:t>
      </w:r>
      <w:r>
        <w:rPr>
          <w:rFonts w:hint="eastAsia" w:ascii="Times New Roman" w:hAnsi="Times New Roman"/>
          <w:snapToGrid w:val="0"/>
          <w:sz w:val="24"/>
          <w:szCs w:val="24"/>
          <w:lang w:val="en-US" w:eastAsia="zh-CN"/>
        </w:rPr>
        <w:t>发生氯气泄漏等环境风险时，应启动相应</w:t>
      </w:r>
      <w:r>
        <w:rPr>
          <w:rFonts w:hint="eastAsia"/>
          <w:snapToGrid w:val="0"/>
          <w:sz w:val="24"/>
          <w:szCs w:val="24"/>
          <w:lang w:val="en-US" w:eastAsia="zh-CN"/>
        </w:rPr>
        <w:t>风险事件对应</w:t>
      </w:r>
      <w:r>
        <w:rPr>
          <w:rFonts w:hint="eastAsia" w:ascii="Times New Roman" w:hAnsi="Times New Roman"/>
          <w:snapToGrid w:val="0"/>
          <w:sz w:val="24"/>
          <w:szCs w:val="24"/>
          <w:lang w:val="en-US" w:eastAsia="zh-CN"/>
        </w:rPr>
        <w:t>应急</w:t>
      </w:r>
      <w:r>
        <w:rPr>
          <w:rFonts w:hint="eastAsia"/>
          <w:snapToGrid w:val="0"/>
          <w:sz w:val="24"/>
          <w:szCs w:val="24"/>
          <w:lang w:val="en-US" w:eastAsia="zh-CN"/>
        </w:rPr>
        <w:t>响应和事故</w:t>
      </w:r>
      <w:r>
        <w:rPr>
          <w:rFonts w:hint="eastAsia" w:ascii="Times New Roman" w:hAnsi="Times New Roman"/>
          <w:snapToGrid w:val="0"/>
          <w:sz w:val="24"/>
          <w:szCs w:val="24"/>
          <w:lang w:val="en-US" w:eastAsia="zh-CN"/>
        </w:rPr>
        <w:t>预案，</w:t>
      </w:r>
      <w:r>
        <w:rPr>
          <w:rFonts w:hint="eastAsia"/>
          <w:snapToGrid w:val="0"/>
          <w:sz w:val="24"/>
          <w:szCs w:val="24"/>
          <w:lang w:val="en-US" w:eastAsia="zh-CN"/>
        </w:rPr>
        <w:t>控制风险影响在厂区范围内，若发生厂区外影响时，及时对接片区上级政府部门，启动片区事故风险应急预案，及时</w:t>
      </w:r>
      <w:r>
        <w:rPr>
          <w:rFonts w:hint="eastAsia" w:ascii="Times New Roman" w:hAnsi="Times New Roman"/>
          <w:snapToGrid w:val="0"/>
          <w:sz w:val="24"/>
          <w:szCs w:val="24"/>
          <w:lang w:val="en-US" w:eastAsia="zh-CN"/>
        </w:rPr>
        <w:t>疏散周边人群至安全区域</w:t>
      </w:r>
      <w:r>
        <w:rPr>
          <w:rFonts w:hint="eastAsia"/>
          <w:snapToGrid w:val="0"/>
          <w:sz w:val="24"/>
          <w:szCs w:val="24"/>
          <w:lang w:val="en-US" w:eastAsia="zh-CN"/>
        </w:rPr>
        <w:t>，保证人员生命和财产安全。</w:t>
      </w:r>
    </w:p>
    <w:p w14:paraId="7D43717F">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cs="Times New Roman"/>
          <w:b/>
          <w:color w:val="auto"/>
          <w:sz w:val="28"/>
          <w:szCs w:val="28"/>
          <w:lang w:val="en-US" w:eastAsia="zh-CN"/>
        </w:rPr>
      </w:pPr>
      <w:r>
        <w:rPr>
          <w:rFonts w:hint="default" w:ascii="Times New Roman" w:hAnsi="Times New Roman" w:cs="Times New Roman"/>
          <w:b/>
          <w:color w:val="auto"/>
          <w:sz w:val="28"/>
          <w:szCs w:val="28"/>
          <w:lang w:val="en-US" w:eastAsia="zh-CN"/>
        </w:rPr>
        <w:t>7.</w:t>
      </w:r>
      <w:r>
        <w:rPr>
          <w:rFonts w:hint="eastAsia" w:ascii="Times New Roman" w:hAnsi="Times New Roman" w:cs="Times New Roman"/>
          <w:b/>
          <w:color w:val="auto"/>
          <w:sz w:val="28"/>
          <w:szCs w:val="28"/>
          <w:lang w:val="en-US" w:eastAsia="zh-CN"/>
        </w:rPr>
        <w:t>2</w:t>
      </w:r>
      <w:r>
        <w:rPr>
          <w:rFonts w:hint="default" w:ascii="Times New Roman" w:hAnsi="Times New Roman" w:cs="Times New Roman"/>
          <w:b/>
          <w:color w:val="auto"/>
          <w:sz w:val="28"/>
          <w:szCs w:val="28"/>
          <w:lang w:val="en-US" w:eastAsia="zh-CN"/>
        </w:rPr>
        <w:t>有毒有害物质在</w:t>
      </w:r>
      <w:r>
        <w:rPr>
          <w:rFonts w:hint="eastAsia" w:ascii="Times New Roman" w:hAnsi="Times New Roman" w:cs="Times New Roman"/>
          <w:b/>
          <w:color w:val="auto"/>
          <w:sz w:val="28"/>
          <w:szCs w:val="28"/>
          <w:lang w:val="en-US" w:eastAsia="zh-CN"/>
        </w:rPr>
        <w:t>水体</w:t>
      </w:r>
      <w:r>
        <w:rPr>
          <w:rFonts w:hint="default" w:ascii="Times New Roman" w:hAnsi="Times New Roman" w:cs="Times New Roman"/>
          <w:b/>
          <w:color w:val="auto"/>
          <w:sz w:val="28"/>
          <w:szCs w:val="28"/>
          <w:lang w:val="en-US" w:eastAsia="zh-CN"/>
        </w:rPr>
        <w:t>扩散预测与评价</w:t>
      </w:r>
    </w:p>
    <w:p w14:paraId="195613D8">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eastAsia" w:ascii="Times New Roman" w:hAnsi="Times New Roman" w:cs="Times New Roman"/>
          <w:b/>
          <w:bCs/>
          <w:color w:val="auto"/>
          <w:spacing w:val="6"/>
          <w:sz w:val="24"/>
          <w:szCs w:val="24"/>
          <w:lang w:val="en-US" w:eastAsia="zh-CN"/>
        </w:rPr>
      </w:pPr>
      <w:r>
        <w:rPr>
          <w:rFonts w:hint="eastAsia" w:ascii="Times New Roman" w:hAnsi="Times New Roman" w:cs="Times New Roman"/>
          <w:b/>
          <w:bCs/>
          <w:color w:val="auto"/>
          <w:spacing w:val="6"/>
          <w:sz w:val="24"/>
          <w:szCs w:val="24"/>
          <w:lang w:val="en-US" w:eastAsia="zh-CN"/>
        </w:rPr>
        <w:t xml:space="preserve">7.2.1有毒有害物质在地表水中的扩散 </w:t>
      </w:r>
    </w:p>
    <w:p w14:paraId="4E597F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本项目生产过程中发生排泥水池废水溢流事故风险后，净水厂区内雨水收集系统收集后，通过切换阀再排入回用水池或排泥池。</w:t>
      </w:r>
    </w:p>
    <w:p w14:paraId="6E5FD8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cs="Times New Roman"/>
          <w:color w:val="auto"/>
          <w:sz w:val="24"/>
          <w:szCs w:val="24"/>
          <w:lang w:val="en-US" w:eastAsia="zh-CN"/>
        </w:rPr>
        <w:t>一般情况下，</w:t>
      </w:r>
      <w:r>
        <w:rPr>
          <w:rFonts w:hint="eastAsia" w:ascii="Times New Roman" w:hAnsi="Times New Roman" w:cs="Times New Roman"/>
          <w:color w:val="auto"/>
          <w:sz w:val="24"/>
          <w:szCs w:val="24"/>
          <w:lang w:val="en-US" w:eastAsia="zh-CN"/>
        </w:rPr>
        <w:t xml:space="preserve">厂区内设立废水防控收集措施能够做到有效地收集、调蓄和处理回用，不会对外环境产生影响。 </w:t>
      </w:r>
    </w:p>
    <w:p w14:paraId="68496C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项目厂区</w:t>
      </w:r>
      <w:r>
        <w:rPr>
          <w:rFonts w:hint="eastAsia" w:cs="Times New Roman"/>
          <w:color w:val="auto"/>
          <w:sz w:val="24"/>
          <w:szCs w:val="24"/>
          <w:lang w:val="en-US" w:eastAsia="zh-CN"/>
        </w:rPr>
        <w:t>范围内</w:t>
      </w:r>
      <w:r>
        <w:rPr>
          <w:rFonts w:hint="eastAsia" w:ascii="Times New Roman" w:hAnsi="Times New Roman" w:cs="Times New Roman"/>
          <w:color w:val="auto"/>
          <w:sz w:val="24"/>
          <w:szCs w:val="24"/>
          <w:lang w:val="en-US" w:eastAsia="zh-CN"/>
        </w:rPr>
        <w:t>现有</w:t>
      </w:r>
      <w:r>
        <w:rPr>
          <w:rFonts w:hint="eastAsia" w:cs="Times New Roman"/>
          <w:color w:val="auto"/>
          <w:sz w:val="24"/>
          <w:szCs w:val="24"/>
          <w:lang w:val="en-US" w:eastAsia="zh-CN"/>
        </w:rPr>
        <w:t>一座</w:t>
      </w:r>
      <w:r>
        <w:rPr>
          <w:rFonts w:hint="eastAsia" w:ascii="Times New Roman" w:hAnsi="Times New Roman" w:cs="Times New Roman"/>
          <w:color w:val="auto"/>
          <w:sz w:val="24"/>
          <w:szCs w:val="24"/>
          <w:lang w:val="en-US" w:eastAsia="zh-CN"/>
        </w:rPr>
        <w:t>有效容积为300m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的排泥水池、3#净水生产线</w:t>
      </w:r>
      <w:r>
        <w:rPr>
          <w:rFonts w:hint="eastAsia" w:cs="Times New Roman"/>
          <w:color w:val="auto"/>
          <w:sz w:val="24"/>
          <w:szCs w:val="24"/>
          <w:lang w:val="en-US" w:eastAsia="zh-CN"/>
        </w:rPr>
        <w:t>区域</w:t>
      </w:r>
      <w:r>
        <w:rPr>
          <w:rFonts w:hint="eastAsia" w:ascii="Times New Roman" w:hAnsi="Times New Roman" w:cs="Times New Roman"/>
          <w:color w:val="auto"/>
          <w:sz w:val="24"/>
          <w:szCs w:val="24"/>
          <w:lang w:val="en-US" w:eastAsia="zh-CN"/>
        </w:rPr>
        <w:t>有1座有效容积300m</w:t>
      </w:r>
      <w:r>
        <w:rPr>
          <w:rFonts w:hint="eastAsia" w:ascii="Times New Roman" w:hAnsi="Times New Roman" w:cs="Times New Roman"/>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回用水池，厂区雨水排放口设有截流井和截断阀门，正常况下该阀门处于关闭状态，如果发生未处理的排泥水溢流情况，通过雨水管网汇入截留井，不会进入外环境中；随即将收集的溢流排泥水通过污水收集泵，引入回用水池，再分配到各个净水生产线上，不会发生溢流排泥废水直接外泄进入外环境的情况。</w:t>
      </w:r>
    </w:p>
    <w:p w14:paraId="09C039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当厂区雨水排放口阀门处于开启情况下，才可能导致</w:t>
      </w:r>
      <w:r>
        <w:rPr>
          <w:rFonts w:hint="eastAsia" w:cs="Times New Roman"/>
          <w:color w:val="auto"/>
          <w:sz w:val="24"/>
          <w:szCs w:val="24"/>
          <w:lang w:val="en-US" w:eastAsia="zh-CN"/>
        </w:rPr>
        <w:t>发生</w:t>
      </w:r>
      <w:r>
        <w:rPr>
          <w:rFonts w:hint="eastAsia" w:ascii="Times New Roman" w:hAnsi="Times New Roman" w:cs="Times New Roman"/>
          <w:color w:val="auto"/>
          <w:sz w:val="24"/>
          <w:szCs w:val="24"/>
          <w:lang w:val="en-US" w:eastAsia="zh-CN"/>
        </w:rPr>
        <w:t>泄漏</w:t>
      </w:r>
      <w:r>
        <w:rPr>
          <w:rFonts w:hint="eastAsia" w:cs="Times New Roman"/>
          <w:color w:val="auto"/>
          <w:sz w:val="24"/>
          <w:szCs w:val="24"/>
          <w:lang w:val="en-US" w:eastAsia="zh-CN"/>
        </w:rPr>
        <w:t>有害物质的</w:t>
      </w:r>
      <w:r>
        <w:rPr>
          <w:rFonts w:hint="eastAsia" w:ascii="Times New Roman" w:hAnsi="Times New Roman" w:cs="Times New Roman"/>
          <w:color w:val="auto"/>
          <w:sz w:val="24"/>
          <w:szCs w:val="24"/>
          <w:lang w:val="en-US" w:eastAsia="zh-CN"/>
        </w:rPr>
        <w:t>废水通过雨水管路系统进入外环境市政雨水管网或东洞庭湖中。评价要求厂区内部加强风险防控管理，加强对排泥水收集管网和设施的维护和巡查监控，要求在厂区雨水排放口前设置阻断截止阀，通向厂外雨水管网的阀门也处于常闭状态，以避免泄漏的厂区内排泥废水直接通过雨水管进入外环境水体中。</w:t>
      </w:r>
    </w:p>
    <w:p w14:paraId="253A8036">
      <w:pPr>
        <w:keepNext w:val="0"/>
        <w:keepLines w:val="0"/>
        <w:pageBreakBefore w:val="0"/>
        <w:widowControl w:val="0"/>
        <w:kinsoku/>
        <w:wordWrap/>
        <w:overflowPunct/>
        <w:topLinePunct w:val="0"/>
        <w:autoSpaceDE/>
        <w:autoSpaceDN/>
        <w:bidi w:val="0"/>
        <w:adjustRightInd/>
        <w:snapToGrid/>
        <w:spacing w:line="360" w:lineRule="auto"/>
        <w:ind w:right="0" w:firstLine="506" w:firstLineChars="200"/>
        <w:jc w:val="both"/>
        <w:textAlignment w:val="auto"/>
        <w:outlineLvl w:val="9"/>
        <w:rPr>
          <w:rFonts w:hint="eastAsia" w:ascii="Times New Roman" w:hAnsi="Times New Roman" w:cs="Times New Roman"/>
          <w:b/>
          <w:bCs/>
          <w:color w:val="auto"/>
          <w:spacing w:val="6"/>
          <w:sz w:val="24"/>
          <w:szCs w:val="24"/>
          <w:lang w:val="en-US" w:eastAsia="zh-CN"/>
        </w:rPr>
      </w:pPr>
      <w:r>
        <w:rPr>
          <w:rFonts w:hint="eastAsia" w:ascii="Times New Roman" w:hAnsi="Times New Roman" w:cs="Times New Roman"/>
          <w:b/>
          <w:bCs/>
          <w:color w:val="auto"/>
          <w:spacing w:val="6"/>
          <w:sz w:val="24"/>
          <w:szCs w:val="24"/>
          <w:lang w:val="en-US" w:eastAsia="zh-CN"/>
        </w:rPr>
        <w:t xml:space="preserve">7.2.2有毒有害物质在地下水环境中的运移扩散 </w:t>
      </w:r>
    </w:p>
    <w:p w14:paraId="56F599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本项目厂区范围内属于公共设施/工业用地，现状大部分为建（构）筑物、水池、道路、绿化用地，用地范围内</w:t>
      </w:r>
      <w:r>
        <w:rPr>
          <w:rFonts w:hint="eastAsia" w:cs="Times New Roman"/>
          <w:color w:val="auto"/>
          <w:sz w:val="24"/>
          <w:szCs w:val="24"/>
          <w:lang w:val="en-US" w:eastAsia="zh-CN"/>
        </w:rPr>
        <w:t>有</w:t>
      </w:r>
      <w:r>
        <w:rPr>
          <w:rFonts w:hint="eastAsia" w:ascii="Times New Roman" w:hAnsi="Times New Roman" w:cs="Times New Roman"/>
          <w:color w:val="auto"/>
          <w:sz w:val="24"/>
          <w:szCs w:val="24"/>
          <w:lang w:val="en-US" w:eastAsia="zh-CN"/>
        </w:rPr>
        <w:t>裸露地表土壤存在，且</w:t>
      </w:r>
      <w:r>
        <w:rPr>
          <w:rFonts w:hint="default" w:ascii="Times New Roman" w:hAnsi="Times New Roman" w:cs="Times New Roman"/>
          <w:color w:val="auto"/>
          <w:spacing w:val="6"/>
          <w:sz w:val="24"/>
          <w:szCs w:val="24"/>
        </w:rPr>
        <w:t>厂区包气带岩土层</w:t>
      </w:r>
      <w:r>
        <w:rPr>
          <w:rFonts w:hint="eastAsia" w:ascii="Times New Roman" w:hAnsi="Times New Roman" w:cs="Times New Roman"/>
          <w:color w:val="auto"/>
          <w:spacing w:val="6"/>
          <w:sz w:val="24"/>
          <w:szCs w:val="24"/>
          <w:lang w:val="en-US" w:eastAsia="zh-CN"/>
        </w:rPr>
        <w:t>达到一般防渗要求</w:t>
      </w:r>
      <w:r>
        <w:rPr>
          <w:rFonts w:hint="eastAsia" w:ascii="Times New Roman" w:hAnsi="Times New Roman" w:cs="Times New Roman"/>
          <w:color w:val="auto"/>
          <w:sz w:val="24"/>
          <w:szCs w:val="24"/>
          <w:lang w:val="en-US" w:eastAsia="zh-CN"/>
        </w:rPr>
        <w:t xml:space="preserve">。因此，项目在运行期发生事故废水（溢流排泥废水）泄漏时对现有厂区范围内的地下水影响有限，事故后及时控制基本不会对厂区用地范围内的地下水造成严重污染。 </w:t>
      </w:r>
    </w:p>
    <w:p w14:paraId="339032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在非正常状况发生后，在设定的应急反应时限内，及时采取应急措施，对泄漏废水进行收集并修复截断污染源，设置有效的地下水监控措施，能使此状况下项目对周边地下水的影响降至最小；同时应加强做好厂区防渗工作以使项目污染物对周边浅层地下水的影响降至最低。 </w:t>
      </w:r>
    </w:p>
    <w:p w14:paraId="78595205">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cs="Times New Roman"/>
          <w:b/>
          <w:color w:val="auto"/>
          <w:sz w:val="28"/>
          <w:szCs w:val="28"/>
          <w:lang w:val="en-US" w:eastAsia="zh-CN"/>
        </w:rPr>
      </w:pPr>
      <w:bookmarkStart w:id="83" w:name="_Toc14455"/>
      <w:bookmarkStart w:id="84" w:name="_Toc31906"/>
      <w:r>
        <w:rPr>
          <w:rFonts w:hint="eastAsia" w:ascii="Times New Roman" w:hAnsi="Times New Roman" w:cs="Times New Roman"/>
          <w:b/>
          <w:color w:val="auto"/>
          <w:sz w:val="28"/>
          <w:szCs w:val="28"/>
          <w:lang w:val="en-US" w:eastAsia="zh-CN"/>
        </w:rPr>
        <w:t>7.3危险废物环境风险影响分析</w:t>
      </w:r>
      <w:bookmarkEnd w:id="83"/>
      <w:bookmarkEnd w:id="84"/>
    </w:p>
    <w:p w14:paraId="53A927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本项目运行期间</w:t>
      </w:r>
      <w:r>
        <w:rPr>
          <w:rFonts w:hint="eastAsia" w:cs="Times New Roman"/>
          <w:color w:val="auto"/>
          <w:sz w:val="24"/>
          <w:szCs w:val="24"/>
          <w:lang w:val="en-US" w:eastAsia="zh-CN"/>
        </w:rPr>
        <w:t>在厂区内</w:t>
      </w:r>
      <w:r>
        <w:rPr>
          <w:rFonts w:hint="eastAsia" w:ascii="Times New Roman" w:hAnsi="Times New Roman" w:cs="Times New Roman"/>
          <w:color w:val="auto"/>
          <w:sz w:val="24"/>
          <w:szCs w:val="24"/>
          <w:lang w:val="en-US" w:eastAsia="zh-CN"/>
        </w:rPr>
        <w:t>会产生少量危险废物，企业应制定严格的管理制度对厂区运营</w:t>
      </w:r>
      <w:r>
        <w:rPr>
          <w:rFonts w:hint="eastAsia" w:cs="Times New Roman"/>
          <w:color w:val="auto"/>
          <w:sz w:val="24"/>
          <w:szCs w:val="24"/>
          <w:lang w:val="en-US" w:eastAsia="zh-CN"/>
        </w:rPr>
        <w:t>期间</w:t>
      </w:r>
      <w:r>
        <w:rPr>
          <w:rFonts w:hint="eastAsia" w:ascii="Times New Roman" w:hAnsi="Times New Roman" w:cs="Times New Roman"/>
          <w:color w:val="auto"/>
          <w:sz w:val="24"/>
          <w:szCs w:val="24"/>
          <w:lang w:val="en-US" w:eastAsia="zh-CN"/>
        </w:rPr>
        <w:t>产生的危险废物在产生、分类、收集、储存和运输等环节进行严格的监控管理，同时所有危险废物应委托给具有处理资质的单位进行处理处置。项目处置危险废物应符合《中华人民共和国固体废弃物污染环境防治法》的要求，并执行《危险废物转移管理办法》要求规定的各项程序。</w:t>
      </w:r>
    </w:p>
    <w:p w14:paraId="2A5FC9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当项目危险废物处置过程正常进行时，对周围环境影响不大。如果危险固废处置出现异常时，将对周围环境造成较大影响。</w:t>
      </w:r>
    </w:p>
    <w:p w14:paraId="124299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p>
    <w:p w14:paraId="79FD7E5D">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eastAsia" w:ascii="Times New Roman" w:hAnsi="Times New Roman" w:cs="Times New Roman"/>
          <w:b/>
          <w:color w:val="auto"/>
          <w:sz w:val="30"/>
          <w:szCs w:val="30"/>
          <w:lang w:val="en-US" w:eastAsia="zh-CN"/>
        </w:rPr>
      </w:pPr>
      <w:r>
        <w:rPr>
          <w:rFonts w:hint="eastAsia" w:ascii="Times New Roman" w:hAnsi="Times New Roman" w:cs="Times New Roman"/>
          <w:b/>
          <w:color w:val="auto"/>
          <w:sz w:val="30"/>
          <w:szCs w:val="30"/>
          <w:lang w:val="en-US" w:eastAsia="zh-CN"/>
        </w:rPr>
        <w:t xml:space="preserve">8、环境风险管理 </w:t>
      </w:r>
    </w:p>
    <w:p w14:paraId="4CC3825E">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cs="Times New Roman"/>
          <w:b/>
          <w:color w:val="auto"/>
          <w:sz w:val="28"/>
          <w:szCs w:val="28"/>
          <w:lang w:val="en-US" w:eastAsia="zh-CN"/>
        </w:rPr>
      </w:pPr>
      <w:r>
        <w:rPr>
          <w:rFonts w:hint="eastAsia" w:ascii="Times New Roman" w:hAnsi="Times New Roman" w:cs="Times New Roman"/>
          <w:b/>
          <w:color w:val="auto"/>
          <w:sz w:val="28"/>
          <w:szCs w:val="28"/>
          <w:lang w:val="en-US" w:eastAsia="zh-CN"/>
        </w:rPr>
        <w:t xml:space="preserve">8.1 环境风险管理目标 </w:t>
      </w:r>
    </w:p>
    <w:p w14:paraId="22D101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根据《建设项目环境风险评价技术导则》（HJ169-2018）的要求，环境风险管理目标是采用最低合理可行原则（ALARP）管控环境风险。 </w:t>
      </w:r>
    </w:p>
    <w:p w14:paraId="28076B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采取的环境风险防范措施应与社会经济技术发展水平相适应，运用科学的技术手段和管理方法，对环境风险进行有效的预防、监控、响应。 </w:t>
      </w:r>
    </w:p>
    <w:p w14:paraId="4EE2FEE8">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cs="Times New Roman"/>
          <w:b/>
          <w:color w:val="auto"/>
          <w:sz w:val="28"/>
          <w:szCs w:val="28"/>
          <w:lang w:val="en-US" w:eastAsia="zh-CN"/>
        </w:rPr>
      </w:pPr>
      <w:r>
        <w:rPr>
          <w:rFonts w:hint="eastAsia" w:ascii="Times New Roman" w:hAnsi="Times New Roman" w:cs="Times New Roman"/>
          <w:b/>
          <w:color w:val="auto"/>
          <w:sz w:val="28"/>
          <w:szCs w:val="28"/>
          <w:lang w:val="en-US" w:eastAsia="zh-CN"/>
        </w:rPr>
        <w:t xml:space="preserve">8.2 环境风险防范措施 </w:t>
      </w:r>
    </w:p>
    <w:p w14:paraId="6060A9E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1、总图布置</w:t>
      </w:r>
    </w:p>
    <w:p w14:paraId="0FC874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①总平面布置要求：严格执行现行国家和相关行业设计规范和规定，在满足工艺流程的前提下，尽可能使道路顺直、管线短捷、物流顺畅、功能分区明确、节约用地，有利于项目生产管理和今后的发展。 </w:t>
      </w:r>
    </w:p>
    <w:p w14:paraId="2F3963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②功能区内各建构筑物之间留有足够的安全防护距离。建构筑物内外道路畅通并形成环状，以</w:t>
      </w:r>
      <w:r>
        <w:rPr>
          <w:rFonts w:hint="eastAsia" w:cs="Times New Roman"/>
          <w:color w:val="auto"/>
          <w:sz w:val="24"/>
          <w:szCs w:val="24"/>
          <w:lang w:val="en-US" w:eastAsia="zh-CN"/>
        </w:rPr>
        <w:t>利于</w:t>
      </w:r>
      <w:r>
        <w:rPr>
          <w:rFonts w:hint="eastAsia" w:ascii="Times New Roman" w:hAnsi="Times New Roman" w:cs="Times New Roman"/>
          <w:color w:val="auto"/>
          <w:sz w:val="24"/>
          <w:szCs w:val="24"/>
          <w:lang w:val="en-US" w:eastAsia="zh-CN"/>
        </w:rPr>
        <w:t xml:space="preserve">消防和安全疏散。建构筑物布置间距要符合《城市给水工程项目规范》、《建筑设计防火规范》等有关规范要求。 </w:t>
      </w:r>
    </w:p>
    <w:p w14:paraId="179446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③根据生产工艺流程、火灾危险类别及其生产特点，结合地形、风向、安全卫生、环保等条件，按功能分区，集中布置，有利于工厂的生产、运输和管理，降低能耗，减少污染。 </w:t>
      </w:r>
    </w:p>
    <w:p w14:paraId="089405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④根据项目的组成和用地要求，合理布置管线和管廊，合理分区和布置建筑物、构筑物和道路。</w:t>
      </w:r>
    </w:p>
    <w:p w14:paraId="415425F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auto"/>
          <w:sz w:val="24"/>
          <w:szCs w:val="24"/>
          <w:u w:val="single"/>
          <w:lang w:val="en-US" w:eastAsia="zh-CN"/>
        </w:rPr>
      </w:pPr>
      <w:r>
        <w:rPr>
          <w:rFonts w:hint="eastAsia" w:ascii="Times New Roman" w:hAnsi="Times New Roman" w:cs="Times New Roman"/>
          <w:b/>
          <w:bCs/>
          <w:color w:val="auto"/>
          <w:sz w:val="24"/>
          <w:szCs w:val="24"/>
          <w:u w:val="single"/>
          <w:lang w:val="en-US" w:eastAsia="zh-CN"/>
        </w:rPr>
        <w:t>2、</w:t>
      </w:r>
      <w:r>
        <w:rPr>
          <w:rFonts w:hint="eastAsia" w:cs="Times New Roman"/>
          <w:b/>
          <w:bCs/>
          <w:color w:val="auto"/>
          <w:sz w:val="24"/>
          <w:szCs w:val="24"/>
          <w:u w:val="single"/>
          <w:lang w:val="en-US" w:eastAsia="zh-CN"/>
        </w:rPr>
        <w:t>加氯间应急风险防控措施</w:t>
      </w:r>
      <w:r>
        <w:rPr>
          <w:rFonts w:hint="eastAsia" w:ascii="Times New Roman" w:hAnsi="Times New Roman" w:cs="Times New Roman"/>
          <w:b/>
          <w:bCs/>
          <w:color w:val="auto"/>
          <w:sz w:val="24"/>
          <w:szCs w:val="24"/>
          <w:u w:val="single"/>
          <w:lang w:val="en-US" w:eastAsia="zh-CN"/>
        </w:rPr>
        <w:t xml:space="preserve">系统 </w:t>
      </w:r>
    </w:p>
    <w:p w14:paraId="22F534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①存在有毒有害气体的工艺装置、储运设施内，应严格按照《工作场所有毒气体检测报警装置设置规范》（GBZ/T223-2009）要求，设置有毒气体检测仪表，并将其接至有毒气体检测报警系统。 </w:t>
      </w:r>
    </w:p>
    <w:p w14:paraId="1008DF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u w:val="single"/>
          <w:lang w:val="en-US" w:eastAsia="zh-CN"/>
        </w:rPr>
      </w:pPr>
      <w:r>
        <w:rPr>
          <w:rFonts w:hint="eastAsia" w:ascii="Times New Roman" w:hAnsi="Times New Roman" w:cs="Times New Roman"/>
          <w:color w:val="auto"/>
          <w:sz w:val="24"/>
          <w:szCs w:val="24"/>
          <w:u w:val="single"/>
          <w:lang w:val="en-US" w:eastAsia="zh-CN"/>
        </w:rPr>
        <w:t>②生产、贮存、运输、使用等</w:t>
      </w:r>
      <w:r>
        <w:rPr>
          <w:rFonts w:hint="eastAsia" w:cs="Times New Roman"/>
          <w:color w:val="auto"/>
          <w:sz w:val="24"/>
          <w:szCs w:val="24"/>
          <w:u w:val="single"/>
          <w:lang w:val="en-US" w:eastAsia="zh-CN"/>
        </w:rPr>
        <w:t>危险化学品</w:t>
      </w:r>
      <w:r>
        <w:rPr>
          <w:rFonts w:hint="eastAsia" w:ascii="Times New Roman" w:hAnsi="Times New Roman" w:cs="Times New Roman"/>
          <w:color w:val="auto"/>
          <w:sz w:val="24"/>
          <w:szCs w:val="24"/>
          <w:u w:val="single"/>
          <w:lang w:val="en-US" w:eastAsia="zh-CN"/>
        </w:rPr>
        <w:t>作业场所，都应配备常备抢修器材和防护用品，</w:t>
      </w:r>
      <w:r>
        <w:rPr>
          <w:rFonts w:hint="eastAsia" w:cs="Times New Roman"/>
          <w:color w:val="auto"/>
          <w:sz w:val="24"/>
          <w:szCs w:val="24"/>
          <w:u w:val="single"/>
          <w:lang w:val="en-US" w:eastAsia="zh-CN"/>
        </w:rPr>
        <w:t>加氯间、加药间内设置应急物资柜，</w:t>
      </w:r>
      <w:r>
        <w:rPr>
          <w:rFonts w:hint="eastAsia" w:ascii="Times New Roman" w:hAnsi="Times New Roman" w:cs="Times New Roman"/>
          <w:color w:val="auto"/>
          <w:sz w:val="24"/>
          <w:szCs w:val="24"/>
          <w:u w:val="single"/>
          <w:lang w:val="en-US" w:eastAsia="zh-CN"/>
        </w:rPr>
        <w:t>并定期维护。</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DA4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vAlign w:val="center"/>
          </w:tcPr>
          <w:p w14:paraId="0DB83C7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Times New Roman" w:hAnsi="Times New Roman" w:cs="Times New Roman"/>
                <w:color w:val="auto"/>
                <w:sz w:val="24"/>
                <w:szCs w:val="24"/>
                <w:vertAlign w:val="baseline"/>
                <w:lang w:val="en-US" w:eastAsia="zh-CN"/>
              </w:rPr>
            </w:pPr>
            <w:r>
              <w:drawing>
                <wp:inline distT="0" distB="0" distL="114300" distR="114300">
                  <wp:extent cx="4116705" cy="4488180"/>
                  <wp:effectExtent l="0" t="0" r="17145" b="7620"/>
                  <wp:docPr id="1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4"/>
                          <pic:cNvPicPr>
                            <a:picLocks noChangeAspect="1"/>
                          </pic:cNvPicPr>
                        </pic:nvPicPr>
                        <pic:blipFill>
                          <a:blip r:embed="rId76"/>
                          <a:stretch>
                            <a:fillRect/>
                          </a:stretch>
                        </pic:blipFill>
                        <pic:spPr>
                          <a:xfrm>
                            <a:off x="0" y="0"/>
                            <a:ext cx="4116705" cy="4488180"/>
                          </a:xfrm>
                          <a:prstGeom prst="rect">
                            <a:avLst/>
                          </a:prstGeom>
                          <a:noFill/>
                          <a:ln>
                            <a:noFill/>
                          </a:ln>
                        </pic:spPr>
                      </pic:pic>
                    </a:graphicData>
                  </a:graphic>
                </wp:inline>
              </w:drawing>
            </w:r>
          </w:p>
        </w:tc>
      </w:tr>
      <w:tr w14:paraId="0A17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vAlign w:val="center"/>
          </w:tcPr>
          <w:p w14:paraId="14F9E9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bCs/>
                <w:color w:val="auto"/>
                <w:sz w:val="24"/>
                <w:szCs w:val="24"/>
                <w:lang w:val="en-US" w:eastAsia="zh-CN"/>
              </w:rPr>
            </w:pPr>
            <w:r>
              <w:rPr>
                <w:rFonts w:hint="eastAsia" w:cs="Times New Roman"/>
                <w:b/>
                <w:bCs/>
                <w:color w:val="auto"/>
                <w:sz w:val="24"/>
                <w:szCs w:val="24"/>
                <w:lang w:val="en-US" w:eastAsia="zh-CN"/>
              </w:rPr>
              <w:t>车间区域应急物资柜</w:t>
            </w:r>
            <w:r>
              <w:rPr>
                <w:rFonts w:hint="eastAsia" w:ascii="Times New Roman" w:hAnsi="Times New Roman" w:cs="Times New Roman"/>
                <w:b/>
                <w:bCs/>
                <w:color w:val="auto"/>
                <w:sz w:val="24"/>
                <w:szCs w:val="24"/>
                <w:lang w:val="en-US" w:eastAsia="zh-CN"/>
              </w:rPr>
              <w:t>装置</w:t>
            </w:r>
          </w:p>
        </w:tc>
      </w:tr>
    </w:tbl>
    <w:p w14:paraId="440A32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u w:val="single"/>
          <w:lang w:val="en-US" w:eastAsia="zh-CN"/>
        </w:rPr>
      </w:pPr>
      <w:r>
        <w:rPr>
          <w:rFonts w:hint="eastAsia" w:ascii="Times New Roman" w:hAnsi="Times New Roman" w:cs="Times New Roman"/>
          <w:color w:val="auto"/>
          <w:sz w:val="24"/>
          <w:szCs w:val="24"/>
          <w:u w:val="single"/>
          <w:lang w:val="en-US" w:eastAsia="zh-CN"/>
        </w:rPr>
        <w:t>③在加氯机、氯气瓶</w:t>
      </w:r>
      <w:r>
        <w:rPr>
          <w:rFonts w:hint="eastAsia" w:cs="Times New Roman"/>
          <w:color w:val="auto"/>
          <w:sz w:val="24"/>
          <w:szCs w:val="24"/>
          <w:u w:val="single"/>
          <w:lang w:val="en-US" w:eastAsia="zh-CN"/>
        </w:rPr>
        <w:t>储存</w:t>
      </w:r>
      <w:r>
        <w:rPr>
          <w:rFonts w:hint="eastAsia" w:ascii="Times New Roman" w:hAnsi="Times New Roman" w:cs="Times New Roman"/>
          <w:color w:val="auto"/>
          <w:sz w:val="24"/>
          <w:szCs w:val="24"/>
          <w:u w:val="single"/>
          <w:lang w:val="en-US" w:eastAsia="zh-CN"/>
        </w:rPr>
        <w:t>区</w:t>
      </w:r>
      <w:r>
        <w:rPr>
          <w:rFonts w:hint="eastAsia" w:cs="Times New Roman"/>
          <w:color w:val="auto"/>
          <w:sz w:val="24"/>
          <w:szCs w:val="24"/>
          <w:u w:val="single"/>
          <w:lang w:val="en-US" w:eastAsia="zh-CN"/>
        </w:rPr>
        <w:t>和氯气输送管道系统的</w:t>
      </w:r>
      <w:r>
        <w:rPr>
          <w:rFonts w:hint="eastAsia" w:ascii="Times New Roman" w:hAnsi="Times New Roman" w:cs="Times New Roman"/>
          <w:color w:val="auto"/>
          <w:sz w:val="24"/>
          <w:szCs w:val="24"/>
          <w:u w:val="single"/>
          <w:lang w:val="en-US" w:eastAsia="zh-CN"/>
        </w:rPr>
        <w:t>加氯间设置</w:t>
      </w:r>
      <w:r>
        <w:rPr>
          <w:rFonts w:hint="eastAsia" w:cs="Times New Roman"/>
          <w:color w:val="auto"/>
          <w:sz w:val="24"/>
          <w:szCs w:val="24"/>
          <w:u w:val="single"/>
          <w:lang w:val="en-US" w:eastAsia="zh-CN"/>
        </w:rPr>
        <w:t>固定式</w:t>
      </w:r>
      <w:r>
        <w:rPr>
          <w:rFonts w:hint="eastAsia" w:ascii="Times New Roman" w:hAnsi="Times New Roman" w:cs="Times New Roman"/>
          <w:color w:val="auto"/>
          <w:sz w:val="24"/>
          <w:szCs w:val="24"/>
          <w:u w:val="single"/>
          <w:lang w:val="en-US" w:eastAsia="zh-CN"/>
        </w:rPr>
        <w:t>氯气泄漏检测报警仪</w:t>
      </w:r>
      <w:r>
        <w:rPr>
          <w:rFonts w:hint="eastAsia" w:cs="Times New Roman"/>
          <w:color w:val="auto"/>
          <w:sz w:val="24"/>
          <w:szCs w:val="24"/>
          <w:u w:val="single"/>
          <w:lang w:val="en-US" w:eastAsia="zh-CN"/>
        </w:rPr>
        <w:t>系统</w:t>
      </w:r>
      <w:r>
        <w:rPr>
          <w:rFonts w:hint="eastAsia" w:ascii="Times New Roman" w:hAnsi="Times New Roman" w:cs="Times New Roman"/>
          <w:color w:val="auto"/>
          <w:sz w:val="24"/>
          <w:szCs w:val="24"/>
          <w:u w:val="single"/>
          <w:lang w:val="en-US" w:eastAsia="zh-CN"/>
        </w:rPr>
        <w:t>，作业场所空气中氯气含量最高允许浓度为1.0mg/m</w:t>
      </w:r>
      <w:r>
        <w:rPr>
          <w:rFonts w:hint="eastAsia" w:ascii="Times New Roman" w:hAnsi="Times New Roman" w:cs="Times New Roman"/>
          <w:color w:val="auto"/>
          <w:sz w:val="24"/>
          <w:szCs w:val="24"/>
          <w:u w:val="single"/>
          <w:vertAlign w:val="superscript"/>
          <w:lang w:val="en-US" w:eastAsia="zh-CN"/>
        </w:rPr>
        <w:t>3</w:t>
      </w:r>
      <w:r>
        <w:rPr>
          <w:rFonts w:hint="eastAsia" w:ascii="Times New Roman" w:hAnsi="Times New Roman" w:cs="Times New Roman"/>
          <w:color w:val="auto"/>
          <w:sz w:val="24"/>
          <w:szCs w:val="24"/>
          <w:u w:val="single"/>
          <w:lang w:val="en-US" w:eastAsia="zh-CN"/>
        </w:rPr>
        <w:t>。同时设置配套</w:t>
      </w:r>
      <w:r>
        <w:rPr>
          <w:rFonts w:hint="eastAsia" w:cs="Times New Roman"/>
          <w:color w:val="auto"/>
          <w:sz w:val="24"/>
          <w:szCs w:val="24"/>
          <w:u w:val="single"/>
          <w:lang w:val="en-US" w:eastAsia="zh-CN"/>
        </w:rPr>
        <w:t>强制</w:t>
      </w:r>
      <w:r>
        <w:rPr>
          <w:rFonts w:hint="eastAsia" w:ascii="Times New Roman" w:hAnsi="Times New Roman" w:cs="Times New Roman"/>
          <w:color w:val="auto"/>
          <w:sz w:val="24"/>
          <w:szCs w:val="24"/>
          <w:u w:val="single"/>
          <w:lang w:val="en-US" w:eastAsia="zh-CN"/>
        </w:rPr>
        <w:t>吸风和</w:t>
      </w:r>
      <w:r>
        <w:rPr>
          <w:rFonts w:hint="eastAsia" w:cs="Times New Roman"/>
          <w:color w:val="auto"/>
          <w:sz w:val="24"/>
          <w:szCs w:val="24"/>
          <w:u w:val="single"/>
          <w:lang w:val="en-US" w:eastAsia="zh-CN"/>
        </w:rPr>
        <w:t>漏</w:t>
      </w:r>
      <w:r>
        <w:rPr>
          <w:rFonts w:hint="eastAsia" w:ascii="Times New Roman" w:hAnsi="Times New Roman" w:cs="Times New Roman"/>
          <w:color w:val="auto"/>
          <w:sz w:val="24"/>
          <w:szCs w:val="24"/>
          <w:u w:val="single"/>
          <w:lang w:val="en-US" w:eastAsia="zh-CN"/>
        </w:rPr>
        <w:t>氯</w:t>
      </w:r>
      <w:r>
        <w:rPr>
          <w:rFonts w:hint="eastAsia" w:cs="Times New Roman"/>
          <w:color w:val="auto"/>
          <w:sz w:val="24"/>
          <w:szCs w:val="24"/>
          <w:u w:val="single"/>
          <w:lang w:val="en-US" w:eastAsia="zh-CN"/>
        </w:rPr>
        <w:t>安全</w:t>
      </w:r>
      <w:r>
        <w:rPr>
          <w:rFonts w:hint="eastAsia" w:ascii="Times New Roman" w:hAnsi="Times New Roman" w:cs="Times New Roman"/>
          <w:color w:val="auto"/>
          <w:sz w:val="24"/>
          <w:szCs w:val="24"/>
          <w:u w:val="single"/>
          <w:lang w:val="en-US" w:eastAsia="zh-CN"/>
        </w:rPr>
        <w:t>吸收处理装置。</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58AC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00" w:type="pct"/>
            <w:vAlign w:val="center"/>
          </w:tcPr>
          <w:p w14:paraId="739B64F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drawing>
                <wp:inline distT="0" distB="0" distL="114300" distR="114300">
                  <wp:extent cx="2536190" cy="3381375"/>
                  <wp:effectExtent l="0" t="0" r="16510" b="9525"/>
                  <wp:docPr id="114" name="图片 114" descr="8eb36e82f0c5d25c937ff7a636d05d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8eb36e82f0c5d25c937ff7a636d05d72"/>
                          <pic:cNvPicPr>
                            <a:picLocks noChangeAspect="1"/>
                          </pic:cNvPicPr>
                        </pic:nvPicPr>
                        <pic:blipFill>
                          <a:blip r:embed="rId77"/>
                          <a:stretch>
                            <a:fillRect/>
                          </a:stretch>
                        </pic:blipFill>
                        <pic:spPr>
                          <a:xfrm>
                            <a:off x="0" y="0"/>
                            <a:ext cx="2536190" cy="3381375"/>
                          </a:xfrm>
                          <a:prstGeom prst="rect">
                            <a:avLst/>
                          </a:prstGeom>
                        </pic:spPr>
                      </pic:pic>
                    </a:graphicData>
                  </a:graphic>
                </wp:inline>
              </w:drawing>
            </w:r>
          </w:p>
        </w:tc>
        <w:tc>
          <w:tcPr>
            <w:tcW w:w="2500" w:type="pct"/>
            <w:vAlign w:val="center"/>
          </w:tcPr>
          <w:p w14:paraId="5EF673F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drawing>
                <wp:inline distT="0" distB="0" distL="114300" distR="114300">
                  <wp:extent cx="2536190" cy="2520315"/>
                  <wp:effectExtent l="0" t="0" r="16510" b="13335"/>
                  <wp:docPr id="115" name="图片 115" descr="ee0159e7e11300331bba6f7fbcaea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ee0159e7e11300331bba6f7fbcaeab2f"/>
                          <pic:cNvPicPr>
                            <a:picLocks noChangeAspect="1"/>
                          </pic:cNvPicPr>
                        </pic:nvPicPr>
                        <pic:blipFill>
                          <a:blip r:embed="rId78"/>
                          <a:stretch>
                            <a:fillRect/>
                          </a:stretch>
                        </pic:blipFill>
                        <pic:spPr>
                          <a:xfrm>
                            <a:off x="0" y="0"/>
                            <a:ext cx="2536190" cy="2520315"/>
                          </a:xfrm>
                          <a:prstGeom prst="rect">
                            <a:avLst/>
                          </a:prstGeom>
                        </pic:spPr>
                      </pic:pic>
                    </a:graphicData>
                  </a:graphic>
                </wp:inline>
              </w:drawing>
            </w:r>
          </w:p>
        </w:tc>
      </w:tr>
      <w:tr w14:paraId="5248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2"/>
            <w:vAlign w:val="center"/>
          </w:tcPr>
          <w:p w14:paraId="5368DF4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Times New Roman" w:hAnsi="Times New Roman" w:cs="Times New Roman"/>
                <w:color w:val="auto"/>
                <w:sz w:val="24"/>
                <w:szCs w:val="24"/>
                <w:vertAlign w:val="baseline"/>
                <w:lang w:val="en-US" w:eastAsia="zh-CN"/>
              </w:rPr>
            </w:pPr>
            <w:r>
              <w:drawing>
                <wp:inline distT="0" distB="0" distL="114300" distR="114300">
                  <wp:extent cx="2688590" cy="2802890"/>
                  <wp:effectExtent l="0" t="0" r="16510" b="16510"/>
                  <wp:docPr id="1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3"/>
                          <pic:cNvPicPr>
                            <a:picLocks noChangeAspect="1"/>
                          </pic:cNvPicPr>
                        </pic:nvPicPr>
                        <pic:blipFill>
                          <a:blip r:embed="rId79"/>
                          <a:stretch>
                            <a:fillRect/>
                          </a:stretch>
                        </pic:blipFill>
                        <pic:spPr>
                          <a:xfrm>
                            <a:off x="0" y="0"/>
                            <a:ext cx="2688590" cy="2802890"/>
                          </a:xfrm>
                          <a:prstGeom prst="rect">
                            <a:avLst/>
                          </a:prstGeom>
                          <a:noFill/>
                          <a:ln>
                            <a:noFill/>
                          </a:ln>
                        </pic:spPr>
                      </pic:pic>
                    </a:graphicData>
                  </a:graphic>
                </wp:inline>
              </w:drawing>
            </w:r>
          </w:p>
        </w:tc>
      </w:tr>
      <w:tr w14:paraId="4C14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2"/>
            <w:vAlign w:val="center"/>
          </w:tcPr>
          <w:p w14:paraId="25E3F4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bCs/>
                <w:color w:val="auto"/>
                <w:sz w:val="24"/>
                <w:szCs w:val="24"/>
                <w:lang w:val="en-US" w:eastAsia="zh-CN"/>
              </w:rPr>
            </w:pPr>
            <w:r>
              <w:rPr>
                <w:rFonts w:hint="eastAsia" w:cs="Times New Roman"/>
                <w:b/>
                <w:bCs/>
                <w:color w:val="auto"/>
                <w:sz w:val="24"/>
                <w:szCs w:val="24"/>
                <w:lang w:val="en-US" w:eastAsia="zh-CN"/>
              </w:rPr>
              <w:t>漏</w:t>
            </w:r>
            <w:r>
              <w:rPr>
                <w:rFonts w:hint="eastAsia" w:ascii="Times New Roman" w:hAnsi="Times New Roman" w:cs="Times New Roman"/>
                <w:b/>
                <w:bCs/>
                <w:color w:val="auto"/>
                <w:sz w:val="24"/>
                <w:szCs w:val="24"/>
                <w:lang w:val="en-US" w:eastAsia="zh-CN"/>
              </w:rPr>
              <w:t>氯</w:t>
            </w:r>
            <w:r>
              <w:rPr>
                <w:rFonts w:hint="eastAsia" w:cs="Times New Roman"/>
                <w:b/>
                <w:bCs/>
                <w:color w:val="auto"/>
                <w:sz w:val="24"/>
                <w:szCs w:val="24"/>
                <w:lang w:val="en-US" w:eastAsia="zh-CN"/>
              </w:rPr>
              <w:t>安全</w:t>
            </w:r>
            <w:r>
              <w:rPr>
                <w:rFonts w:hint="eastAsia" w:ascii="Times New Roman" w:hAnsi="Times New Roman" w:cs="Times New Roman"/>
                <w:b/>
                <w:bCs/>
                <w:color w:val="auto"/>
                <w:sz w:val="24"/>
                <w:szCs w:val="24"/>
                <w:lang w:val="en-US" w:eastAsia="zh-CN"/>
              </w:rPr>
              <w:t>吸收处理装置</w:t>
            </w:r>
          </w:p>
        </w:tc>
      </w:tr>
    </w:tbl>
    <w:p w14:paraId="65317C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④用氯设备设计制造，应符合压力容器有关规定。液氯管道的安装、使用应符合压力管道的有关规定。氯气系统管道应完好，连接紧密，无泄漏；用氯设备和氯气管道的法兰垫片应选用耐氯垫片；用氯设备应使用与氯气不发生化学反应的润滑剂；液氯气化器、钢瓶等设施设备的压力表、液位计、温度计，应装有带远传报警的安全装置。</w:t>
      </w:r>
    </w:p>
    <w:p w14:paraId="607A30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⑤使用液氯气瓶，应执行气瓶的有关安全规定：a氯气系统管道应完好，连接紧密，无泄漏；b用氯设备和氯气管道的法兰垫片应选用耐氯垫片；c用氯设备应使用与氯气不发生化学反应的润滑剂；d液氯气化器、钢瓶等设施设备的压力表、液位计、温度计，应装有带远传报警的安全装置；e使用液氯气瓶，应执行气瓶的有关安全规定。  </w:t>
      </w:r>
    </w:p>
    <w:p w14:paraId="36F3A6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⑥</w:t>
      </w:r>
      <w:r>
        <w:rPr>
          <w:rFonts w:hint="eastAsia" w:ascii="Times New Roman" w:hAnsi="Times New Roman" w:cs="Times New Roman"/>
          <w:color w:val="auto"/>
          <w:sz w:val="24"/>
          <w:szCs w:val="24"/>
          <w:u w:val="single"/>
          <w:lang w:val="en-US" w:eastAsia="zh-CN"/>
        </w:rPr>
        <w:t>工作场所应设置事故通风装置及与通风系统相联锁的泄漏报警装置、氯气瓶存放间设置事故应急水池</w:t>
      </w:r>
      <w:r>
        <w:rPr>
          <w:rFonts w:hint="eastAsia" w:cs="Times New Roman"/>
          <w:color w:val="auto"/>
          <w:sz w:val="24"/>
          <w:szCs w:val="24"/>
          <w:u w:val="single"/>
          <w:lang w:val="en-US" w:eastAsia="zh-CN"/>
        </w:rPr>
        <w:t>（有效容积5×2×2.8m）。应急事故池与漏氯吸收装置的排液口、加氯间地面导流沟连通，实现泄漏废液的全封闭收集，不得直接外排至周边外界水域</w:t>
      </w:r>
      <w:r>
        <w:rPr>
          <w:rFonts w:hint="eastAsia" w:ascii="Times New Roman" w:hAnsi="Times New Roman" w:cs="Times New Roman"/>
          <w:color w:val="auto"/>
          <w:sz w:val="24"/>
          <w:szCs w:val="24"/>
          <w:u w:val="single"/>
          <w:lang w:val="en-US" w:eastAsia="zh-CN"/>
        </w:rPr>
        <w:t>；</w:t>
      </w:r>
      <w:r>
        <w:rPr>
          <w:rFonts w:hint="eastAsia" w:ascii="Times New Roman" w:hAnsi="Times New Roman" w:cs="Times New Roman"/>
          <w:color w:val="auto"/>
          <w:sz w:val="24"/>
          <w:szCs w:val="24"/>
          <w:lang w:val="en-US" w:eastAsia="zh-CN"/>
        </w:rPr>
        <w:t>通风装置的控制分别设置在室内室外便于操作地点</w:t>
      </w:r>
      <w:r>
        <w:rPr>
          <w:rFonts w:hint="eastAsia" w:cs="Times New Roman"/>
          <w:color w:val="auto"/>
          <w:sz w:val="24"/>
          <w:szCs w:val="24"/>
          <w:lang w:val="en-US" w:eastAsia="zh-CN"/>
        </w:rPr>
        <w:t>（设置每小时换气8~12次的防腐排风扇，强制置换室内积聚的氯气）</w:t>
      </w:r>
      <w:r>
        <w:rPr>
          <w:rFonts w:hint="eastAsia" w:ascii="Times New Roman" w:hAnsi="Times New Roman" w:cs="Times New Roman"/>
          <w:color w:val="auto"/>
          <w:sz w:val="24"/>
          <w:szCs w:val="24"/>
          <w:lang w:val="en-US" w:eastAsia="zh-CN"/>
        </w:rPr>
        <w:t>；排风口设置尽可能避免影响作业人员。</w:t>
      </w:r>
    </w:p>
    <w:p w14:paraId="79F88D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⑦液氯钢瓶液面计应采用两种不同方式，采用现场显示和远传液位显示仪表各一套，远传仪表宜采用罐外测量的外测式液位计。</w:t>
      </w:r>
    </w:p>
    <w:p w14:paraId="4C3322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single"/>
          <w:lang w:val="en-US" w:eastAsia="zh-CN"/>
        </w:rPr>
      </w:pPr>
      <w:r>
        <w:rPr>
          <w:rFonts w:hint="eastAsia" w:cs="Times New Roman"/>
          <w:color w:val="auto"/>
          <w:sz w:val="24"/>
          <w:szCs w:val="24"/>
          <w:u w:val="single"/>
          <w:lang w:val="en-US" w:eastAsia="zh-CN"/>
        </w:rPr>
        <w:t>厂区主要环境风险源加氯间目前已采取上述风险防控措施，具备一定的事故状态下泄漏应急处置和应急响应防控要求，本次评价要求加氯间门、窗等密封面设置雾状水喷淋装置，防止风险事故状态下氯气向外扩散泄漏。</w:t>
      </w:r>
    </w:p>
    <w:p w14:paraId="5DCC693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3、危险废物泄漏防护措施</w:t>
      </w:r>
    </w:p>
    <w:p w14:paraId="12BE2C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厂内液态危险废物（废润滑油、实验室废液）一般情况下不会发生泄漏，可能在转运、装卸作业时由于操作不当，发生包装物或容器破损，造成盛装容器内液态危险物质泄漏，根据现场实际情况，液态危险废物盛装于专用包装桶内，包装桶放置于防泄漏托盘上，一旦发生泄漏，液态危险废物可由托盘收集，收集后的危险废物转移至另一个包装完好的包装桶内，对环境一般不会产生影响。因此，液态危险废物泄漏事故引发的环境风险一般可控制在厂区危险废物暂存间范围内，不会对外环境产生影响。</w:t>
      </w:r>
    </w:p>
    <w:p w14:paraId="2ACF1E2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4、原辅料泄漏防护措施</w:t>
      </w:r>
    </w:p>
    <w:p w14:paraId="78DCAE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存在环境风险物质的液态原辅料主要为加药间的原矾池贮存的聚合氯化铝，当池体发生泄漏时，可将泄漏物引入聚合氯化铝配置水池内，一般情况下液态物料泄漏不会流出加药间外，泄漏物料引入配置水池内，可再利用于生产使用，一般情况写对外界环境不会产生影响。</w:t>
      </w:r>
    </w:p>
    <w:p w14:paraId="6537C18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5、火灾防护措施</w:t>
      </w:r>
    </w:p>
    <w:p w14:paraId="3D4496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①设置“严禁烟火”的警示牌；</w:t>
      </w:r>
    </w:p>
    <w:p w14:paraId="358384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u w:val="single"/>
          <w:lang w:val="en-US" w:eastAsia="zh-CN"/>
        </w:rPr>
      </w:pPr>
      <w:r>
        <w:rPr>
          <w:rFonts w:hint="eastAsia" w:ascii="Times New Roman" w:hAnsi="Times New Roman" w:cs="Times New Roman"/>
          <w:color w:val="auto"/>
          <w:sz w:val="24"/>
          <w:szCs w:val="24"/>
          <w:u w:val="single"/>
          <w:lang w:val="en-US" w:eastAsia="zh-CN"/>
        </w:rPr>
        <w:t>②灭火器应布置在各个建构筑物区域明显便于取用的地方</w:t>
      </w:r>
      <w:r>
        <w:rPr>
          <w:rFonts w:hint="eastAsia" w:cs="Times New Roman"/>
          <w:color w:val="auto"/>
          <w:sz w:val="24"/>
          <w:szCs w:val="24"/>
          <w:u w:val="single"/>
          <w:lang w:val="en-US" w:eastAsia="zh-CN"/>
        </w:rPr>
        <w:t>、厂区内已布设32个便携式干粉/泡沫灭火器</w:t>
      </w:r>
      <w:r>
        <w:rPr>
          <w:rFonts w:hint="eastAsia" w:ascii="Times New Roman" w:hAnsi="Times New Roman" w:cs="Times New Roman"/>
          <w:color w:val="auto"/>
          <w:sz w:val="24"/>
          <w:szCs w:val="24"/>
          <w:u w:val="single"/>
          <w:lang w:val="en-US" w:eastAsia="zh-CN"/>
        </w:rPr>
        <w:t>，并定期维护检查，确保能正常使用；</w:t>
      </w:r>
    </w:p>
    <w:p w14:paraId="0BFFA1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③制定和落实防火安全责任制及消防安全规章制度，加强对员工的消防知识培训；</w:t>
      </w:r>
    </w:p>
    <w:p w14:paraId="701945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④制定灭火和应急疏散预案，同时设置安全疏散通道；</w:t>
      </w:r>
    </w:p>
    <w:p w14:paraId="3854BB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⑤发生火灾时，应迅速将易燃/可燃物质转移至安全区域，或进行其它措施，防止火灾进一步扩大，引发二次意外事故。</w:t>
      </w:r>
    </w:p>
    <w:p w14:paraId="217F0D6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 xml:space="preserve">6、风险监控及应急监测 </w:t>
      </w:r>
    </w:p>
    <w:p w14:paraId="529CA6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① 风险监控</w:t>
      </w:r>
      <w:r>
        <w:rPr>
          <w:rFonts w:hint="eastAsia" w:cs="Times New Roman"/>
          <w:color w:val="auto"/>
          <w:sz w:val="24"/>
          <w:szCs w:val="24"/>
          <w:lang w:val="en-US" w:eastAsia="zh-CN"/>
        </w:rPr>
        <w:t>与制度建立</w:t>
      </w:r>
    </w:p>
    <w:p w14:paraId="360C25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各环境风险单元区域存在有毒气体集聚的地方、工艺有特殊需要或在正常运行时人员不得进入的并存在有毒气体释放源的危险场所、建筑内的新风口和电气/仪表间未严密封堵的电缆接入口将按照相关规范的要求设置有毒气体检测器。对所有区域的有毒气体检测系统的报警信号及状态信号进行实时监视。</w:t>
      </w:r>
    </w:p>
    <w:p w14:paraId="0F6A32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single"/>
          <w:lang w:val="en-US" w:eastAsia="zh-CN"/>
        </w:rPr>
      </w:pPr>
      <w:r>
        <w:rPr>
          <w:rFonts w:hint="eastAsia" w:cs="Times New Roman"/>
          <w:color w:val="auto"/>
          <w:sz w:val="24"/>
          <w:szCs w:val="24"/>
          <w:u w:val="single"/>
          <w:lang w:val="en-US" w:eastAsia="zh-CN"/>
        </w:rPr>
        <w:t>加氯间内设置安全操作规程、设施保养和保卫制度等。</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E27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vAlign w:val="center"/>
          </w:tcPr>
          <w:p w14:paraId="0974D3A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Times New Roman" w:hAnsi="Times New Roman" w:cs="Times New Roman"/>
                <w:color w:val="auto"/>
                <w:sz w:val="24"/>
                <w:szCs w:val="24"/>
                <w:vertAlign w:val="baseline"/>
                <w:lang w:val="en-US" w:eastAsia="zh-CN"/>
              </w:rPr>
            </w:pPr>
            <w:r>
              <w:drawing>
                <wp:inline distT="0" distB="0" distL="114300" distR="114300">
                  <wp:extent cx="5268595" cy="2377440"/>
                  <wp:effectExtent l="0" t="0" r="8255" b="3810"/>
                  <wp:docPr id="1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5"/>
                          <pic:cNvPicPr>
                            <a:picLocks noChangeAspect="1"/>
                          </pic:cNvPicPr>
                        </pic:nvPicPr>
                        <pic:blipFill>
                          <a:blip r:embed="rId80"/>
                          <a:stretch>
                            <a:fillRect/>
                          </a:stretch>
                        </pic:blipFill>
                        <pic:spPr>
                          <a:xfrm>
                            <a:off x="0" y="0"/>
                            <a:ext cx="5268595" cy="2377440"/>
                          </a:xfrm>
                          <a:prstGeom prst="rect">
                            <a:avLst/>
                          </a:prstGeom>
                          <a:noFill/>
                          <a:ln>
                            <a:noFill/>
                          </a:ln>
                        </pic:spPr>
                      </pic:pic>
                    </a:graphicData>
                  </a:graphic>
                </wp:inline>
              </w:drawing>
            </w:r>
          </w:p>
        </w:tc>
      </w:tr>
      <w:tr w14:paraId="20CA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vAlign w:val="center"/>
          </w:tcPr>
          <w:p w14:paraId="66B683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bCs/>
                <w:color w:val="auto"/>
                <w:sz w:val="24"/>
                <w:szCs w:val="24"/>
                <w:lang w:val="en-US" w:eastAsia="zh-CN"/>
              </w:rPr>
            </w:pPr>
            <w:r>
              <w:rPr>
                <w:rFonts w:hint="eastAsia" w:cs="Times New Roman"/>
                <w:b/>
                <w:bCs/>
                <w:color w:val="auto"/>
                <w:sz w:val="24"/>
                <w:szCs w:val="24"/>
                <w:lang w:val="en-US" w:eastAsia="zh-CN"/>
              </w:rPr>
              <w:t>加氯间制度牌上墙</w:t>
            </w:r>
          </w:p>
        </w:tc>
      </w:tr>
    </w:tbl>
    <w:p w14:paraId="2D7BD7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② 应急监测 </w:t>
      </w:r>
    </w:p>
    <w:p w14:paraId="129E9A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发生环境风险应急事件引发污染事故后，应急指挥领导小组应迅速组织相关监测单位对事故现场以及周围环境进行连续不间断监测，及时了解厂区及环境敏感目标环境空气中污染物的浓度，对事故的性质、参数及各类污染物质的扩散程度进行评估，为指挥部门提供决策依据。</w:t>
      </w:r>
    </w:p>
    <w:p w14:paraId="1E237917">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cs="Times New Roman"/>
          <w:b/>
          <w:color w:val="auto"/>
          <w:sz w:val="28"/>
          <w:szCs w:val="28"/>
          <w:lang w:val="en-US" w:eastAsia="zh-CN"/>
        </w:rPr>
      </w:pPr>
      <w:r>
        <w:rPr>
          <w:rFonts w:hint="eastAsia" w:ascii="Times New Roman" w:hAnsi="Times New Roman" w:cs="Times New Roman"/>
          <w:b/>
          <w:color w:val="auto"/>
          <w:sz w:val="28"/>
          <w:szCs w:val="28"/>
          <w:lang w:val="en-US" w:eastAsia="zh-CN"/>
        </w:rPr>
        <w:t xml:space="preserve">8.3 突发环境事件应急预案编制要求 </w:t>
      </w:r>
    </w:p>
    <w:p w14:paraId="1A97E3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根据《中华人民共和国突发事件应对法》、《关于印发&lt;企业事业单位突发环境事件应急预案备案管理办法（试行）&gt;的通知》（环发〔2015〕4号），《关于进一步加强突发环境事件应急预案管理工作的通知》（湘环函〔2017〕107号）等相关要求，确保突发环境事件发生时能高效应对，从而降低环境事件风险，应制定突发环境事件应急预案。 </w:t>
      </w:r>
    </w:p>
    <w:p w14:paraId="632059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突发环境事件应急预案至少应包括预案适用范围、环境事件分类与分级、组织机构与职责、监控和预警、应急响应、应急保障、善后处置、预案管理与演练等内容。企业突发环境事件应急预案应体现分级响应、区域联动的原则，与地方政府突发环境事件应急预案相衔接，明确分级响应程序。</w:t>
      </w:r>
    </w:p>
    <w:p w14:paraId="5A7C74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突发环境事件应急预案在内部企业应急预案和外部其他应急预案之间是横向关联及上下衔接关系。公司突发环境事件应急预案、岳阳楼区突发环境事件应急预案、岳阳市突发环境事件应急预案为上下衔接关系；与公司安全事故应急为横向关联关系，当发生火灾、爆炸事故、罐区储罐泄漏、生产装置泄漏、氯气库泄漏事故时应与安全事故应急预案衔接。</w:t>
      </w:r>
    </w:p>
    <w:p w14:paraId="717734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p>
    <w:p w14:paraId="7AEE0C7B">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eastAsia" w:ascii="Times New Roman" w:hAnsi="Times New Roman" w:cs="Times New Roman"/>
          <w:b/>
          <w:color w:val="auto"/>
          <w:sz w:val="30"/>
          <w:szCs w:val="30"/>
          <w:lang w:val="en-US" w:eastAsia="zh-CN"/>
        </w:rPr>
      </w:pPr>
      <w:r>
        <w:rPr>
          <w:rFonts w:hint="eastAsia" w:ascii="Times New Roman" w:hAnsi="Times New Roman" w:cs="Times New Roman"/>
          <w:b/>
          <w:color w:val="auto"/>
          <w:sz w:val="30"/>
          <w:szCs w:val="30"/>
          <w:lang w:val="en-US" w:eastAsia="zh-CN"/>
        </w:rPr>
        <w:t>9、环境风险评价结论与建议</w:t>
      </w:r>
    </w:p>
    <w:p w14:paraId="7742E6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项目</w:t>
      </w:r>
      <w:r>
        <w:rPr>
          <w:rFonts w:hint="eastAsia" w:cs="Times New Roman"/>
          <w:color w:val="auto"/>
          <w:sz w:val="24"/>
          <w:szCs w:val="24"/>
          <w:lang w:val="en-US" w:eastAsia="zh-CN"/>
        </w:rPr>
        <w:t>主要</w:t>
      </w:r>
      <w:r>
        <w:rPr>
          <w:rFonts w:hint="eastAsia" w:ascii="Times New Roman" w:hAnsi="Times New Roman" w:cs="Times New Roman"/>
          <w:color w:val="auto"/>
          <w:sz w:val="24"/>
          <w:szCs w:val="24"/>
          <w:lang w:val="en-US" w:eastAsia="zh-CN"/>
        </w:rPr>
        <w:t>涉及氯气、</w:t>
      </w:r>
      <w:r>
        <w:rPr>
          <w:rFonts w:hint="eastAsia" w:ascii="Times New Roman" w:hAnsi="Times New Roman" w:cs="Times New Roman"/>
          <w:color w:val="auto"/>
          <w:spacing w:val="6"/>
          <w:sz w:val="24"/>
          <w:szCs w:val="24"/>
          <w:lang w:val="en-US" w:eastAsia="zh-CN"/>
        </w:rPr>
        <w:t>聚合氯化铝</w:t>
      </w:r>
      <w:r>
        <w:rPr>
          <w:rFonts w:hint="eastAsia" w:cs="Times New Roman"/>
          <w:color w:val="auto"/>
          <w:spacing w:val="6"/>
          <w:sz w:val="24"/>
          <w:szCs w:val="24"/>
          <w:lang w:val="en-US" w:eastAsia="zh-CN"/>
        </w:rPr>
        <w:t>、</w:t>
      </w:r>
      <w:r>
        <w:rPr>
          <w:rFonts w:hint="eastAsia" w:ascii="Times New Roman" w:hAnsi="Times New Roman" w:cs="Times New Roman"/>
          <w:color w:val="auto"/>
          <w:sz w:val="24"/>
          <w:szCs w:val="24"/>
          <w:lang w:val="en-US" w:eastAsia="zh-CN"/>
        </w:rPr>
        <w:t>废</w:t>
      </w:r>
      <w:r>
        <w:rPr>
          <w:rFonts w:hint="eastAsia" w:cs="Times New Roman"/>
          <w:color w:val="auto"/>
          <w:sz w:val="24"/>
          <w:szCs w:val="24"/>
          <w:lang w:val="en-US" w:eastAsia="zh-CN"/>
        </w:rPr>
        <w:t>机</w:t>
      </w:r>
      <w:r>
        <w:rPr>
          <w:rFonts w:hint="eastAsia" w:ascii="Times New Roman" w:hAnsi="Times New Roman" w:cs="Times New Roman"/>
          <w:color w:val="auto"/>
          <w:sz w:val="24"/>
          <w:szCs w:val="24"/>
          <w:lang w:val="en-US" w:eastAsia="zh-CN"/>
        </w:rPr>
        <w:t>油等多种有毒有害、易燃</w:t>
      </w:r>
      <w:r>
        <w:rPr>
          <w:rFonts w:hint="eastAsia" w:cs="Times New Roman"/>
          <w:color w:val="auto"/>
          <w:sz w:val="24"/>
          <w:szCs w:val="24"/>
          <w:lang w:val="en-US" w:eastAsia="zh-CN"/>
        </w:rPr>
        <w:t>环境风险</w:t>
      </w:r>
      <w:r>
        <w:rPr>
          <w:rFonts w:hint="eastAsia" w:ascii="Times New Roman" w:hAnsi="Times New Roman" w:cs="Times New Roman"/>
          <w:color w:val="auto"/>
          <w:sz w:val="24"/>
          <w:szCs w:val="24"/>
          <w:lang w:val="en-US" w:eastAsia="zh-CN"/>
        </w:rPr>
        <w:t>物质，</w:t>
      </w:r>
      <w:r>
        <w:rPr>
          <w:rFonts w:hint="eastAsia" w:cs="Times New Roman"/>
          <w:color w:val="auto"/>
          <w:sz w:val="24"/>
          <w:szCs w:val="24"/>
          <w:lang w:val="en-US" w:eastAsia="zh-CN"/>
        </w:rPr>
        <w:t>最大可信事故发生的</w:t>
      </w:r>
      <w:r>
        <w:rPr>
          <w:rFonts w:hint="eastAsia" w:ascii="Times New Roman" w:hAnsi="Times New Roman" w:cs="Times New Roman"/>
          <w:color w:val="auto"/>
          <w:sz w:val="24"/>
          <w:szCs w:val="24"/>
          <w:lang w:val="en-US" w:eastAsia="zh-CN"/>
        </w:rPr>
        <w:t>危险因素主要为</w:t>
      </w:r>
      <w:r>
        <w:rPr>
          <w:rFonts w:hint="eastAsia" w:cs="Times New Roman"/>
          <w:color w:val="auto"/>
          <w:sz w:val="24"/>
          <w:szCs w:val="24"/>
          <w:lang w:val="en-US" w:eastAsia="zh-CN"/>
        </w:rPr>
        <w:t>有毒有害气体（氯气）</w:t>
      </w:r>
      <w:r>
        <w:rPr>
          <w:rFonts w:hint="eastAsia" w:ascii="Times New Roman" w:hAnsi="Times New Roman" w:cs="Times New Roman"/>
          <w:color w:val="auto"/>
          <w:sz w:val="24"/>
          <w:szCs w:val="24"/>
          <w:lang w:val="en-US" w:eastAsia="zh-CN"/>
        </w:rPr>
        <w:t>泄漏</w:t>
      </w:r>
      <w:r>
        <w:rPr>
          <w:rFonts w:hint="eastAsia" w:cs="Times New Roman"/>
          <w:color w:val="auto"/>
          <w:sz w:val="24"/>
          <w:szCs w:val="24"/>
          <w:lang w:val="en-US" w:eastAsia="zh-CN"/>
        </w:rPr>
        <w:t>、可燃易燃物质发生</w:t>
      </w:r>
      <w:r>
        <w:rPr>
          <w:rFonts w:hint="eastAsia" w:ascii="Times New Roman" w:hAnsi="Times New Roman" w:cs="Times New Roman"/>
          <w:color w:val="auto"/>
          <w:sz w:val="24"/>
          <w:szCs w:val="24"/>
          <w:lang w:val="en-US" w:eastAsia="zh-CN"/>
        </w:rPr>
        <w:t>火灾爆炸</w:t>
      </w:r>
      <w:r>
        <w:rPr>
          <w:rFonts w:hint="eastAsia" w:cs="Times New Roman"/>
          <w:color w:val="auto"/>
          <w:sz w:val="24"/>
          <w:szCs w:val="24"/>
          <w:lang w:val="en-US" w:eastAsia="zh-CN"/>
        </w:rPr>
        <w:t>等</w:t>
      </w:r>
      <w:r>
        <w:rPr>
          <w:rFonts w:hint="eastAsia" w:ascii="Times New Roman" w:hAnsi="Times New Roman" w:cs="Times New Roman"/>
          <w:color w:val="auto"/>
          <w:sz w:val="24"/>
          <w:szCs w:val="24"/>
          <w:lang w:val="en-US" w:eastAsia="zh-CN"/>
        </w:rPr>
        <w:t>，主要环境影响途径为大气</w:t>
      </w:r>
      <w:r>
        <w:rPr>
          <w:rFonts w:hint="eastAsia" w:cs="Times New Roman"/>
          <w:color w:val="auto"/>
          <w:sz w:val="24"/>
          <w:szCs w:val="24"/>
          <w:lang w:val="en-US" w:eastAsia="zh-CN"/>
        </w:rPr>
        <w:t>环境</w:t>
      </w:r>
      <w:r>
        <w:rPr>
          <w:rFonts w:hint="eastAsia" w:ascii="Times New Roman" w:hAnsi="Times New Roman" w:cs="Times New Roman"/>
          <w:color w:val="auto"/>
          <w:sz w:val="24"/>
          <w:szCs w:val="24"/>
          <w:lang w:val="en-US" w:eastAsia="zh-CN"/>
        </w:rPr>
        <w:t>。项目实施后严格按照环境风险防范措施对风险源进行防范，加强环境风险管理和监控，及时制定和修订</w:t>
      </w:r>
      <w:r>
        <w:rPr>
          <w:rFonts w:hint="eastAsia" w:cs="Times New Roman"/>
          <w:color w:val="auto"/>
          <w:sz w:val="24"/>
          <w:szCs w:val="24"/>
          <w:lang w:val="en-US" w:eastAsia="zh-CN"/>
        </w:rPr>
        <w:t>企业</w:t>
      </w:r>
      <w:r>
        <w:rPr>
          <w:rFonts w:hint="eastAsia" w:ascii="Times New Roman" w:hAnsi="Times New Roman" w:cs="Times New Roman"/>
          <w:color w:val="auto"/>
          <w:sz w:val="24"/>
          <w:szCs w:val="24"/>
          <w:lang w:val="en-US" w:eastAsia="zh-CN"/>
        </w:rPr>
        <w:t>突发环境事件应急预案，并与地方政府突发环境事件应急预案相衔接。</w:t>
      </w:r>
    </w:p>
    <w:p w14:paraId="365A8C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综上所述，在严格落实报告提出的环境风险防范和应急措施前提下，项目环境风险可防控。当发生事故时，建设单位应严格按照应急预案要求采取必要的风险防范和应急措施，降低对外环境的影响程度；必要时，应按照应急预案要求对事故影响范围内下风向的人群进行疏散和撤离，避免人员伤亡。</w:t>
      </w:r>
    </w:p>
    <w:p w14:paraId="5569C0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p>
    <w:p w14:paraId="5FC59A7F">
      <w:pPr>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br w:type="page"/>
      </w:r>
    </w:p>
    <w:p w14:paraId="3E9DC2E2">
      <w:pPr>
        <w:jc w:val="both"/>
        <w:outlineLvl w:val="1"/>
        <w:rPr>
          <w:rFonts w:hint="default" w:ascii="Times New Roman" w:hAnsi="Times New Roman" w:eastAsia="宋体" w:cs="Times New Roman"/>
          <w:b/>
          <w:bCs/>
          <w:snapToGrid w:val="0"/>
          <w:color w:val="auto"/>
          <w:kern w:val="0"/>
          <w:sz w:val="24"/>
          <w:szCs w:val="24"/>
          <w:u w:val="none" w:color="auto"/>
          <w:lang w:val="en-US" w:eastAsia="en-US" w:bidi="ar-SA"/>
        </w:rPr>
      </w:pPr>
      <w:bookmarkStart w:id="85" w:name="_Toc32525"/>
      <w:bookmarkStart w:id="86" w:name="_Toc4256"/>
      <w:bookmarkStart w:id="87" w:name="_Toc19382"/>
      <w:r>
        <w:rPr>
          <w:rFonts w:hint="default" w:ascii="Times New Roman" w:hAnsi="Times New Roman" w:eastAsia="宋体" w:cs="Times New Roman"/>
          <w:b/>
          <w:bCs/>
          <w:snapToGrid w:val="0"/>
          <w:color w:val="auto"/>
          <w:kern w:val="0"/>
          <w:sz w:val="24"/>
          <w:szCs w:val="24"/>
          <w:u w:val="none" w:color="auto"/>
          <w:lang w:val="en-US" w:eastAsia="en-US" w:bidi="ar-SA"/>
        </w:rPr>
        <w:t>附表</w:t>
      </w:r>
      <w:r>
        <w:rPr>
          <w:rFonts w:hint="default" w:ascii="Times New Roman" w:hAnsi="Times New Roman" w:eastAsia="宋体" w:cs="Times New Roman"/>
          <w:b/>
          <w:bCs/>
          <w:snapToGrid w:val="0"/>
          <w:color w:val="auto"/>
          <w:kern w:val="0"/>
          <w:sz w:val="24"/>
          <w:szCs w:val="24"/>
          <w:u w:val="none" w:color="auto"/>
          <w:lang w:val="en-US" w:eastAsia="zh-CN" w:bidi="ar-SA"/>
        </w:rPr>
        <w:t>1</w:t>
      </w:r>
      <w:r>
        <w:rPr>
          <w:rFonts w:hint="default" w:ascii="Times New Roman" w:hAnsi="Times New Roman" w:eastAsia="宋体" w:cs="Times New Roman"/>
          <w:b/>
          <w:bCs/>
          <w:snapToGrid w:val="0"/>
          <w:color w:val="auto"/>
          <w:kern w:val="0"/>
          <w:sz w:val="24"/>
          <w:szCs w:val="24"/>
          <w:u w:val="none" w:color="auto"/>
          <w:lang w:val="en-US" w:eastAsia="en-US" w:bidi="ar-SA"/>
        </w:rPr>
        <w:t xml:space="preserve"> </w:t>
      </w:r>
      <w:r>
        <w:rPr>
          <w:rFonts w:hint="default" w:ascii="Times New Roman" w:hAnsi="Times New Roman" w:eastAsia="宋体" w:cs="Times New Roman"/>
          <w:b/>
          <w:bCs/>
          <w:snapToGrid w:val="0"/>
          <w:color w:val="auto"/>
          <w:kern w:val="0"/>
          <w:sz w:val="24"/>
          <w:szCs w:val="24"/>
          <w:u w:val="none" w:color="auto"/>
          <w:lang w:val="en-US" w:eastAsia="zh-CN" w:bidi="ar-SA"/>
        </w:rPr>
        <w:t xml:space="preserve"> </w:t>
      </w:r>
      <w:r>
        <w:rPr>
          <w:rFonts w:hint="default" w:ascii="Times New Roman" w:hAnsi="Times New Roman" w:eastAsia="宋体" w:cs="Times New Roman"/>
          <w:b/>
          <w:bCs/>
          <w:snapToGrid w:val="0"/>
          <w:color w:val="auto"/>
          <w:kern w:val="0"/>
          <w:sz w:val="24"/>
          <w:szCs w:val="24"/>
          <w:u w:val="none" w:color="auto"/>
          <w:lang w:val="en-US" w:eastAsia="en-US" w:bidi="ar-SA"/>
        </w:rPr>
        <w:t>建设项目环境风险评价自查表</w:t>
      </w:r>
      <w:bookmarkEnd w:id="85"/>
      <w:bookmarkEnd w:id="86"/>
      <w:bookmarkEnd w:id="87"/>
    </w:p>
    <w:tbl>
      <w:tblPr>
        <w:tblStyle w:val="24"/>
        <w:tblW w:w="50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425"/>
        <w:gridCol w:w="11"/>
        <w:gridCol w:w="708"/>
        <w:gridCol w:w="692"/>
        <w:gridCol w:w="515"/>
        <w:gridCol w:w="72"/>
        <w:gridCol w:w="443"/>
        <w:gridCol w:w="515"/>
        <w:gridCol w:w="35"/>
        <w:gridCol w:w="480"/>
        <w:gridCol w:w="515"/>
        <w:gridCol w:w="389"/>
        <w:gridCol w:w="126"/>
        <w:gridCol w:w="462"/>
        <w:gridCol w:w="53"/>
        <w:gridCol w:w="359"/>
        <w:gridCol w:w="156"/>
        <w:gridCol w:w="515"/>
        <w:gridCol w:w="4"/>
        <w:gridCol w:w="511"/>
        <w:gridCol w:w="515"/>
        <w:gridCol w:w="515"/>
        <w:gridCol w:w="505"/>
        <w:gridCol w:w="21"/>
      </w:tblGrid>
      <w:tr w14:paraId="0200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tblHeader/>
          <w:jc w:val="center"/>
        </w:trPr>
        <w:tc>
          <w:tcPr>
            <w:tcW w:w="669" w:type="pct"/>
            <w:gridSpan w:val="3"/>
            <w:tcBorders>
              <w:tl2br w:val="nil"/>
              <w:tr2bl w:val="nil"/>
            </w:tcBorders>
            <w:noWrap w:val="0"/>
            <w:vAlign w:val="center"/>
          </w:tcPr>
          <w:p w14:paraId="7BCA94DA">
            <w:pPr>
              <w:adjustRightInd w:val="0"/>
              <w:snapToGrid w:val="0"/>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工作内容</w:t>
            </w:r>
          </w:p>
        </w:tc>
        <w:tc>
          <w:tcPr>
            <w:tcW w:w="4318" w:type="pct"/>
            <w:gridSpan w:val="20"/>
            <w:tcBorders>
              <w:tl2br w:val="nil"/>
              <w:tr2bl w:val="nil"/>
            </w:tcBorders>
            <w:noWrap w:val="0"/>
            <w:vAlign w:val="center"/>
          </w:tcPr>
          <w:p w14:paraId="2F932DBB">
            <w:pPr>
              <w:adjustRightInd w:val="0"/>
              <w:snapToGrid w:val="0"/>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完成情况</w:t>
            </w:r>
          </w:p>
        </w:tc>
      </w:tr>
      <w:tr w14:paraId="31BC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716" w:hRule="atLeast"/>
          <w:jc w:val="center"/>
        </w:trPr>
        <w:tc>
          <w:tcPr>
            <w:tcW w:w="255" w:type="pct"/>
            <w:gridSpan w:val="2"/>
            <w:vMerge w:val="restart"/>
            <w:tcBorders>
              <w:tl2br w:val="nil"/>
              <w:tr2bl w:val="nil"/>
            </w:tcBorders>
            <w:noWrap w:val="0"/>
            <w:vAlign w:val="center"/>
          </w:tcPr>
          <w:p w14:paraId="4D7F164F">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风险调查</w:t>
            </w:r>
          </w:p>
        </w:tc>
        <w:tc>
          <w:tcPr>
            <w:tcW w:w="414" w:type="pct"/>
            <w:vMerge w:val="restart"/>
            <w:tcBorders>
              <w:tl2br w:val="nil"/>
              <w:tr2bl w:val="nil"/>
            </w:tcBorders>
            <w:noWrap w:val="0"/>
            <w:vAlign w:val="center"/>
          </w:tcPr>
          <w:p w14:paraId="753EE7E0">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风险物质</w:t>
            </w:r>
          </w:p>
        </w:tc>
        <w:tc>
          <w:tcPr>
            <w:tcW w:w="405" w:type="pct"/>
            <w:tcBorders>
              <w:tl2br w:val="nil"/>
              <w:tr2bl w:val="nil"/>
            </w:tcBorders>
            <w:noWrap w:val="0"/>
            <w:vAlign w:val="center"/>
          </w:tcPr>
          <w:p w14:paraId="6DE6647F">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名称</w:t>
            </w:r>
          </w:p>
        </w:tc>
        <w:tc>
          <w:tcPr>
            <w:tcW w:w="301" w:type="pct"/>
            <w:tcBorders>
              <w:tl2br w:val="nil"/>
              <w:tr2bl w:val="nil"/>
            </w:tcBorders>
            <w:noWrap w:val="0"/>
            <w:vAlign w:val="center"/>
          </w:tcPr>
          <w:p w14:paraId="6FE9A92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color="auto"/>
                <w:lang w:val="en-US" w:eastAsia="zh-CN" w:bidi="ar"/>
              </w:rPr>
            </w:pPr>
            <w:r>
              <w:rPr>
                <w:rFonts w:hint="eastAsia" w:ascii="宋体" w:hAnsi="宋体" w:eastAsia="宋体" w:cs="宋体"/>
                <w:i w:val="0"/>
                <w:iCs w:val="0"/>
                <w:color w:val="000000"/>
                <w:kern w:val="0"/>
                <w:sz w:val="21"/>
                <w:szCs w:val="21"/>
                <w:u w:val="none"/>
                <w:lang w:val="en-US" w:eastAsia="zh-CN" w:bidi="ar"/>
              </w:rPr>
              <w:t>液氯</w:t>
            </w:r>
          </w:p>
        </w:tc>
        <w:tc>
          <w:tcPr>
            <w:tcW w:w="301" w:type="pct"/>
            <w:gridSpan w:val="2"/>
            <w:tcBorders>
              <w:tl2br w:val="nil"/>
              <w:tr2bl w:val="nil"/>
            </w:tcBorders>
            <w:noWrap w:val="0"/>
            <w:vAlign w:val="center"/>
          </w:tcPr>
          <w:p w14:paraId="4E09B1BF">
            <w:pPr>
              <w:keepNext w:val="0"/>
              <w:keepLines w:val="0"/>
              <w:widowControl/>
              <w:suppressLineNumbers w:val="0"/>
              <w:jc w:val="center"/>
              <w:textAlignment w:val="center"/>
              <w:rPr>
                <w:rFonts w:hint="default" w:ascii="Times New Roman" w:hAnsi="Times New Roman" w:eastAsia="宋体" w:cs="Times New Roman"/>
                <w:i w:val="0"/>
                <w:iCs w:val="0"/>
                <w:strike/>
                <w:color w:val="auto"/>
                <w:kern w:val="0"/>
                <w:sz w:val="21"/>
                <w:szCs w:val="21"/>
                <w:u w:val="none" w:color="auto"/>
                <w:lang w:val="en-US" w:eastAsia="zh-CN" w:bidi="ar"/>
              </w:rPr>
            </w:pPr>
            <w:r>
              <w:rPr>
                <w:rFonts w:hint="eastAsia" w:ascii="宋体" w:hAnsi="宋体" w:eastAsia="宋体" w:cs="宋体"/>
                <w:i w:val="0"/>
                <w:iCs w:val="0"/>
                <w:color w:val="000000"/>
                <w:kern w:val="0"/>
                <w:sz w:val="21"/>
                <w:szCs w:val="21"/>
                <w:u w:val="none"/>
                <w:lang w:val="en-US" w:eastAsia="zh-CN" w:bidi="ar"/>
              </w:rPr>
              <w:t>聚合氯化铝</w:t>
            </w:r>
          </w:p>
        </w:tc>
        <w:tc>
          <w:tcPr>
            <w:tcW w:w="301" w:type="pct"/>
            <w:tcBorders>
              <w:tl2br w:val="nil"/>
              <w:tr2bl w:val="nil"/>
            </w:tcBorders>
            <w:noWrap w:val="0"/>
            <w:vAlign w:val="center"/>
          </w:tcPr>
          <w:p w14:paraId="20672D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eastAsia" w:ascii="宋体" w:hAnsi="宋体" w:eastAsia="宋体" w:cs="宋体"/>
                <w:i w:val="0"/>
                <w:iCs w:val="0"/>
                <w:color w:val="000000"/>
                <w:kern w:val="0"/>
                <w:sz w:val="21"/>
                <w:szCs w:val="21"/>
                <w:u w:val="none"/>
                <w:lang w:val="en-US" w:eastAsia="zh-CN" w:bidi="ar"/>
              </w:rPr>
              <w:t>氯气</w:t>
            </w:r>
          </w:p>
        </w:tc>
        <w:tc>
          <w:tcPr>
            <w:tcW w:w="301" w:type="pct"/>
            <w:gridSpan w:val="2"/>
            <w:tcBorders>
              <w:tl2br w:val="nil"/>
              <w:tr2bl w:val="nil"/>
            </w:tcBorders>
            <w:noWrap w:val="0"/>
            <w:vAlign w:val="center"/>
          </w:tcPr>
          <w:p w14:paraId="17B139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盐酸</w:t>
            </w:r>
          </w:p>
        </w:tc>
        <w:tc>
          <w:tcPr>
            <w:tcW w:w="301" w:type="pct"/>
            <w:tcBorders>
              <w:tl2br w:val="nil"/>
              <w:tr2bl w:val="nil"/>
            </w:tcBorders>
            <w:noWrap w:val="0"/>
            <w:vAlign w:val="center"/>
          </w:tcPr>
          <w:p w14:paraId="278F1F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硝酸</w:t>
            </w:r>
          </w:p>
        </w:tc>
        <w:tc>
          <w:tcPr>
            <w:tcW w:w="301" w:type="pct"/>
            <w:gridSpan w:val="2"/>
            <w:tcBorders>
              <w:tl2br w:val="nil"/>
              <w:tr2bl w:val="nil"/>
            </w:tcBorders>
            <w:noWrap w:val="0"/>
            <w:vAlign w:val="center"/>
          </w:tcPr>
          <w:p w14:paraId="01DFC1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硫酸</w:t>
            </w:r>
          </w:p>
        </w:tc>
        <w:tc>
          <w:tcPr>
            <w:tcW w:w="301" w:type="pct"/>
            <w:gridSpan w:val="2"/>
            <w:tcBorders>
              <w:tl2br w:val="nil"/>
              <w:tr2bl w:val="nil"/>
            </w:tcBorders>
            <w:noWrap w:val="0"/>
            <w:vAlign w:val="center"/>
          </w:tcPr>
          <w:p w14:paraId="6F443E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eastAsia" w:ascii="宋体" w:hAnsi="宋体" w:eastAsia="宋体" w:cs="宋体"/>
                <w:i w:val="0"/>
                <w:iCs w:val="0"/>
                <w:color w:val="000000"/>
                <w:kern w:val="0"/>
                <w:sz w:val="21"/>
                <w:szCs w:val="21"/>
                <w:u w:val="none"/>
                <w:lang w:val="en-US" w:eastAsia="zh-CN" w:bidi="ar"/>
              </w:rPr>
              <w:t>氨水</w:t>
            </w:r>
          </w:p>
        </w:tc>
        <w:tc>
          <w:tcPr>
            <w:tcW w:w="301" w:type="pct"/>
            <w:gridSpan w:val="2"/>
            <w:tcBorders>
              <w:tl2br w:val="nil"/>
              <w:tr2bl w:val="nil"/>
            </w:tcBorders>
            <w:noWrap w:val="0"/>
            <w:vAlign w:val="center"/>
          </w:tcPr>
          <w:p w14:paraId="4CEDBF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eastAsia" w:ascii="宋体" w:hAnsi="宋体" w:eastAsia="宋体" w:cs="宋体"/>
                <w:i w:val="0"/>
                <w:iCs w:val="0"/>
                <w:color w:val="000000"/>
                <w:kern w:val="0"/>
                <w:sz w:val="21"/>
                <w:szCs w:val="21"/>
                <w:u w:val="none"/>
                <w:lang w:val="en-US" w:eastAsia="zh-CN" w:bidi="ar"/>
              </w:rPr>
              <w:t>氢氧化钠</w:t>
            </w:r>
          </w:p>
        </w:tc>
        <w:tc>
          <w:tcPr>
            <w:tcW w:w="301" w:type="pct"/>
            <w:tcBorders>
              <w:tl2br w:val="nil"/>
              <w:tr2bl w:val="nil"/>
            </w:tcBorders>
            <w:noWrap w:val="0"/>
            <w:vAlign w:val="center"/>
          </w:tcPr>
          <w:p w14:paraId="7058A749">
            <w:pPr>
              <w:keepNext w:val="0"/>
              <w:keepLines w:val="0"/>
              <w:widowControl/>
              <w:suppressLineNumbers w:val="0"/>
              <w:jc w:val="center"/>
              <w:textAlignment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酒精消毒液</w:t>
            </w:r>
          </w:p>
        </w:tc>
        <w:tc>
          <w:tcPr>
            <w:tcW w:w="301" w:type="pct"/>
            <w:gridSpan w:val="2"/>
            <w:tcBorders>
              <w:tl2br w:val="nil"/>
              <w:tr2bl w:val="nil"/>
            </w:tcBorders>
            <w:noWrap w:val="0"/>
            <w:vAlign w:val="center"/>
          </w:tcPr>
          <w:p w14:paraId="09ABAB13">
            <w:pPr>
              <w:keepNext w:val="0"/>
              <w:keepLines w:val="0"/>
              <w:widowControl/>
              <w:suppressLineNumbers w:val="0"/>
              <w:jc w:val="center"/>
              <w:textAlignment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冰醋酸</w:t>
            </w:r>
          </w:p>
        </w:tc>
        <w:tc>
          <w:tcPr>
            <w:tcW w:w="301" w:type="pct"/>
            <w:tcBorders>
              <w:tl2br w:val="nil"/>
              <w:tr2bl w:val="nil"/>
            </w:tcBorders>
            <w:noWrap w:val="0"/>
            <w:vAlign w:val="center"/>
          </w:tcPr>
          <w:p w14:paraId="13CC9FD0">
            <w:pPr>
              <w:keepNext w:val="0"/>
              <w:keepLines w:val="0"/>
              <w:widowControl/>
              <w:suppressLineNumbers w:val="0"/>
              <w:jc w:val="center"/>
              <w:textAlignment w:val="center"/>
              <w:rPr>
                <w:rFonts w:hint="default" w:ascii="Times New Roman" w:hAnsi="Times New Roman" w:eastAsia="宋体" w:cs="Times New Roman"/>
                <w:kern w:val="0"/>
                <w:sz w:val="21"/>
                <w:szCs w:val="21"/>
                <w:lang w:val="zh-CN" w:eastAsia="zh-CN" w:bidi="ar-SA"/>
              </w:rPr>
            </w:pPr>
            <w:r>
              <w:rPr>
                <w:rFonts w:hint="eastAsia" w:ascii="宋体" w:hAnsi="宋体" w:eastAsia="宋体" w:cs="宋体"/>
                <w:i w:val="0"/>
                <w:iCs w:val="0"/>
                <w:color w:val="000000"/>
                <w:kern w:val="0"/>
                <w:sz w:val="21"/>
                <w:szCs w:val="21"/>
                <w:u w:val="none"/>
                <w:lang w:val="en-US" w:eastAsia="zh-CN" w:bidi="ar"/>
              </w:rPr>
              <w:t>废机油</w:t>
            </w:r>
          </w:p>
        </w:tc>
        <w:tc>
          <w:tcPr>
            <w:tcW w:w="301" w:type="pct"/>
            <w:tcBorders>
              <w:tl2br w:val="nil"/>
              <w:tr2bl w:val="nil"/>
            </w:tcBorders>
            <w:noWrap w:val="0"/>
            <w:vAlign w:val="center"/>
          </w:tcPr>
          <w:p w14:paraId="779F5FA4">
            <w:pPr>
              <w:keepNext w:val="0"/>
              <w:keepLines w:val="0"/>
              <w:widowControl/>
              <w:suppressLineNumbers w:val="0"/>
              <w:jc w:val="center"/>
              <w:textAlignment w:val="center"/>
              <w:rPr>
                <w:rFonts w:hint="default" w:ascii="Times New Roman" w:hAnsi="Times New Roman" w:eastAsia="宋体" w:cs="Times New Roman"/>
                <w:kern w:val="0"/>
                <w:sz w:val="21"/>
                <w:szCs w:val="21"/>
                <w:lang w:val="zh-CN" w:eastAsia="zh-CN" w:bidi="ar-SA"/>
              </w:rPr>
            </w:pPr>
            <w:r>
              <w:rPr>
                <w:rFonts w:hint="eastAsia" w:ascii="宋体" w:hAnsi="宋体" w:eastAsia="宋体" w:cs="宋体"/>
                <w:i w:val="0"/>
                <w:iCs w:val="0"/>
                <w:color w:val="000000"/>
                <w:kern w:val="0"/>
                <w:sz w:val="21"/>
                <w:szCs w:val="21"/>
                <w:u w:val="none"/>
                <w:lang w:val="en-US" w:eastAsia="zh-CN" w:bidi="ar"/>
              </w:rPr>
              <w:t>含油抹布</w:t>
            </w:r>
          </w:p>
        </w:tc>
        <w:tc>
          <w:tcPr>
            <w:tcW w:w="307" w:type="pct"/>
            <w:gridSpan w:val="2"/>
            <w:tcBorders>
              <w:tl2br w:val="nil"/>
              <w:tr2bl w:val="nil"/>
            </w:tcBorders>
            <w:noWrap w:val="0"/>
            <w:vAlign w:val="center"/>
          </w:tcPr>
          <w:p w14:paraId="45970AAF">
            <w:pPr>
              <w:keepNext w:val="0"/>
              <w:keepLines w:val="0"/>
              <w:widowControl/>
              <w:suppressLineNumbers w:val="0"/>
              <w:jc w:val="center"/>
              <w:textAlignment w:val="center"/>
              <w:rPr>
                <w:rFonts w:hint="default" w:ascii="Times New Roman" w:hAnsi="Times New Roman" w:eastAsia="宋体" w:cs="Times New Roman"/>
                <w:kern w:val="0"/>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废油桶</w:t>
            </w:r>
          </w:p>
        </w:tc>
      </w:tr>
      <w:tr w14:paraId="0A57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55" w:type="pct"/>
            <w:gridSpan w:val="2"/>
            <w:vMerge w:val="continue"/>
            <w:tcBorders>
              <w:tl2br w:val="nil"/>
              <w:tr2bl w:val="nil"/>
            </w:tcBorders>
            <w:noWrap w:val="0"/>
            <w:vAlign w:val="center"/>
          </w:tcPr>
          <w:p w14:paraId="5769AA65">
            <w:pPr>
              <w:widowControl/>
              <w:jc w:val="left"/>
              <w:rPr>
                <w:rFonts w:hint="default" w:ascii="Times New Roman" w:hAnsi="Times New Roman" w:cs="Times New Roman"/>
                <w:color w:val="auto"/>
                <w:sz w:val="21"/>
                <w:szCs w:val="21"/>
                <w:highlight w:val="none"/>
                <w:u w:val="none" w:color="auto"/>
              </w:rPr>
            </w:pPr>
          </w:p>
        </w:tc>
        <w:tc>
          <w:tcPr>
            <w:tcW w:w="414" w:type="pct"/>
            <w:vMerge w:val="continue"/>
            <w:tcBorders>
              <w:tl2br w:val="nil"/>
              <w:tr2bl w:val="nil"/>
            </w:tcBorders>
            <w:noWrap w:val="0"/>
            <w:vAlign w:val="center"/>
          </w:tcPr>
          <w:p w14:paraId="2CEF843D">
            <w:pPr>
              <w:widowControl/>
              <w:jc w:val="left"/>
              <w:rPr>
                <w:rFonts w:hint="default" w:ascii="Times New Roman" w:hAnsi="Times New Roman" w:cs="Times New Roman"/>
                <w:color w:val="auto"/>
                <w:sz w:val="21"/>
                <w:szCs w:val="21"/>
                <w:highlight w:val="none"/>
                <w:u w:val="none" w:color="auto"/>
              </w:rPr>
            </w:pPr>
          </w:p>
        </w:tc>
        <w:tc>
          <w:tcPr>
            <w:tcW w:w="405" w:type="pct"/>
            <w:tcBorders>
              <w:tl2br w:val="nil"/>
              <w:tr2bl w:val="nil"/>
            </w:tcBorders>
            <w:noWrap w:val="0"/>
            <w:vAlign w:val="center"/>
          </w:tcPr>
          <w:p w14:paraId="0C9A69A8">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存在总量/t</w:t>
            </w:r>
          </w:p>
        </w:tc>
        <w:tc>
          <w:tcPr>
            <w:tcW w:w="515" w:type="dxa"/>
            <w:tcBorders>
              <w:tl2br w:val="nil"/>
              <w:tr2bl w:val="nil"/>
            </w:tcBorders>
            <w:noWrap w:val="0"/>
            <w:vAlign w:val="center"/>
          </w:tcPr>
          <w:p w14:paraId="779EF9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515" w:type="dxa"/>
            <w:gridSpan w:val="2"/>
            <w:tcBorders>
              <w:tl2br w:val="nil"/>
              <w:tr2bl w:val="nil"/>
            </w:tcBorders>
            <w:noWrap w:val="0"/>
            <w:vAlign w:val="center"/>
          </w:tcPr>
          <w:p w14:paraId="349D607E">
            <w:pPr>
              <w:keepNext w:val="0"/>
              <w:keepLines w:val="0"/>
              <w:widowControl/>
              <w:suppressLineNumbers w:val="0"/>
              <w:jc w:val="center"/>
              <w:textAlignment w:val="center"/>
              <w:rPr>
                <w:rFonts w:hint="default" w:ascii="Times New Roman" w:hAnsi="Times New Roman" w:eastAsia="宋体" w:cs="Times New Roman"/>
                <w:i w:val="0"/>
                <w:iCs w:val="0"/>
                <w:strike/>
                <w:color w:val="000000"/>
                <w:kern w:val="0"/>
                <w:sz w:val="21"/>
                <w:szCs w:val="21"/>
                <w:highlight w:val="none"/>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110</w:t>
            </w:r>
          </w:p>
        </w:tc>
        <w:tc>
          <w:tcPr>
            <w:tcW w:w="515" w:type="dxa"/>
            <w:tcBorders>
              <w:tl2br w:val="nil"/>
              <w:tr2bl w:val="nil"/>
            </w:tcBorders>
            <w:noWrap w:val="0"/>
            <w:vAlign w:val="center"/>
          </w:tcPr>
          <w:p w14:paraId="1CD0BB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0.0277</w:t>
            </w:r>
          </w:p>
        </w:tc>
        <w:tc>
          <w:tcPr>
            <w:tcW w:w="515" w:type="dxa"/>
            <w:gridSpan w:val="2"/>
            <w:tcBorders>
              <w:tl2br w:val="nil"/>
              <w:tr2bl w:val="nil"/>
            </w:tcBorders>
            <w:noWrap w:val="0"/>
            <w:vAlign w:val="center"/>
          </w:tcPr>
          <w:p w14:paraId="51A75B3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0.000595</w:t>
            </w:r>
          </w:p>
        </w:tc>
        <w:tc>
          <w:tcPr>
            <w:tcW w:w="515" w:type="dxa"/>
            <w:tcBorders>
              <w:tl2br w:val="nil"/>
              <w:tr2bl w:val="nil"/>
            </w:tcBorders>
            <w:noWrap w:val="0"/>
            <w:vAlign w:val="center"/>
          </w:tcPr>
          <w:p w14:paraId="7EC563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0.00042</w:t>
            </w:r>
          </w:p>
        </w:tc>
        <w:tc>
          <w:tcPr>
            <w:tcW w:w="515" w:type="dxa"/>
            <w:gridSpan w:val="2"/>
            <w:tcBorders>
              <w:tl2br w:val="nil"/>
              <w:tr2bl w:val="nil"/>
            </w:tcBorders>
            <w:noWrap w:val="0"/>
            <w:vAlign w:val="center"/>
          </w:tcPr>
          <w:p w14:paraId="2955B0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0.00736</w:t>
            </w:r>
          </w:p>
        </w:tc>
        <w:tc>
          <w:tcPr>
            <w:tcW w:w="515" w:type="dxa"/>
            <w:gridSpan w:val="2"/>
            <w:tcBorders>
              <w:tl2br w:val="nil"/>
              <w:tr2bl w:val="nil"/>
            </w:tcBorders>
            <w:noWrap w:val="0"/>
            <w:vAlign w:val="center"/>
          </w:tcPr>
          <w:p w14:paraId="7C0B16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0.00045</w:t>
            </w:r>
          </w:p>
        </w:tc>
        <w:tc>
          <w:tcPr>
            <w:tcW w:w="515" w:type="dxa"/>
            <w:gridSpan w:val="2"/>
            <w:tcBorders>
              <w:tl2br w:val="nil"/>
              <w:tr2bl w:val="nil"/>
            </w:tcBorders>
            <w:noWrap w:val="0"/>
            <w:vAlign w:val="center"/>
          </w:tcPr>
          <w:p w14:paraId="11E2ED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0.000675</w:t>
            </w:r>
          </w:p>
        </w:tc>
        <w:tc>
          <w:tcPr>
            <w:tcW w:w="515" w:type="dxa"/>
            <w:tcBorders>
              <w:tl2br w:val="nil"/>
              <w:tr2bl w:val="nil"/>
            </w:tcBorders>
            <w:noWrap w:val="0"/>
            <w:vAlign w:val="center"/>
          </w:tcPr>
          <w:p w14:paraId="56E7621D">
            <w:pPr>
              <w:keepNext w:val="0"/>
              <w:keepLines w:val="0"/>
              <w:widowControl/>
              <w:suppressLineNumbers w:val="0"/>
              <w:jc w:val="center"/>
              <w:textAlignment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0.00085</w:t>
            </w:r>
          </w:p>
        </w:tc>
        <w:tc>
          <w:tcPr>
            <w:tcW w:w="515" w:type="dxa"/>
            <w:gridSpan w:val="2"/>
            <w:tcBorders>
              <w:tl2br w:val="nil"/>
              <w:tr2bl w:val="nil"/>
            </w:tcBorders>
            <w:noWrap w:val="0"/>
            <w:vAlign w:val="center"/>
          </w:tcPr>
          <w:p w14:paraId="74F19F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0.000105</w:t>
            </w:r>
          </w:p>
        </w:tc>
        <w:tc>
          <w:tcPr>
            <w:tcW w:w="515" w:type="dxa"/>
            <w:tcBorders>
              <w:tl2br w:val="nil"/>
              <w:tr2bl w:val="nil"/>
            </w:tcBorders>
            <w:noWrap w:val="0"/>
            <w:vAlign w:val="center"/>
          </w:tcPr>
          <w:p w14:paraId="1B24C3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515" w:type="dxa"/>
            <w:tcBorders>
              <w:tl2br w:val="nil"/>
              <w:tr2bl w:val="nil"/>
            </w:tcBorders>
            <w:noWrap w:val="0"/>
            <w:vAlign w:val="center"/>
          </w:tcPr>
          <w:p w14:paraId="09D1D8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w:t>
            </w:r>
          </w:p>
        </w:tc>
        <w:tc>
          <w:tcPr>
            <w:tcW w:w="526" w:type="dxa"/>
            <w:gridSpan w:val="2"/>
            <w:tcBorders>
              <w:tl2br w:val="nil"/>
              <w:tr2bl w:val="nil"/>
            </w:tcBorders>
            <w:noWrap w:val="0"/>
            <w:vAlign w:val="center"/>
          </w:tcPr>
          <w:p w14:paraId="4C37F4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color="auto"/>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w:t>
            </w:r>
          </w:p>
        </w:tc>
      </w:tr>
      <w:tr w14:paraId="3B21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55" w:type="pct"/>
            <w:gridSpan w:val="2"/>
            <w:vMerge w:val="continue"/>
            <w:tcBorders>
              <w:tl2br w:val="nil"/>
              <w:tr2bl w:val="nil"/>
            </w:tcBorders>
            <w:noWrap w:val="0"/>
            <w:vAlign w:val="center"/>
          </w:tcPr>
          <w:p w14:paraId="0474FB3C">
            <w:pPr>
              <w:widowControl/>
              <w:jc w:val="left"/>
              <w:rPr>
                <w:rFonts w:hint="default" w:ascii="Times New Roman" w:hAnsi="Times New Roman" w:cs="Times New Roman"/>
                <w:color w:val="auto"/>
                <w:sz w:val="21"/>
                <w:szCs w:val="21"/>
                <w:highlight w:val="none"/>
                <w:u w:val="none" w:color="auto"/>
              </w:rPr>
            </w:pPr>
          </w:p>
        </w:tc>
        <w:tc>
          <w:tcPr>
            <w:tcW w:w="414" w:type="pct"/>
            <w:vMerge w:val="restart"/>
            <w:tcBorders>
              <w:tl2br w:val="nil"/>
              <w:tr2bl w:val="nil"/>
            </w:tcBorders>
            <w:noWrap w:val="0"/>
            <w:vAlign w:val="center"/>
          </w:tcPr>
          <w:p w14:paraId="22274430">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环境敏感性</w:t>
            </w:r>
          </w:p>
        </w:tc>
        <w:tc>
          <w:tcPr>
            <w:tcW w:w="405" w:type="pct"/>
            <w:vMerge w:val="restart"/>
            <w:tcBorders>
              <w:tl2br w:val="nil"/>
              <w:tr2bl w:val="nil"/>
            </w:tcBorders>
            <w:noWrap w:val="0"/>
            <w:vAlign w:val="center"/>
          </w:tcPr>
          <w:p w14:paraId="69834AF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大气</w:t>
            </w:r>
          </w:p>
        </w:tc>
        <w:tc>
          <w:tcPr>
            <w:tcW w:w="2079" w:type="pct"/>
            <w:gridSpan w:val="10"/>
            <w:tcBorders>
              <w:tl2br w:val="nil"/>
              <w:tr2bl w:val="nil"/>
            </w:tcBorders>
            <w:noWrap w:val="0"/>
            <w:vAlign w:val="center"/>
          </w:tcPr>
          <w:p w14:paraId="269412E6">
            <w:pPr>
              <w:adjustRightInd w:val="0"/>
              <w:snapToGrid w:val="0"/>
              <w:jc w:val="center"/>
              <w:rPr>
                <w:rFonts w:hint="default" w:ascii="Times New Roman" w:hAnsi="Times New Roman" w:cs="Times New Roman"/>
                <w:color w:val="auto"/>
                <w:kern w:val="0"/>
                <w:sz w:val="21"/>
                <w:szCs w:val="21"/>
                <w:highlight w:val="none"/>
                <w:u w:val="none" w:color="auto"/>
              </w:rPr>
            </w:pPr>
            <w:r>
              <w:rPr>
                <w:rFonts w:hint="default" w:ascii="Times New Roman" w:hAnsi="Times New Roman" w:cs="Times New Roman"/>
                <w:color w:val="auto"/>
                <w:kern w:val="0"/>
                <w:sz w:val="21"/>
                <w:szCs w:val="21"/>
                <w:highlight w:val="none"/>
                <w:u w:val="none" w:color="auto"/>
              </w:rPr>
              <w:t>500m范围内人口数</w:t>
            </w:r>
            <w:r>
              <w:rPr>
                <w:rFonts w:hint="default" w:ascii="Times New Roman" w:hAnsi="Times New Roman" w:cs="Times New Roman"/>
                <w:color w:val="auto"/>
                <w:kern w:val="0"/>
                <w:sz w:val="21"/>
                <w:szCs w:val="21"/>
                <w:highlight w:val="none"/>
                <w:u w:val="none" w:color="auto"/>
                <w:lang w:val="en-US" w:eastAsia="zh-CN"/>
              </w:rPr>
              <w:t>＞1000</w:t>
            </w:r>
            <w:r>
              <w:rPr>
                <w:rFonts w:hint="default" w:ascii="Times New Roman" w:hAnsi="Times New Roman" w:cs="Times New Roman"/>
                <w:color w:val="auto"/>
                <w:kern w:val="0"/>
                <w:sz w:val="21"/>
                <w:szCs w:val="21"/>
                <w:highlight w:val="none"/>
                <w:u w:val="none" w:color="auto"/>
              </w:rPr>
              <w:t xml:space="preserve"> 人</w:t>
            </w:r>
          </w:p>
        </w:tc>
        <w:tc>
          <w:tcPr>
            <w:tcW w:w="1833" w:type="pct"/>
            <w:gridSpan w:val="9"/>
            <w:tcBorders>
              <w:tl2br w:val="nil"/>
              <w:tr2bl w:val="nil"/>
            </w:tcBorders>
            <w:noWrap w:val="0"/>
            <w:vAlign w:val="center"/>
          </w:tcPr>
          <w:p w14:paraId="776E2D78">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kern w:val="0"/>
                <w:sz w:val="21"/>
                <w:szCs w:val="21"/>
                <w:highlight w:val="none"/>
                <w:u w:val="none" w:color="auto"/>
              </w:rPr>
              <w:t>5km范围内人口数</w:t>
            </w:r>
            <w:r>
              <w:rPr>
                <w:rFonts w:hint="default" w:ascii="Times New Roman" w:hAnsi="Times New Roman" w:cs="Times New Roman"/>
                <w:color w:val="auto"/>
                <w:kern w:val="0"/>
                <w:sz w:val="21"/>
                <w:szCs w:val="21"/>
                <w:highlight w:val="none"/>
                <w:u w:val="none" w:color="auto"/>
                <w:lang w:val="en-US" w:eastAsia="zh-CN"/>
              </w:rPr>
              <w:t>＞5万人</w:t>
            </w:r>
          </w:p>
        </w:tc>
      </w:tr>
      <w:tr w14:paraId="207F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55" w:type="pct"/>
            <w:gridSpan w:val="2"/>
            <w:vMerge w:val="continue"/>
            <w:tcBorders>
              <w:tl2br w:val="nil"/>
              <w:tr2bl w:val="nil"/>
            </w:tcBorders>
            <w:noWrap w:val="0"/>
            <w:vAlign w:val="center"/>
          </w:tcPr>
          <w:p w14:paraId="34820A1C">
            <w:pPr>
              <w:widowControl/>
              <w:jc w:val="left"/>
              <w:rPr>
                <w:rFonts w:hint="default" w:ascii="Times New Roman" w:hAnsi="Times New Roman" w:cs="Times New Roman"/>
                <w:color w:val="auto"/>
                <w:sz w:val="21"/>
                <w:szCs w:val="21"/>
                <w:highlight w:val="none"/>
                <w:u w:val="none" w:color="auto"/>
              </w:rPr>
            </w:pPr>
          </w:p>
        </w:tc>
        <w:tc>
          <w:tcPr>
            <w:tcW w:w="414" w:type="pct"/>
            <w:vMerge w:val="continue"/>
            <w:tcBorders>
              <w:tl2br w:val="nil"/>
              <w:tr2bl w:val="nil"/>
            </w:tcBorders>
            <w:noWrap w:val="0"/>
            <w:vAlign w:val="center"/>
          </w:tcPr>
          <w:p w14:paraId="6F204F16">
            <w:pPr>
              <w:widowControl/>
              <w:jc w:val="left"/>
              <w:rPr>
                <w:rFonts w:hint="default" w:ascii="Times New Roman" w:hAnsi="Times New Roman" w:cs="Times New Roman"/>
                <w:color w:val="auto"/>
                <w:sz w:val="21"/>
                <w:szCs w:val="21"/>
                <w:highlight w:val="none"/>
                <w:u w:val="none" w:color="auto"/>
              </w:rPr>
            </w:pPr>
          </w:p>
        </w:tc>
        <w:tc>
          <w:tcPr>
            <w:tcW w:w="405" w:type="pct"/>
            <w:vMerge w:val="continue"/>
            <w:tcBorders>
              <w:tl2br w:val="nil"/>
              <w:tr2bl w:val="nil"/>
            </w:tcBorders>
            <w:noWrap w:val="0"/>
            <w:vAlign w:val="center"/>
          </w:tcPr>
          <w:p w14:paraId="6270EEC5">
            <w:pPr>
              <w:widowControl/>
              <w:jc w:val="left"/>
              <w:rPr>
                <w:rFonts w:hint="default" w:ascii="Times New Roman" w:hAnsi="Times New Roman" w:cs="Times New Roman"/>
                <w:color w:val="auto"/>
                <w:sz w:val="21"/>
                <w:szCs w:val="21"/>
                <w:highlight w:val="none"/>
                <w:u w:val="none" w:color="auto"/>
              </w:rPr>
            </w:pPr>
          </w:p>
        </w:tc>
        <w:tc>
          <w:tcPr>
            <w:tcW w:w="2715" w:type="pct"/>
            <w:gridSpan w:val="15"/>
            <w:tcBorders>
              <w:tl2br w:val="nil"/>
              <w:tr2bl w:val="nil"/>
            </w:tcBorders>
            <w:noWrap w:val="0"/>
            <w:vAlign w:val="center"/>
          </w:tcPr>
          <w:p w14:paraId="36490CFC">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每公里管段周边200m范围内人口数（最大）</w:t>
            </w:r>
          </w:p>
        </w:tc>
        <w:tc>
          <w:tcPr>
            <w:tcW w:w="1197" w:type="pct"/>
            <w:gridSpan w:val="4"/>
            <w:tcBorders>
              <w:tl2br w:val="nil"/>
              <w:tr2bl w:val="nil"/>
            </w:tcBorders>
            <w:noWrap w:val="0"/>
            <w:vAlign w:val="center"/>
          </w:tcPr>
          <w:p w14:paraId="6F76F7C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kern w:val="0"/>
                <w:sz w:val="21"/>
                <w:szCs w:val="21"/>
                <w:highlight w:val="none"/>
                <w:u w:val="none" w:color="auto"/>
              </w:rPr>
              <w:t xml:space="preserve">        人</w:t>
            </w:r>
          </w:p>
        </w:tc>
      </w:tr>
      <w:tr w14:paraId="7B78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55" w:type="pct"/>
            <w:gridSpan w:val="2"/>
            <w:vMerge w:val="continue"/>
            <w:tcBorders>
              <w:tl2br w:val="nil"/>
              <w:tr2bl w:val="nil"/>
            </w:tcBorders>
            <w:noWrap w:val="0"/>
            <w:vAlign w:val="center"/>
          </w:tcPr>
          <w:p w14:paraId="176A5DDE">
            <w:pPr>
              <w:widowControl/>
              <w:jc w:val="left"/>
              <w:rPr>
                <w:rFonts w:hint="default" w:ascii="Times New Roman" w:hAnsi="Times New Roman" w:cs="Times New Roman"/>
                <w:color w:val="auto"/>
                <w:sz w:val="21"/>
                <w:szCs w:val="21"/>
                <w:highlight w:val="none"/>
                <w:u w:val="none" w:color="auto"/>
              </w:rPr>
            </w:pPr>
          </w:p>
        </w:tc>
        <w:tc>
          <w:tcPr>
            <w:tcW w:w="414" w:type="pct"/>
            <w:vMerge w:val="continue"/>
            <w:tcBorders>
              <w:tl2br w:val="nil"/>
              <w:tr2bl w:val="nil"/>
            </w:tcBorders>
            <w:noWrap w:val="0"/>
            <w:vAlign w:val="center"/>
          </w:tcPr>
          <w:p w14:paraId="25EB3920">
            <w:pPr>
              <w:widowControl/>
              <w:jc w:val="left"/>
              <w:rPr>
                <w:rFonts w:hint="default" w:ascii="Times New Roman" w:hAnsi="Times New Roman" w:cs="Times New Roman"/>
                <w:color w:val="auto"/>
                <w:sz w:val="21"/>
                <w:szCs w:val="21"/>
                <w:highlight w:val="none"/>
                <w:u w:val="none" w:color="auto"/>
              </w:rPr>
            </w:pPr>
          </w:p>
        </w:tc>
        <w:tc>
          <w:tcPr>
            <w:tcW w:w="405" w:type="pct"/>
            <w:vMerge w:val="restart"/>
            <w:tcBorders>
              <w:tl2br w:val="nil"/>
              <w:tr2bl w:val="nil"/>
            </w:tcBorders>
            <w:noWrap w:val="0"/>
            <w:vAlign w:val="center"/>
          </w:tcPr>
          <w:p w14:paraId="677CB1FC">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地表水</w:t>
            </w:r>
          </w:p>
        </w:tc>
        <w:tc>
          <w:tcPr>
            <w:tcW w:w="924" w:type="pct"/>
            <w:gridSpan w:val="5"/>
            <w:tcBorders>
              <w:tl2br w:val="nil"/>
              <w:tr2bl w:val="nil"/>
            </w:tcBorders>
            <w:noWrap w:val="0"/>
            <w:vAlign w:val="center"/>
          </w:tcPr>
          <w:p w14:paraId="16886A3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地表水功能敏感性</w:t>
            </w:r>
          </w:p>
        </w:tc>
        <w:tc>
          <w:tcPr>
            <w:tcW w:w="810" w:type="pct"/>
            <w:gridSpan w:val="3"/>
            <w:tcBorders>
              <w:tl2br w:val="nil"/>
              <w:tr2bl w:val="nil"/>
            </w:tcBorders>
            <w:noWrap w:val="0"/>
            <w:vAlign w:val="center"/>
          </w:tcPr>
          <w:p w14:paraId="2A471EA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F1□</w:t>
            </w:r>
          </w:p>
        </w:tc>
        <w:tc>
          <w:tcPr>
            <w:tcW w:w="980" w:type="pct"/>
            <w:gridSpan w:val="7"/>
            <w:tcBorders>
              <w:tl2br w:val="nil"/>
              <w:tr2bl w:val="nil"/>
            </w:tcBorders>
            <w:noWrap w:val="0"/>
            <w:vAlign w:val="center"/>
          </w:tcPr>
          <w:p w14:paraId="672324A9">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F2</w:t>
            </w:r>
            <w:r>
              <w:rPr>
                <w:rFonts w:hint="eastAsia" w:cs="Times New Roman"/>
                <w:color w:val="auto"/>
                <w:sz w:val="21"/>
                <w:szCs w:val="21"/>
                <w:highlight w:val="none"/>
                <w:u w:val="none" w:color="auto"/>
                <w:lang w:eastAsia="zh-CN"/>
              </w:rPr>
              <w:t>☑</w:t>
            </w:r>
          </w:p>
        </w:tc>
        <w:tc>
          <w:tcPr>
            <w:tcW w:w="1197" w:type="pct"/>
            <w:gridSpan w:val="4"/>
            <w:tcBorders>
              <w:tl2br w:val="nil"/>
              <w:tr2bl w:val="nil"/>
            </w:tcBorders>
            <w:noWrap w:val="0"/>
            <w:vAlign w:val="center"/>
          </w:tcPr>
          <w:p w14:paraId="2242E2B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F3□</w:t>
            </w:r>
          </w:p>
        </w:tc>
      </w:tr>
      <w:tr w14:paraId="438C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55" w:type="pct"/>
            <w:gridSpan w:val="2"/>
            <w:vMerge w:val="continue"/>
            <w:tcBorders>
              <w:tl2br w:val="nil"/>
              <w:tr2bl w:val="nil"/>
            </w:tcBorders>
            <w:noWrap w:val="0"/>
            <w:vAlign w:val="center"/>
          </w:tcPr>
          <w:p w14:paraId="0CD5DE5D">
            <w:pPr>
              <w:widowControl/>
              <w:jc w:val="left"/>
              <w:rPr>
                <w:rFonts w:hint="default" w:ascii="Times New Roman" w:hAnsi="Times New Roman" w:cs="Times New Roman"/>
                <w:color w:val="auto"/>
                <w:sz w:val="21"/>
                <w:szCs w:val="21"/>
                <w:highlight w:val="none"/>
                <w:u w:val="none" w:color="auto"/>
              </w:rPr>
            </w:pPr>
          </w:p>
        </w:tc>
        <w:tc>
          <w:tcPr>
            <w:tcW w:w="414" w:type="pct"/>
            <w:vMerge w:val="continue"/>
            <w:tcBorders>
              <w:tl2br w:val="nil"/>
              <w:tr2bl w:val="nil"/>
            </w:tcBorders>
            <w:noWrap w:val="0"/>
            <w:vAlign w:val="center"/>
          </w:tcPr>
          <w:p w14:paraId="15EE57B0">
            <w:pPr>
              <w:widowControl/>
              <w:jc w:val="left"/>
              <w:rPr>
                <w:rFonts w:hint="default" w:ascii="Times New Roman" w:hAnsi="Times New Roman" w:cs="Times New Roman"/>
                <w:color w:val="auto"/>
                <w:sz w:val="21"/>
                <w:szCs w:val="21"/>
                <w:highlight w:val="none"/>
                <w:u w:val="none" w:color="auto"/>
              </w:rPr>
            </w:pPr>
          </w:p>
        </w:tc>
        <w:tc>
          <w:tcPr>
            <w:tcW w:w="405" w:type="pct"/>
            <w:vMerge w:val="continue"/>
            <w:tcBorders>
              <w:tl2br w:val="nil"/>
              <w:tr2bl w:val="nil"/>
            </w:tcBorders>
            <w:noWrap w:val="0"/>
            <w:vAlign w:val="center"/>
          </w:tcPr>
          <w:p w14:paraId="05AAA8CE">
            <w:pPr>
              <w:widowControl/>
              <w:jc w:val="left"/>
              <w:rPr>
                <w:rFonts w:hint="default" w:ascii="Times New Roman" w:hAnsi="Times New Roman" w:cs="Times New Roman"/>
                <w:color w:val="auto"/>
                <w:sz w:val="21"/>
                <w:szCs w:val="21"/>
                <w:highlight w:val="none"/>
                <w:u w:val="none" w:color="auto"/>
              </w:rPr>
            </w:pPr>
          </w:p>
        </w:tc>
        <w:tc>
          <w:tcPr>
            <w:tcW w:w="924" w:type="pct"/>
            <w:gridSpan w:val="5"/>
            <w:tcBorders>
              <w:tl2br w:val="nil"/>
              <w:tr2bl w:val="nil"/>
            </w:tcBorders>
            <w:noWrap w:val="0"/>
            <w:vAlign w:val="center"/>
          </w:tcPr>
          <w:p w14:paraId="24F168D1">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环境敏感目标分级</w:t>
            </w:r>
          </w:p>
        </w:tc>
        <w:tc>
          <w:tcPr>
            <w:tcW w:w="810" w:type="pct"/>
            <w:gridSpan w:val="3"/>
            <w:tcBorders>
              <w:tl2br w:val="nil"/>
              <w:tr2bl w:val="nil"/>
            </w:tcBorders>
            <w:noWrap w:val="0"/>
            <w:vAlign w:val="center"/>
          </w:tcPr>
          <w:p w14:paraId="37A68180">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S1</w:t>
            </w:r>
            <w:r>
              <w:rPr>
                <w:rFonts w:hint="eastAsia" w:cs="Times New Roman"/>
                <w:color w:val="auto"/>
                <w:sz w:val="21"/>
                <w:szCs w:val="21"/>
                <w:highlight w:val="none"/>
                <w:u w:val="none" w:color="auto"/>
                <w:lang w:eastAsia="zh-CN"/>
              </w:rPr>
              <w:t>☑</w:t>
            </w:r>
          </w:p>
        </w:tc>
        <w:tc>
          <w:tcPr>
            <w:tcW w:w="980" w:type="pct"/>
            <w:gridSpan w:val="7"/>
            <w:tcBorders>
              <w:tl2br w:val="nil"/>
              <w:tr2bl w:val="nil"/>
            </w:tcBorders>
            <w:noWrap w:val="0"/>
            <w:vAlign w:val="center"/>
          </w:tcPr>
          <w:p w14:paraId="58739F1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S2□</w:t>
            </w:r>
          </w:p>
        </w:tc>
        <w:tc>
          <w:tcPr>
            <w:tcW w:w="1197" w:type="pct"/>
            <w:gridSpan w:val="4"/>
            <w:tcBorders>
              <w:tl2br w:val="nil"/>
              <w:tr2bl w:val="nil"/>
            </w:tcBorders>
            <w:noWrap w:val="0"/>
            <w:vAlign w:val="center"/>
          </w:tcPr>
          <w:p w14:paraId="711FA22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S3□</w:t>
            </w:r>
          </w:p>
        </w:tc>
      </w:tr>
      <w:tr w14:paraId="45A8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55" w:type="pct"/>
            <w:gridSpan w:val="2"/>
            <w:vMerge w:val="continue"/>
            <w:tcBorders>
              <w:tl2br w:val="nil"/>
              <w:tr2bl w:val="nil"/>
            </w:tcBorders>
            <w:noWrap w:val="0"/>
            <w:vAlign w:val="center"/>
          </w:tcPr>
          <w:p w14:paraId="093DD6BF">
            <w:pPr>
              <w:widowControl/>
              <w:jc w:val="left"/>
              <w:rPr>
                <w:rFonts w:hint="default" w:ascii="Times New Roman" w:hAnsi="Times New Roman" w:cs="Times New Roman"/>
                <w:color w:val="auto"/>
                <w:sz w:val="21"/>
                <w:szCs w:val="21"/>
                <w:highlight w:val="none"/>
                <w:u w:val="none" w:color="auto"/>
              </w:rPr>
            </w:pPr>
          </w:p>
        </w:tc>
        <w:tc>
          <w:tcPr>
            <w:tcW w:w="414" w:type="pct"/>
            <w:vMerge w:val="continue"/>
            <w:tcBorders>
              <w:tl2br w:val="nil"/>
              <w:tr2bl w:val="nil"/>
            </w:tcBorders>
            <w:noWrap w:val="0"/>
            <w:vAlign w:val="center"/>
          </w:tcPr>
          <w:p w14:paraId="06273FD5">
            <w:pPr>
              <w:widowControl/>
              <w:jc w:val="left"/>
              <w:rPr>
                <w:rFonts w:hint="default" w:ascii="Times New Roman" w:hAnsi="Times New Roman" w:cs="Times New Roman"/>
                <w:color w:val="auto"/>
                <w:sz w:val="21"/>
                <w:szCs w:val="21"/>
                <w:highlight w:val="none"/>
                <w:u w:val="none" w:color="auto"/>
              </w:rPr>
            </w:pPr>
          </w:p>
        </w:tc>
        <w:tc>
          <w:tcPr>
            <w:tcW w:w="405" w:type="pct"/>
            <w:vMerge w:val="restart"/>
            <w:tcBorders>
              <w:tl2br w:val="nil"/>
              <w:tr2bl w:val="nil"/>
            </w:tcBorders>
            <w:noWrap w:val="0"/>
            <w:vAlign w:val="center"/>
          </w:tcPr>
          <w:p w14:paraId="2DD58D5C">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地下水</w:t>
            </w:r>
          </w:p>
        </w:tc>
        <w:tc>
          <w:tcPr>
            <w:tcW w:w="924" w:type="pct"/>
            <w:gridSpan w:val="5"/>
            <w:tcBorders>
              <w:tl2br w:val="nil"/>
              <w:tr2bl w:val="nil"/>
            </w:tcBorders>
            <w:noWrap w:val="0"/>
            <w:vAlign w:val="center"/>
          </w:tcPr>
          <w:p w14:paraId="6E01436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地下水功能敏感性</w:t>
            </w:r>
          </w:p>
        </w:tc>
        <w:tc>
          <w:tcPr>
            <w:tcW w:w="810" w:type="pct"/>
            <w:gridSpan w:val="3"/>
            <w:tcBorders>
              <w:tl2br w:val="nil"/>
              <w:tr2bl w:val="nil"/>
            </w:tcBorders>
            <w:noWrap w:val="0"/>
            <w:vAlign w:val="center"/>
          </w:tcPr>
          <w:p w14:paraId="76850458">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G1□</w:t>
            </w:r>
          </w:p>
        </w:tc>
        <w:tc>
          <w:tcPr>
            <w:tcW w:w="980" w:type="pct"/>
            <w:gridSpan w:val="7"/>
            <w:tcBorders>
              <w:tl2br w:val="nil"/>
              <w:tr2bl w:val="nil"/>
            </w:tcBorders>
            <w:noWrap w:val="0"/>
            <w:vAlign w:val="center"/>
          </w:tcPr>
          <w:p w14:paraId="0EEC1D07">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G2□</w:t>
            </w:r>
          </w:p>
        </w:tc>
        <w:tc>
          <w:tcPr>
            <w:tcW w:w="1197" w:type="pct"/>
            <w:gridSpan w:val="4"/>
            <w:tcBorders>
              <w:tl2br w:val="nil"/>
              <w:tr2bl w:val="nil"/>
            </w:tcBorders>
            <w:noWrap w:val="0"/>
            <w:vAlign w:val="center"/>
          </w:tcPr>
          <w:p w14:paraId="1CE18952">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G3</w:t>
            </w:r>
            <w:r>
              <w:rPr>
                <w:rFonts w:hint="eastAsia" w:cs="Times New Roman"/>
                <w:color w:val="auto"/>
                <w:sz w:val="21"/>
                <w:szCs w:val="21"/>
                <w:highlight w:val="none"/>
                <w:u w:val="none" w:color="auto"/>
                <w:lang w:eastAsia="zh-CN"/>
              </w:rPr>
              <w:t>☑</w:t>
            </w:r>
          </w:p>
        </w:tc>
      </w:tr>
      <w:tr w14:paraId="082F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55" w:type="pct"/>
            <w:gridSpan w:val="2"/>
            <w:vMerge w:val="continue"/>
            <w:tcBorders>
              <w:tl2br w:val="nil"/>
              <w:tr2bl w:val="nil"/>
            </w:tcBorders>
            <w:noWrap w:val="0"/>
            <w:vAlign w:val="center"/>
          </w:tcPr>
          <w:p w14:paraId="750C764E">
            <w:pPr>
              <w:widowControl/>
              <w:jc w:val="left"/>
              <w:rPr>
                <w:rFonts w:hint="default" w:ascii="Times New Roman" w:hAnsi="Times New Roman" w:cs="Times New Roman"/>
                <w:color w:val="auto"/>
                <w:sz w:val="21"/>
                <w:szCs w:val="21"/>
                <w:highlight w:val="none"/>
                <w:u w:val="none" w:color="auto"/>
              </w:rPr>
            </w:pPr>
          </w:p>
        </w:tc>
        <w:tc>
          <w:tcPr>
            <w:tcW w:w="414" w:type="pct"/>
            <w:vMerge w:val="continue"/>
            <w:tcBorders>
              <w:tl2br w:val="nil"/>
              <w:tr2bl w:val="nil"/>
            </w:tcBorders>
            <w:noWrap w:val="0"/>
            <w:vAlign w:val="center"/>
          </w:tcPr>
          <w:p w14:paraId="08903FA3">
            <w:pPr>
              <w:widowControl/>
              <w:jc w:val="left"/>
              <w:rPr>
                <w:rFonts w:hint="default" w:ascii="Times New Roman" w:hAnsi="Times New Roman" w:cs="Times New Roman"/>
                <w:color w:val="auto"/>
                <w:sz w:val="21"/>
                <w:szCs w:val="21"/>
                <w:highlight w:val="none"/>
                <w:u w:val="none" w:color="auto"/>
              </w:rPr>
            </w:pPr>
          </w:p>
        </w:tc>
        <w:tc>
          <w:tcPr>
            <w:tcW w:w="405" w:type="pct"/>
            <w:vMerge w:val="continue"/>
            <w:tcBorders>
              <w:tl2br w:val="nil"/>
              <w:tr2bl w:val="nil"/>
            </w:tcBorders>
            <w:noWrap w:val="0"/>
            <w:vAlign w:val="center"/>
          </w:tcPr>
          <w:p w14:paraId="538AD053">
            <w:pPr>
              <w:widowControl/>
              <w:jc w:val="left"/>
              <w:rPr>
                <w:rFonts w:hint="default" w:ascii="Times New Roman" w:hAnsi="Times New Roman" w:cs="Times New Roman"/>
                <w:color w:val="auto"/>
                <w:sz w:val="21"/>
                <w:szCs w:val="21"/>
                <w:highlight w:val="none"/>
                <w:u w:val="none" w:color="auto"/>
              </w:rPr>
            </w:pPr>
          </w:p>
        </w:tc>
        <w:tc>
          <w:tcPr>
            <w:tcW w:w="924" w:type="pct"/>
            <w:gridSpan w:val="5"/>
            <w:tcBorders>
              <w:tl2br w:val="nil"/>
              <w:tr2bl w:val="nil"/>
            </w:tcBorders>
            <w:noWrap w:val="0"/>
            <w:vAlign w:val="center"/>
          </w:tcPr>
          <w:p w14:paraId="13368C44">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包气带防污性能</w:t>
            </w:r>
          </w:p>
        </w:tc>
        <w:tc>
          <w:tcPr>
            <w:tcW w:w="810" w:type="pct"/>
            <w:gridSpan w:val="3"/>
            <w:tcBorders>
              <w:tl2br w:val="nil"/>
              <w:tr2bl w:val="nil"/>
            </w:tcBorders>
            <w:noWrap w:val="0"/>
            <w:vAlign w:val="center"/>
          </w:tcPr>
          <w:p w14:paraId="4AB570D8">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D1</w:t>
            </w:r>
            <w:r>
              <w:rPr>
                <w:rFonts w:hint="default" w:ascii="Times New Roman" w:hAnsi="Times New Roman" w:eastAsia="宋体" w:cs="Times New Roman"/>
                <w:color w:val="auto"/>
                <w:sz w:val="21"/>
                <w:szCs w:val="21"/>
                <w:highlight w:val="none"/>
                <w:u w:val="none" w:color="auto"/>
                <w:lang w:eastAsia="zh-CN"/>
              </w:rPr>
              <w:sym w:font="Wingdings 2" w:char="00A3"/>
            </w:r>
          </w:p>
        </w:tc>
        <w:tc>
          <w:tcPr>
            <w:tcW w:w="980" w:type="pct"/>
            <w:gridSpan w:val="7"/>
            <w:tcBorders>
              <w:tl2br w:val="nil"/>
              <w:tr2bl w:val="nil"/>
            </w:tcBorders>
            <w:noWrap w:val="0"/>
            <w:vAlign w:val="center"/>
          </w:tcPr>
          <w:p w14:paraId="3A596AEF">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D2</w:t>
            </w:r>
            <w:r>
              <w:rPr>
                <w:rFonts w:hint="eastAsia" w:cs="Times New Roman"/>
                <w:color w:val="auto"/>
                <w:sz w:val="21"/>
                <w:szCs w:val="21"/>
                <w:highlight w:val="none"/>
                <w:u w:val="none" w:color="auto"/>
                <w:lang w:eastAsia="zh-CN"/>
              </w:rPr>
              <w:t>☑</w:t>
            </w:r>
          </w:p>
        </w:tc>
        <w:tc>
          <w:tcPr>
            <w:tcW w:w="1197" w:type="pct"/>
            <w:gridSpan w:val="4"/>
            <w:tcBorders>
              <w:tl2br w:val="nil"/>
              <w:tr2bl w:val="nil"/>
            </w:tcBorders>
            <w:noWrap w:val="0"/>
            <w:vAlign w:val="center"/>
          </w:tcPr>
          <w:p w14:paraId="0EAF46ED">
            <w:pPr>
              <w:adjustRightInd w:val="0"/>
              <w:snapToGrid w:val="0"/>
              <w:jc w:val="center"/>
              <w:rPr>
                <w:rFonts w:hint="eastAsia"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D3</w:t>
            </w:r>
            <w:r>
              <w:rPr>
                <w:rFonts w:hint="eastAsia" w:cs="Times New Roman"/>
                <w:color w:val="auto"/>
                <w:sz w:val="21"/>
                <w:szCs w:val="21"/>
                <w:highlight w:val="none"/>
                <w:u w:val="none" w:color="auto"/>
                <w:lang w:eastAsia="zh-CN"/>
              </w:rPr>
              <w:t>□</w:t>
            </w:r>
          </w:p>
        </w:tc>
      </w:tr>
      <w:tr w14:paraId="057D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vMerge w:val="restart"/>
            <w:tcBorders>
              <w:tl2br w:val="nil"/>
              <w:tr2bl w:val="nil"/>
            </w:tcBorders>
            <w:noWrap w:val="0"/>
            <w:vAlign w:val="center"/>
          </w:tcPr>
          <w:p w14:paraId="5B1928F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物质及工艺系统危险性</w:t>
            </w:r>
          </w:p>
        </w:tc>
        <w:tc>
          <w:tcPr>
            <w:tcW w:w="405" w:type="pct"/>
            <w:tcBorders>
              <w:tl2br w:val="nil"/>
              <w:tr2bl w:val="nil"/>
            </w:tcBorders>
            <w:noWrap w:val="0"/>
            <w:vAlign w:val="center"/>
          </w:tcPr>
          <w:p w14:paraId="1896B570">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Q值</w:t>
            </w:r>
          </w:p>
        </w:tc>
        <w:tc>
          <w:tcPr>
            <w:tcW w:w="924" w:type="pct"/>
            <w:gridSpan w:val="5"/>
            <w:tcBorders>
              <w:tl2br w:val="nil"/>
              <w:tr2bl w:val="nil"/>
            </w:tcBorders>
            <w:noWrap w:val="0"/>
            <w:vAlign w:val="center"/>
          </w:tcPr>
          <w:p w14:paraId="0A9CDD1B">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Q＜1</w:t>
            </w:r>
            <w:r>
              <w:rPr>
                <w:rFonts w:hint="default" w:ascii="Times New Roman" w:hAnsi="Times New Roman" w:eastAsia="宋体" w:cs="Times New Roman"/>
                <w:color w:val="auto"/>
                <w:sz w:val="21"/>
                <w:szCs w:val="21"/>
                <w:highlight w:val="none"/>
                <w:u w:val="none" w:color="auto"/>
                <w:lang w:eastAsia="zh-CN"/>
              </w:rPr>
              <w:t>□</w:t>
            </w:r>
          </w:p>
        </w:tc>
        <w:tc>
          <w:tcPr>
            <w:tcW w:w="810" w:type="pct"/>
            <w:gridSpan w:val="3"/>
            <w:tcBorders>
              <w:tl2br w:val="nil"/>
              <w:tr2bl w:val="nil"/>
            </w:tcBorders>
            <w:noWrap w:val="0"/>
            <w:vAlign w:val="center"/>
          </w:tcPr>
          <w:p w14:paraId="4D81F7B8">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1≤Q＜10</w:t>
            </w:r>
            <w:r>
              <w:rPr>
                <w:rFonts w:hint="default" w:ascii="Times New Roman" w:hAnsi="Times New Roman" w:cs="Times New Roman"/>
                <w:color w:val="auto"/>
                <w:sz w:val="21"/>
                <w:szCs w:val="21"/>
                <w:highlight w:val="none"/>
                <w:u w:val="none" w:color="auto"/>
                <w:lang w:eastAsia="zh-CN"/>
              </w:rPr>
              <w:t>□</w:t>
            </w:r>
          </w:p>
        </w:tc>
        <w:tc>
          <w:tcPr>
            <w:tcW w:w="980" w:type="pct"/>
            <w:gridSpan w:val="7"/>
            <w:tcBorders>
              <w:tl2br w:val="nil"/>
              <w:tr2bl w:val="nil"/>
            </w:tcBorders>
            <w:noWrap w:val="0"/>
            <w:vAlign w:val="center"/>
          </w:tcPr>
          <w:p w14:paraId="3403EBC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10≤Q＜100</w:t>
            </w:r>
            <w:r>
              <w:rPr>
                <w:rFonts w:hint="default" w:ascii="Times New Roman" w:hAnsi="Times New Roman" w:cs="Times New Roman"/>
                <w:color w:val="auto"/>
                <w:sz w:val="21"/>
                <w:szCs w:val="21"/>
                <w:highlight w:val="none"/>
                <w:u w:val="none" w:color="auto"/>
                <w:lang w:eastAsia="zh-CN"/>
              </w:rPr>
              <w:t>☑</w:t>
            </w:r>
          </w:p>
        </w:tc>
        <w:tc>
          <w:tcPr>
            <w:tcW w:w="1197" w:type="pct"/>
            <w:gridSpan w:val="4"/>
            <w:tcBorders>
              <w:tl2br w:val="nil"/>
              <w:tr2bl w:val="nil"/>
            </w:tcBorders>
            <w:noWrap w:val="0"/>
            <w:vAlign w:val="center"/>
          </w:tcPr>
          <w:p w14:paraId="4E493B9E">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Q＞100</w:t>
            </w:r>
            <w:r>
              <w:rPr>
                <w:rFonts w:hint="default" w:ascii="Times New Roman" w:hAnsi="Times New Roman" w:cs="Times New Roman"/>
                <w:color w:val="auto"/>
                <w:sz w:val="21"/>
                <w:szCs w:val="21"/>
                <w:highlight w:val="none"/>
                <w:u w:val="none" w:color="auto"/>
              </w:rPr>
              <w:sym w:font="Wingdings 2" w:char="00A3"/>
            </w:r>
          </w:p>
        </w:tc>
      </w:tr>
      <w:tr w14:paraId="46DB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vMerge w:val="continue"/>
            <w:tcBorders>
              <w:tl2br w:val="nil"/>
              <w:tr2bl w:val="nil"/>
            </w:tcBorders>
            <w:noWrap w:val="0"/>
            <w:vAlign w:val="center"/>
          </w:tcPr>
          <w:p w14:paraId="51BF2C09">
            <w:pPr>
              <w:widowControl/>
              <w:jc w:val="left"/>
              <w:rPr>
                <w:rFonts w:hint="default" w:ascii="Times New Roman" w:hAnsi="Times New Roman" w:cs="Times New Roman"/>
                <w:color w:val="auto"/>
                <w:sz w:val="21"/>
                <w:szCs w:val="21"/>
                <w:highlight w:val="none"/>
                <w:u w:val="none" w:color="auto"/>
              </w:rPr>
            </w:pPr>
          </w:p>
        </w:tc>
        <w:tc>
          <w:tcPr>
            <w:tcW w:w="405" w:type="pct"/>
            <w:tcBorders>
              <w:tl2br w:val="nil"/>
              <w:tr2bl w:val="nil"/>
            </w:tcBorders>
            <w:noWrap w:val="0"/>
            <w:vAlign w:val="center"/>
          </w:tcPr>
          <w:p w14:paraId="12A841D0">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M值</w:t>
            </w:r>
          </w:p>
        </w:tc>
        <w:tc>
          <w:tcPr>
            <w:tcW w:w="924" w:type="pct"/>
            <w:gridSpan w:val="5"/>
            <w:tcBorders>
              <w:tl2br w:val="nil"/>
              <w:tr2bl w:val="nil"/>
            </w:tcBorders>
            <w:noWrap w:val="0"/>
            <w:vAlign w:val="center"/>
          </w:tcPr>
          <w:p w14:paraId="361E6D11">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M1</w:t>
            </w:r>
            <w:r>
              <w:rPr>
                <w:rFonts w:hint="default" w:ascii="Times New Roman" w:hAnsi="Times New Roman" w:cs="Times New Roman"/>
                <w:color w:val="auto"/>
                <w:sz w:val="21"/>
                <w:szCs w:val="21"/>
                <w:highlight w:val="none"/>
                <w:u w:val="none" w:color="auto"/>
                <w:lang w:eastAsia="zh-CN"/>
              </w:rPr>
              <w:t>□</w:t>
            </w:r>
          </w:p>
        </w:tc>
        <w:tc>
          <w:tcPr>
            <w:tcW w:w="810" w:type="pct"/>
            <w:gridSpan w:val="3"/>
            <w:tcBorders>
              <w:tl2br w:val="nil"/>
              <w:tr2bl w:val="nil"/>
            </w:tcBorders>
            <w:noWrap w:val="0"/>
            <w:vAlign w:val="center"/>
          </w:tcPr>
          <w:p w14:paraId="575CD3D9">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M2</w:t>
            </w:r>
            <w:r>
              <w:rPr>
                <w:rFonts w:hint="default" w:ascii="Times New Roman" w:hAnsi="Times New Roman" w:eastAsia="宋体" w:cs="Times New Roman"/>
                <w:color w:val="auto"/>
                <w:sz w:val="21"/>
                <w:szCs w:val="21"/>
                <w:highlight w:val="none"/>
                <w:u w:val="none" w:color="auto"/>
                <w:lang w:eastAsia="zh-CN"/>
              </w:rPr>
              <w:sym w:font="Wingdings 2" w:char="00A3"/>
            </w:r>
          </w:p>
        </w:tc>
        <w:tc>
          <w:tcPr>
            <w:tcW w:w="980" w:type="pct"/>
            <w:gridSpan w:val="7"/>
            <w:tcBorders>
              <w:tl2br w:val="nil"/>
              <w:tr2bl w:val="nil"/>
            </w:tcBorders>
            <w:noWrap w:val="0"/>
            <w:vAlign w:val="center"/>
          </w:tcPr>
          <w:p w14:paraId="32BD4EF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M3□</w:t>
            </w:r>
          </w:p>
        </w:tc>
        <w:tc>
          <w:tcPr>
            <w:tcW w:w="1197" w:type="pct"/>
            <w:gridSpan w:val="4"/>
            <w:tcBorders>
              <w:tl2br w:val="nil"/>
              <w:tr2bl w:val="nil"/>
            </w:tcBorders>
            <w:noWrap w:val="0"/>
            <w:vAlign w:val="center"/>
          </w:tcPr>
          <w:p w14:paraId="79D4539E">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M4</w:t>
            </w:r>
            <w:r>
              <w:rPr>
                <w:rFonts w:hint="default" w:ascii="Times New Roman" w:hAnsi="Times New Roman" w:cs="Times New Roman"/>
                <w:color w:val="auto"/>
                <w:sz w:val="21"/>
                <w:szCs w:val="21"/>
                <w:highlight w:val="none"/>
                <w:u w:val="none" w:color="auto"/>
                <w:lang w:eastAsia="zh-CN"/>
              </w:rPr>
              <w:t>☑</w:t>
            </w:r>
          </w:p>
        </w:tc>
      </w:tr>
      <w:tr w14:paraId="7C5D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vMerge w:val="continue"/>
            <w:tcBorders>
              <w:tl2br w:val="nil"/>
              <w:tr2bl w:val="nil"/>
            </w:tcBorders>
            <w:noWrap w:val="0"/>
            <w:vAlign w:val="center"/>
          </w:tcPr>
          <w:p w14:paraId="724E1B5A">
            <w:pPr>
              <w:widowControl/>
              <w:jc w:val="left"/>
              <w:rPr>
                <w:rFonts w:hint="default" w:ascii="Times New Roman" w:hAnsi="Times New Roman" w:cs="Times New Roman"/>
                <w:color w:val="auto"/>
                <w:sz w:val="21"/>
                <w:szCs w:val="21"/>
                <w:highlight w:val="none"/>
                <w:u w:val="none" w:color="auto"/>
              </w:rPr>
            </w:pPr>
          </w:p>
        </w:tc>
        <w:tc>
          <w:tcPr>
            <w:tcW w:w="405" w:type="pct"/>
            <w:tcBorders>
              <w:tl2br w:val="nil"/>
              <w:tr2bl w:val="nil"/>
            </w:tcBorders>
            <w:noWrap w:val="0"/>
            <w:vAlign w:val="center"/>
          </w:tcPr>
          <w:p w14:paraId="506C738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P值</w:t>
            </w:r>
          </w:p>
        </w:tc>
        <w:tc>
          <w:tcPr>
            <w:tcW w:w="924" w:type="pct"/>
            <w:gridSpan w:val="5"/>
            <w:tcBorders>
              <w:tl2br w:val="nil"/>
              <w:tr2bl w:val="nil"/>
            </w:tcBorders>
            <w:noWrap w:val="0"/>
            <w:vAlign w:val="center"/>
          </w:tcPr>
          <w:p w14:paraId="26C55B2F">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P1</w:t>
            </w:r>
            <w:r>
              <w:rPr>
                <w:rFonts w:hint="default" w:ascii="Times New Roman" w:hAnsi="Times New Roman" w:cs="Times New Roman"/>
                <w:color w:val="auto"/>
                <w:sz w:val="21"/>
                <w:szCs w:val="21"/>
                <w:highlight w:val="none"/>
                <w:u w:val="none" w:color="auto"/>
                <w:lang w:eastAsia="zh-CN"/>
              </w:rPr>
              <w:t>□</w:t>
            </w:r>
          </w:p>
        </w:tc>
        <w:tc>
          <w:tcPr>
            <w:tcW w:w="810" w:type="pct"/>
            <w:gridSpan w:val="3"/>
            <w:tcBorders>
              <w:tl2br w:val="nil"/>
              <w:tr2bl w:val="nil"/>
            </w:tcBorders>
            <w:noWrap w:val="0"/>
            <w:vAlign w:val="center"/>
          </w:tcPr>
          <w:p w14:paraId="2E15186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P2</w:t>
            </w:r>
            <w:r>
              <w:rPr>
                <w:rFonts w:hint="default" w:ascii="Times New Roman" w:hAnsi="Times New Roman" w:cs="Times New Roman"/>
                <w:color w:val="auto"/>
                <w:sz w:val="21"/>
                <w:szCs w:val="21"/>
                <w:highlight w:val="none"/>
                <w:u w:val="none" w:color="auto"/>
              </w:rPr>
              <w:sym w:font="Wingdings 2" w:char="00A3"/>
            </w:r>
          </w:p>
        </w:tc>
        <w:tc>
          <w:tcPr>
            <w:tcW w:w="980" w:type="pct"/>
            <w:gridSpan w:val="7"/>
            <w:tcBorders>
              <w:tl2br w:val="nil"/>
              <w:tr2bl w:val="nil"/>
            </w:tcBorders>
            <w:noWrap w:val="0"/>
            <w:vAlign w:val="center"/>
          </w:tcPr>
          <w:p w14:paraId="3B454DB8">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P3</w:t>
            </w:r>
            <w:r>
              <w:rPr>
                <w:rFonts w:hint="default" w:ascii="Times New Roman" w:hAnsi="Times New Roman" w:cs="Times New Roman"/>
                <w:color w:val="auto"/>
                <w:sz w:val="21"/>
                <w:szCs w:val="21"/>
                <w:highlight w:val="none"/>
                <w:u w:val="none" w:color="auto"/>
                <w:lang w:eastAsia="zh-CN"/>
              </w:rPr>
              <w:t>□</w:t>
            </w:r>
          </w:p>
        </w:tc>
        <w:tc>
          <w:tcPr>
            <w:tcW w:w="1197" w:type="pct"/>
            <w:gridSpan w:val="4"/>
            <w:tcBorders>
              <w:tl2br w:val="nil"/>
              <w:tr2bl w:val="nil"/>
            </w:tcBorders>
            <w:noWrap w:val="0"/>
            <w:vAlign w:val="center"/>
          </w:tcPr>
          <w:p w14:paraId="1A998739">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P4</w:t>
            </w:r>
            <w:r>
              <w:rPr>
                <w:rFonts w:hint="default" w:ascii="Times New Roman" w:hAnsi="Times New Roman" w:cs="Times New Roman"/>
                <w:color w:val="auto"/>
                <w:sz w:val="21"/>
                <w:szCs w:val="21"/>
                <w:highlight w:val="none"/>
                <w:u w:val="none" w:color="auto"/>
                <w:lang w:eastAsia="zh-CN"/>
              </w:rPr>
              <w:t>☑</w:t>
            </w:r>
          </w:p>
        </w:tc>
      </w:tr>
      <w:tr w14:paraId="134B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trHeight w:val="299" w:hRule="atLeast"/>
          <w:jc w:val="center"/>
        </w:trPr>
        <w:tc>
          <w:tcPr>
            <w:tcW w:w="669" w:type="pct"/>
            <w:gridSpan w:val="3"/>
            <w:vMerge w:val="restart"/>
            <w:tcBorders>
              <w:tl2br w:val="nil"/>
              <w:tr2bl w:val="nil"/>
            </w:tcBorders>
            <w:noWrap w:val="0"/>
            <w:vAlign w:val="center"/>
          </w:tcPr>
          <w:p w14:paraId="0EF6080C">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环境敏感程度</w:t>
            </w:r>
          </w:p>
        </w:tc>
        <w:tc>
          <w:tcPr>
            <w:tcW w:w="405" w:type="pct"/>
            <w:tcBorders>
              <w:tl2br w:val="nil"/>
              <w:tr2bl w:val="nil"/>
            </w:tcBorders>
            <w:noWrap w:val="0"/>
            <w:vAlign w:val="center"/>
          </w:tcPr>
          <w:p w14:paraId="2A72E91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大气</w:t>
            </w:r>
          </w:p>
        </w:tc>
        <w:tc>
          <w:tcPr>
            <w:tcW w:w="924" w:type="pct"/>
            <w:gridSpan w:val="5"/>
            <w:tcBorders>
              <w:tl2br w:val="nil"/>
              <w:tr2bl w:val="nil"/>
            </w:tcBorders>
            <w:noWrap w:val="0"/>
            <w:vAlign w:val="center"/>
          </w:tcPr>
          <w:p w14:paraId="3503C0B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E1</w:t>
            </w:r>
            <w:r>
              <w:rPr>
                <w:rFonts w:hint="default" w:ascii="Times New Roman" w:hAnsi="Times New Roman" w:eastAsia="MS Mincho" w:cs="Times New Roman"/>
                <w:color w:val="auto"/>
                <w:sz w:val="21"/>
                <w:szCs w:val="21"/>
                <w:highlight w:val="none"/>
                <w:u w:val="none" w:color="auto"/>
              </w:rPr>
              <w:t>☑</w:t>
            </w:r>
          </w:p>
        </w:tc>
        <w:tc>
          <w:tcPr>
            <w:tcW w:w="1395" w:type="pct"/>
            <w:gridSpan w:val="7"/>
            <w:tcBorders>
              <w:tl2br w:val="nil"/>
              <w:tr2bl w:val="nil"/>
            </w:tcBorders>
            <w:noWrap w:val="0"/>
            <w:vAlign w:val="center"/>
          </w:tcPr>
          <w:p w14:paraId="59BBC0C7">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E2□</w:t>
            </w:r>
          </w:p>
        </w:tc>
        <w:tc>
          <w:tcPr>
            <w:tcW w:w="1592" w:type="pct"/>
            <w:gridSpan w:val="7"/>
            <w:tcBorders>
              <w:tl2br w:val="nil"/>
              <w:tr2bl w:val="nil"/>
            </w:tcBorders>
            <w:noWrap w:val="0"/>
            <w:vAlign w:val="center"/>
          </w:tcPr>
          <w:p w14:paraId="63561C81">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E3□</w:t>
            </w:r>
          </w:p>
        </w:tc>
      </w:tr>
      <w:tr w14:paraId="232D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vMerge w:val="continue"/>
            <w:tcBorders>
              <w:tl2br w:val="nil"/>
              <w:tr2bl w:val="nil"/>
            </w:tcBorders>
            <w:noWrap w:val="0"/>
            <w:vAlign w:val="center"/>
          </w:tcPr>
          <w:p w14:paraId="7E4D57BC">
            <w:pPr>
              <w:widowControl/>
              <w:jc w:val="left"/>
              <w:rPr>
                <w:rFonts w:hint="default" w:ascii="Times New Roman" w:hAnsi="Times New Roman" w:cs="Times New Roman"/>
                <w:color w:val="auto"/>
                <w:sz w:val="21"/>
                <w:szCs w:val="21"/>
                <w:highlight w:val="none"/>
                <w:u w:val="none" w:color="auto"/>
              </w:rPr>
            </w:pPr>
          </w:p>
        </w:tc>
        <w:tc>
          <w:tcPr>
            <w:tcW w:w="405" w:type="pct"/>
            <w:tcBorders>
              <w:tl2br w:val="nil"/>
              <w:tr2bl w:val="nil"/>
            </w:tcBorders>
            <w:noWrap w:val="0"/>
            <w:vAlign w:val="center"/>
          </w:tcPr>
          <w:p w14:paraId="3C6566E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地表水</w:t>
            </w:r>
          </w:p>
        </w:tc>
        <w:tc>
          <w:tcPr>
            <w:tcW w:w="924" w:type="pct"/>
            <w:gridSpan w:val="5"/>
            <w:tcBorders>
              <w:tl2br w:val="nil"/>
              <w:tr2bl w:val="nil"/>
            </w:tcBorders>
            <w:noWrap w:val="0"/>
            <w:vAlign w:val="center"/>
          </w:tcPr>
          <w:p w14:paraId="23F3CC95">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E1</w:t>
            </w:r>
            <w:r>
              <w:rPr>
                <w:rFonts w:hint="default" w:ascii="Times New Roman" w:hAnsi="Times New Roman" w:cs="Times New Roman"/>
                <w:color w:val="auto"/>
                <w:sz w:val="21"/>
                <w:szCs w:val="21"/>
                <w:highlight w:val="none"/>
                <w:u w:val="none" w:color="auto"/>
                <w:lang w:eastAsia="zh-CN"/>
              </w:rPr>
              <w:t>☑</w:t>
            </w:r>
          </w:p>
        </w:tc>
        <w:tc>
          <w:tcPr>
            <w:tcW w:w="1395" w:type="pct"/>
            <w:gridSpan w:val="7"/>
            <w:tcBorders>
              <w:tl2br w:val="nil"/>
              <w:tr2bl w:val="nil"/>
            </w:tcBorders>
            <w:noWrap w:val="0"/>
            <w:vAlign w:val="center"/>
          </w:tcPr>
          <w:p w14:paraId="1986B109">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E2□</w:t>
            </w:r>
          </w:p>
        </w:tc>
        <w:tc>
          <w:tcPr>
            <w:tcW w:w="1592" w:type="pct"/>
            <w:gridSpan w:val="7"/>
            <w:tcBorders>
              <w:tl2br w:val="nil"/>
              <w:tr2bl w:val="nil"/>
            </w:tcBorders>
            <w:noWrap w:val="0"/>
            <w:vAlign w:val="center"/>
          </w:tcPr>
          <w:p w14:paraId="7DC4CFF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E3□</w:t>
            </w:r>
          </w:p>
        </w:tc>
      </w:tr>
      <w:tr w14:paraId="0184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vMerge w:val="continue"/>
            <w:tcBorders>
              <w:tl2br w:val="nil"/>
              <w:tr2bl w:val="nil"/>
            </w:tcBorders>
            <w:noWrap w:val="0"/>
            <w:vAlign w:val="center"/>
          </w:tcPr>
          <w:p w14:paraId="5A2AA950">
            <w:pPr>
              <w:widowControl/>
              <w:jc w:val="left"/>
              <w:rPr>
                <w:rFonts w:hint="default" w:ascii="Times New Roman" w:hAnsi="Times New Roman" w:cs="Times New Roman"/>
                <w:color w:val="auto"/>
                <w:sz w:val="21"/>
                <w:szCs w:val="21"/>
                <w:highlight w:val="none"/>
                <w:u w:val="none" w:color="auto"/>
              </w:rPr>
            </w:pPr>
          </w:p>
        </w:tc>
        <w:tc>
          <w:tcPr>
            <w:tcW w:w="405" w:type="pct"/>
            <w:tcBorders>
              <w:tl2br w:val="nil"/>
              <w:tr2bl w:val="nil"/>
            </w:tcBorders>
            <w:noWrap w:val="0"/>
            <w:vAlign w:val="center"/>
          </w:tcPr>
          <w:p w14:paraId="5F595FB2">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地下水</w:t>
            </w:r>
          </w:p>
        </w:tc>
        <w:tc>
          <w:tcPr>
            <w:tcW w:w="924" w:type="pct"/>
            <w:gridSpan w:val="5"/>
            <w:tcBorders>
              <w:tl2br w:val="nil"/>
              <w:tr2bl w:val="nil"/>
            </w:tcBorders>
            <w:noWrap w:val="0"/>
            <w:vAlign w:val="center"/>
          </w:tcPr>
          <w:p w14:paraId="7A4C6C71">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E1□</w:t>
            </w:r>
          </w:p>
        </w:tc>
        <w:tc>
          <w:tcPr>
            <w:tcW w:w="1395" w:type="pct"/>
            <w:gridSpan w:val="7"/>
            <w:tcBorders>
              <w:tl2br w:val="nil"/>
              <w:tr2bl w:val="nil"/>
            </w:tcBorders>
            <w:noWrap w:val="0"/>
            <w:vAlign w:val="center"/>
          </w:tcPr>
          <w:p w14:paraId="74524601">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E2</w:t>
            </w:r>
            <w:r>
              <w:rPr>
                <w:rFonts w:hint="default" w:ascii="Times New Roman" w:hAnsi="Times New Roman" w:eastAsia="宋体" w:cs="Times New Roman"/>
                <w:color w:val="auto"/>
                <w:sz w:val="21"/>
                <w:szCs w:val="21"/>
                <w:highlight w:val="none"/>
                <w:u w:val="none" w:color="auto"/>
                <w:lang w:eastAsia="zh-CN"/>
              </w:rPr>
              <w:t>□</w:t>
            </w:r>
          </w:p>
        </w:tc>
        <w:tc>
          <w:tcPr>
            <w:tcW w:w="1592" w:type="pct"/>
            <w:gridSpan w:val="7"/>
            <w:tcBorders>
              <w:tl2br w:val="nil"/>
              <w:tr2bl w:val="nil"/>
            </w:tcBorders>
            <w:noWrap w:val="0"/>
            <w:vAlign w:val="center"/>
          </w:tcPr>
          <w:p w14:paraId="2EFCFF64">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E3</w:t>
            </w:r>
            <w:r>
              <w:rPr>
                <w:rFonts w:hint="eastAsia" w:cs="Times New Roman"/>
                <w:color w:val="auto"/>
                <w:sz w:val="21"/>
                <w:szCs w:val="21"/>
                <w:highlight w:val="none"/>
                <w:u w:val="none" w:color="auto"/>
                <w:lang w:eastAsia="zh-CN"/>
              </w:rPr>
              <w:t>☑</w:t>
            </w:r>
          </w:p>
        </w:tc>
      </w:tr>
      <w:tr w14:paraId="1686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tcBorders>
              <w:tl2br w:val="nil"/>
              <w:tr2bl w:val="nil"/>
            </w:tcBorders>
            <w:noWrap w:val="0"/>
            <w:vAlign w:val="center"/>
          </w:tcPr>
          <w:p w14:paraId="35FDD03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环境风险潜势</w:t>
            </w:r>
          </w:p>
        </w:tc>
        <w:tc>
          <w:tcPr>
            <w:tcW w:w="405" w:type="pct"/>
            <w:tcBorders>
              <w:tl2br w:val="nil"/>
              <w:tr2bl w:val="nil"/>
            </w:tcBorders>
            <w:noWrap w:val="0"/>
            <w:vAlign w:val="center"/>
          </w:tcPr>
          <w:p w14:paraId="3115D5F5">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Ⅳ</w:t>
            </w:r>
            <w:r>
              <w:rPr>
                <w:rFonts w:hint="default" w:ascii="Times New Roman" w:hAnsi="Times New Roman" w:cs="Times New Roman"/>
                <w:color w:val="auto"/>
                <w:sz w:val="21"/>
                <w:szCs w:val="21"/>
                <w:highlight w:val="none"/>
                <w:u w:val="none" w:color="auto"/>
                <w:vertAlign w:val="superscript"/>
              </w:rPr>
              <w:t>+</w:t>
            </w:r>
            <w:r>
              <w:rPr>
                <w:rFonts w:hint="default" w:ascii="Times New Roman" w:hAnsi="Times New Roman" w:cs="Times New Roman"/>
                <w:color w:val="auto"/>
                <w:sz w:val="21"/>
                <w:szCs w:val="21"/>
                <w:highlight w:val="none"/>
                <w:u w:val="none" w:color="auto"/>
              </w:rPr>
              <w:sym w:font="Wingdings 2" w:char="00A3"/>
            </w:r>
          </w:p>
        </w:tc>
        <w:tc>
          <w:tcPr>
            <w:tcW w:w="924" w:type="pct"/>
            <w:gridSpan w:val="5"/>
            <w:tcBorders>
              <w:tl2br w:val="nil"/>
              <w:tr2bl w:val="nil"/>
            </w:tcBorders>
            <w:noWrap w:val="0"/>
            <w:vAlign w:val="center"/>
          </w:tcPr>
          <w:p w14:paraId="448C91C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Ⅳ</w:t>
            </w:r>
            <w:r>
              <w:rPr>
                <w:rFonts w:hint="default" w:ascii="Times New Roman" w:hAnsi="Times New Roman" w:cs="Times New Roman"/>
                <w:color w:val="auto"/>
                <w:sz w:val="21"/>
                <w:szCs w:val="21"/>
                <w:highlight w:val="none"/>
                <w:u w:val="none" w:color="auto"/>
              </w:rPr>
              <w:sym w:font="Wingdings 2" w:char="00A3"/>
            </w:r>
          </w:p>
        </w:tc>
        <w:tc>
          <w:tcPr>
            <w:tcW w:w="810" w:type="pct"/>
            <w:gridSpan w:val="3"/>
            <w:tcBorders>
              <w:tl2br w:val="nil"/>
              <w:tr2bl w:val="nil"/>
            </w:tcBorders>
            <w:noWrap w:val="0"/>
            <w:vAlign w:val="center"/>
          </w:tcPr>
          <w:p w14:paraId="6EFBA184">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Ⅲ</w:t>
            </w:r>
            <w:r>
              <w:rPr>
                <w:rFonts w:hint="default" w:ascii="Times New Roman" w:hAnsi="Times New Roman" w:cs="Times New Roman"/>
                <w:color w:val="auto"/>
                <w:sz w:val="21"/>
                <w:szCs w:val="21"/>
                <w:highlight w:val="none"/>
                <w:u w:val="none" w:color="auto"/>
                <w:lang w:eastAsia="zh-CN"/>
              </w:rPr>
              <w:t>☑</w:t>
            </w:r>
          </w:p>
        </w:tc>
        <w:tc>
          <w:tcPr>
            <w:tcW w:w="980" w:type="pct"/>
            <w:gridSpan w:val="7"/>
            <w:tcBorders>
              <w:tl2br w:val="nil"/>
              <w:tr2bl w:val="nil"/>
            </w:tcBorders>
            <w:noWrap w:val="0"/>
            <w:vAlign w:val="center"/>
          </w:tcPr>
          <w:p w14:paraId="13E92409">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Ⅱ□</w:t>
            </w:r>
          </w:p>
        </w:tc>
        <w:tc>
          <w:tcPr>
            <w:tcW w:w="1197" w:type="pct"/>
            <w:gridSpan w:val="4"/>
            <w:tcBorders>
              <w:tl2br w:val="nil"/>
              <w:tr2bl w:val="nil"/>
            </w:tcBorders>
            <w:noWrap w:val="0"/>
            <w:vAlign w:val="center"/>
          </w:tcPr>
          <w:p w14:paraId="3F08D537">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Ⅰ</w:t>
            </w:r>
            <w:r>
              <w:rPr>
                <w:rFonts w:hint="default" w:ascii="Times New Roman" w:hAnsi="Times New Roman" w:eastAsia="宋体" w:cs="Times New Roman"/>
                <w:color w:val="auto"/>
                <w:sz w:val="21"/>
                <w:szCs w:val="21"/>
                <w:highlight w:val="none"/>
                <w:u w:val="none" w:color="auto"/>
                <w:lang w:eastAsia="zh-CN"/>
              </w:rPr>
              <w:t>□</w:t>
            </w:r>
          </w:p>
        </w:tc>
      </w:tr>
      <w:tr w14:paraId="5A5B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tcBorders>
              <w:tl2br w:val="nil"/>
              <w:tr2bl w:val="nil"/>
            </w:tcBorders>
            <w:noWrap w:val="0"/>
            <w:vAlign w:val="center"/>
          </w:tcPr>
          <w:p w14:paraId="3E73E714">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评价等级</w:t>
            </w:r>
          </w:p>
        </w:tc>
        <w:tc>
          <w:tcPr>
            <w:tcW w:w="1329" w:type="pct"/>
            <w:gridSpan w:val="6"/>
            <w:tcBorders>
              <w:tl2br w:val="nil"/>
              <w:tr2bl w:val="nil"/>
            </w:tcBorders>
            <w:noWrap w:val="0"/>
            <w:vAlign w:val="center"/>
          </w:tcPr>
          <w:p w14:paraId="171675B1">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一级</w:t>
            </w:r>
            <w:r>
              <w:rPr>
                <w:rFonts w:hint="default" w:ascii="Times New Roman" w:hAnsi="Times New Roman" w:cs="Times New Roman"/>
                <w:color w:val="auto"/>
                <w:sz w:val="21"/>
                <w:szCs w:val="21"/>
                <w:highlight w:val="none"/>
                <w:u w:val="none" w:color="auto"/>
              </w:rPr>
              <w:sym w:font="Wingdings 2" w:char="00A3"/>
            </w:r>
          </w:p>
        </w:tc>
        <w:tc>
          <w:tcPr>
            <w:tcW w:w="810" w:type="pct"/>
            <w:gridSpan w:val="3"/>
            <w:tcBorders>
              <w:tl2br w:val="nil"/>
              <w:tr2bl w:val="nil"/>
            </w:tcBorders>
            <w:noWrap w:val="0"/>
            <w:vAlign w:val="center"/>
          </w:tcPr>
          <w:p w14:paraId="183AC0D0">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二级</w:t>
            </w:r>
            <w:r>
              <w:rPr>
                <w:rFonts w:hint="default" w:ascii="Times New Roman" w:hAnsi="Times New Roman" w:cs="Times New Roman"/>
                <w:color w:val="auto"/>
                <w:sz w:val="21"/>
                <w:szCs w:val="21"/>
                <w:highlight w:val="none"/>
                <w:u w:val="none" w:color="auto"/>
                <w:lang w:eastAsia="zh-CN"/>
              </w:rPr>
              <w:t>☑</w:t>
            </w:r>
          </w:p>
        </w:tc>
        <w:tc>
          <w:tcPr>
            <w:tcW w:w="980" w:type="pct"/>
            <w:gridSpan w:val="7"/>
            <w:tcBorders>
              <w:tl2br w:val="nil"/>
              <w:tr2bl w:val="nil"/>
            </w:tcBorders>
            <w:noWrap w:val="0"/>
            <w:vAlign w:val="center"/>
          </w:tcPr>
          <w:p w14:paraId="4166049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三级□</w:t>
            </w:r>
          </w:p>
        </w:tc>
        <w:tc>
          <w:tcPr>
            <w:tcW w:w="1197" w:type="pct"/>
            <w:gridSpan w:val="4"/>
            <w:tcBorders>
              <w:tl2br w:val="nil"/>
              <w:tr2bl w:val="nil"/>
            </w:tcBorders>
            <w:noWrap w:val="0"/>
            <w:vAlign w:val="center"/>
          </w:tcPr>
          <w:p w14:paraId="1D710258">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简单分析</w:t>
            </w:r>
            <w:r>
              <w:rPr>
                <w:rFonts w:hint="default" w:ascii="Times New Roman" w:hAnsi="Times New Roman" w:eastAsia="宋体" w:cs="Times New Roman"/>
                <w:color w:val="auto"/>
                <w:sz w:val="21"/>
                <w:szCs w:val="21"/>
                <w:highlight w:val="none"/>
                <w:u w:val="none" w:color="auto"/>
                <w:lang w:eastAsia="zh-CN"/>
              </w:rPr>
              <w:t>□</w:t>
            </w:r>
          </w:p>
        </w:tc>
      </w:tr>
      <w:tr w14:paraId="7C4F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restart"/>
            <w:tcBorders>
              <w:tl2br w:val="nil"/>
              <w:tr2bl w:val="nil"/>
            </w:tcBorders>
            <w:noWrap w:val="0"/>
            <w:vAlign w:val="center"/>
          </w:tcPr>
          <w:p w14:paraId="756A2343">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风险识别</w:t>
            </w:r>
          </w:p>
        </w:tc>
        <w:tc>
          <w:tcPr>
            <w:tcW w:w="420" w:type="pct"/>
            <w:gridSpan w:val="2"/>
            <w:tcBorders>
              <w:tl2br w:val="nil"/>
              <w:tr2bl w:val="nil"/>
            </w:tcBorders>
            <w:noWrap w:val="0"/>
            <w:vAlign w:val="center"/>
          </w:tcPr>
          <w:p w14:paraId="7D588DD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物质危险性</w:t>
            </w:r>
          </w:p>
        </w:tc>
        <w:tc>
          <w:tcPr>
            <w:tcW w:w="2140" w:type="pct"/>
            <w:gridSpan w:val="9"/>
            <w:tcBorders>
              <w:tl2br w:val="nil"/>
              <w:tr2bl w:val="nil"/>
            </w:tcBorders>
            <w:noWrap w:val="0"/>
            <w:vAlign w:val="center"/>
          </w:tcPr>
          <w:p w14:paraId="40E52B38">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有毒有害</w:t>
            </w:r>
            <w:r>
              <w:rPr>
                <w:rFonts w:hint="eastAsia" w:cs="Times New Roman"/>
                <w:color w:val="auto"/>
                <w:sz w:val="21"/>
                <w:szCs w:val="21"/>
                <w:highlight w:val="none"/>
                <w:u w:val="none" w:color="auto"/>
                <w:lang w:eastAsia="zh-CN"/>
              </w:rPr>
              <w:t>☑</w:t>
            </w:r>
          </w:p>
        </w:tc>
        <w:tc>
          <w:tcPr>
            <w:tcW w:w="2178" w:type="pct"/>
            <w:gridSpan w:val="11"/>
            <w:tcBorders>
              <w:tl2br w:val="nil"/>
              <w:tr2bl w:val="nil"/>
            </w:tcBorders>
            <w:noWrap w:val="0"/>
            <w:vAlign w:val="center"/>
          </w:tcPr>
          <w:p w14:paraId="438F60EB">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易燃易爆</w:t>
            </w:r>
            <w:r>
              <w:rPr>
                <w:rFonts w:hint="eastAsia" w:ascii="Times New Roman" w:hAnsi="Times New Roman" w:cs="Times New Roman"/>
                <w:color w:val="auto"/>
                <w:sz w:val="21"/>
                <w:szCs w:val="21"/>
                <w:highlight w:val="none"/>
                <w:u w:val="none" w:color="auto"/>
                <w:lang w:eastAsia="zh-CN"/>
              </w:rPr>
              <w:t>□</w:t>
            </w:r>
          </w:p>
        </w:tc>
      </w:tr>
      <w:tr w14:paraId="7AAC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continue"/>
            <w:tcBorders>
              <w:tl2br w:val="nil"/>
              <w:tr2bl w:val="nil"/>
            </w:tcBorders>
            <w:noWrap w:val="0"/>
            <w:vAlign w:val="center"/>
          </w:tcPr>
          <w:p w14:paraId="537F68D9">
            <w:pPr>
              <w:widowControl/>
              <w:jc w:val="left"/>
              <w:rPr>
                <w:rFonts w:hint="default" w:ascii="Times New Roman" w:hAnsi="Times New Roman" w:cs="Times New Roman"/>
                <w:color w:val="auto"/>
                <w:sz w:val="21"/>
                <w:szCs w:val="21"/>
                <w:highlight w:val="none"/>
                <w:u w:val="none" w:color="auto"/>
              </w:rPr>
            </w:pPr>
          </w:p>
        </w:tc>
        <w:tc>
          <w:tcPr>
            <w:tcW w:w="420" w:type="pct"/>
            <w:gridSpan w:val="2"/>
            <w:tcBorders>
              <w:tl2br w:val="nil"/>
              <w:tr2bl w:val="nil"/>
            </w:tcBorders>
            <w:noWrap w:val="0"/>
            <w:vAlign w:val="center"/>
          </w:tcPr>
          <w:p w14:paraId="6858C06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环境风险类型</w:t>
            </w:r>
          </w:p>
        </w:tc>
        <w:tc>
          <w:tcPr>
            <w:tcW w:w="2140" w:type="pct"/>
            <w:gridSpan w:val="9"/>
            <w:tcBorders>
              <w:tl2br w:val="nil"/>
              <w:tr2bl w:val="nil"/>
            </w:tcBorders>
            <w:noWrap w:val="0"/>
            <w:vAlign w:val="center"/>
          </w:tcPr>
          <w:p w14:paraId="43F1684C">
            <w:pPr>
              <w:adjustRightInd w:val="0"/>
              <w:snapToGrid w:val="0"/>
              <w:jc w:val="center"/>
              <w:rPr>
                <w:rFonts w:hint="default" w:ascii="Times New Roman" w:hAnsi="Times New Roman" w:cs="Times New Roman"/>
                <w:color w:val="auto"/>
                <w:sz w:val="21"/>
                <w:szCs w:val="21"/>
                <w:highlight w:val="none"/>
                <w:u w:val="none" w:color="auto"/>
              </w:rPr>
            </w:pPr>
            <w:r>
              <w:rPr>
                <w:rFonts w:hint="eastAsia" w:cs="Times New Roman"/>
                <w:color w:val="auto"/>
                <w:sz w:val="21"/>
                <w:szCs w:val="21"/>
                <w:highlight w:val="none"/>
                <w:u w:val="none" w:color="auto"/>
                <w:lang w:eastAsia="zh-CN"/>
              </w:rPr>
              <w:t>泄漏</w:t>
            </w:r>
            <w:r>
              <w:rPr>
                <w:rFonts w:hint="default" w:ascii="Times New Roman" w:hAnsi="Times New Roman" w:eastAsia="MS Mincho" w:cs="Times New Roman"/>
                <w:color w:val="auto"/>
                <w:sz w:val="21"/>
                <w:szCs w:val="21"/>
                <w:highlight w:val="none"/>
                <w:u w:val="none" w:color="auto"/>
              </w:rPr>
              <w:t>☑</w:t>
            </w:r>
          </w:p>
        </w:tc>
        <w:tc>
          <w:tcPr>
            <w:tcW w:w="2178" w:type="pct"/>
            <w:gridSpan w:val="11"/>
            <w:tcBorders>
              <w:tl2br w:val="nil"/>
              <w:tr2bl w:val="nil"/>
            </w:tcBorders>
            <w:noWrap w:val="0"/>
            <w:vAlign w:val="center"/>
          </w:tcPr>
          <w:p w14:paraId="39D24317">
            <w:pPr>
              <w:adjustRightInd w:val="0"/>
              <w:snapToGrid w:val="0"/>
              <w:jc w:val="center"/>
              <w:rPr>
                <w:rFonts w:hint="eastAsia"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火灾、爆炸引发</w:t>
            </w:r>
            <w:r>
              <w:rPr>
                <w:rFonts w:hint="default" w:ascii="Times New Roman" w:hAnsi="Times New Roman" w:cs="Times New Roman"/>
                <w:color w:val="auto"/>
                <w:sz w:val="21"/>
                <w:szCs w:val="21"/>
                <w:highlight w:val="none"/>
                <w:u w:val="none" w:color="auto"/>
                <w:lang w:eastAsia="zh-CN"/>
              </w:rPr>
              <w:t>伴生</w:t>
            </w:r>
            <w:r>
              <w:rPr>
                <w:rFonts w:hint="default" w:ascii="Times New Roman" w:hAnsi="Times New Roman" w:cs="Times New Roman"/>
                <w:color w:val="auto"/>
                <w:sz w:val="21"/>
                <w:szCs w:val="21"/>
                <w:highlight w:val="none"/>
                <w:u w:val="none" w:color="auto"/>
              </w:rPr>
              <w:t>/次生污染物排放</w:t>
            </w:r>
            <w:r>
              <w:rPr>
                <w:rFonts w:hint="eastAsia" w:ascii="Times New Roman" w:hAnsi="Times New Roman" w:eastAsia="宋体" w:cs="Times New Roman"/>
                <w:color w:val="auto"/>
                <w:sz w:val="21"/>
                <w:szCs w:val="21"/>
                <w:highlight w:val="none"/>
                <w:u w:val="none" w:color="auto"/>
                <w:lang w:eastAsia="zh-CN"/>
              </w:rPr>
              <w:t>□</w:t>
            </w:r>
          </w:p>
        </w:tc>
      </w:tr>
      <w:tr w14:paraId="2E7D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continue"/>
            <w:tcBorders>
              <w:tl2br w:val="nil"/>
              <w:tr2bl w:val="nil"/>
            </w:tcBorders>
            <w:noWrap w:val="0"/>
            <w:vAlign w:val="center"/>
          </w:tcPr>
          <w:p w14:paraId="31ACCDDA">
            <w:pPr>
              <w:widowControl/>
              <w:jc w:val="left"/>
              <w:rPr>
                <w:rFonts w:hint="default" w:ascii="Times New Roman" w:hAnsi="Times New Roman" w:cs="Times New Roman"/>
                <w:color w:val="auto"/>
                <w:sz w:val="21"/>
                <w:szCs w:val="21"/>
                <w:highlight w:val="none"/>
                <w:u w:val="none" w:color="auto"/>
              </w:rPr>
            </w:pPr>
          </w:p>
        </w:tc>
        <w:tc>
          <w:tcPr>
            <w:tcW w:w="420" w:type="pct"/>
            <w:gridSpan w:val="2"/>
            <w:tcBorders>
              <w:tl2br w:val="nil"/>
              <w:tr2bl w:val="nil"/>
            </w:tcBorders>
            <w:noWrap w:val="0"/>
            <w:vAlign w:val="center"/>
          </w:tcPr>
          <w:p w14:paraId="451D657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影响途径</w:t>
            </w:r>
          </w:p>
        </w:tc>
        <w:tc>
          <w:tcPr>
            <w:tcW w:w="1329" w:type="pct"/>
            <w:gridSpan w:val="6"/>
            <w:tcBorders>
              <w:tl2br w:val="nil"/>
              <w:tr2bl w:val="nil"/>
            </w:tcBorders>
            <w:noWrap w:val="0"/>
            <w:vAlign w:val="center"/>
          </w:tcPr>
          <w:p w14:paraId="3C0382F4">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大气</w:t>
            </w:r>
            <w:r>
              <w:rPr>
                <w:rFonts w:hint="default" w:ascii="Times New Roman" w:hAnsi="Times New Roman" w:eastAsia="MS Mincho" w:cs="Times New Roman"/>
                <w:color w:val="auto"/>
                <w:sz w:val="21"/>
                <w:szCs w:val="21"/>
                <w:highlight w:val="none"/>
                <w:u w:val="none" w:color="auto"/>
              </w:rPr>
              <w:t>☑</w:t>
            </w:r>
          </w:p>
        </w:tc>
        <w:tc>
          <w:tcPr>
            <w:tcW w:w="1395" w:type="pct"/>
            <w:gridSpan w:val="7"/>
            <w:tcBorders>
              <w:tl2br w:val="nil"/>
              <w:tr2bl w:val="nil"/>
            </w:tcBorders>
            <w:noWrap w:val="0"/>
            <w:vAlign w:val="center"/>
          </w:tcPr>
          <w:p w14:paraId="1743286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地表水</w:t>
            </w:r>
            <w:r>
              <w:rPr>
                <w:rFonts w:hint="default" w:ascii="Times New Roman" w:hAnsi="Times New Roman" w:eastAsia="MS Mincho" w:cs="Times New Roman"/>
                <w:color w:val="auto"/>
                <w:sz w:val="21"/>
                <w:szCs w:val="21"/>
                <w:highlight w:val="none"/>
                <w:u w:val="none" w:color="auto"/>
              </w:rPr>
              <w:t>☑</w:t>
            </w:r>
          </w:p>
        </w:tc>
        <w:tc>
          <w:tcPr>
            <w:tcW w:w="1592" w:type="pct"/>
            <w:gridSpan w:val="7"/>
            <w:tcBorders>
              <w:tl2br w:val="nil"/>
              <w:tr2bl w:val="nil"/>
            </w:tcBorders>
            <w:noWrap w:val="0"/>
            <w:vAlign w:val="center"/>
          </w:tcPr>
          <w:p w14:paraId="4A26AC7F">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地下水</w:t>
            </w:r>
            <w:r>
              <w:rPr>
                <w:rFonts w:hint="default" w:ascii="Times New Roman" w:hAnsi="Times New Roman" w:eastAsia="宋体" w:cs="Times New Roman"/>
                <w:color w:val="auto"/>
                <w:sz w:val="21"/>
                <w:szCs w:val="21"/>
                <w:highlight w:val="none"/>
                <w:u w:val="none" w:color="auto"/>
                <w:lang w:eastAsia="zh-CN"/>
              </w:rPr>
              <w:t>☑</w:t>
            </w:r>
          </w:p>
        </w:tc>
      </w:tr>
      <w:tr w14:paraId="6309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tcBorders>
              <w:tl2br w:val="nil"/>
              <w:tr2bl w:val="nil"/>
            </w:tcBorders>
            <w:noWrap w:val="0"/>
            <w:vAlign w:val="center"/>
          </w:tcPr>
          <w:p w14:paraId="7CF189E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事故情形分析</w:t>
            </w:r>
          </w:p>
        </w:tc>
        <w:tc>
          <w:tcPr>
            <w:tcW w:w="748" w:type="pct"/>
            <w:gridSpan w:val="3"/>
            <w:tcBorders>
              <w:tl2br w:val="nil"/>
              <w:tr2bl w:val="nil"/>
            </w:tcBorders>
            <w:noWrap w:val="0"/>
            <w:vAlign w:val="center"/>
          </w:tcPr>
          <w:p w14:paraId="519BC7DD">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源强设定方法</w:t>
            </w:r>
          </w:p>
        </w:tc>
        <w:tc>
          <w:tcPr>
            <w:tcW w:w="1391" w:type="pct"/>
            <w:gridSpan w:val="6"/>
            <w:tcBorders>
              <w:tl2br w:val="nil"/>
              <w:tr2bl w:val="nil"/>
            </w:tcBorders>
            <w:noWrap w:val="0"/>
            <w:vAlign w:val="center"/>
          </w:tcPr>
          <w:p w14:paraId="5011BC28">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计算法</w:t>
            </w:r>
            <w:r>
              <w:rPr>
                <w:rFonts w:hint="eastAsia" w:ascii="Times New Roman" w:hAnsi="Times New Roman" w:cs="Times New Roman"/>
                <w:color w:val="auto"/>
                <w:sz w:val="21"/>
                <w:szCs w:val="21"/>
                <w:highlight w:val="none"/>
                <w:u w:val="none" w:color="auto"/>
                <w:lang w:eastAsia="zh-CN"/>
              </w:rPr>
              <w:t>☑</w:t>
            </w:r>
          </w:p>
        </w:tc>
        <w:tc>
          <w:tcPr>
            <w:tcW w:w="980" w:type="pct"/>
            <w:gridSpan w:val="7"/>
            <w:tcBorders>
              <w:tl2br w:val="nil"/>
              <w:tr2bl w:val="nil"/>
            </w:tcBorders>
            <w:noWrap w:val="0"/>
            <w:vAlign w:val="center"/>
          </w:tcPr>
          <w:p w14:paraId="45EF3674">
            <w:pPr>
              <w:adjustRightInd w:val="0"/>
              <w:snapToGrid w:val="0"/>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经验估算法</w:t>
            </w:r>
            <w:r>
              <w:rPr>
                <w:rFonts w:hint="default" w:ascii="Times New Roman" w:hAnsi="Times New Roman" w:cs="Times New Roman"/>
                <w:color w:val="auto"/>
                <w:sz w:val="21"/>
                <w:szCs w:val="21"/>
                <w:highlight w:val="none"/>
                <w:u w:val="none" w:color="auto"/>
                <w:lang w:eastAsia="zh-CN"/>
              </w:rPr>
              <w:t>□</w:t>
            </w:r>
          </w:p>
        </w:tc>
        <w:tc>
          <w:tcPr>
            <w:tcW w:w="1197" w:type="pct"/>
            <w:gridSpan w:val="4"/>
            <w:tcBorders>
              <w:tl2br w:val="nil"/>
              <w:tr2bl w:val="nil"/>
            </w:tcBorders>
            <w:noWrap w:val="0"/>
            <w:vAlign w:val="center"/>
          </w:tcPr>
          <w:p w14:paraId="4AC65293">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其他估算法□</w:t>
            </w:r>
          </w:p>
        </w:tc>
      </w:tr>
      <w:tr w14:paraId="1BF9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restart"/>
            <w:tcBorders>
              <w:tl2br w:val="nil"/>
              <w:tr2bl w:val="nil"/>
            </w:tcBorders>
            <w:noWrap w:val="0"/>
            <w:vAlign w:val="center"/>
          </w:tcPr>
          <w:p w14:paraId="034014F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风险预测与评价</w:t>
            </w:r>
          </w:p>
        </w:tc>
        <w:tc>
          <w:tcPr>
            <w:tcW w:w="420" w:type="pct"/>
            <w:gridSpan w:val="2"/>
            <w:vMerge w:val="restart"/>
            <w:tcBorders>
              <w:tl2br w:val="nil"/>
              <w:tr2bl w:val="nil"/>
            </w:tcBorders>
            <w:noWrap w:val="0"/>
            <w:vAlign w:val="center"/>
          </w:tcPr>
          <w:p w14:paraId="009F81F5">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大气</w:t>
            </w:r>
          </w:p>
        </w:tc>
        <w:tc>
          <w:tcPr>
            <w:tcW w:w="748" w:type="pct"/>
            <w:gridSpan w:val="3"/>
            <w:tcBorders>
              <w:tl2br w:val="nil"/>
              <w:tr2bl w:val="nil"/>
            </w:tcBorders>
            <w:noWrap w:val="0"/>
            <w:vAlign w:val="center"/>
          </w:tcPr>
          <w:p w14:paraId="3FA70C5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预测模型</w:t>
            </w:r>
          </w:p>
        </w:tc>
        <w:tc>
          <w:tcPr>
            <w:tcW w:w="1391" w:type="pct"/>
            <w:gridSpan w:val="6"/>
            <w:tcBorders>
              <w:tl2br w:val="nil"/>
              <w:tr2bl w:val="nil"/>
            </w:tcBorders>
            <w:noWrap w:val="0"/>
            <w:vAlign w:val="center"/>
          </w:tcPr>
          <w:p w14:paraId="49CA951B">
            <w:pPr>
              <w:adjustRightInd w:val="0"/>
              <w:snapToGrid w:val="0"/>
              <w:jc w:val="center"/>
              <w:rPr>
                <w:rFonts w:hint="eastAsia" w:ascii="Times New Roman" w:hAnsi="Times New Roman" w:cs="Times New Roman" w:eastAsiaTheme="minorEastAsia"/>
                <w:color w:val="auto"/>
                <w:sz w:val="21"/>
                <w:szCs w:val="21"/>
                <w:highlight w:val="none"/>
                <w:u w:val="none" w:color="auto"/>
                <w:lang w:eastAsia="zh-CN"/>
              </w:rPr>
            </w:pPr>
            <w:r>
              <w:rPr>
                <w:rFonts w:hint="default" w:ascii="Times New Roman" w:hAnsi="Times New Roman" w:cs="Times New Roman"/>
                <w:color w:val="auto"/>
                <w:sz w:val="21"/>
                <w:szCs w:val="21"/>
                <w:highlight w:val="none"/>
                <w:u w:val="none" w:color="auto"/>
              </w:rPr>
              <w:t>SLAB</w:t>
            </w:r>
            <w:r>
              <w:rPr>
                <w:rFonts w:hint="eastAsia" w:ascii="Times New Roman" w:hAnsi="Times New Roman" w:cs="Times New Roman"/>
                <w:color w:val="auto"/>
                <w:sz w:val="21"/>
                <w:szCs w:val="21"/>
                <w:highlight w:val="none"/>
                <w:u w:val="none" w:color="auto"/>
                <w:lang w:eastAsia="zh-CN"/>
              </w:rPr>
              <w:t>☑</w:t>
            </w:r>
          </w:p>
        </w:tc>
        <w:tc>
          <w:tcPr>
            <w:tcW w:w="980" w:type="pct"/>
            <w:gridSpan w:val="7"/>
            <w:tcBorders>
              <w:tl2br w:val="nil"/>
              <w:tr2bl w:val="nil"/>
            </w:tcBorders>
            <w:noWrap w:val="0"/>
            <w:vAlign w:val="center"/>
          </w:tcPr>
          <w:p w14:paraId="79850A8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AFTOX</w:t>
            </w:r>
            <w:r>
              <w:rPr>
                <w:rFonts w:hint="default" w:ascii="Times New Roman" w:hAnsi="Times New Roman" w:cs="Times New Roman"/>
                <w:color w:val="auto"/>
                <w:sz w:val="21"/>
                <w:szCs w:val="21"/>
                <w:highlight w:val="none"/>
                <w:u w:val="none" w:color="auto"/>
              </w:rPr>
              <w:sym w:font="Wingdings 2" w:char="00A3"/>
            </w:r>
          </w:p>
        </w:tc>
        <w:tc>
          <w:tcPr>
            <w:tcW w:w="1197" w:type="pct"/>
            <w:gridSpan w:val="4"/>
            <w:tcBorders>
              <w:tl2br w:val="nil"/>
              <w:tr2bl w:val="nil"/>
            </w:tcBorders>
            <w:noWrap w:val="0"/>
            <w:vAlign w:val="center"/>
          </w:tcPr>
          <w:p w14:paraId="4778882E">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其他□</w:t>
            </w:r>
          </w:p>
        </w:tc>
      </w:tr>
      <w:tr w14:paraId="4463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continue"/>
            <w:tcBorders>
              <w:tl2br w:val="nil"/>
              <w:tr2bl w:val="nil"/>
            </w:tcBorders>
            <w:noWrap w:val="0"/>
            <w:vAlign w:val="center"/>
          </w:tcPr>
          <w:p w14:paraId="515E2971">
            <w:pPr>
              <w:widowControl/>
              <w:jc w:val="left"/>
              <w:rPr>
                <w:rFonts w:hint="default" w:ascii="Times New Roman" w:hAnsi="Times New Roman" w:cs="Times New Roman"/>
                <w:color w:val="auto"/>
                <w:sz w:val="21"/>
                <w:szCs w:val="21"/>
                <w:highlight w:val="none"/>
                <w:u w:val="none" w:color="auto"/>
              </w:rPr>
            </w:pPr>
          </w:p>
        </w:tc>
        <w:tc>
          <w:tcPr>
            <w:tcW w:w="420" w:type="pct"/>
            <w:gridSpan w:val="2"/>
            <w:vMerge w:val="continue"/>
            <w:tcBorders>
              <w:tl2br w:val="nil"/>
              <w:tr2bl w:val="nil"/>
            </w:tcBorders>
            <w:noWrap w:val="0"/>
            <w:vAlign w:val="center"/>
          </w:tcPr>
          <w:p w14:paraId="6D98B566">
            <w:pPr>
              <w:widowControl/>
              <w:jc w:val="left"/>
              <w:rPr>
                <w:rFonts w:hint="default" w:ascii="Times New Roman" w:hAnsi="Times New Roman" w:cs="Times New Roman"/>
                <w:color w:val="auto"/>
                <w:sz w:val="21"/>
                <w:szCs w:val="21"/>
                <w:highlight w:val="none"/>
                <w:u w:val="none" w:color="auto"/>
              </w:rPr>
            </w:pPr>
          </w:p>
        </w:tc>
        <w:tc>
          <w:tcPr>
            <w:tcW w:w="748" w:type="pct"/>
            <w:gridSpan w:val="3"/>
            <w:vMerge w:val="restart"/>
            <w:tcBorders>
              <w:tl2br w:val="nil"/>
              <w:tr2bl w:val="nil"/>
            </w:tcBorders>
            <w:noWrap w:val="0"/>
            <w:vAlign w:val="center"/>
          </w:tcPr>
          <w:p w14:paraId="580E2DE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预测结果</w:t>
            </w:r>
          </w:p>
        </w:tc>
        <w:tc>
          <w:tcPr>
            <w:tcW w:w="1391" w:type="pct"/>
            <w:gridSpan w:val="6"/>
            <w:vMerge w:val="restart"/>
            <w:tcBorders>
              <w:tl2br w:val="nil"/>
              <w:tr2bl w:val="nil"/>
            </w:tcBorders>
            <w:noWrap w:val="0"/>
            <w:vAlign w:val="center"/>
          </w:tcPr>
          <w:p w14:paraId="2D71A58B">
            <w:pPr>
              <w:adjustRightInd w:val="0"/>
              <w:snapToGrid w:val="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cs="Times New Roman"/>
                <w:color w:val="auto"/>
                <w:sz w:val="21"/>
                <w:szCs w:val="21"/>
                <w:highlight w:val="none"/>
                <w:u w:val="none" w:color="auto"/>
                <w:lang w:val="en-US" w:eastAsia="zh-CN"/>
              </w:rPr>
              <w:t>加氯间泄漏氯气</w:t>
            </w:r>
          </w:p>
        </w:tc>
        <w:tc>
          <w:tcPr>
            <w:tcW w:w="2178" w:type="pct"/>
            <w:gridSpan w:val="11"/>
            <w:tcBorders>
              <w:tl2br w:val="nil"/>
              <w:tr2bl w:val="nil"/>
            </w:tcBorders>
            <w:noWrap w:val="0"/>
            <w:vAlign w:val="center"/>
          </w:tcPr>
          <w:p w14:paraId="30783563">
            <w:pPr>
              <w:adjustRightInd w:val="0"/>
              <w:snapToGrid w:val="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rPr>
              <w:t xml:space="preserve">大气毒性终点浓度-1 最大影响范围 </w:t>
            </w:r>
            <w:r>
              <w:rPr>
                <w:rFonts w:hint="eastAsia" w:cs="Times New Roman"/>
                <w:color w:val="auto"/>
                <w:sz w:val="21"/>
                <w:szCs w:val="21"/>
                <w:highlight w:val="none"/>
                <w:u w:val="none" w:color="auto"/>
                <w:lang w:val="en-US" w:eastAsia="zh-CN"/>
              </w:rPr>
              <w:t>1180</w:t>
            </w:r>
            <w:r>
              <w:rPr>
                <w:rFonts w:hint="default" w:ascii="Times New Roman" w:hAnsi="Times New Roman" w:cs="Times New Roman"/>
                <w:color w:val="auto"/>
                <w:sz w:val="21"/>
                <w:szCs w:val="21"/>
                <w:highlight w:val="none"/>
                <w:u w:val="none" w:color="auto"/>
              </w:rPr>
              <w:t>m</w:t>
            </w:r>
          </w:p>
        </w:tc>
      </w:tr>
      <w:tr w14:paraId="5DDF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continue"/>
            <w:tcBorders>
              <w:tl2br w:val="nil"/>
              <w:tr2bl w:val="nil"/>
            </w:tcBorders>
            <w:noWrap w:val="0"/>
            <w:vAlign w:val="center"/>
          </w:tcPr>
          <w:p w14:paraId="2152C096">
            <w:pPr>
              <w:widowControl/>
              <w:jc w:val="left"/>
              <w:rPr>
                <w:rFonts w:hint="default" w:ascii="Times New Roman" w:hAnsi="Times New Roman" w:cs="Times New Roman"/>
                <w:color w:val="auto"/>
                <w:sz w:val="21"/>
                <w:szCs w:val="21"/>
                <w:highlight w:val="none"/>
                <w:u w:val="none" w:color="auto"/>
              </w:rPr>
            </w:pPr>
          </w:p>
        </w:tc>
        <w:tc>
          <w:tcPr>
            <w:tcW w:w="420" w:type="pct"/>
            <w:gridSpan w:val="2"/>
            <w:vMerge w:val="continue"/>
            <w:tcBorders>
              <w:tl2br w:val="nil"/>
              <w:tr2bl w:val="nil"/>
            </w:tcBorders>
            <w:noWrap w:val="0"/>
            <w:vAlign w:val="center"/>
          </w:tcPr>
          <w:p w14:paraId="4898F461">
            <w:pPr>
              <w:widowControl/>
              <w:jc w:val="left"/>
              <w:rPr>
                <w:rFonts w:hint="default" w:ascii="Times New Roman" w:hAnsi="Times New Roman" w:cs="Times New Roman"/>
                <w:color w:val="auto"/>
                <w:sz w:val="21"/>
                <w:szCs w:val="21"/>
                <w:highlight w:val="none"/>
                <w:u w:val="none" w:color="auto"/>
              </w:rPr>
            </w:pPr>
          </w:p>
        </w:tc>
        <w:tc>
          <w:tcPr>
            <w:tcW w:w="748" w:type="pct"/>
            <w:gridSpan w:val="3"/>
            <w:vMerge w:val="continue"/>
            <w:tcBorders>
              <w:tl2br w:val="nil"/>
              <w:tr2bl w:val="nil"/>
            </w:tcBorders>
            <w:noWrap w:val="0"/>
            <w:vAlign w:val="center"/>
          </w:tcPr>
          <w:p w14:paraId="46ED7B92">
            <w:pPr>
              <w:widowControl/>
              <w:jc w:val="left"/>
              <w:rPr>
                <w:rFonts w:hint="default" w:ascii="Times New Roman" w:hAnsi="Times New Roman" w:cs="Times New Roman"/>
                <w:color w:val="auto"/>
                <w:sz w:val="21"/>
                <w:szCs w:val="21"/>
                <w:highlight w:val="none"/>
                <w:u w:val="none" w:color="auto"/>
              </w:rPr>
            </w:pPr>
          </w:p>
        </w:tc>
        <w:tc>
          <w:tcPr>
            <w:tcW w:w="1391" w:type="pct"/>
            <w:gridSpan w:val="6"/>
            <w:vMerge w:val="continue"/>
            <w:tcBorders>
              <w:tl2br w:val="nil"/>
              <w:tr2bl w:val="nil"/>
            </w:tcBorders>
            <w:noWrap w:val="0"/>
            <w:vAlign w:val="center"/>
          </w:tcPr>
          <w:p w14:paraId="79A75CB0">
            <w:pPr>
              <w:adjustRightInd w:val="0"/>
              <w:snapToGrid w:val="0"/>
              <w:jc w:val="center"/>
              <w:rPr>
                <w:rFonts w:hint="default" w:ascii="Times New Roman" w:hAnsi="Times New Roman" w:cs="Times New Roman"/>
                <w:color w:val="auto"/>
                <w:sz w:val="21"/>
                <w:szCs w:val="21"/>
                <w:highlight w:val="none"/>
                <w:u w:val="none" w:color="auto"/>
              </w:rPr>
            </w:pPr>
          </w:p>
        </w:tc>
        <w:tc>
          <w:tcPr>
            <w:tcW w:w="2178" w:type="pct"/>
            <w:gridSpan w:val="11"/>
            <w:tcBorders>
              <w:tl2br w:val="nil"/>
              <w:tr2bl w:val="nil"/>
            </w:tcBorders>
            <w:noWrap w:val="0"/>
            <w:vAlign w:val="center"/>
          </w:tcPr>
          <w:p w14:paraId="1BF23051">
            <w:pPr>
              <w:adjustRightInd w:val="0"/>
              <w:snapToGrid w:val="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 w:val="21"/>
                <w:szCs w:val="21"/>
                <w:highlight w:val="none"/>
                <w:u w:val="none" w:color="auto"/>
              </w:rPr>
              <w:t>大气毒性终点浓度-2 最大影响范围</w:t>
            </w:r>
            <w:r>
              <w:rPr>
                <w:rFonts w:hint="eastAsia" w:cs="Times New Roman"/>
                <w:color w:val="auto"/>
                <w:sz w:val="21"/>
                <w:szCs w:val="21"/>
                <w:highlight w:val="none"/>
                <w:u w:val="none" w:color="auto"/>
                <w:lang w:val="en-US" w:eastAsia="zh-CN"/>
              </w:rPr>
              <w:t>4690</w:t>
            </w:r>
            <w:r>
              <w:rPr>
                <w:rFonts w:hint="default" w:ascii="Times New Roman" w:hAnsi="Times New Roman" w:cs="Times New Roman"/>
                <w:color w:val="auto"/>
                <w:sz w:val="21"/>
                <w:szCs w:val="21"/>
                <w:highlight w:val="none"/>
                <w:u w:val="none" w:color="auto"/>
              </w:rPr>
              <w:t>m</w:t>
            </w:r>
          </w:p>
        </w:tc>
      </w:tr>
      <w:tr w14:paraId="03BF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continue"/>
            <w:tcBorders>
              <w:tl2br w:val="nil"/>
              <w:tr2bl w:val="nil"/>
            </w:tcBorders>
            <w:noWrap w:val="0"/>
            <w:vAlign w:val="center"/>
          </w:tcPr>
          <w:p w14:paraId="66C5C39F">
            <w:pPr>
              <w:widowControl/>
              <w:jc w:val="left"/>
              <w:rPr>
                <w:rFonts w:hint="default" w:ascii="Times New Roman" w:hAnsi="Times New Roman" w:cs="Times New Roman"/>
                <w:color w:val="auto"/>
                <w:sz w:val="21"/>
                <w:szCs w:val="21"/>
                <w:highlight w:val="none"/>
                <w:u w:val="none" w:color="auto"/>
              </w:rPr>
            </w:pPr>
          </w:p>
        </w:tc>
        <w:tc>
          <w:tcPr>
            <w:tcW w:w="420" w:type="pct"/>
            <w:gridSpan w:val="2"/>
            <w:tcBorders>
              <w:tl2br w:val="nil"/>
              <w:tr2bl w:val="nil"/>
            </w:tcBorders>
            <w:noWrap w:val="0"/>
            <w:vAlign w:val="center"/>
          </w:tcPr>
          <w:p w14:paraId="7701F29F">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地表水</w:t>
            </w:r>
          </w:p>
        </w:tc>
        <w:tc>
          <w:tcPr>
            <w:tcW w:w="4318" w:type="pct"/>
            <w:gridSpan w:val="20"/>
            <w:tcBorders>
              <w:tl2br w:val="nil"/>
              <w:tr2bl w:val="nil"/>
            </w:tcBorders>
            <w:noWrap w:val="0"/>
            <w:vAlign w:val="center"/>
          </w:tcPr>
          <w:p w14:paraId="39B63E50">
            <w:pPr>
              <w:adjustRightInd w:val="0"/>
              <w:snapToGrid w:val="0"/>
              <w:jc w:val="center"/>
              <w:rPr>
                <w:rFonts w:hint="default" w:ascii="Times New Roman" w:hAnsi="Times New Roman" w:eastAsia="宋体" w:cs="Times New Roman"/>
                <w:sz w:val="21"/>
                <w:szCs w:val="21"/>
                <w:highlight w:val="none"/>
                <w:u w:val="single"/>
                <w:lang w:val="en-US" w:eastAsia="zh-CN" w:bidi="ar-SA"/>
              </w:rPr>
            </w:pPr>
            <w:r>
              <w:rPr>
                <w:rFonts w:hint="default" w:ascii="Times New Roman" w:hAnsi="Times New Roman" w:cs="Times New Roman"/>
                <w:sz w:val="21"/>
                <w:szCs w:val="21"/>
                <w:highlight w:val="none"/>
              </w:rPr>
              <w:t>最近环境敏感目标</w:t>
            </w:r>
            <w:r>
              <w:rPr>
                <w:rFonts w:hint="default" w:ascii="Times New Roman" w:hAnsi="Times New Roman" w:cs="Times New Roman"/>
                <w:sz w:val="21"/>
                <w:szCs w:val="21"/>
                <w:highlight w:val="none"/>
                <w:u w:val="single"/>
              </w:rPr>
              <w:t xml:space="preserve"> </w:t>
            </w:r>
            <w:r>
              <w:rPr>
                <w:rFonts w:hint="eastAsia" w:ascii="Times New Roman" w:hAnsi="Times New Roman" w:cs="Times New Roman"/>
                <w:sz w:val="21"/>
                <w:szCs w:val="21"/>
                <w:highlight w:val="none"/>
                <w:u w:val="single"/>
                <w:lang w:val="en-US" w:eastAsia="zh-CN"/>
              </w:rPr>
              <w:t>/</w:t>
            </w:r>
            <w:r>
              <w:rPr>
                <w:rFonts w:hint="default" w:ascii="Times New Roman" w:hAnsi="Times New Roman" w:cs="Times New Roman"/>
                <w:sz w:val="21"/>
                <w:szCs w:val="21"/>
                <w:highlight w:val="none"/>
              </w:rPr>
              <w:t>，达到时间</w:t>
            </w:r>
            <w:r>
              <w:rPr>
                <w:rFonts w:hint="default" w:ascii="Times New Roman" w:hAnsi="Times New Roman" w:cs="Times New Roman"/>
                <w:sz w:val="21"/>
                <w:szCs w:val="21"/>
                <w:highlight w:val="none"/>
                <w:u w:val="single"/>
              </w:rPr>
              <w:t xml:space="preserve">  </w:t>
            </w:r>
            <w:r>
              <w:rPr>
                <w:rFonts w:hint="eastAsia" w:ascii="Times New Roman" w:hAnsi="Times New Roman" w:cs="Times New Roman"/>
                <w:sz w:val="21"/>
                <w:szCs w:val="21"/>
                <w:highlight w:val="none"/>
                <w:u w:val="single"/>
                <w:lang w:val="en-US" w:eastAsia="zh-CN"/>
              </w:rPr>
              <w:t>/</w:t>
            </w:r>
            <w:r>
              <w:rPr>
                <w:rFonts w:hint="default" w:ascii="Times New Roman" w:hAnsi="Times New Roman" w:cs="Times New Roman"/>
                <w:sz w:val="21"/>
                <w:szCs w:val="21"/>
                <w:highlight w:val="none"/>
                <w:u w:val="single"/>
              </w:rPr>
              <w:t xml:space="preserve">  h</w:t>
            </w:r>
          </w:p>
        </w:tc>
      </w:tr>
      <w:tr w14:paraId="2E18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continue"/>
            <w:tcBorders>
              <w:tl2br w:val="nil"/>
              <w:tr2bl w:val="nil"/>
            </w:tcBorders>
            <w:noWrap w:val="0"/>
            <w:vAlign w:val="center"/>
          </w:tcPr>
          <w:p w14:paraId="335DE8DE">
            <w:pPr>
              <w:widowControl/>
              <w:jc w:val="left"/>
              <w:rPr>
                <w:rFonts w:hint="default" w:ascii="Times New Roman" w:hAnsi="Times New Roman" w:cs="Times New Roman"/>
                <w:color w:val="auto"/>
                <w:sz w:val="21"/>
                <w:szCs w:val="21"/>
                <w:highlight w:val="none"/>
                <w:u w:val="none" w:color="auto"/>
              </w:rPr>
            </w:pPr>
          </w:p>
        </w:tc>
        <w:tc>
          <w:tcPr>
            <w:tcW w:w="420" w:type="pct"/>
            <w:gridSpan w:val="2"/>
            <w:vMerge w:val="restart"/>
            <w:tcBorders>
              <w:tl2br w:val="nil"/>
              <w:tr2bl w:val="nil"/>
            </w:tcBorders>
            <w:noWrap w:val="0"/>
            <w:vAlign w:val="center"/>
          </w:tcPr>
          <w:p w14:paraId="296EDA7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地下水</w:t>
            </w:r>
          </w:p>
        </w:tc>
        <w:tc>
          <w:tcPr>
            <w:tcW w:w="4318" w:type="pct"/>
            <w:gridSpan w:val="20"/>
            <w:tcBorders>
              <w:tl2br w:val="nil"/>
              <w:tr2bl w:val="nil"/>
            </w:tcBorders>
            <w:noWrap w:val="0"/>
            <w:vAlign w:val="center"/>
          </w:tcPr>
          <w:p w14:paraId="34481A83">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下游厂区边界到达时间</w:t>
            </w:r>
            <w:r>
              <w:rPr>
                <w:rFonts w:hint="default" w:ascii="Times New Roman" w:hAnsi="Times New Roman" w:cs="Times New Roman"/>
                <w:sz w:val="21"/>
                <w:szCs w:val="21"/>
                <w:highlight w:val="none"/>
                <w:u w:val="single"/>
              </w:rPr>
              <w:t xml:space="preserve"> </w:t>
            </w:r>
            <w:r>
              <w:rPr>
                <w:rFonts w:hint="eastAsia" w:ascii="Times New Roman" w:hAnsi="Times New Roman" w:cs="Times New Roman"/>
                <w:sz w:val="21"/>
                <w:szCs w:val="21"/>
                <w:highlight w:val="none"/>
                <w:u w:val="single"/>
                <w:lang w:val="en-US" w:eastAsia="zh-CN"/>
              </w:rPr>
              <w:t>/</w:t>
            </w:r>
            <w:r>
              <w:rPr>
                <w:rFonts w:hint="default" w:ascii="Times New Roman" w:hAnsi="Times New Roman" w:cs="Times New Roman"/>
                <w:sz w:val="21"/>
                <w:szCs w:val="21"/>
                <w:highlight w:val="none"/>
                <w:u w:val="single"/>
              </w:rPr>
              <w:t xml:space="preserve"> </w:t>
            </w:r>
            <w:r>
              <w:rPr>
                <w:rFonts w:hint="default" w:ascii="Times New Roman" w:hAnsi="Times New Roman" w:cs="Times New Roman"/>
                <w:color w:val="auto"/>
                <w:sz w:val="21"/>
                <w:szCs w:val="21"/>
                <w:highlight w:val="none"/>
                <w:u w:val="none" w:color="auto"/>
              </w:rPr>
              <w:t>d</w:t>
            </w:r>
          </w:p>
        </w:tc>
      </w:tr>
      <w:tr w14:paraId="09F9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248" w:type="pct"/>
            <w:vMerge w:val="continue"/>
            <w:tcBorders>
              <w:tl2br w:val="nil"/>
              <w:tr2bl w:val="nil"/>
            </w:tcBorders>
            <w:noWrap w:val="0"/>
            <w:vAlign w:val="center"/>
          </w:tcPr>
          <w:p w14:paraId="4F6BE0E9">
            <w:pPr>
              <w:widowControl/>
              <w:jc w:val="left"/>
              <w:rPr>
                <w:rFonts w:hint="default" w:ascii="Times New Roman" w:hAnsi="Times New Roman" w:cs="Times New Roman"/>
                <w:color w:val="auto"/>
                <w:sz w:val="21"/>
                <w:szCs w:val="21"/>
                <w:highlight w:val="none"/>
                <w:u w:val="none" w:color="auto"/>
              </w:rPr>
            </w:pPr>
          </w:p>
        </w:tc>
        <w:tc>
          <w:tcPr>
            <w:tcW w:w="420" w:type="pct"/>
            <w:gridSpan w:val="2"/>
            <w:vMerge w:val="continue"/>
            <w:tcBorders>
              <w:tl2br w:val="nil"/>
              <w:tr2bl w:val="nil"/>
            </w:tcBorders>
            <w:noWrap w:val="0"/>
            <w:vAlign w:val="center"/>
          </w:tcPr>
          <w:p w14:paraId="2BDB4823">
            <w:pPr>
              <w:widowControl/>
              <w:jc w:val="left"/>
              <w:rPr>
                <w:rFonts w:hint="default" w:ascii="Times New Roman" w:hAnsi="Times New Roman" w:cs="Times New Roman"/>
                <w:color w:val="auto"/>
                <w:sz w:val="21"/>
                <w:szCs w:val="21"/>
                <w:highlight w:val="none"/>
                <w:u w:val="none" w:color="auto"/>
              </w:rPr>
            </w:pPr>
          </w:p>
        </w:tc>
        <w:tc>
          <w:tcPr>
            <w:tcW w:w="4318" w:type="pct"/>
            <w:gridSpan w:val="20"/>
            <w:tcBorders>
              <w:tl2br w:val="nil"/>
              <w:tr2bl w:val="nil"/>
            </w:tcBorders>
            <w:noWrap w:val="0"/>
            <w:vAlign w:val="center"/>
          </w:tcPr>
          <w:p w14:paraId="0A1C31FB">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最近环境敏感目标</w:t>
            </w:r>
            <w:r>
              <w:rPr>
                <w:rFonts w:hint="default" w:ascii="Times New Roman" w:hAnsi="Times New Roman" w:cs="Times New Roman"/>
                <w:color w:val="auto"/>
                <w:sz w:val="21"/>
                <w:szCs w:val="21"/>
                <w:highlight w:val="none"/>
                <w:u w:val="none" w:color="auto"/>
                <w:lang w:val="en-US" w:eastAsia="zh-CN"/>
              </w:rPr>
              <w:t>/</w:t>
            </w:r>
            <w:r>
              <w:rPr>
                <w:rFonts w:hint="default" w:ascii="Times New Roman" w:hAnsi="Times New Roman" w:cs="Times New Roman"/>
                <w:color w:val="auto"/>
                <w:sz w:val="21"/>
                <w:szCs w:val="21"/>
                <w:highlight w:val="none"/>
                <w:u w:val="none" w:color="auto"/>
              </w:rPr>
              <w:t>，达到时间</w:t>
            </w:r>
            <w:r>
              <w:rPr>
                <w:rFonts w:hint="default" w:ascii="Times New Roman" w:hAnsi="Times New Roman" w:cs="Times New Roman"/>
                <w:color w:val="auto"/>
                <w:sz w:val="21"/>
                <w:szCs w:val="21"/>
                <w:highlight w:val="none"/>
                <w:u w:val="none" w:color="auto"/>
                <w:lang w:val="en-US" w:eastAsia="zh-CN"/>
              </w:rPr>
              <w:t>/</w:t>
            </w:r>
            <w:r>
              <w:rPr>
                <w:rFonts w:hint="default" w:ascii="Times New Roman" w:hAnsi="Times New Roman" w:cs="Times New Roman"/>
                <w:color w:val="auto"/>
                <w:sz w:val="21"/>
                <w:szCs w:val="21"/>
                <w:highlight w:val="none"/>
                <w:u w:val="none" w:color="auto"/>
              </w:rPr>
              <w:t>d</w:t>
            </w:r>
          </w:p>
        </w:tc>
      </w:tr>
      <w:tr w14:paraId="40A4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tcBorders>
              <w:tl2br w:val="nil"/>
              <w:tr2bl w:val="nil"/>
            </w:tcBorders>
            <w:noWrap w:val="0"/>
            <w:vAlign w:val="center"/>
          </w:tcPr>
          <w:p w14:paraId="61DA036A">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重点风险防范措施</w:t>
            </w:r>
          </w:p>
        </w:tc>
        <w:tc>
          <w:tcPr>
            <w:tcW w:w="4318" w:type="pct"/>
            <w:gridSpan w:val="20"/>
            <w:tcBorders>
              <w:tl2br w:val="nil"/>
              <w:tr2bl w:val="nil"/>
            </w:tcBorders>
            <w:noWrap w:val="0"/>
            <w:vAlign w:val="center"/>
          </w:tcPr>
          <w:p w14:paraId="5318056C">
            <w:pPr>
              <w:pStyle w:val="10"/>
              <w:spacing w:after="0"/>
              <w:ind w:left="0" w:leftChars="0"/>
              <w:contextualSpacing/>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1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①</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加强职工的安全教育，提高安全防范风险的意识，</w:t>
            </w:r>
            <w:r>
              <w:rPr>
                <w:rFonts w:hint="eastAsia" w:ascii="Times New Roman" w:hAnsi="Times New Roman" w:cs="Times New Roman"/>
                <w:sz w:val="21"/>
                <w:szCs w:val="21"/>
                <w:highlight w:val="none"/>
                <w:lang w:val="en-US" w:eastAsia="zh-CN"/>
              </w:rPr>
              <w:t>相关环境风险危险耽误</w:t>
            </w:r>
            <w:r>
              <w:rPr>
                <w:rFonts w:hint="default" w:ascii="Times New Roman" w:hAnsi="Times New Roman" w:cs="Times New Roman"/>
                <w:sz w:val="21"/>
                <w:szCs w:val="21"/>
                <w:highlight w:val="none"/>
              </w:rPr>
              <w:t>制定严格的操作规程</w:t>
            </w:r>
            <w:r>
              <w:rPr>
                <w:rFonts w:hint="eastAsia" w:cs="Times New Roman"/>
                <w:sz w:val="21"/>
                <w:szCs w:val="21"/>
                <w:highlight w:val="none"/>
                <w:lang w:eastAsia="zh-CN"/>
              </w:rPr>
              <w:t>；</w:t>
            </w:r>
            <w:r>
              <w:rPr>
                <w:rFonts w:hint="default" w:ascii="Times New Roman" w:hAnsi="Times New Roman" w:cs="Times New Roman"/>
                <w:sz w:val="21"/>
                <w:szCs w:val="21"/>
                <w:highlight w:val="none"/>
              </w:rPr>
              <w:t>严格执行</w:t>
            </w:r>
            <w:r>
              <w:rPr>
                <w:rFonts w:hint="eastAsia" w:cs="Times New Roman"/>
                <w:sz w:val="21"/>
                <w:szCs w:val="21"/>
                <w:highlight w:val="none"/>
                <w:lang w:val="en-US" w:eastAsia="zh-CN"/>
              </w:rPr>
              <w:t>厂区内</w:t>
            </w:r>
            <w:r>
              <w:rPr>
                <w:rFonts w:hint="default" w:ascii="Times New Roman" w:hAnsi="Times New Roman" w:cs="Times New Roman"/>
                <w:sz w:val="21"/>
                <w:szCs w:val="21"/>
                <w:highlight w:val="none"/>
              </w:rPr>
              <w:t>防火、防爆、防雷击、防毒害等各项</w:t>
            </w:r>
            <w:r>
              <w:rPr>
                <w:rFonts w:hint="eastAsia" w:cs="Times New Roman"/>
                <w:sz w:val="21"/>
                <w:szCs w:val="21"/>
                <w:highlight w:val="none"/>
                <w:lang w:val="en-US" w:eastAsia="zh-CN"/>
              </w:rPr>
              <w:t>安全生产和防护措施</w:t>
            </w:r>
            <w:r>
              <w:rPr>
                <w:rFonts w:hint="default" w:ascii="Times New Roman" w:hAnsi="Times New Roman" w:cs="Times New Roman"/>
                <w:sz w:val="21"/>
                <w:szCs w:val="21"/>
                <w:highlight w:val="none"/>
              </w:rPr>
              <w:t>要求</w:t>
            </w:r>
            <w:r>
              <w:rPr>
                <w:rFonts w:hint="eastAsia" w:cs="Times New Roman"/>
                <w:sz w:val="21"/>
                <w:szCs w:val="21"/>
                <w:highlight w:val="none"/>
                <w:lang w:eastAsia="zh-CN"/>
              </w:rPr>
              <w:t>；</w:t>
            </w:r>
            <w:r>
              <w:rPr>
                <w:rFonts w:hint="default" w:ascii="Times New Roman" w:hAnsi="Times New Roman" w:cs="Times New Roman"/>
                <w:sz w:val="21"/>
                <w:szCs w:val="21"/>
                <w:highlight w:val="none"/>
              </w:rPr>
              <w:t>建立健全安全、高效的</w:t>
            </w:r>
            <w:r>
              <w:rPr>
                <w:rFonts w:hint="eastAsia" w:cs="Times New Roman"/>
                <w:sz w:val="21"/>
                <w:szCs w:val="21"/>
                <w:highlight w:val="none"/>
                <w:lang w:val="en-US" w:eastAsia="zh-CN"/>
              </w:rPr>
              <w:t>突发环事件</w:t>
            </w:r>
            <w:r>
              <w:rPr>
                <w:rFonts w:hint="default" w:ascii="Times New Roman" w:hAnsi="Times New Roman" w:cs="Times New Roman"/>
                <w:sz w:val="21"/>
                <w:szCs w:val="21"/>
                <w:highlight w:val="none"/>
              </w:rPr>
              <w:t>应急</w:t>
            </w:r>
            <w:r>
              <w:rPr>
                <w:rFonts w:hint="eastAsia" w:cs="Times New Roman"/>
                <w:sz w:val="21"/>
                <w:szCs w:val="21"/>
                <w:highlight w:val="none"/>
                <w:lang w:val="en-US" w:eastAsia="zh-CN"/>
              </w:rPr>
              <w:t>响应</w:t>
            </w:r>
            <w:r>
              <w:rPr>
                <w:rFonts w:hint="default" w:ascii="Times New Roman" w:hAnsi="Times New Roman" w:cs="Times New Roman"/>
                <w:sz w:val="21"/>
                <w:szCs w:val="21"/>
                <w:highlight w:val="none"/>
              </w:rPr>
              <w:t>体系，一旦发生事故，要做到快速、高效、安全处置</w:t>
            </w:r>
            <w:r>
              <w:rPr>
                <w:rFonts w:hint="eastAsia" w:cs="Times New Roman"/>
                <w:sz w:val="21"/>
                <w:szCs w:val="21"/>
                <w:highlight w:val="none"/>
                <w:lang w:eastAsia="zh-CN"/>
              </w:rPr>
              <w:t>，</w:t>
            </w:r>
            <w:r>
              <w:rPr>
                <w:rFonts w:hint="eastAsia" w:cs="Times New Roman"/>
                <w:sz w:val="21"/>
                <w:szCs w:val="21"/>
                <w:highlight w:val="none"/>
                <w:lang w:val="en-US" w:eastAsia="zh-CN"/>
              </w:rPr>
              <w:t>控制事故造成的风险环境影响</w:t>
            </w:r>
          </w:p>
          <w:p w14:paraId="7C86BB4B">
            <w:pPr>
              <w:pStyle w:val="10"/>
              <w:spacing w:after="0"/>
              <w:ind w:left="0" w:leftChars="0"/>
              <w:contextualSpacing/>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2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②</w:t>
            </w:r>
            <w:r>
              <w:rPr>
                <w:rFonts w:hint="default" w:ascii="Times New Roman" w:hAnsi="Times New Roman" w:cs="Times New Roman"/>
                <w:sz w:val="21"/>
                <w:szCs w:val="21"/>
                <w:highlight w:val="none"/>
              </w:rPr>
              <w:fldChar w:fldCharType="end"/>
            </w:r>
            <w:r>
              <w:rPr>
                <w:rFonts w:hint="eastAsia" w:ascii="Times New Roman" w:hAnsi="Times New Roman" w:cs="Times New Roman"/>
                <w:sz w:val="21"/>
                <w:szCs w:val="21"/>
                <w:highlight w:val="none"/>
                <w:lang w:val="en-US" w:eastAsia="zh-CN"/>
              </w:rPr>
              <w:t>在加氯间设置氯气泄漏报警系统、配套强制吸风和漏氯安全吸收处理装置</w:t>
            </w:r>
            <w:r>
              <w:rPr>
                <w:rFonts w:hint="eastAsia" w:cs="Times New Roman"/>
                <w:sz w:val="21"/>
                <w:szCs w:val="21"/>
                <w:highlight w:val="none"/>
                <w:lang w:val="en-US" w:eastAsia="zh-CN"/>
              </w:rPr>
              <w:t>；液氯气瓶储存、使用和运输等环节管理执行液氯气瓶的有关安全规定；氯气瓶存放间设置事故应急水池（与漏氯吸收装置的排液口、加氯间地面导流沟连通，实现泄漏废液的全封闭收集，不得直接外排）</w:t>
            </w:r>
          </w:p>
          <w:p w14:paraId="66241945">
            <w:pPr>
              <w:contextualSpacing/>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3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③</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对</w:t>
            </w:r>
            <w:r>
              <w:rPr>
                <w:rFonts w:hint="eastAsia" w:ascii="Times New Roman" w:hAnsi="Times New Roman" w:cs="Times New Roman"/>
                <w:sz w:val="21"/>
                <w:szCs w:val="21"/>
                <w:highlight w:val="none"/>
                <w:lang w:val="en-US" w:eastAsia="zh-CN"/>
              </w:rPr>
              <w:t>环境风险源单元</w:t>
            </w:r>
            <w:r>
              <w:rPr>
                <w:rFonts w:hint="default" w:ascii="Times New Roman" w:hAnsi="Times New Roman" w:cs="Times New Roman"/>
                <w:sz w:val="21"/>
                <w:szCs w:val="21"/>
                <w:highlight w:val="none"/>
              </w:rPr>
              <w:t>易发生泄漏的部位实行定期的巡检制度，及时发现问题，尽快解决</w:t>
            </w:r>
            <w:r>
              <w:rPr>
                <w:rFonts w:hint="eastAsia" w:cs="Times New Roman"/>
                <w:sz w:val="21"/>
                <w:szCs w:val="21"/>
                <w:highlight w:val="none"/>
                <w:lang w:eastAsia="zh-CN"/>
              </w:rPr>
              <w:t>，</w:t>
            </w:r>
            <w:r>
              <w:rPr>
                <w:rFonts w:hint="eastAsia" w:cs="Times New Roman"/>
                <w:sz w:val="21"/>
                <w:szCs w:val="21"/>
                <w:highlight w:val="none"/>
                <w:lang w:val="en-US" w:eastAsia="zh-CN"/>
              </w:rPr>
              <w:t>如</w:t>
            </w:r>
            <w:r>
              <w:rPr>
                <w:rFonts w:hint="eastAsia" w:cs="Times New Roman"/>
                <w:sz w:val="21"/>
                <w:szCs w:val="21"/>
                <w:highlight w:val="none"/>
                <w:lang w:eastAsia="zh-CN"/>
              </w:rPr>
              <w:t>液态危险废物盛装于专用包装桶内，包装桶放置于防泄漏托盘上，</w:t>
            </w:r>
            <w:r>
              <w:rPr>
                <w:rFonts w:hint="eastAsia" w:cs="Times New Roman"/>
                <w:sz w:val="21"/>
                <w:szCs w:val="21"/>
                <w:highlight w:val="none"/>
                <w:lang w:val="en-US" w:eastAsia="zh-CN"/>
              </w:rPr>
              <w:t>存放在危险废物暂存间；加药间原矾池内聚合氯化铝设置泄漏物收集导流沟入配置水池</w:t>
            </w:r>
          </w:p>
          <w:p w14:paraId="1CD7DAEB">
            <w:pPr>
              <w:contextualSpacing/>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cs="Times New Roman"/>
                <w:sz w:val="21"/>
                <w:szCs w:val="21"/>
                <w:highlight w:val="none"/>
              </w:rPr>
              <w:fldChar w:fldCharType="begin"/>
            </w:r>
            <w:r>
              <w:rPr>
                <w:rFonts w:hint="default" w:ascii="Times New Roman" w:hAnsi="Times New Roman" w:cs="Times New Roman"/>
                <w:sz w:val="21"/>
                <w:szCs w:val="21"/>
                <w:highlight w:val="none"/>
              </w:rPr>
              <w:instrText xml:space="preserve"> = 4 \* GB3 </w:instrText>
            </w:r>
            <w:r>
              <w:rPr>
                <w:rFonts w:hint="default" w:ascii="Times New Roman" w:hAnsi="Times New Roman" w:cs="Times New Roman"/>
                <w:sz w:val="21"/>
                <w:szCs w:val="21"/>
                <w:highlight w:val="none"/>
              </w:rPr>
              <w:fldChar w:fldCharType="separate"/>
            </w:r>
            <w:r>
              <w:rPr>
                <w:rFonts w:hint="default" w:ascii="Times New Roman" w:hAnsi="Times New Roman" w:cs="Times New Roman"/>
                <w:sz w:val="21"/>
                <w:szCs w:val="21"/>
                <w:highlight w:val="none"/>
              </w:rPr>
              <w:t>④</w:t>
            </w:r>
            <w:r>
              <w:rPr>
                <w:rFonts w:hint="default" w:ascii="Times New Roman" w:hAnsi="Times New Roman" w:cs="Times New Roman"/>
                <w:sz w:val="21"/>
                <w:szCs w:val="21"/>
                <w:highlight w:val="none"/>
              </w:rPr>
              <w:fldChar w:fldCharType="end"/>
            </w:r>
            <w:r>
              <w:rPr>
                <w:rFonts w:hint="default" w:ascii="Times New Roman" w:hAnsi="Times New Roman" w:cs="Times New Roman"/>
                <w:sz w:val="21"/>
                <w:szCs w:val="21"/>
                <w:highlight w:val="none"/>
              </w:rPr>
              <w:t>落实事故废水</w:t>
            </w:r>
            <w:r>
              <w:rPr>
                <w:rFonts w:hint="eastAsia" w:ascii="Times New Roman" w:hAnsi="Times New Roman" w:cs="Times New Roman"/>
                <w:sz w:val="21"/>
                <w:szCs w:val="21"/>
                <w:highlight w:val="none"/>
                <w:lang w:val="en-US" w:eastAsia="zh-CN"/>
              </w:rPr>
              <w:t>应急</w:t>
            </w:r>
            <w:r>
              <w:rPr>
                <w:rFonts w:hint="default" w:ascii="Times New Roman" w:hAnsi="Times New Roman" w:cs="Times New Roman"/>
                <w:sz w:val="21"/>
                <w:szCs w:val="21"/>
                <w:highlight w:val="none"/>
              </w:rPr>
              <w:t>防控</w:t>
            </w:r>
            <w:r>
              <w:rPr>
                <w:rFonts w:hint="eastAsia" w:ascii="Times New Roman" w:hAnsi="Times New Roman" w:cs="Times New Roman"/>
                <w:sz w:val="21"/>
                <w:szCs w:val="21"/>
                <w:highlight w:val="none"/>
                <w:lang w:val="en-US" w:eastAsia="zh-CN"/>
              </w:rPr>
              <w:t>收集措施</w:t>
            </w:r>
            <w:r>
              <w:rPr>
                <w:rFonts w:hint="default" w:ascii="Times New Roman" w:hAnsi="Times New Roman" w:cs="Times New Roman"/>
                <w:sz w:val="21"/>
                <w:szCs w:val="21"/>
                <w:highlight w:val="none"/>
              </w:rPr>
              <w:t>，</w:t>
            </w:r>
            <w:r>
              <w:rPr>
                <w:rFonts w:hint="eastAsia" w:ascii="Times New Roman" w:hAnsi="Times New Roman" w:cs="Times New Roman"/>
                <w:sz w:val="21"/>
                <w:szCs w:val="21"/>
                <w:highlight w:val="none"/>
                <w:lang w:val="en-US" w:eastAsia="zh-CN"/>
              </w:rPr>
              <w:t>发生环境风险事件时确保</w:t>
            </w:r>
            <w:r>
              <w:rPr>
                <w:rFonts w:hint="default" w:ascii="Times New Roman" w:hAnsi="Times New Roman" w:cs="Times New Roman"/>
                <w:sz w:val="21"/>
                <w:szCs w:val="21"/>
                <w:highlight w:val="none"/>
              </w:rPr>
              <w:t>事故废水不外排，杜绝对外界水体造成污染影响</w:t>
            </w:r>
          </w:p>
        </w:tc>
      </w:tr>
      <w:tr w14:paraId="028C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669" w:type="pct"/>
            <w:gridSpan w:val="3"/>
            <w:tcBorders>
              <w:tl2br w:val="nil"/>
              <w:tr2bl w:val="nil"/>
            </w:tcBorders>
            <w:noWrap w:val="0"/>
            <w:vAlign w:val="center"/>
          </w:tcPr>
          <w:p w14:paraId="31340E80">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评价结论与建议</w:t>
            </w:r>
          </w:p>
        </w:tc>
        <w:tc>
          <w:tcPr>
            <w:tcW w:w="4318" w:type="pct"/>
            <w:gridSpan w:val="20"/>
            <w:tcBorders>
              <w:tl2br w:val="nil"/>
              <w:tr2bl w:val="nil"/>
            </w:tcBorders>
            <w:noWrap w:val="0"/>
            <w:vAlign w:val="center"/>
          </w:tcPr>
          <w:p w14:paraId="62C66091">
            <w:pPr>
              <w:adjustRightInd w:val="0"/>
              <w:snapToGrid w:val="0"/>
              <w:jc w:val="center"/>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在采取严格安全防范措施、落实相关风险防范措施后，其风险水平总体上是可以接受的</w:t>
            </w:r>
          </w:p>
        </w:tc>
      </w:tr>
      <w:tr w14:paraId="0E54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12" w:type="pct"/>
          <w:jc w:val="center"/>
        </w:trPr>
        <w:tc>
          <w:tcPr>
            <w:tcW w:w="4987" w:type="pct"/>
            <w:gridSpan w:val="23"/>
            <w:tcBorders>
              <w:tl2br w:val="nil"/>
              <w:tr2bl w:val="nil"/>
            </w:tcBorders>
            <w:noWrap w:val="0"/>
            <w:vAlign w:val="center"/>
          </w:tcPr>
          <w:p w14:paraId="459BF92E">
            <w:pPr>
              <w:adjustRightInd w:val="0"/>
              <w:snapToGrid w:val="0"/>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注：“□”为勾选项，“</w:t>
            </w:r>
            <w:r>
              <w:rPr>
                <w:rFonts w:hint="default" w:ascii="Times New Roman" w:hAnsi="Times New Roman" w:cs="Times New Roman"/>
                <w:sz w:val="21"/>
                <w:szCs w:val="21"/>
                <w:highlight w:val="none"/>
                <w:u w:val="single"/>
              </w:rPr>
              <w:t xml:space="preserve"> </w:t>
            </w:r>
            <w:r>
              <w:rPr>
                <w:rFonts w:hint="eastAsia" w:ascii="Times New Roman" w:hAnsi="Times New Roman" w:cs="Times New Roman"/>
                <w:sz w:val="21"/>
                <w:szCs w:val="21"/>
                <w:highlight w:val="none"/>
                <w:u w:val="single"/>
                <w:lang w:val="en-US" w:eastAsia="zh-CN"/>
              </w:rPr>
              <w:t xml:space="preserve">      </w:t>
            </w:r>
            <w:r>
              <w:rPr>
                <w:rFonts w:hint="default" w:ascii="Times New Roman" w:hAnsi="Times New Roman" w:cs="Times New Roman"/>
                <w:sz w:val="21"/>
                <w:szCs w:val="21"/>
                <w:highlight w:val="none"/>
                <w:u w:val="single"/>
              </w:rPr>
              <w:t xml:space="preserve"> </w:t>
            </w:r>
            <w:r>
              <w:rPr>
                <w:rFonts w:hint="default" w:ascii="Times New Roman" w:hAnsi="Times New Roman" w:cs="Times New Roman"/>
                <w:color w:val="auto"/>
                <w:sz w:val="21"/>
                <w:szCs w:val="21"/>
                <w:highlight w:val="none"/>
                <w:u w:val="none" w:color="auto"/>
              </w:rPr>
              <w:t>”为填写项</w:t>
            </w:r>
          </w:p>
        </w:tc>
      </w:tr>
    </w:tbl>
    <w:p w14:paraId="199CE9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p>
    <w:p w14:paraId="23C0FF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p>
    <w:p w14:paraId="5CD0DD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p>
    <w:p w14:paraId="341009FB">
      <w:pPr>
        <w:rPr>
          <w:rFonts w:hint="default"/>
          <w:lang w:val="en-US" w:eastAsia="zh-CN"/>
        </w:rPr>
      </w:pPr>
    </w:p>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MS Mincho">
    <w:panose1 w:val="02020609040205080304"/>
    <w:charset w:val="80"/>
    <w:family w:val="roman"/>
    <w:pitch w:val="default"/>
    <w:sig w:usb0="E00002FF" w:usb1="6AC7FDFB" w:usb2="00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方正小标宋_GBK">
    <w:altName w:val="微软雅黑"/>
    <w:panose1 w:val="02000000000000000000"/>
    <w:charset w:val="86"/>
    <w:family w:val="script"/>
    <w:pitch w:val="default"/>
    <w:sig w:usb0="00000000" w:usb1="00000000" w:usb2="00082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Noto Sans CJK JP Regular">
    <w:altName w:val="Arial"/>
    <w:panose1 w:val="00000000000000000000"/>
    <w:charset w:val="00"/>
    <w:family w:val="swiss"/>
    <w:pitch w:val="default"/>
    <w:sig w:usb0="00000000"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FE78F">
    <w:pPr>
      <w:pStyle w:val="17"/>
    </w:pPr>
    <w:r>
      <w:rPr>
        <w:sz w:val="18"/>
      </w:rPr>
      <mc:AlternateContent>
        <mc:Choice Requires="wps">
          <w:drawing>
            <wp:anchor distT="0" distB="0" distL="114300" distR="114300" simplePos="0" relativeHeight="251659264" behindDoc="0" locked="0" layoutInCell="1" allowOverlap="1">
              <wp:simplePos x="0" y="0"/>
              <wp:positionH relativeFrom="margin">
                <wp:posOffset>2576830</wp:posOffset>
              </wp:positionH>
              <wp:positionV relativeFrom="paragraph">
                <wp:posOffset>0</wp:posOffset>
              </wp:positionV>
              <wp:extent cx="18415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41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7D29C">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2.9pt;margin-top:0pt;height:144pt;width:14.5pt;mso-position-horizontal-relative:margin;z-index:251659264;mso-width-relative:page;mso-height-relative:page;" filled="f" stroked="f" coordsize="21600,21600" o:gfxdata="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mLUYj1gAAAAgBAAAPAAAAAAAAAAEAIAAAACIAAABkcnMvZG93bnJldi54&#10;bWxQSwECFAAUAAAACACHTuJAmM9oeDUCAABkBAAADgAAAAAAAAABACAAAAAlAQAAZHJzL2Uyb0Rv&#10;Yy54bWxQSwUGAAAAAAYABgBZAQAAzAUAAAAA&#10;">
              <v:fill on="f" focussize="0,0"/>
              <v:stroke on="f" weight="0.5pt"/>
              <v:imagedata o:title=""/>
              <o:lock v:ext="edit" aspectratio="f"/>
              <v:textbox inset="0mm,0mm,0mm,0mm" style="mso-fit-shape-to-text:t;">
                <w:txbxContent>
                  <w:p w14:paraId="2237D29C">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927B2">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54F3DD">
                          <w:pPr>
                            <w:pStyle w:val="17"/>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0554F3DD">
                    <w:pPr>
                      <w:pStyle w:val="17"/>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2B70F">
    <w:pPr>
      <w:pStyle w:val="1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7E6AB">
                          <w:pPr>
                            <w:pStyle w:val="17"/>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2Lu/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i7v2NAIAAGUEAAAOAAAAAAAAAAEAIAAAAB8BAABkcnMvZTJvRG9jLnhtbFBL&#10;BQYAAAAABgAGAFkBAADFBQAAAAA=&#10;">
              <v:fill on="f" focussize="0,0"/>
              <v:stroke on="f" weight="0.5pt"/>
              <v:imagedata o:title=""/>
              <o:lock v:ext="edit" aspectratio="f"/>
              <v:textbox inset="0mm,0mm,0mm,0mm" style="mso-fit-shape-to-text:t;">
                <w:txbxContent>
                  <w:p w14:paraId="5AA7E6AB">
                    <w:pPr>
                      <w:pStyle w:val="17"/>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A186E">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 name="文本框 1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509E19">
                          <w:pPr>
                            <w:pStyle w:val="17"/>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v4zTQ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b+M00NAIAAGUEAAAOAAAAAAAAAAEAIAAAAB8BAABkcnMvZTJvRG9jLnhtbFBL&#10;BQYAAAAABgAGAFkBAADFBQAAAAA=&#10;">
              <v:fill on="f" focussize="0,0"/>
              <v:stroke on="f" weight="0.5pt"/>
              <v:imagedata o:title=""/>
              <o:lock v:ext="edit" aspectratio="f"/>
              <v:textbox inset="0mm,0mm,0mm,0mm" style="mso-fit-shape-to-text:t;">
                <w:txbxContent>
                  <w:p w14:paraId="2B509E19">
                    <w:pPr>
                      <w:pStyle w:val="17"/>
                    </w:pPr>
                    <w:r>
                      <w:fldChar w:fldCharType="begin"/>
                    </w:r>
                    <w:r>
                      <w:instrText xml:space="preserve"> PAGE  \* MERGEFORMAT </w:instrText>
                    </w:r>
                    <w:r>
                      <w:fldChar w:fldCharType="separate"/>
                    </w:r>
                    <w:r>
                      <w:t>52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83F0F0"/>
    <w:multiLevelType w:val="singleLevel"/>
    <w:tmpl w:val="A583F0F0"/>
    <w:lvl w:ilvl="0" w:tentative="0">
      <w:start w:val="1"/>
      <w:numFmt w:val="decimal"/>
      <w:suff w:val="nothing"/>
      <w:lvlText w:val="（%1）"/>
      <w:lvlJc w:val="left"/>
      <w:pPr>
        <w:ind w:left="360"/>
      </w:pPr>
    </w:lvl>
  </w:abstractNum>
  <w:abstractNum w:abstractNumId="1">
    <w:nsid w:val="E5AB72A1"/>
    <w:multiLevelType w:val="multilevel"/>
    <w:tmpl w:val="E5AB72A1"/>
    <w:lvl w:ilvl="0" w:tentative="0">
      <w:start w:val="1"/>
      <w:numFmt w:val="bullet"/>
      <w:lvlText w:val=""/>
      <w:lvlJc w:val="left"/>
      <w:pPr>
        <w:tabs>
          <w:tab w:val="left" w:pos="0"/>
        </w:tabs>
        <w:ind w:left="0" w:firstLine="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pStyle w:val="6"/>
      <w:lvlText w:val=""/>
      <w:lvlJc w:val="left"/>
      <w:pPr>
        <w:tabs>
          <w:tab w:val="left" w:pos="420"/>
        </w:tabs>
        <w:ind w:left="1134" w:hanging="1094"/>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1DC956EF"/>
    <w:multiLevelType w:val="multilevel"/>
    <w:tmpl w:val="1DC956EF"/>
    <w:lvl w:ilvl="0" w:tentative="0">
      <w:start w:val="1"/>
      <w:numFmt w:val="decimal"/>
      <w:pStyle w:val="67"/>
      <w:lvlText w:val="图%1 "/>
      <w:lvlJc w:val="left"/>
      <w:pPr>
        <w:ind w:left="900" w:hanging="420"/>
      </w:pPr>
      <w:rPr>
        <w:rFonts w:hint="default"/>
        <w:b/>
        <w:bCs/>
        <w:color w:val="000000" w:themeColor="text1"/>
        <w14:textFill>
          <w14:solidFill>
            <w14:schemeClr w14:val="tx1"/>
          </w14:solidFill>
        </w14:textFill>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33EF1FC1"/>
    <w:multiLevelType w:val="multilevel"/>
    <w:tmpl w:val="33EF1FC1"/>
    <w:lvl w:ilvl="0" w:tentative="0">
      <w:start w:val="1"/>
      <w:numFmt w:val="decimal"/>
      <w:pStyle w:val="59"/>
      <w:lvlText w:val="%1"/>
      <w:lvlJc w:val="left"/>
      <w:pPr>
        <w:ind w:left="0" w:firstLine="0"/>
      </w:pPr>
      <w:rPr>
        <w:rFonts w:hint="eastAsia"/>
      </w:rPr>
    </w:lvl>
    <w:lvl w:ilvl="1" w:tentative="0">
      <w:start w:val="1"/>
      <w:numFmt w:val="decimal"/>
      <w:pStyle w:val="68"/>
      <w:lvlText w:val="%1.%2"/>
      <w:lvlJc w:val="left"/>
      <w:pPr>
        <w:ind w:left="0" w:firstLine="0"/>
      </w:pPr>
      <w:rPr>
        <w:rFonts w:hint="eastAsia"/>
      </w:rPr>
    </w:lvl>
    <w:lvl w:ilvl="2" w:tentative="0">
      <w:start w:val="1"/>
      <w:numFmt w:val="decimal"/>
      <w:pStyle w:val="60"/>
      <w:lvlText w:val="%1.%2.%3"/>
      <w:lvlJc w:val="left"/>
      <w:pPr>
        <w:ind w:left="0" w:firstLine="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36970A70"/>
    <w:multiLevelType w:val="multilevel"/>
    <w:tmpl w:val="36970A70"/>
    <w:lvl w:ilvl="0" w:tentative="0">
      <w:start w:val="1"/>
      <w:numFmt w:val="decimal"/>
      <w:pStyle w:val="37"/>
      <w:lvlText w:val="表%1 "/>
      <w:lvlJc w:val="left"/>
      <w:pPr>
        <w:ind w:left="4105" w:hanging="420"/>
      </w:pPr>
      <w:rPr>
        <w:rFonts w:hint="default" w:ascii="Times New Roman" w:hAnsi="Times New Roman" w:cs="Times New Roman"/>
        <w:b/>
        <w:bCs/>
        <w:i w:val="0"/>
        <w:iCs w:val="0"/>
        <w:caps w:val="0"/>
        <w:smallCaps w:val="0"/>
        <w:strike w:val="0"/>
        <w:dstrike w:val="0"/>
        <w:vanish w:val="0"/>
        <w:color w:val="000000" w:themeColor="text1"/>
        <w:spacing w:val="0"/>
        <w:position w:val="0"/>
        <w:sz w:val="21"/>
        <w:szCs w:val="21"/>
        <w:u w:val="none"/>
        <w:vertAlign w:val="baseline"/>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C525109"/>
    <w:multiLevelType w:val="multilevel"/>
    <w:tmpl w:val="6C525109"/>
    <w:lvl w:ilvl="0" w:tentative="0">
      <w:start w:val="1"/>
      <w:numFmt w:val="bullet"/>
      <w:lvlText w:val=""/>
      <w:lvlJc w:val="left"/>
      <w:pPr>
        <w:tabs>
          <w:tab w:val="left" w:pos="0"/>
        </w:tabs>
        <w:ind w:left="0" w:firstLine="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420"/>
        </w:tabs>
        <w:ind w:left="1134" w:hanging="1094"/>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70791EA5"/>
    <w:multiLevelType w:val="multilevel"/>
    <w:tmpl w:val="70791EA5"/>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lvlRestart w:val="2"/>
      <w:pStyle w:val="63"/>
      <w:suff w:val="space"/>
      <w:lvlText w:val="表%1.%2-%4    "/>
      <w:lvlJc w:val="left"/>
      <w:pPr>
        <w:ind w:left="3600" w:firstLine="0"/>
      </w:pPr>
      <w:rPr>
        <w:rFonts w:hint="default"/>
        <w:b/>
        <w:bCs/>
        <w:color w:val="auto"/>
      </w:rPr>
    </w:lvl>
    <w:lvl w:ilvl="4" w:tentative="0">
      <w:start w:val="1"/>
      <w:numFmt w:val="decimal"/>
      <w:lvlRestart w:val="3"/>
      <w:pStyle w:val="61"/>
      <w:suff w:val="space"/>
      <w:lvlText w:val="%1.%2.%3.%5"/>
      <w:lvlJc w:val="left"/>
      <w:pPr>
        <w:ind w:left="0" w:firstLine="0"/>
      </w:pPr>
      <w:rPr>
        <w:rFonts w:hint="eastAsia"/>
      </w:rPr>
    </w:lvl>
    <w:lvl w:ilvl="5" w:tentative="0">
      <w:start w:val="1"/>
      <w:numFmt w:val="decimal"/>
      <w:lvlRestart w:val="2"/>
      <w:suff w:val="space"/>
      <w:lvlText w:val="图%1.%2-%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4"/>
  </w:num>
  <w:num w:numId="3">
    <w:abstractNumId w:val="3"/>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B12715"/>
    <w:rsid w:val="00E54D24"/>
    <w:rsid w:val="02FE1D2A"/>
    <w:rsid w:val="039A4E2E"/>
    <w:rsid w:val="039C0BE0"/>
    <w:rsid w:val="03B13ED1"/>
    <w:rsid w:val="06647EB2"/>
    <w:rsid w:val="07612C2A"/>
    <w:rsid w:val="07F32B2B"/>
    <w:rsid w:val="08B72247"/>
    <w:rsid w:val="0A5F104B"/>
    <w:rsid w:val="0BD936D7"/>
    <w:rsid w:val="0C3534E2"/>
    <w:rsid w:val="0CAE6912"/>
    <w:rsid w:val="0D1644B7"/>
    <w:rsid w:val="0D1B7EF1"/>
    <w:rsid w:val="0D5C2450"/>
    <w:rsid w:val="0D941D88"/>
    <w:rsid w:val="0DE340A8"/>
    <w:rsid w:val="0E252C04"/>
    <w:rsid w:val="0E822C23"/>
    <w:rsid w:val="11922EE2"/>
    <w:rsid w:val="13EE061E"/>
    <w:rsid w:val="144C474B"/>
    <w:rsid w:val="14D145D1"/>
    <w:rsid w:val="15B65811"/>
    <w:rsid w:val="15DD5F4E"/>
    <w:rsid w:val="162821D3"/>
    <w:rsid w:val="19AB6BF7"/>
    <w:rsid w:val="1A991D03"/>
    <w:rsid w:val="1BB90100"/>
    <w:rsid w:val="1C9063B8"/>
    <w:rsid w:val="1E9D085A"/>
    <w:rsid w:val="1F30011E"/>
    <w:rsid w:val="21EE406D"/>
    <w:rsid w:val="21FD3502"/>
    <w:rsid w:val="245B7B77"/>
    <w:rsid w:val="2603633D"/>
    <w:rsid w:val="26421F03"/>
    <w:rsid w:val="2753038A"/>
    <w:rsid w:val="277F3036"/>
    <w:rsid w:val="27C624E9"/>
    <w:rsid w:val="28F60FCD"/>
    <w:rsid w:val="29794EA9"/>
    <w:rsid w:val="2A6241E9"/>
    <w:rsid w:val="2BEF2853"/>
    <w:rsid w:val="2CC72D23"/>
    <w:rsid w:val="2DEA3239"/>
    <w:rsid w:val="2F056608"/>
    <w:rsid w:val="302632F4"/>
    <w:rsid w:val="32016C23"/>
    <w:rsid w:val="32435C3D"/>
    <w:rsid w:val="337669FE"/>
    <w:rsid w:val="34CB683D"/>
    <w:rsid w:val="37BC4753"/>
    <w:rsid w:val="37F40B99"/>
    <w:rsid w:val="38314B84"/>
    <w:rsid w:val="390A7741"/>
    <w:rsid w:val="39C578B3"/>
    <w:rsid w:val="3BAD63E3"/>
    <w:rsid w:val="3D993F11"/>
    <w:rsid w:val="3E323EB9"/>
    <w:rsid w:val="3F06588A"/>
    <w:rsid w:val="3F0F751C"/>
    <w:rsid w:val="3F7E3672"/>
    <w:rsid w:val="3FF7439F"/>
    <w:rsid w:val="40890593"/>
    <w:rsid w:val="40C47819"/>
    <w:rsid w:val="41C67058"/>
    <w:rsid w:val="46432EF6"/>
    <w:rsid w:val="465516D5"/>
    <w:rsid w:val="483F2382"/>
    <w:rsid w:val="4AAA2E42"/>
    <w:rsid w:val="4B9366F7"/>
    <w:rsid w:val="4BC66E74"/>
    <w:rsid w:val="4D124210"/>
    <w:rsid w:val="4DEE5E67"/>
    <w:rsid w:val="4E317449"/>
    <w:rsid w:val="4F133219"/>
    <w:rsid w:val="53803D07"/>
    <w:rsid w:val="56BA0FDC"/>
    <w:rsid w:val="56DA389D"/>
    <w:rsid w:val="58524746"/>
    <w:rsid w:val="5A2E0098"/>
    <w:rsid w:val="5BC40F1F"/>
    <w:rsid w:val="5BE873C2"/>
    <w:rsid w:val="5D682369"/>
    <w:rsid w:val="5D6C7911"/>
    <w:rsid w:val="5E4C7057"/>
    <w:rsid w:val="62756ED7"/>
    <w:rsid w:val="647B3B1B"/>
    <w:rsid w:val="64A15D18"/>
    <w:rsid w:val="64F7465C"/>
    <w:rsid w:val="65174E2B"/>
    <w:rsid w:val="65ED76F0"/>
    <w:rsid w:val="685F6BE0"/>
    <w:rsid w:val="69714E84"/>
    <w:rsid w:val="698079B5"/>
    <w:rsid w:val="69DE7F0C"/>
    <w:rsid w:val="69FD7A8F"/>
    <w:rsid w:val="6A0116CF"/>
    <w:rsid w:val="6A5C4EA8"/>
    <w:rsid w:val="6ABA63CA"/>
    <w:rsid w:val="6AF879F1"/>
    <w:rsid w:val="6BF94D01"/>
    <w:rsid w:val="6C0A5F4C"/>
    <w:rsid w:val="6CE301ED"/>
    <w:rsid w:val="6D3B206F"/>
    <w:rsid w:val="6D72669C"/>
    <w:rsid w:val="6DEF1DB1"/>
    <w:rsid w:val="6E8A28E9"/>
    <w:rsid w:val="6F1C23DC"/>
    <w:rsid w:val="6F9737E7"/>
    <w:rsid w:val="6FF9271D"/>
    <w:rsid w:val="7082163B"/>
    <w:rsid w:val="71AE3BEC"/>
    <w:rsid w:val="71BB5EDC"/>
    <w:rsid w:val="722254CC"/>
    <w:rsid w:val="72393DF4"/>
    <w:rsid w:val="73E007D8"/>
    <w:rsid w:val="742A7022"/>
    <w:rsid w:val="75473EDC"/>
    <w:rsid w:val="75925462"/>
    <w:rsid w:val="75CD4430"/>
    <w:rsid w:val="77B44618"/>
    <w:rsid w:val="79A175AA"/>
    <w:rsid w:val="79A2498D"/>
    <w:rsid w:val="79C42E6A"/>
    <w:rsid w:val="7AF87C47"/>
    <w:rsid w:val="7B1C563B"/>
    <w:rsid w:val="7B8A671B"/>
    <w:rsid w:val="7F7747AE"/>
    <w:rsid w:val="7FFB3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keepNext/>
      <w:keepLines/>
      <w:spacing w:line="360" w:lineRule="auto"/>
      <w:outlineLvl w:val="2"/>
    </w:pPr>
    <w:rPr>
      <w:rFonts w:ascii="Calibri" w:hAnsi="Calibri" w:eastAsia="宋体"/>
      <w:b/>
      <w:kern w:val="0"/>
      <w:sz w:val="30"/>
    </w:rPr>
  </w:style>
  <w:style w:type="paragraph" w:styleId="5">
    <w:name w:val="heading 4"/>
    <w:basedOn w:val="1"/>
    <w:next w:val="1"/>
    <w:unhideWhenUsed/>
    <w:qFormat/>
    <w:uiPriority w:val="0"/>
    <w:pPr>
      <w:keepNext/>
      <w:keepLines/>
      <w:adjustRightInd w:val="0"/>
      <w:snapToGrid w:val="0"/>
      <w:spacing w:line="480" w:lineRule="exact"/>
      <w:outlineLvl w:val="3"/>
    </w:pPr>
    <w:rPr>
      <w:rFonts w:cs="Times New Roman"/>
      <w:bCs/>
      <w:snapToGrid w:val="0"/>
      <w:kern w:val="0"/>
      <w:sz w:val="24"/>
      <w:szCs w:val="28"/>
    </w:rPr>
  </w:style>
  <w:style w:type="paragraph" w:styleId="6">
    <w:name w:val="heading 5"/>
    <w:basedOn w:val="1"/>
    <w:next w:val="1"/>
    <w:unhideWhenUsed/>
    <w:qFormat/>
    <w:uiPriority w:val="0"/>
    <w:pPr>
      <w:keepNext/>
      <w:keepLines/>
      <w:numPr>
        <w:ilvl w:val="4"/>
        <w:numId w:val="1"/>
      </w:numPr>
      <w:tabs>
        <w:tab w:val="left" w:pos="0"/>
        <w:tab w:val="left" w:pos="2100"/>
      </w:tabs>
      <w:spacing w:line="372" w:lineRule="auto"/>
      <w:ind w:firstLine="0" w:firstLineChars="0"/>
      <w:outlineLvl w:val="4"/>
    </w:pPr>
    <w:rPr>
      <w:b/>
      <w:sz w:val="28"/>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7">
    <w:name w:val="table of authorities"/>
    <w:basedOn w:val="1"/>
    <w:next w:val="1"/>
    <w:qFormat/>
    <w:uiPriority w:val="0"/>
    <w:pPr>
      <w:ind w:left="420" w:leftChars="200"/>
    </w:pPr>
  </w:style>
  <w:style w:type="paragraph" w:styleId="8">
    <w:name w:val="Normal Indent"/>
    <w:basedOn w:val="1"/>
    <w:next w:val="9"/>
    <w:qFormat/>
    <w:uiPriority w:val="0"/>
    <w:pPr>
      <w:ind w:firstLine="420"/>
    </w:pPr>
    <w:rPr>
      <w:rFonts w:ascii="Times New Roman" w:hAnsi="Times New Roman" w:eastAsia="宋体" w:cs="Times New Roman"/>
      <w:snapToGrid w:val="0"/>
      <w:kern w:val="0"/>
    </w:rPr>
  </w:style>
  <w:style w:type="paragraph" w:styleId="9">
    <w:name w:val="Body Text First Indent 2"/>
    <w:basedOn w:val="10"/>
    <w:next w:val="11"/>
    <w:unhideWhenUsed/>
    <w:qFormat/>
    <w:uiPriority w:val="99"/>
    <w:pPr>
      <w:ind w:firstLine="420" w:firstLineChars="200"/>
    </w:pPr>
  </w:style>
  <w:style w:type="paragraph" w:styleId="10">
    <w:name w:val="Body Text Indent"/>
    <w:basedOn w:val="1"/>
    <w:next w:val="1"/>
    <w:unhideWhenUsed/>
    <w:qFormat/>
    <w:uiPriority w:val="99"/>
    <w:pPr>
      <w:spacing w:after="120"/>
      <w:ind w:left="420" w:leftChars="200"/>
    </w:pPr>
  </w:style>
  <w:style w:type="paragraph" w:styleId="11">
    <w:name w:val="Body Text First Indent"/>
    <w:basedOn w:val="12"/>
    <w:next w:val="1"/>
    <w:qFormat/>
    <w:uiPriority w:val="0"/>
    <w:pPr>
      <w:adjustRightInd w:val="0"/>
      <w:snapToGrid w:val="0"/>
      <w:spacing w:before="156" w:beforeLines="50" w:after="0" w:afterLines="0" w:line="360" w:lineRule="auto"/>
      <w:ind w:firstLine="200" w:firstLineChars="200"/>
    </w:pPr>
    <w:rPr>
      <w:sz w:val="24"/>
    </w:rPr>
  </w:style>
  <w:style w:type="paragraph" w:styleId="12">
    <w:name w:val="Body Text"/>
    <w:basedOn w:val="1"/>
    <w:next w:val="13"/>
    <w:unhideWhenUsed/>
    <w:qFormat/>
    <w:uiPriority w:val="0"/>
    <w:pPr>
      <w:widowControl/>
      <w:snapToGrid w:val="0"/>
      <w:spacing w:before="60" w:after="160" w:line="254" w:lineRule="auto"/>
      <w:ind w:right="113"/>
    </w:pPr>
    <w:rPr>
      <w:rFonts w:ascii="Calibri" w:hAnsi="Calibri"/>
      <w:kern w:val="0"/>
      <w:sz w:val="18"/>
      <w:szCs w:val="20"/>
    </w:rPr>
  </w:style>
  <w:style w:type="paragraph" w:customStyle="1" w:styleId="13">
    <w:name w:val="xl27"/>
    <w:basedOn w:val="7"/>
    <w:next w:val="14"/>
    <w:autoRedefine/>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styleId="14">
    <w:name w:val="Body Text Indent 2"/>
    <w:basedOn w:val="1"/>
    <w:next w:val="1"/>
    <w:qFormat/>
    <w:uiPriority w:val="0"/>
    <w:pPr>
      <w:spacing w:after="120" w:line="480" w:lineRule="auto"/>
      <w:ind w:left="420" w:leftChars="200"/>
    </w:pPr>
  </w:style>
  <w:style w:type="paragraph" w:styleId="15">
    <w:name w:val="annotation text"/>
    <w:basedOn w:val="1"/>
    <w:qFormat/>
    <w:uiPriority w:val="0"/>
    <w:pPr>
      <w:jc w:val="left"/>
    </w:pPr>
  </w:style>
  <w:style w:type="paragraph" w:styleId="16">
    <w:name w:val="Plain Text"/>
    <w:basedOn w:val="1"/>
    <w:next w:val="1"/>
    <w:qFormat/>
    <w:uiPriority w:val="0"/>
    <w:rPr>
      <w:rFonts w:ascii="宋体" w:hAnsi="Courier New"/>
    </w:rPr>
  </w:style>
  <w:style w:type="paragraph" w:styleId="17">
    <w:name w:val="footer"/>
    <w:basedOn w:val="1"/>
    <w:qFormat/>
    <w:uiPriority w:val="99"/>
    <w:pPr>
      <w:tabs>
        <w:tab w:val="center" w:pos="4153"/>
        <w:tab w:val="right" w:pos="8306"/>
      </w:tabs>
      <w:snapToGrid w:val="0"/>
      <w:jc w:val="left"/>
    </w:pPr>
    <w:rPr>
      <w:kern w:val="0"/>
      <w:sz w:val="18"/>
      <w:szCs w:val="20"/>
    </w:rPr>
  </w:style>
  <w:style w:type="paragraph" w:styleId="18">
    <w:name w:val="header"/>
    <w:basedOn w:val="1"/>
    <w:next w:val="19"/>
    <w:qFormat/>
    <w:uiPriority w:val="0"/>
    <w:pPr>
      <w:pBdr>
        <w:bottom w:val="single" w:color="auto" w:sz="6" w:space="1"/>
      </w:pBdr>
      <w:tabs>
        <w:tab w:val="center" w:pos="4153"/>
        <w:tab w:val="right" w:pos="8306"/>
      </w:tabs>
      <w:snapToGrid w:val="0"/>
      <w:jc w:val="center"/>
    </w:pPr>
    <w:rPr>
      <w:sz w:val="18"/>
      <w:szCs w:val="18"/>
    </w:rPr>
  </w:style>
  <w:style w:type="paragraph" w:customStyle="1" w:styleId="19">
    <w:name w:val="样式5"/>
    <w:basedOn w:val="20"/>
    <w:autoRedefine/>
    <w:qFormat/>
    <w:uiPriority w:val="0"/>
    <w:pPr>
      <w:snapToGrid w:val="0"/>
      <w:ind w:firstLine="510"/>
    </w:pPr>
  </w:style>
  <w:style w:type="paragraph" w:customStyle="1" w:styleId="20">
    <w:name w:val="正文1"/>
    <w:basedOn w:val="1"/>
    <w:next w:val="1"/>
    <w:qFormat/>
    <w:uiPriority w:val="0"/>
    <w:pPr>
      <w:spacing w:line="360" w:lineRule="auto"/>
      <w:ind w:firstLine="480" w:firstLineChars="200"/>
    </w:pPr>
    <w:rPr>
      <w:rFonts w:ascii="Times New Roman" w:hAnsi="Times New Roman" w:eastAsia="宋体"/>
      <w:sz w:val="24"/>
    </w:rPr>
  </w:style>
  <w:style w:type="paragraph" w:styleId="21">
    <w:name w:val="toc 1"/>
    <w:basedOn w:val="1"/>
    <w:next w:val="1"/>
    <w:unhideWhenUsed/>
    <w:qFormat/>
    <w:uiPriority w:val="39"/>
  </w:style>
  <w:style w:type="paragraph" w:styleId="22">
    <w:name w:val="List"/>
    <w:basedOn w:val="1"/>
    <w:qFormat/>
    <w:uiPriority w:val="0"/>
    <w:pPr>
      <w:spacing w:line="360" w:lineRule="auto"/>
      <w:ind w:left="200" w:hanging="200" w:hangingChars="200"/>
      <w:jc w:val="center"/>
    </w:pPr>
    <w:rPr>
      <w:rFonts w:cstheme="minorBidi"/>
      <w:snapToGrid w:val="0"/>
      <w:kern w:val="0"/>
      <w:sz w:val="24"/>
      <w:szCs w:val="21"/>
    </w:rPr>
  </w:style>
  <w:style w:type="paragraph" w:styleId="23">
    <w:name w:val="Normal (Web)"/>
    <w:basedOn w:val="1"/>
    <w:unhideWhenUsed/>
    <w:qFormat/>
    <w:uiPriority w:val="0"/>
    <w:pPr>
      <w:widowControl/>
      <w:spacing w:before="100" w:beforeAutospacing="1" w:after="100" w:afterAutospacing="1"/>
      <w:jc w:val="left"/>
    </w:pPr>
    <w:rPr>
      <w:rFonts w:ascii="宋体" w:hAnsi="宋体" w:cs="Times New Roman"/>
      <w:sz w:val="24"/>
      <w:szCs w:val="22"/>
    </w:r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page number"/>
    <w:basedOn w:val="26"/>
    <w:qFormat/>
    <w:uiPriority w:val="0"/>
  </w:style>
  <w:style w:type="character" w:styleId="29">
    <w:name w:val="Hyperlink"/>
    <w:unhideWhenUsed/>
    <w:qFormat/>
    <w:uiPriority w:val="99"/>
    <w:rPr>
      <w:color w:val="0000FF"/>
      <w:u w:val="single"/>
    </w:rPr>
  </w:style>
  <w:style w:type="paragraph" w:customStyle="1" w:styleId="30">
    <w:name w:val="样式 正文文本缩进 + 行距: 1.5 倍行距"/>
    <w:basedOn w:val="10"/>
    <w:qFormat/>
    <w:uiPriority w:val="0"/>
    <w:pPr>
      <w:ind w:left="90" w:leftChars="32" w:firstLine="560" w:firstLineChars="200"/>
    </w:pPr>
    <w:rPr>
      <w:rFonts w:cs="宋体"/>
    </w:rPr>
  </w:style>
  <w:style w:type="paragraph" w:customStyle="1" w:styleId="31">
    <w:name w:val="Date1"/>
    <w:basedOn w:val="1"/>
    <w:next w:val="1"/>
    <w:qFormat/>
    <w:uiPriority w:val="0"/>
    <w:pPr>
      <w:adjustRightInd w:val="0"/>
      <w:textAlignment w:val="baseline"/>
    </w:pPr>
    <w:rPr>
      <w:szCs w:val="20"/>
    </w:rPr>
  </w:style>
  <w:style w:type="paragraph" w:customStyle="1" w:styleId="32">
    <w:name w:val="Default"/>
    <w:basedOn w:val="12"/>
    <w:next w:val="22"/>
    <w:autoRedefine/>
    <w:qFormat/>
    <w:uiPriority w:val="0"/>
    <w:pPr>
      <w:autoSpaceDE w:val="0"/>
      <w:autoSpaceDN w:val="0"/>
    </w:pPr>
    <w:rPr>
      <w:rFonts w:ascii="黑体" w:hAnsi="Times New Roman" w:eastAsia="黑体" w:cs="黑体"/>
      <w:color w:val="000000"/>
      <w:sz w:val="24"/>
      <w:szCs w:val="24"/>
    </w:rPr>
  </w:style>
  <w:style w:type="paragraph" w:customStyle="1" w:styleId="33">
    <w:name w:val="纯文本1"/>
    <w:basedOn w:val="1"/>
    <w:next w:val="1"/>
    <w:qFormat/>
    <w:uiPriority w:val="0"/>
    <w:pPr>
      <w:jc w:val="center"/>
      <w:textAlignment w:val="baseline"/>
    </w:pPr>
    <w:rPr>
      <w:rFonts w:ascii="宋体" w:hAnsi="Courier New"/>
      <w:szCs w:val="20"/>
    </w:rPr>
  </w:style>
  <w:style w:type="paragraph" w:customStyle="1" w:styleId="34">
    <w:name w:val="报告书内容"/>
    <w:basedOn w:val="1"/>
    <w:qFormat/>
    <w:uiPriority w:val="0"/>
    <w:pPr>
      <w:tabs>
        <w:tab w:val="left" w:pos="1021"/>
      </w:tabs>
      <w:spacing w:line="300" w:lineRule="auto"/>
      <w:ind w:firstLine="200" w:firstLineChars="200"/>
    </w:pPr>
    <w:rPr>
      <w:rFonts w:ascii="Calibri" w:hAnsi="Calibri"/>
      <w:sz w:val="24"/>
    </w:rPr>
  </w:style>
  <w:style w:type="character" w:customStyle="1" w:styleId="35">
    <w:name w:val="NormalCharacter"/>
    <w:qFormat/>
    <w:uiPriority w:val="0"/>
  </w:style>
  <w:style w:type="paragraph" w:customStyle="1" w:styleId="36">
    <w:name w:val="NormalIndent"/>
    <w:basedOn w:val="1"/>
    <w:qFormat/>
    <w:uiPriority w:val="0"/>
    <w:pPr>
      <w:widowControl/>
      <w:spacing w:line="360" w:lineRule="auto"/>
      <w:ind w:firstLine="420"/>
      <w:textAlignment w:val="baseline"/>
    </w:pPr>
    <w:rPr>
      <w:rFonts w:ascii="Calibri" w:hAnsi="Calibri" w:eastAsia="Times New Roman"/>
      <w:sz w:val="24"/>
      <w:szCs w:val="20"/>
    </w:rPr>
  </w:style>
  <w:style w:type="paragraph" w:customStyle="1" w:styleId="37">
    <w:name w:val="lh-表题--报告表"/>
    <w:basedOn w:val="1"/>
    <w:qFormat/>
    <w:uiPriority w:val="0"/>
    <w:pPr>
      <w:keepNext/>
      <w:widowControl/>
      <w:numPr>
        <w:ilvl w:val="0"/>
        <w:numId w:val="2"/>
      </w:numPr>
      <w:ind w:left="0" w:firstLine="0"/>
      <w:jc w:val="center"/>
    </w:pPr>
    <w:rPr>
      <w:snapToGrid w:val="0"/>
      <w:kern w:val="0"/>
      <w:sz w:val="24"/>
    </w:rPr>
  </w:style>
  <w:style w:type="paragraph" w:customStyle="1" w:styleId="38">
    <w:name w:val="正文-毛"/>
    <w:basedOn w:val="12"/>
    <w:autoRedefine/>
    <w:semiHidden/>
    <w:qFormat/>
    <w:uiPriority w:val="0"/>
    <w:pPr>
      <w:adjustRightInd w:val="0"/>
      <w:spacing w:after="0" w:line="360" w:lineRule="auto"/>
      <w:ind w:right="0" w:firstLine="200" w:firstLineChars="200"/>
    </w:pPr>
    <w:rPr>
      <w:bCs/>
      <w:color w:val="C45911"/>
      <w:sz w:val="24"/>
    </w:rPr>
  </w:style>
  <w:style w:type="paragraph" w:customStyle="1" w:styleId="39">
    <w:name w:val="lh-正文-报告表"/>
    <w:basedOn w:val="1"/>
    <w:autoRedefine/>
    <w:qFormat/>
    <w:uiPriority w:val="0"/>
    <w:pPr>
      <w:spacing w:line="360" w:lineRule="auto"/>
      <w:ind w:firstLine="480" w:firstLineChars="200"/>
    </w:pPr>
    <w:rPr>
      <w:kern w:val="0"/>
      <w:sz w:val="24"/>
      <w:szCs w:val="21"/>
    </w:rPr>
  </w:style>
  <w:style w:type="paragraph" w:customStyle="1" w:styleId="40">
    <w:name w:val="正文文本1"/>
    <w:basedOn w:val="1"/>
    <w:next w:val="1"/>
    <w:qFormat/>
    <w:uiPriority w:val="0"/>
    <w:pPr>
      <w:adjustRightInd w:val="0"/>
      <w:snapToGrid w:val="0"/>
      <w:spacing w:line="360" w:lineRule="auto"/>
      <w:ind w:firstLine="720" w:firstLineChars="200"/>
      <w:jc w:val="both"/>
    </w:pPr>
    <w:rPr>
      <w:rFonts w:ascii="宋体" w:hAnsi="宋体" w:cs="宋体"/>
      <w:bCs/>
      <w:szCs w:val="21"/>
    </w:rPr>
  </w:style>
  <w:style w:type="paragraph" w:customStyle="1" w:styleId="41">
    <w:name w:val="表格内容"/>
    <w:basedOn w:val="42"/>
    <w:next w:val="1"/>
    <w:qFormat/>
    <w:uiPriority w:val="0"/>
    <w:pPr>
      <w:tabs>
        <w:tab w:val="left" w:pos="1021"/>
      </w:tabs>
      <w:spacing w:line="240" w:lineRule="atLeast"/>
      <w:jc w:val="center"/>
    </w:pPr>
    <w:rPr>
      <w:szCs w:val="24"/>
    </w:rPr>
  </w:style>
  <w:style w:type="paragraph" w:customStyle="1" w:styleId="42">
    <w:name w:val="表格"/>
    <w:basedOn w:val="43"/>
    <w:next w:val="1"/>
    <w:qFormat/>
    <w:uiPriority w:val="0"/>
    <w:pPr>
      <w:tabs>
        <w:tab w:val="left" w:pos="1021"/>
      </w:tabs>
      <w:adjustRightInd w:val="0"/>
      <w:snapToGrid w:val="0"/>
      <w:spacing w:beforeLines="10" w:afterLines="10" w:line="259" w:lineRule="auto"/>
      <w:jc w:val="center"/>
    </w:pPr>
    <w:rPr>
      <w:rFonts w:ascii="宋体"/>
      <w:kern w:val="0"/>
      <w:szCs w:val="20"/>
    </w:rPr>
  </w:style>
  <w:style w:type="paragraph" w:customStyle="1" w:styleId="43">
    <w:name w:val="表格文字"/>
    <w:basedOn w:val="11"/>
    <w:next w:val="1"/>
    <w:autoRedefine/>
    <w:qFormat/>
    <w:uiPriority w:val="0"/>
    <w:pPr>
      <w:tabs>
        <w:tab w:val="left" w:pos="1021"/>
      </w:tabs>
      <w:spacing w:line="360" w:lineRule="atLeast"/>
      <w:jc w:val="center"/>
    </w:pPr>
    <w:rPr>
      <w:rFonts w:ascii="宋体" w:eastAsia="幼圆"/>
      <w:sz w:val="21"/>
      <w:szCs w:val="20"/>
    </w:rPr>
  </w:style>
  <w:style w:type="paragraph" w:customStyle="1" w:styleId="44">
    <w:name w:val="表头图尾"/>
    <w:basedOn w:val="1"/>
    <w:next w:val="1"/>
    <w:qFormat/>
    <w:uiPriority w:val="0"/>
    <w:pPr>
      <w:spacing w:beforeLines="50" w:line="240" w:lineRule="auto"/>
      <w:ind w:firstLine="0" w:firstLineChars="0"/>
      <w:jc w:val="center"/>
    </w:pPr>
    <w:rPr>
      <w:b/>
      <w:sz w:val="24"/>
    </w:rPr>
  </w:style>
  <w:style w:type="table" w:customStyle="1" w:styleId="45">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46">
    <w:name w:val="表字体"/>
    <w:basedOn w:val="1"/>
    <w:next w:val="1"/>
    <w:qFormat/>
    <w:uiPriority w:val="0"/>
    <w:pPr>
      <w:jc w:val="center"/>
    </w:pPr>
    <w:rPr>
      <w:rFonts w:ascii="Times New Roman" w:hAnsi="Times New Roman" w:cs="Times New Roman"/>
      <w:kern w:val="0"/>
      <w:sz w:val="20"/>
      <w:szCs w:val="20"/>
    </w:rPr>
  </w:style>
  <w:style w:type="paragraph" w:customStyle="1" w:styleId="47">
    <w:name w:val="样式1"/>
    <w:basedOn w:val="1"/>
    <w:qFormat/>
    <w:uiPriority w:val="0"/>
    <w:pPr>
      <w:autoSpaceDE w:val="0"/>
      <w:autoSpaceDN w:val="0"/>
      <w:adjustRightInd w:val="0"/>
      <w:snapToGrid w:val="0"/>
      <w:spacing w:line="360" w:lineRule="auto"/>
      <w:ind w:firstLine="720" w:firstLineChars="200"/>
      <w:jc w:val="center"/>
    </w:pPr>
    <w:rPr>
      <w:rFonts w:hint="eastAsia" w:ascii="宋体" w:hAnsi="宋体" w:cs="宋体"/>
      <w:kern w:val="0"/>
    </w:rPr>
  </w:style>
  <w:style w:type="paragraph" w:customStyle="1" w:styleId="48">
    <w:name w:val="表头"/>
    <w:basedOn w:val="11"/>
    <w:next w:val="9"/>
    <w:qFormat/>
    <w:uiPriority w:val="0"/>
    <w:pPr>
      <w:overflowPunct w:val="0"/>
      <w:autoSpaceDE w:val="0"/>
      <w:autoSpaceDN w:val="0"/>
      <w:adjustRightInd w:val="0"/>
      <w:spacing w:after="0"/>
      <w:ind w:firstLine="0" w:firstLineChars="0"/>
      <w:jc w:val="center"/>
    </w:pPr>
    <w:rPr>
      <w:rFonts w:ascii="宋体" w:hAnsi="宋体" w:cs="Times New Roman"/>
      <w:sz w:val="24"/>
      <w:szCs w:val="24"/>
    </w:rPr>
  </w:style>
  <w:style w:type="paragraph" w:customStyle="1" w:styleId="49">
    <w:name w:val="表字居中"/>
    <w:basedOn w:val="1"/>
    <w:next w:val="12"/>
    <w:qFormat/>
    <w:uiPriority w:val="0"/>
    <w:pPr>
      <w:keepNext w:val="0"/>
      <w:keepLines w:val="0"/>
      <w:widowControl w:val="0"/>
      <w:suppressLineNumbers w:val="0"/>
      <w:overflowPunct w:val="0"/>
      <w:autoSpaceDE w:val="0"/>
      <w:autoSpaceDN w:val="0"/>
      <w:adjustRightInd w:val="0"/>
      <w:spacing w:before="0" w:beforeAutospacing="0" w:after="0" w:afterAutospacing="0"/>
      <w:ind w:left="0" w:right="0"/>
      <w:jc w:val="center"/>
    </w:pPr>
    <w:rPr>
      <w:rFonts w:hint="default" w:ascii="Times New Roman" w:hAnsi="Times New Roman" w:eastAsia="宋体" w:cs="宋体"/>
      <w:kern w:val="0"/>
      <w:sz w:val="24"/>
      <w:szCs w:val="24"/>
      <w:lang w:val="en-US" w:eastAsia="zh-CN" w:bidi="ar"/>
    </w:rPr>
  </w:style>
  <w:style w:type="character" w:customStyle="1" w:styleId="50">
    <w:name w:val="font41"/>
    <w:basedOn w:val="26"/>
    <w:qFormat/>
    <w:uiPriority w:val="0"/>
    <w:rPr>
      <w:rFonts w:ascii="宋体" w:hAnsi="宋体" w:eastAsia="宋体" w:cs="宋体"/>
      <w:color w:val="000000"/>
      <w:sz w:val="50"/>
      <w:szCs w:val="50"/>
      <w:u w:val="none"/>
    </w:rPr>
  </w:style>
  <w:style w:type="character" w:customStyle="1" w:styleId="51">
    <w:name w:val="font101"/>
    <w:basedOn w:val="26"/>
    <w:qFormat/>
    <w:uiPriority w:val="0"/>
    <w:rPr>
      <w:rFonts w:ascii="宋体" w:hAnsi="宋体" w:eastAsia="宋体" w:cs="宋体"/>
      <w:color w:val="606060"/>
      <w:sz w:val="50"/>
      <w:szCs w:val="50"/>
      <w:u w:val="none"/>
    </w:rPr>
  </w:style>
  <w:style w:type="character" w:customStyle="1" w:styleId="52">
    <w:name w:val="font112"/>
    <w:basedOn w:val="26"/>
    <w:qFormat/>
    <w:uiPriority w:val="0"/>
    <w:rPr>
      <w:rFonts w:hint="default" w:ascii="Calibri" w:hAnsi="Calibri" w:cs="Calibri"/>
      <w:color w:val="000000"/>
      <w:sz w:val="50"/>
      <w:szCs w:val="50"/>
      <w:u w:val="none"/>
    </w:rPr>
  </w:style>
  <w:style w:type="character" w:customStyle="1" w:styleId="53">
    <w:name w:val="font111"/>
    <w:basedOn w:val="26"/>
    <w:qFormat/>
    <w:uiPriority w:val="0"/>
    <w:rPr>
      <w:rFonts w:ascii="宋体" w:hAnsi="宋体" w:eastAsia="宋体" w:cs="宋体"/>
      <w:color w:val="606070"/>
      <w:sz w:val="52"/>
      <w:szCs w:val="52"/>
      <w:u w:val="none"/>
    </w:rPr>
  </w:style>
  <w:style w:type="character" w:customStyle="1" w:styleId="54">
    <w:name w:val="font121"/>
    <w:basedOn w:val="26"/>
    <w:qFormat/>
    <w:uiPriority w:val="0"/>
    <w:rPr>
      <w:rFonts w:ascii="宋体" w:hAnsi="宋体" w:eastAsia="宋体" w:cs="宋体"/>
      <w:color w:val="403040"/>
      <w:sz w:val="52"/>
      <w:szCs w:val="52"/>
      <w:u w:val="none"/>
    </w:rPr>
  </w:style>
  <w:style w:type="character" w:customStyle="1" w:styleId="55">
    <w:name w:val="font31"/>
    <w:basedOn w:val="26"/>
    <w:qFormat/>
    <w:uiPriority w:val="0"/>
    <w:rPr>
      <w:rFonts w:hint="eastAsia" w:ascii="宋体" w:hAnsi="宋体" w:eastAsia="宋体" w:cs="宋体"/>
      <w:color w:val="000000"/>
      <w:sz w:val="21"/>
      <w:szCs w:val="21"/>
      <w:u w:val="none"/>
    </w:rPr>
  </w:style>
  <w:style w:type="paragraph" w:customStyle="1" w:styleId="56">
    <w:name w:val="Table Paragraph"/>
    <w:basedOn w:val="1"/>
    <w:qFormat/>
    <w:uiPriority w:val="1"/>
    <w:pPr>
      <w:spacing w:line="240" w:lineRule="auto"/>
      <w:jc w:val="left"/>
    </w:pPr>
    <w:rPr>
      <w:rFonts w:ascii="Calibri" w:hAnsi="Calibri"/>
      <w:kern w:val="0"/>
      <w:sz w:val="22"/>
      <w:szCs w:val="22"/>
      <w:lang w:eastAsia="en-US"/>
    </w:rPr>
  </w:style>
  <w:style w:type="paragraph" w:customStyle="1" w:styleId="57">
    <w:name w:val="表 图 内容"/>
    <w:basedOn w:val="58"/>
    <w:qFormat/>
    <w:uiPriority w:val="0"/>
    <w:pPr>
      <w:jc w:val="center"/>
    </w:pPr>
    <w:rPr>
      <w:rFonts w:ascii="Calibri" w:hAnsi="宋体" w:eastAsia="宋体"/>
      <w:color w:val="000000"/>
      <w:sz w:val="21"/>
      <w:szCs w:val="24"/>
    </w:rPr>
  </w:style>
  <w:style w:type="paragraph" w:customStyle="1" w:styleId="58">
    <w:name w:val="正  文"/>
    <w:basedOn w:val="1"/>
    <w:qFormat/>
    <w:uiPriority w:val="0"/>
    <w:pPr>
      <w:spacing w:line="360" w:lineRule="auto"/>
      <w:ind w:firstLine="560" w:firstLineChars="200"/>
    </w:pPr>
    <w:rPr>
      <w:rFonts w:eastAsia="仿宋_GB2312"/>
      <w:sz w:val="28"/>
      <w:szCs w:val="28"/>
    </w:rPr>
  </w:style>
  <w:style w:type="paragraph" w:customStyle="1" w:styleId="59">
    <w:name w:val="lh-1级标题--报告表"/>
    <w:next w:val="1"/>
    <w:autoRedefine/>
    <w:qFormat/>
    <w:uiPriority w:val="0"/>
    <w:pPr>
      <w:keepNext/>
      <w:pageBreakBefore/>
      <w:numPr>
        <w:ilvl w:val="0"/>
        <w:numId w:val="3"/>
      </w:numPr>
      <w:spacing w:line="360" w:lineRule="auto"/>
      <w:outlineLvl w:val="0"/>
    </w:pPr>
    <w:rPr>
      <w:rFonts w:ascii="Times New Roman" w:hAnsi="Times New Roman" w:eastAsia="黑体" w:cs="Times New Roman"/>
      <w:bCs/>
      <w:snapToGrid w:val="0"/>
      <w:sz w:val="24"/>
      <w:szCs w:val="44"/>
      <w:lang w:val="en-US" w:eastAsia="zh-CN" w:bidi="ar-SA"/>
    </w:rPr>
  </w:style>
  <w:style w:type="paragraph" w:customStyle="1" w:styleId="60">
    <w:name w:val="lh-3级标题报告表"/>
    <w:next w:val="1"/>
    <w:autoRedefine/>
    <w:qFormat/>
    <w:uiPriority w:val="0"/>
    <w:pPr>
      <w:keepNext/>
      <w:numPr>
        <w:ilvl w:val="2"/>
        <w:numId w:val="3"/>
      </w:numPr>
      <w:adjustRightInd w:val="0"/>
      <w:snapToGrid w:val="0"/>
      <w:spacing w:line="360" w:lineRule="auto"/>
      <w:outlineLvl w:val="2"/>
    </w:pPr>
    <w:rPr>
      <w:rFonts w:ascii="Times New Roman" w:hAnsi="Times New Roman" w:eastAsia="黑体" w:cs="Times New Roman"/>
      <w:sz w:val="24"/>
      <w:szCs w:val="24"/>
      <w:lang w:val="en-US" w:eastAsia="zh-CN" w:bidi="ar-SA"/>
    </w:rPr>
  </w:style>
  <w:style w:type="paragraph" w:customStyle="1" w:styleId="61">
    <w:name w:val="lh-4级标题-报告书"/>
    <w:next w:val="1"/>
    <w:autoRedefine/>
    <w:qFormat/>
    <w:uiPriority w:val="0"/>
    <w:pPr>
      <w:numPr>
        <w:ilvl w:val="4"/>
        <w:numId w:val="4"/>
      </w:numPr>
      <w:spacing w:line="360" w:lineRule="auto"/>
      <w:outlineLvl w:val="3"/>
    </w:pPr>
    <w:rPr>
      <w:rFonts w:ascii="Times New Roman" w:hAnsi="Times New Roman" w:eastAsia="宋体" w:cstheme="minorBidi"/>
      <w:b/>
      <w:snapToGrid w:val="0"/>
      <w:sz w:val="24"/>
      <w:szCs w:val="21"/>
      <w:lang w:val="en-US" w:eastAsia="zh-CN" w:bidi="ar-SA"/>
    </w:rPr>
  </w:style>
  <w:style w:type="character" w:customStyle="1" w:styleId="62">
    <w:name w:val="lh-表题-报告书正文 Char"/>
    <w:basedOn w:val="26"/>
    <w:link w:val="63"/>
    <w:autoRedefine/>
    <w:qFormat/>
    <w:uiPriority w:val="0"/>
    <w:rPr>
      <w:rFonts w:ascii="Times New Roman" w:hAnsi="Times New Roman" w:eastAsia="宋体" w:cstheme="minorBidi"/>
      <w:b/>
      <w:snapToGrid w:val="0"/>
      <w:sz w:val="21"/>
      <w:lang w:val="en-US" w:eastAsia="zh-CN" w:bidi="ar-SA"/>
    </w:rPr>
  </w:style>
  <w:style w:type="paragraph" w:customStyle="1" w:styleId="63">
    <w:name w:val="lh-表题-报告书正文"/>
    <w:next w:val="64"/>
    <w:link w:val="62"/>
    <w:autoRedefine/>
    <w:qFormat/>
    <w:uiPriority w:val="0"/>
    <w:pPr>
      <w:keepNext/>
      <w:numPr>
        <w:ilvl w:val="3"/>
        <w:numId w:val="4"/>
      </w:numPr>
      <w:adjustRightInd w:val="0"/>
      <w:snapToGrid w:val="0"/>
      <w:ind w:left="0"/>
      <w:jc w:val="center"/>
    </w:pPr>
    <w:rPr>
      <w:rFonts w:ascii="Times New Roman" w:hAnsi="Times New Roman" w:eastAsia="宋体" w:cstheme="minorBidi"/>
      <w:b/>
      <w:snapToGrid w:val="0"/>
      <w:sz w:val="21"/>
      <w:lang w:val="en-US" w:eastAsia="zh-CN" w:bidi="ar-SA"/>
    </w:rPr>
  </w:style>
  <w:style w:type="paragraph" w:customStyle="1" w:styleId="64">
    <w:name w:val="lh-表格文字-报告书"/>
    <w:qFormat/>
    <w:uiPriority w:val="0"/>
    <w:pPr>
      <w:jc w:val="center"/>
    </w:pPr>
    <w:rPr>
      <w:rFonts w:ascii="Times New Roman" w:hAnsi="Times New Roman" w:eastAsia="宋体" w:cs="Times New Roman"/>
      <w:snapToGrid w:val="0"/>
      <w:sz w:val="21"/>
      <w:szCs w:val="24"/>
      <w:lang w:val="en-US" w:eastAsia="zh-CN" w:bidi="ar-SA"/>
    </w:rPr>
  </w:style>
  <w:style w:type="character" w:customStyle="1" w:styleId="65">
    <w:name w:val="font11"/>
    <w:basedOn w:val="26"/>
    <w:qFormat/>
    <w:uiPriority w:val="0"/>
    <w:rPr>
      <w:rFonts w:hint="default" w:ascii="Arial" w:hAnsi="Arial" w:cs="Arial"/>
      <w:color w:val="000000"/>
      <w:sz w:val="24"/>
      <w:szCs w:val="24"/>
      <w:u w:val="none"/>
    </w:rPr>
  </w:style>
  <w:style w:type="character" w:customStyle="1" w:styleId="66">
    <w:name w:val="font51"/>
    <w:basedOn w:val="26"/>
    <w:qFormat/>
    <w:uiPriority w:val="0"/>
    <w:rPr>
      <w:rFonts w:hint="default" w:ascii="Times New Roman" w:hAnsi="Times New Roman" w:cs="Times New Roman"/>
      <w:color w:val="000000"/>
      <w:sz w:val="21"/>
      <w:szCs w:val="21"/>
      <w:u w:val="single"/>
    </w:rPr>
  </w:style>
  <w:style w:type="paragraph" w:customStyle="1" w:styleId="67">
    <w:name w:val="lh-图题-报告表"/>
    <w:basedOn w:val="39"/>
    <w:next w:val="39"/>
    <w:autoRedefine/>
    <w:qFormat/>
    <w:uiPriority w:val="0"/>
    <w:pPr>
      <w:numPr>
        <w:ilvl w:val="0"/>
        <w:numId w:val="5"/>
      </w:numPr>
      <w:ind w:left="0" w:firstLine="0" w:firstLineChars="0"/>
      <w:jc w:val="center"/>
    </w:pPr>
  </w:style>
  <w:style w:type="paragraph" w:customStyle="1" w:styleId="68">
    <w:name w:val="lh-2级标题---报告表"/>
    <w:next w:val="1"/>
    <w:autoRedefine/>
    <w:qFormat/>
    <w:uiPriority w:val="0"/>
    <w:pPr>
      <w:keepNext/>
      <w:numPr>
        <w:ilvl w:val="1"/>
        <w:numId w:val="3"/>
      </w:numPr>
      <w:spacing w:line="360" w:lineRule="auto"/>
      <w:outlineLvl w:val="1"/>
    </w:pPr>
    <w:rPr>
      <w:rFonts w:ascii="Times New Roman" w:hAnsi="Times New Roman" w:eastAsia="黑体" w:cs="Times New Roman"/>
      <w:bCs/>
      <w:sz w:val="24"/>
      <w:szCs w:val="32"/>
      <w:lang w:val="en-US" w:eastAsia="zh-CN" w:bidi="ar-SA"/>
    </w:rPr>
  </w:style>
  <w:style w:type="character" w:customStyle="1" w:styleId="69">
    <w:name w:val="font21"/>
    <w:basedOn w:val="26"/>
    <w:qFormat/>
    <w:uiPriority w:val="0"/>
    <w:rPr>
      <w:rFonts w:hint="eastAsia" w:ascii="微软雅黑" w:hAnsi="微软雅黑" w:eastAsia="微软雅黑" w:cs="微软雅黑"/>
      <w:color w:val="000000"/>
      <w:sz w:val="22"/>
      <w:szCs w:val="22"/>
      <w:u w:val="none"/>
      <w:vertAlign w:val="subscript"/>
    </w:rPr>
  </w:style>
  <w:style w:type="character" w:customStyle="1" w:styleId="70">
    <w:name w:val="font01"/>
    <w:basedOn w:val="26"/>
    <w:qFormat/>
    <w:uiPriority w:val="0"/>
    <w:rPr>
      <w:rFonts w:hint="eastAsia" w:ascii="宋体" w:hAnsi="宋体" w:eastAsia="宋体" w:cs="宋体"/>
      <w:color w:val="000000"/>
      <w:sz w:val="22"/>
      <w:szCs w:val="22"/>
      <w:u w:val="none"/>
    </w:rPr>
  </w:style>
  <w:style w:type="paragraph" w:customStyle="1" w:styleId="71">
    <w:name w:val="正文文"/>
    <w:basedOn w:val="1"/>
    <w:autoRedefine/>
    <w:qFormat/>
    <w:uiPriority w:val="0"/>
    <w:pPr>
      <w:ind w:firstLine="1441"/>
      <w:jc w:val="left"/>
    </w:pPr>
  </w:style>
  <w:style w:type="paragraph" w:customStyle="1" w:styleId="72">
    <w:name w:val="表 图 表头"/>
    <w:qFormat/>
    <w:uiPriority w:val="0"/>
    <w:pPr>
      <w:spacing w:line="480" w:lineRule="exact"/>
      <w:jc w:val="center"/>
    </w:pPr>
    <w:rPr>
      <w:rFonts w:ascii="Times New Roman" w:hAnsi="Times New Roman" w:eastAsia="宋体" w:cs="Times New Roman"/>
      <w:b/>
      <w:kern w:val="2"/>
      <w:sz w:val="24"/>
      <w:lang w:val="en-US" w:eastAsia="zh-CN" w:bidi="ar-SA"/>
    </w:rPr>
  </w:style>
  <w:style w:type="paragraph" w:customStyle="1" w:styleId="73">
    <w:name w:val="xl36"/>
    <w:basedOn w:val="1"/>
    <w:unhideWhenUsed/>
    <w:qFormat/>
    <w:uiPriority w:val="99"/>
    <w:pPr>
      <w:widowControl/>
      <w:pBdr>
        <w:left w:val="single" w:color="auto" w:sz="4" w:space="0"/>
        <w:right w:val="single" w:color="auto" w:sz="4" w:space="0"/>
      </w:pBdr>
      <w:spacing w:before="100" w:beforeLines="0" w:beforeAutospacing="1" w:after="100" w:afterLines="0" w:afterAutospacing="1"/>
      <w:jc w:val="center"/>
      <w:textAlignment w:val="top"/>
    </w:pPr>
    <w:rPr>
      <w:rFonts w:hint="eastAsia"/>
      <w:sz w:val="24"/>
      <w:szCs w:val="24"/>
    </w:rPr>
  </w:style>
  <w:style w:type="paragraph" w:customStyle="1" w:styleId="74">
    <w:name w:val="xl25"/>
    <w:basedOn w:val="1"/>
    <w:unhideWhenUsed/>
    <w:qFormat/>
    <w:uiPriority w:val="99"/>
    <w:pPr>
      <w:widowControl/>
      <w:pBdr>
        <w:bottom w:val="single" w:color="auto" w:sz="4" w:space="0"/>
        <w:right w:val="single" w:color="auto" w:sz="4" w:space="0"/>
      </w:pBdr>
      <w:spacing w:before="100" w:beforeLines="0" w:beforeAutospacing="1" w:after="100" w:afterLines="0" w:afterAutospacing="1"/>
    </w:pPr>
    <w:rPr>
      <w:rFonts w:hint="eastAsia"/>
      <w:sz w:val="21"/>
      <w:szCs w:val="21"/>
    </w:rPr>
  </w:style>
  <w:style w:type="paragraph" w:customStyle="1" w:styleId="75">
    <w:name w:val="标题二"/>
    <w:basedOn w:val="1"/>
    <w:qFormat/>
    <w:uiPriority w:val="0"/>
  </w:style>
  <w:style w:type="paragraph" w:customStyle="1" w:styleId="76">
    <w:name w:val="新4级标题"/>
    <w:basedOn w:val="1"/>
    <w:qFormat/>
    <w:uiPriority w:val="0"/>
    <w:pPr>
      <w:widowControl w:val="0"/>
      <w:adjustRightInd w:val="0"/>
      <w:snapToGrid w:val="0"/>
      <w:spacing w:line="360" w:lineRule="auto"/>
      <w:jc w:val="both"/>
      <w:outlineLvl w:val="3"/>
    </w:pPr>
    <w:rPr>
      <w:rFonts w:eastAsia="黑体"/>
      <w:kern w:val="0"/>
      <w:sz w:val="24"/>
      <w:szCs w:val="20"/>
    </w:rPr>
  </w:style>
  <w:style w:type="paragraph" w:styleId="77">
    <w:name w:val="No Spacing"/>
    <w:basedOn w:val="16"/>
    <w:next w:val="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新表格正文"/>
    <w:basedOn w:val="1"/>
    <w:qFormat/>
    <w:uiPriority w:val="0"/>
    <w:pPr>
      <w:jc w:val="center"/>
    </w:pPr>
    <w:rPr>
      <w:kern w:val="0"/>
      <w:sz w:val="20"/>
      <w:szCs w:val="21"/>
      <w:lang w:val="zh-CN"/>
    </w:rPr>
  </w:style>
  <w:style w:type="paragraph" w:customStyle="1" w:styleId="79">
    <w:name w:val="表格正文"/>
    <w:basedOn w:val="8"/>
    <w:next w:val="1"/>
    <w:qFormat/>
    <w:uiPriority w:val="0"/>
    <w:pPr>
      <w:widowControl/>
      <w:spacing w:line="360" w:lineRule="exact"/>
      <w:ind w:firstLine="0" w:firstLineChars="0"/>
      <w:jc w:val="center"/>
    </w:pPr>
    <w:rPr>
      <w:sz w:val="21"/>
    </w:rPr>
  </w:style>
  <w:style w:type="paragraph" w:customStyle="1" w:styleId="80">
    <w:name w:val="表格正文0524"/>
    <w:basedOn w:val="1"/>
    <w:qFormat/>
    <w:uiPriority w:val="0"/>
    <w:pPr>
      <w:widowControl/>
      <w:jc w:val="center"/>
    </w:pPr>
    <w:rPr>
      <w:szCs w:val="21"/>
      <w:lang w:val="zh-CN"/>
    </w:rPr>
  </w:style>
  <w:style w:type="paragraph" w:customStyle="1" w:styleId="81">
    <w:name w:val="正文报告书"/>
    <w:basedOn w:val="20"/>
    <w:next w:val="1"/>
    <w:qFormat/>
    <w:uiPriority w:val="0"/>
    <w:pPr>
      <w:spacing w:before="20" w:line="360" w:lineRule="auto"/>
      <w:ind w:firstLine="643" w:firstLineChars="200"/>
    </w:pPr>
    <w:rPr>
      <w:rFonts w:ascii="Times New Roman" w:hAnsi="Times New Roman"/>
      <w:sz w:val="24"/>
    </w:rPr>
  </w:style>
  <w:style w:type="paragraph" w:customStyle="1" w:styleId="82">
    <w:name w:val="居中"/>
    <w:basedOn w:val="1"/>
    <w:qFormat/>
    <w:uiPriority w:val="0"/>
    <w:pPr>
      <w:spacing w:line="240" w:lineRule="auto"/>
      <w:ind w:firstLine="0" w:firstLineChars="0"/>
      <w:jc w:val="center"/>
    </w:p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3" Type="http://schemas.openxmlformats.org/officeDocument/2006/relationships/fontTable" Target="fontTable.xml"/><Relationship Id="rId82" Type="http://schemas.openxmlformats.org/officeDocument/2006/relationships/numbering" Target="numbering.xml"/><Relationship Id="rId81" Type="http://schemas.openxmlformats.org/officeDocument/2006/relationships/customXml" Target="../customXml/item1.xml"/><Relationship Id="rId80" Type="http://schemas.openxmlformats.org/officeDocument/2006/relationships/image" Target="media/image71.png"/><Relationship Id="rId8" Type="http://schemas.openxmlformats.org/officeDocument/2006/relationships/image" Target="media/image1.jpeg"/><Relationship Id="rId79" Type="http://schemas.openxmlformats.org/officeDocument/2006/relationships/image" Target="media/image70.png"/><Relationship Id="rId78" Type="http://schemas.openxmlformats.org/officeDocument/2006/relationships/image" Target="media/image69.jpeg"/><Relationship Id="rId77" Type="http://schemas.openxmlformats.org/officeDocument/2006/relationships/image" Target="media/image68.jpeg"/><Relationship Id="rId76" Type="http://schemas.openxmlformats.org/officeDocument/2006/relationships/image" Target="media/image67.png"/><Relationship Id="rId75" Type="http://schemas.openxmlformats.org/officeDocument/2006/relationships/image" Target="media/image66.emf"/><Relationship Id="rId74" Type="http://schemas.openxmlformats.org/officeDocument/2006/relationships/image" Target="media/image65.png"/><Relationship Id="rId73" Type="http://schemas.openxmlformats.org/officeDocument/2006/relationships/image" Target="media/image64.png"/><Relationship Id="rId72" Type="http://schemas.openxmlformats.org/officeDocument/2006/relationships/image" Target="media/image63.emf"/><Relationship Id="rId71" Type="http://schemas.openxmlformats.org/officeDocument/2006/relationships/image" Target="media/image62.wmf"/><Relationship Id="rId70" Type="http://schemas.openxmlformats.org/officeDocument/2006/relationships/oleObject" Target="embeddings/oleObject2.bin"/><Relationship Id="rId7" Type="http://schemas.openxmlformats.org/officeDocument/2006/relationships/theme" Target="theme/theme1.xml"/><Relationship Id="rId69" Type="http://schemas.openxmlformats.org/officeDocument/2006/relationships/image" Target="media/image61.png"/><Relationship Id="rId68" Type="http://schemas.openxmlformats.org/officeDocument/2006/relationships/image" Target="media/image60.png"/><Relationship Id="rId67" Type="http://schemas.openxmlformats.org/officeDocument/2006/relationships/image" Target="media/image59.png"/><Relationship Id="rId66" Type="http://schemas.openxmlformats.org/officeDocument/2006/relationships/image" Target="media/image58.png"/><Relationship Id="rId65" Type="http://schemas.openxmlformats.org/officeDocument/2006/relationships/image" Target="media/image57.png"/><Relationship Id="rId64" Type="http://schemas.openxmlformats.org/officeDocument/2006/relationships/image" Target="media/image56.png"/><Relationship Id="rId63" Type="http://schemas.openxmlformats.org/officeDocument/2006/relationships/image" Target="media/image55.wmf"/><Relationship Id="rId62" Type="http://schemas.openxmlformats.org/officeDocument/2006/relationships/oleObject" Target="embeddings/oleObject1.bin"/><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4.xml"/><Relationship Id="rId59" Type="http://schemas.openxmlformats.org/officeDocument/2006/relationships/image" Target="media/image52.png"/><Relationship Id="rId58" Type="http://schemas.openxmlformats.org/officeDocument/2006/relationships/image" Target="media/image51.jpe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jpeg"/><Relationship Id="rId54" Type="http://schemas.openxmlformats.org/officeDocument/2006/relationships/image" Target="media/image47.jpeg"/><Relationship Id="rId53" Type="http://schemas.openxmlformats.org/officeDocument/2006/relationships/image" Target="media/image46.jpeg"/><Relationship Id="rId52" Type="http://schemas.openxmlformats.org/officeDocument/2006/relationships/image" Target="media/image45.jpeg"/><Relationship Id="rId51" Type="http://schemas.openxmlformats.org/officeDocument/2006/relationships/image" Target="media/image44.jpeg"/><Relationship Id="rId50" Type="http://schemas.openxmlformats.org/officeDocument/2006/relationships/image" Target="media/image43.jpeg"/><Relationship Id="rId5" Type="http://schemas.openxmlformats.org/officeDocument/2006/relationships/footer" Target="footer3.xml"/><Relationship Id="rId49" Type="http://schemas.openxmlformats.org/officeDocument/2006/relationships/image" Target="media/image42.jpeg"/><Relationship Id="rId48" Type="http://schemas.openxmlformats.org/officeDocument/2006/relationships/image" Target="media/image41.jpeg"/><Relationship Id="rId47" Type="http://schemas.openxmlformats.org/officeDocument/2006/relationships/image" Target="media/image40.jpe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footer" Target="footer2.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er" Target="foot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144</Pages>
  <Words>160</Words>
  <Characters>177</Characters>
  <Lines>0</Lines>
  <Paragraphs>0</Paragraphs>
  <TotalTime>51</TotalTime>
  <ScaleCrop>false</ScaleCrop>
  <LinksUpToDate>false</LinksUpToDate>
  <CharactersWithSpaces>182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2026-05-23T11:33:00Z</dcterms:created>
  <dc:creator>李工</dc:creator>
  <cp:lastModifiedBy>浩然</cp:lastModifiedBy>
  <dcterms:modified xsi:type="dcterms:W3CDTF">2026-08-28T07:51:17Z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8EAF92A438B24EED8F19E510D3E7F391_13</vt:lpwstr>
  </property>
  <property fmtid="{D5CDD505-2E9C-101B-9397-08002B2CF9AE}" pid="4" name="KSOTemplateDocerSaveRecord">
    <vt:lpwstr>eyJoZGlkIjoiM2NkYTVlMDAyZTNiODViMzQ5OTE1NGM2ODJkN2NjMGEiLCJ1c2VySWQiOiI0Mjg4ODIwNjAifQ==</vt:lpwstr>
  </property>
</Properties>
</file>