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95CCC">
      <w:pPr>
        <w:rPr>
          <w:rFonts w:hint="eastAsia" w:ascii="黑体" w:hAnsi="黑体" w:eastAsia="黑体" w:cs="黑体"/>
          <w:color w:val="000000"/>
          <w:spacing w:val="10"/>
          <w:sz w:val="32"/>
          <w:szCs w:val="32"/>
          <w:lang w:eastAsia="zh-CN"/>
        </w:rPr>
      </w:pPr>
      <w:r>
        <w:rPr>
          <w:rFonts w:hint="eastAsia" w:ascii="黑体" w:hAnsi="黑体" w:eastAsia="黑体" w:cs="黑体"/>
          <w:color w:val="000000"/>
          <w:spacing w:val="10"/>
          <w:sz w:val="32"/>
          <w:szCs w:val="32"/>
        </w:rPr>
        <w:t>附件</w:t>
      </w:r>
      <w:r>
        <w:rPr>
          <w:rFonts w:hint="eastAsia" w:ascii="黑体" w:hAnsi="黑体" w:eastAsia="黑体" w:cs="黑体"/>
          <w:color w:val="000000"/>
          <w:spacing w:val="10"/>
          <w:sz w:val="32"/>
          <w:szCs w:val="32"/>
          <w:lang w:val="en-US" w:eastAsia="zh-CN"/>
        </w:rPr>
        <w:t>1</w:t>
      </w:r>
    </w:p>
    <w:p w14:paraId="1235272C">
      <w:pPr>
        <w:spacing w:line="700" w:lineRule="exact"/>
        <w:jc w:val="center"/>
        <w:rPr>
          <w:rFonts w:ascii="方正小标宋简体" w:hAnsi="方正小标宋简体" w:eastAsia="方正小标宋简体" w:cs="方正小标宋简体"/>
          <w:color w:val="000000"/>
          <w:spacing w:val="2"/>
          <w:sz w:val="44"/>
          <w:szCs w:val="44"/>
        </w:rPr>
      </w:pPr>
      <w:r>
        <w:rPr>
          <w:rFonts w:hint="eastAsia" w:ascii="方正小标宋简体" w:hAnsi="方正小标宋简体" w:eastAsia="方正小标宋简体" w:cs="方正小标宋简体"/>
          <w:color w:val="000000"/>
          <w:spacing w:val="2"/>
          <w:sz w:val="42"/>
          <w:szCs w:val="42"/>
        </w:rPr>
        <w:t>2024年度预算单位整体支出绩效评价基础数据表</w:t>
      </w:r>
    </w:p>
    <w:p w14:paraId="76328651">
      <w:pPr>
        <w:spacing w:line="115" w:lineRule="exact"/>
        <w:rPr>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1FD93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3850" w:type="dxa"/>
            <w:tcBorders>
              <w:bottom w:val="nil"/>
            </w:tcBorders>
            <w:noWrap/>
            <w:vAlign w:val="center"/>
          </w:tcPr>
          <w:p w14:paraId="485481A5">
            <w:pPr>
              <w:spacing w:before="33" w:line="198" w:lineRule="auto"/>
              <w:ind w:right="118"/>
              <w:jc w:val="center"/>
              <w:rPr>
                <w:rFonts w:ascii="宋体" w:hAnsi="宋体" w:eastAsia="宋体" w:cs="宋体"/>
                <w:color w:val="000000"/>
                <w:spacing w:val="2"/>
                <w:sz w:val="24"/>
              </w:rPr>
            </w:pPr>
            <w:r>
              <w:rPr>
                <w:rFonts w:hint="eastAsia" w:ascii="宋体" w:hAnsi="宋体" w:eastAsia="宋体" w:cs="宋体"/>
                <w:color w:val="000000"/>
                <w:spacing w:val="2"/>
                <w:sz w:val="24"/>
              </w:rPr>
              <w:t>预算单位名称</w:t>
            </w:r>
          </w:p>
        </w:tc>
        <w:tc>
          <w:tcPr>
            <w:tcW w:w="5819" w:type="dxa"/>
            <w:gridSpan w:val="6"/>
            <w:noWrap/>
          </w:tcPr>
          <w:p w14:paraId="67832E65">
            <w:pPr>
              <w:spacing w:before="103" w:line="219" w:lineRule="auto"/>
              <w:ind w:left="708"/>
              <w:rPr>
                <w:rFonts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岳阳市岳阳楼区城陵矶街道办事处</w:t>
            </w:r>
          </w:p>
        </w:tc>
      </w:tr>
      <w:tr w14:paraId="5AFED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tcPr>
          <w:p w14:paraId="7CD517E0">
            <w:pPr>
              <w:spacing w:before="262" w:line="219" w:lineRule="auto"/>
              <w:ind w:left="575"/>
              <w:jc w:val="left"/>
              <w:rPr>
                <w:rFonts w:ascii="宋体" w:hAnsi="宋体" w:eastAsia="宋体" w:cs="宋体"/>
                <w:color w:val="000000"/>
                <w:sz w:val="24"/>
              </w:rPr>
            </w:pPr>
            <w:r>
              <w:rPr>
                <w:rFonts w:hint="eastAsia" w:ascii="宋体" w:hAnsi="宋体" w:eastAsia="宋体" w:cs="宋体"/>
                <w:color w:val="000000"/>
                <w:spacing w:val="3"/>
                <w:sz w:val="24"/>
              </w:rPr>
              <w:t>财政供养人员情况(人)</w:t>
            </w:r>
          </w:p>
        </w:tc>
        <w:tc>
          <w:tcPr>
            <w:tcW w:w="1815" w:type="dxa"/>
            <w:gridSpan w:val="2"/>
            <w:noWrap/>
          </w:tcPr>
          <w:p w14:paraId="7974620C">
            <w:pPr>
              <w:spacing w:before="103" w:line="219" w:lineRule="auto"/>
              <w:jc w:val="center"/>
              <w:rPr>
                <w:rFonts w:ascii="宋体" w:hAnsi="宋体" w:eastAsia="宋体" w:cs="宋体"/>
                <w:color w:val="000000"/>
                <w:sz w:val="24"/>
              </w:rPr>
            </w:pPr>
            <w:r>
              <w:rPr>
                <w:rFonts w:hint="eastAsia" w:ascii="宋体" w:hAnsi="宋体" w:eastAsia="宋体" w:cs="宋体"/>
                <w:color w:val="000000"/>
                <w:spacing w:val="-3"/>
                <w:sz w:val="24"/>
              </w:rPr>
              <w:t>编制数</w:t>
            </w:r>
          </w:p>
        </w:tc>
        <w:tc>
          <w:tcPr>
            <w:tcW w:w="2325" w:type="dxa"/>
            <w:gridSpan w:val="2"/>
            <w:noWrap/>
          </w:tcPr>
          <w:p w14:paraId="09FF0487">
            <w:pPr>
              <w:spacing w:before="83" w:line="219" w:lineRule="auto"/>
              <w:jc w:val="center"/>
              <w:rPr>
                <w:rFonts w:ascii="宋体" w:hAnsi="宋体" w:eastAsia="宋体" w:cs="宋体"/>
                <w:color w:val="000000"/>
                <w:sz w:val="24"/>
              </w:rPr>
            </w:pPr>
            <w:r>
              <w:rPr>
                <w:rFonts w:hint="eastAsia" w:ascii="宋体" w:hAnsi="宋体" w:eastAsia="宋体" w:cs="宋体"/>
                <w:color w:val="000000"/>
                <w:spacing w:val="-1"/>
                <w:sz w:val="24"/>
              </w:rPr>
              <w:t>2024年实际在职人数</w:t>
            </w:r>
          </w:p>
        </w:tc>
        <w:tc>
          <w:tcPr>
            <w:tcW w:w="1679" w:type="dxa"/>
            <w:gridSpan w:val="2"/>
            <w:noWrap/>
          </w:tcPr>
          <w:p w14:paraId="128592E8">
            <w:pPr>
              <w:spacing w:before="103" w:line="219" w:lineRule="auto"/>
              <w:ind w:left="708"/>
              <w:rPr>
                <w:rFonts w:ascii="宋体" w:hAnsi="宋体" w:eastAsia="宋体" w:cs="宋体"/>
                <w:color w:val="000000"/>
                <w:sz w:val="24"/>
              </w:rPr>
            </w:pPr>
            <w:r>
              <w:rPr>
                <w:rFonts w:hint="eastAsia" w:ascii="宋体" w:hAnsi="宋体" w:eastAsia="宋体" w:cs="宋体"/>
                <w:color w:val="000000"/>
                <w:spacing w:val="-2"/>
                <w:sz w:val="24"/>
              </w:rPr>
              <w:t>控制率</w:t>
            </w:r>
          </w:p>
        </w:tc>
      </w:tr>
      <w:tr w14:paraId="4B331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tcPr>
          <w:p w14:paraId="39B41F5C">
            <w:pPr>
              <w:jc w:val="left"/>
              <w:rPr>
                <w:rFonts w:ascii="宋体" w:hAnsi="宋体" w:eastAsia="宋体" w:cs="宋体"/>
                <w:color w:val="000000"/>
                <w:sz w:val="24"/>
              </w:rPr>
            </w:pPr>
          </w:p>
        </w:tc>
        <w:tc>
          <w:tcPr>
            <w:tcW w:w="1815" w:type="dxa"/>
            <w:gridSpan w:val="2"/>
            <w:noWrap/>
          </w:tcPr>
          <w:p w14:paraId="1C2A3C8C">
            <w:pPr>
              <w:jc w:val="center"/>
              <w:rPr>
                <w:rFonts w:ascii="宋体" w:hAnsi="宋体" w:eastAsia="宋体" w:cs="宋体"/>
                <w:color w:val="000000"/>
                <w:sz w:val="24"/>
                <w:highlight w:val="none"/>
              </w:rPr>
            </w:pPr>
            <w:r>
              <w:rPr>
                <w:rFonts w:hint="eastAsia" w:ascii="宋体" w:hAnsi="宋体" w:eastAsia="宋体" w:cs="宋体"/>
                <w:color w:val="000000"/>
                <w:sz w:val="24"/>
                <w:highlight w:val="none"/>
              </w:rPr>
              <w:t>55</w:t>
            </w:r>
          </w:p>
        </w:tc>
        <w:tc>
          <w:tcPr>
            <w:tcW w:w="2325" w:type="dxa"/>
            <w:gridSpan w:val="2"/>
            <w:noWrap/>
          </w:tcPr>
          <w:p w14:paraId="494FC749">
            <w:pPr>
              <w:jc w:val="center"/>
              <w:rPr>
                <w:rFonts w:ascii="宋体" w:hAnsi="宋体" w:eastAsia="宋体" w:cs="宋体"/>
                <w:color w:val="000000"/>
                <w:sz w:val="24"/>
                <w:highlight w:val="none"/>
              </w:rPr>
            </w:pPr>
            <w:r>
              <w:rPr>
                <w:rFonts w:hint="eastAsia" w:ascii="宋体" w:hAnsi="宋体" w:eastAsia="宋体" w:cs="宋体"/>
                <w:color w:val="000000"/>
                <w:sz w:val="24"/>
                <w:highlight w:val="none"/>
              </w:rPr>
              <w:t>65</w:t>
            </w:r>
          </w:p>
        </w:tc>
        <w:tc>
          <w:tcPr>
            <w:tcW w:w="1679" w:type="dxa"/>
            <w:gridSpan w:val="2"/>
            <w:noWrap/>
          </w:tcPr>
          <w:p w14:paraId="5099D8A7">
            <w:pPr>
              <w:jc w:val="center"/>
              <w:rPr>
                <w:rFonts w:ascii="宋体" w:hAnsi="宋体" w:eastAsia="宋体" w:cs="宋体"/>
                <w:color w:val="000000"/>
                <w:sz w:val="24"/>
                <w:highlight w:val="none"/>
              </w:rPr>
            </w:pPr>
            <w:r>
              <w:rPr>
                <w:rFonts w:hint="eastAsia" w:ascii="宋体" w:hAnsi="宋体" w:eastAsia="宋体" w:cs="宋体"/>
                <w:color w:val="000000"/>
                <w:sz w:val="24"/>
                <w:highlight w:val="none"/>
              </w:rPr>
              <w:t>118.18%</w:t>
            </w:r>
          </w:p>
        </w:tc>
      </w:tr>
      <w:tr w14:paraId="73392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tcPr>
          <w:p w14:paraId="4848835B">
            <w:pPr>
              <w:spacing w:before="140" w:line="202" w:lineRule="auto"/>
              <w:ind w:left="684"/>
              <w:jc w:val="left"/>
              <w:rPr>
                <w:rFonts w:ascii="宋体" w:hAnsi="宋体" w:eastAsia="宋体" w:cs="宋体"/>
                <w:color w:val="000000"/>
                <w:sz w:val="24"/>
              </w:rPr>
            </w:pPr>
            <w:r>
              <w:rPr>
                <w:rFonts w:hint="eastAsia" w:ascii="宋体" w:hAnsi="宋体" w:eastAsia="宋体" w:cs="宋体"/>
                <w:color w:val="000000"/>
                <w:spacing w:val="4"/>
                <w:sz w:val="24"/>
              </w:rPr>
              <w:t>经费控制情况(万元)</w:t>
            </w:r>
          </w:p>
        </w:tc>
        <w:tc>
          <w:tcPr>
            <w:tcW w:w="1815" w:type="dxa"/>
            <w:gridSpan w:val="2"/>
            <w:noWrap/>
          </w:tcPr>
          <w:p w14:paraId="3CE8F6CD">
            <w:pPr>
              <w:spacing w:before="119" w:line="219" w:lineRule="auto"/>
              <w:jc w:val="center"/>
              <w:rPr>
                <w:rFonts w:ascii="宋体" w:hAnsi="宋体" w:eastAsia="宋体" w:cs="宋体"/>
                <w:color w:val="000000"/>
                <w:sz w:val="24"/>
              </w:rPr>
            </w:pPr>
            <w:r>
              <w:rPr>
                <w:rFonts w:hint="eastAsia" w:ascii="宋体" w:hAnsi="宋体" w:eastAsia="宋体" w:cs="宋体"/>
                <w:color w:val="000000"/>
                <w:spacing w:val="-2"/>
                <w:sz w:val="24"/>
              </w:rPr>
              <w:t>2023年决算数</w:t>
            </w:r>
          </w:p>
        </w:tc>
        <w:tc>
          <w:tcPr>
            <w:tcW w:w="2325" w:type="dxa"/>
            <w:gridSpan w:val="2"/>
            <w:noWrap/>
          </w:tcPr>
          <w:p w14:paraId="540B5D4C">
            <w:pPr>
              <w:spacing w:before="119" w:line="219" w:lineRule="auto"/>
              <w:jc w:val="center"/>
              <w:rPr>
                <w:rFonts w:ascii="宋体" w:hAnsi="宋体" w:eastAsia="宋体" w:cs="宋体"/>
                <w:color w:val="000000"/>
                <w:sz w:val="24"/>
              </w:rPr>
            </w:pPr>
            <w:r>
              <w:rPr>
                <w:rFonts w:hint="eastAsia" w:ascii="宋体" w:hAnsi="宋体" w:eastAsia="宋体" w:cs="宋体"/>
                <w:color w:val="000000"/>
                <w:spacing w:val="-2"/>
                <w:sz w:val="24"/>
              </w:rPr>
              <w:t>2024年预算数</w:t>
            </w:r>
          </w:p>
        </w:tc>
        <w:tc>
          <w:tcPr>
            <w:tcW w:w="1679" w:type="dxa"/>
            <w:gridSpan w:val="2"/>
            <w:noWrap/>
          </w:tcPr>
          <w:p w14:paraId="20FF128E">
            <w:pPr>
              <w:spacing w:before="76" w:line="219" w:lineRule="auto"/>
              <w:jc w:val="center"/>
              <w:rPr>
                <w:rFonts w:ascii="宋体" w:hAnsi="宋体" w:eastAsia="宋体" w:cs="宋体"/>
                <w:color w:val="000000"/>
                <w:sz w:val="24"/>
              </w:rPr>
            </w:pPr>
            <w:r>
              <w:rPr>
                <w:rFonts w:hint="eastAsia" w:ascii="宋体" w:hAnsi="宋体" w:eastAsia="宋体" w:cs="宋体"/>
                <w:color w:val="000000"/>
                <w:spacing w:val="-4"/>
                <w:sz w:val="24"/>
              </w:rPr>
              <w:t>2024年决算数</w:t>
            </w:r>
          </w:p>
        </w:tc>
      </w:tr>
      <w:tr w14:paraId="63039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457016DD">
            <w:pPr>
              <w:spacing w:before="141" w:line="202" w:lineRule="auto"/>
              <w:ind w:left="114"/>
              <w:jc w:val="left"/>
              <w:rPr>
                <w:rFonts w:ascii="宋体" w:hAnsi="宋体" w:eastAsia="宋体" w:cs="宋体"/>
                <w:color w:val="000000"/>
                <w:sz w:val="24"/>
              </w:rPr>
            </w:pPr>
            <w:r>
              <w:rPr>
                <w:rFonts w:hint="eastAsia" w:ascii="宋体" w:hAnsi="宋体" w:eastAsia="宋体" w:cs="宋体"/>
                <w:color w:val="000000"/>
                <w:spacing w:val="3"/>
                <w:sz w:val="24"/>
              </w:rPr>
              <w:t>三公经费</w:t>
            </w:r>
          </w:p>
        </w:tc>
        <w:tc>
          <w:tcPr>
            <w:tcW w:w="1815" w:type="dxa"/>
            <w:gridSpan w:val="2"/>
            <w:noWrap/>
          </w:tcPr>
          <w:p w14:paraId="5B117849">
            <w:pPr>
              <w:jc w:val="center"/>
              <w:rPr>
                <w:rFonts w:ascii="宋体" w:hAnsi="宋体" w:eastAsia="宋体" w:cs="宋体"/>
                <w:color w:val="000000"/>
                <w:sz w:val="24"/>
              </w:rPr>
            </w:pPr>
            <w:r>
              <w:rPr>
                <w:rFonts w:hint="eastAsia" w:ascii="宋体" w:hAnsi="宋体" w:eastAsia="宋体" w:cs="宋体"/>
                <w:color w:val="000000"/>
                <w:sz w:val="24"/>
              </w:rPr>
              <w:t>0.31</w:t>
            </w:r>
          </w:p>
        </w:tc>
        <w:tc>
          <w:tcPr>
            <w:tcW w:w="2325" w:type="dxa"/>
            <w:gridSpan w:val="2"/>
            <w:noWrap/>
          </w:tcPr>
          <w:p w14:paraId="08DC0BE1">
            <w:pPr>
              <w:jc w:val="center"/>
              <w:rPr>
                <w:rFonts w:ascii="宋体" w:hAnsi="宋体" w:eastAsia="宋体" w:cs="宋体"/>
                <w:color w:val="000000"/>
                <w:sz w:val="24"/>
              </w:rPr>
            </w:pPr>
            <w:r>
              <w:rPr>
                <w:rFonts w:hint="eastAsia" w:ascii="宋体" w:hAnsi="宋体" w:eastAsia="宋体" w:cs="宋体"/>
                <w:color w:val="000000"/>
                <w:sz w:val="24"/>
              </w:rPr>
              <w:t>0</w:t>
            </w:r>
          </w:p>
        </w:tc>
        <w:tc>
          <w:tcPr>
            <w:tcW w:w="1679" w:type="dxa"/>
            <w:gridSpan w:val="2"/>
            <w:noWrap/>
          </w:tcPr>
          <w:p w14:paraId="6F7B3964">
            <w:pPr>
              <w:jc w:val="center"/>
              <w:rPr>
                <w:rFonts w:ascii="宋体" w:hAnsi="宋体" w:eastAsia="宋体" w:cs="宋体"/>
                <w:color w:val="000000"/>
                <w:sz w:val="24"/>
              </w:rPr>
            </w:pPr>
            <w:r>
              <w:rPr>
                <w:rFonts w:hint="eastAsia" w:ascii="宋体" w:hAnsi="宋体" w:eastAsia="宋体" w:cs="宋体"/>
                <w:color w:val="000000"/>
                <w:sz w:val="24"/>
              </w:rPr>
              <w:t>0</w:t>
            </w:r>
          </w:p>
        </w:tc>
      </w:tr>
      <w:tr w14:paraId="05D4E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1D0D9DE8">
            <w:pPr>
              <w:spacing w:before="149" w:line="193" w:lineRule="auto"/>
              <w:ind w:left="414"/>
              <w:jc w:val="left"/>
              <w:rPr>
                <w:rFonts w:ascii="宋体" w:hAnsi="宋体" w:eastAsia="宋体" w:cs="宋体"/>
                <w:color w:val="000000"/>
                <w:sz w:val="24"/>
              </w:rPr>
            </w:pPr>
            <w:r>
              <w:rPr>
                <w:rFonts w:hint="eastAsia" w:ascii="宋体" w:hAnsi="宋体" w:eastAsia="宋体" w:cs="宋体"/>
                <w:color w:val="000000"/>
                <w:sz w:val="24"/>
              </w:rPr>
              <w:t>1、公务用车购置和维护经费</w:t>
            </w:r>
          </w:p>
        </w:tc>
        <w:tc>
          <w:tcPr>
            <w:tcW w:w="1815" w:type="dxa"/>
            <w:gridSpan w:val="2"/>
            <w:noWrap/>
          </w:tcPr>
          <w:p w14:paraId="357B9495">
            <w:pPr>
              <w:rPr>
                <w:rFonts w:ascii="宋体" w:hAnsi="宋体" w:eastAsia="宋体" w:cs="宋体"/>
                <w:color w:val="000000"/>
              </w:rPr>
            </w:pPr>
          </w:p>
        </w:tc>
        <w:tc>
          <w:tcPr>
            <w:tcW w:w="2325" w:type="dxa"/>
            <w:gridSpan w:val="2"/>
            <w:noWrap/>
          </w:tcPr>
          <w:p w14:paraId="5A1A0B58">
            <w:pPr>
              <w:rPr>
                <w:rFonts w:ascii="宋体" w:hAnsi="宋体" w:eastAsia="宋体" w:cs="宋体"/>
                <w:color w:val="000000"/>
              </w:rPr>
            </w:pPr>
          </w:p>
        </w:tc>
        <w:tc>
          <w:tcPr>
            <w:tcW w:w="1679" w:type="dxa"/>
            <w:gridSpan w:val="2"/>
            <w:noWrap/>
          </w:tcPr>
          <w:p w14:paraId="0630A7DA">
            <w:pPr>
              <w:rPr>
                <w:rFonts w:ascii="宋体" w:hAnsi="宋体" w:eastAsia="宋体" w:cs="宋体"/>
                <w:color w:val="000000"/>
              </w:rPr>
            </w:pPr>
          </w:p>
        </w:tc>
      </w:tr>
      <w:tr w14:paraId="2B4D3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1B91F8F9">
            <w:pPr>
              <w:spacing w:before="81" w:line="219" w:lineRule="auto"/>
              <w:ind w:left="814"/>
              <w:jc w:val="left"/>
              <w:rPr>
                <w:rFonts w:ascii="宋体" w:hAnsi="宋体" w:eastAsia="宋体" w:cs="宋体"/>
                <w:color w:val="000000"/>
                <w:sz w:val="24"/>
              </w:rPr>
            </w:pPr>
            <w:r>
              <w:rPr>
                <w:rFonts w:hint="eastAsia" w:ascii="宋体" w:hAnsi="宋体" w:eastAsia="宋体" w:cs="宋体"/>
                <w:color w:val="000000"/>
                <w:spacing w:val="-2"/>
                <w:sz w:val="24"/>
              </w:rPr>
              <w:t>其中：公车购置</w:t>
            </w:r>
          </w:p>
        </w:tc>
        <w:tc>
          <w:tcPr>
            <w:tcW w:w="1815" w:type="dxa"/>
            <w:gridSpan w:val="2"/>
            <w:noWrap/>
          </w:tcPr>
          <w:p w14:paraId="22E16035">
            <w:pPr>
              <w:rPr>
                <w:rFonts w:ascii="宋体" w:hAnsi="宋体" w:eastAsia="宋体" w:cs="宋体"/>
                <w:color w:val="000000"/>
              </w:rPr>
            </w:pPr>
          </w:p>
        </w:tc>
        <w:tc>
          <w:tcPr>
            <w:tcW w:w="2325" w:type="dxa"/>
            <w:gridSpan w:val="2"/>
            <w:noWrap/>
          </w:tcPr>
          <w:p w14:paraId="65D7662A">
            <w:pPr>
              <w:rPr>
                <w:rFonts w:ascii="宋体" w:hAnsi="宋体" w:eastAsia="宋体" w:cs="宋体"/>
                <w:color w:val="000000"/>
              </w:rPr>
            </w:pPr>
          </w:p>
        </w:tc>
        <w:tc>
          <w:tcPr>
            <w:tcW w:w="1679" w:type="dxa"/>
            <w:gridSpan w:val="2"/>
            <w:noWrap/>
          </w:tcPr>
          <w:p w14:paraId="08438F20">
            <w:pPr>
              <w:rPr>
                <w:rFonts w:ascii="宋体" w:hAnsi="宋体" w:eastAsia="宋体" w:cs="宋体"/>
                <w:color w:val="000000"/>
              </w:rPr>
            </w:pPr>
          </w:p>
        </w:tc>
      </w:tr>
      <w:tr w14:paraId="4207B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tcPr>
          <w:p w14:paraId="1B1B7AB1">
            <w:pPr>
              <w:spacing w:before="91" w:line="219" w:lineRule="auto"/>
              <w:ind w:left="1424"/>
              <w:jc w:val="left"/>
              <w:rPr>
                <w:rFonts w:ascii="宋体" w:hAnsi="宋体" w:eastAsia="宋体" w:cs="宋体"/>
                <w:color w:val="000000"/>
                <w:sz w:val="24"/>
              </w:rPr>
            </w:pPr>
            <w:r>
              <w:rPr>
                <w:rFonts w:hint="eastAsia" w:ascii="宋体" w:hAnsi="宋体" w:eastAsia="宋体" w:cs="宋体"/>
                <w:color w:val="000000"/>
                <w:spacing w:val="2"/>
                <w:sz w:val="24"/>
              </w:rPr>
              <w:t>公车运行维护</w:t>
            </w:r>
          </w:p>
        </w:tc>
        <w:tc>
          <w:tcPr>
            <w:tcW w:w="1815" w:type="dxa"/>
            <w:gridSpan w:val="2"/>
            <w:noWrap/>
          </w:tcPr>
          <w:p w14:paraId="58362047">
            <w:pPr>
              <w:rPr>
                <w:rFonts w:ascii="宋体" w:hAnsi="宋体" w:eastAsia="宋体" w:cs="宋体"/>
                <w:color w:val="000000"/>
              </w:rPr>
            </w:pPr>
          </w:p>
        </w:tc>
        <w:tc>
          <w:tcPr>
            <w:tcW w:w="2325" w:type="dxa"/>
            <w:gridSpan w:val="2"/>
            <w:noWrap/>
          </w:tcPr>
          <w:p w14:paraId="37813E69">
            <w:pPr>
              <w:rPr>
                <w:rFonts w:ascii="宋体" w:hAnsi="宋体" w:eastAsia="宋体" w:cs="宋体"/>
                <w:color w:val="000000"/>
              </w:rPr>
            </w:pPr>
          </w:p>
        </w:tc>
        <w:tc>
          <w:tcPr>
            <w:tcW w:w="1679" w:type="dxa"/>
            <w:gridSpan w:val="2"/>
            <w:noWrap/>
          </w:tcPr>
          <w:p w14:paraId="28DD3003">
            <w:pPr>
              <w:rPr>
                <w:rFonts w:ascii="宋体" w:hAnsi="宋体" w:eastAsia="宋体" w:cs="宋体"/>
                <w:color w:val="000000"/>
              </w:rPr>
            </w:pPr>
          </w:p>
        </w:tc>
      </w:tr>
      <w:tr w14:paraId="4E744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tcPr>
          <w:p w14:paraId="7B8A6605">
            <w:pPr>
              <w:spacing w:before="81" w:line="220" w:lineRule="auto"/>
              <w:ind w:left="384"/>
              <w:jc w:val="left"/>
              <w:rPr>
                <w:rFonts w:ascii="宋体" w:hAnsi="宋体" w:eastAsia="宋体" w:cs="宋体"/>
                <w:color w:val="000000"/>
                <w:sz w:val="24"/>
              </w:rPr>
            </w:pPr>
            <w:r>
              <w:rPr>
                <w:rFonts w:hint="eastAsia" w:ascii="宋体" w:hAnsi="宋体" w:eastAsia="宋体" w:cs="宋体"/>
                <w:color w:val="000000"/>
                <w:spacing w:val="2"/>
                <w:sz w:val="24"/>
              </w:rPr>
              <w:t>2、出国经费</w:t>
            </w:r>
          </w:p>
        </w:tc>
        <w:tc>
          <w:tcPr>
            <w:tcW w:w="1815" w:type="dxa"/>
            <w:gridSpan w:val="2"/>
            <w:noWrap/>
          </w:tcPr>
          <w:p w14:paraId="0F29C1F8">
            <w:pPr>
              <w:rPr>
                <w:rFonts w:ascii="宋体" w:hAnsi="宋体" w:eastAsia="宋体" w:cs="宋体"/>
                <w:color w:val="000000"/>
              </w:rPr>
            </w:pPr>
          </w:p>
        </w:tc>
        <w:tc>
          <w:tcPr>
            <w:tcW w:w="2325" w:type="dxa"/>
            <w:gridSpan w:val="2"/>
            <w:noWrap/>
          </w:tcPr>
          <w:p w14:paraId="1C99D152">
            <w:pPr>
              <w:rPr>
                <w:rFonts w:ascii="宋体" w:hAnsi="宋体" w:eastAsia="宋体" w:cs="宋体"/>
                <w:color w:val="000000"/>
              </w:rPr>
            </w:pPr>
          </w:p>
        </w:tc>
        <w:tc>
          <w:tcPr>
            <w:tcW w:w="1679" w:type="dxa"/>
            <w:gridSpan w:val="2"/>
            <w:noWrap/>
          </w:tcPr>
          <w:p w14:paraId="5058DA3E">
            <w:pPr>
              <w:rPr>
                <w:rFonts w:ascii="宋体" w:hAnsi="宋体" w:eastAsia="宋体" w:cs="宋体"/>
                <w:color w:val="000000"/>
              </w:rPr>
            </w:pPr>
          </w:p>
        </w:tc>
      </w:tr>
      <w:tr w14:paraId="681DF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1DB3F5A5">
            <w:pPr>
              <w:spacing w:before="82" w:line="21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3、公务接待</w:t>
            </w:r>
          </w:p>
        </w:tc>
        <w:tc>
          <w:tcPr>
            <w:tcW w:w="1815" w:type="dxa"/>
            <w:gridSpan w:val="2"/>
            <w:noWrap/>
          </w:tcPr>
          <w:p w14:paraId="2AD7DCA7">
            <w:pPr>
              <w:jc w:val="center"/>
              <w:rPr>
                <w:rFonts w:hint="eastAsia" w:ascii="宋体" w:hAnsi="宋体" w:eastAsia="宋体" w:cs="宋体"/>
                <w:color w:val="000000"/>
                <w:sz w:val="24"/>
              </w:rPr>
            </w:pPr>
            <w:r>
              <w:rPr>
                <w:rFonts w:hint="eastAsia" w:ascii="宋体" w:hAnsi="宋体" w:eastAsia="宋体" w:cs="宋体"/>
                <w:color w:val="000000"/>
                <w:sz w:val="24"/>
              </w:rPr>
              <w:t>0.31</w:t>
            </w:r>
          </w:p>
        </w:tc>
        <w:tc>
          <w:tcPr>
            <w:tcW w:w="2325" w:type="dxa"/>
            <w:gridSpan w:val="2"/>
            <w:noWrap/>
          </w:tcPr>
          <w:p w14:paraId="2059337E">
            <w:pPr>
              <w:jc w:val="center"/>
              <w:rPr>
                <w:rFonts w:hint="eastAsia" w:ascii="宋体" w:hAnsi="宋体" w:eastAsia="宋体" w:cs="宋体"/>
                <w:color w:val="000000"/>
                <w:sz w:val="24"/>
              </w:rPr>
            </w:pPr>
            <w:r>
              <w:rPr>
                <w:rFonts w:hint="eastAsia" w:ascii="宋体" w:hAnsi="宋体" w:eastAsia="宋体" w:cs="宋体"/>
                <w:color w:val="000000"/>
                <w:sz w:val="24"/>
              </w:rPr>
              <w:t>0</w:t>
            </w:r>
          </w:p>
        </w:tc>
        <w:tc>
          <w:tcPr>
            <w:tcW w:w="1679" w:type="dxa"/>
            <w:gridSpan w:val="2"/>
            <w:noWrap/>
          </w:tcPr>
          <w:p w14:paraId="16E15F9A">
            <w:pPr>
              <w:jc w:val="center"/>
              <w:rPr>
                <w:rFonts w:hint="eastAsia" w:ascii="宋体" w:hAnsi="宋体" w:eastAsia="宋体" w:cs="宋体"/>
                <w:color w:val="000000"/>
                <w:sz w:val="24"/>
              </w:rPr>
            </w:pPr>
            <w:r>
              <w:rPr>
                <w:rFonts w:hint="eastAsia" w:ascii="宋体" w:hAnsi="宋体" w:eastAsia="宋体" w:cs="宋体"/>
                <w:color w:val="000000"/>
                <w:sz w:val="24"/>
              </w:rPr>
              <w:t>0</w:t>
            </w:r>
          </w:p>
        </w:tc>
      </w:tr>
      <w:tr w14:paraId="4CD54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6E6E556B">
            <w:pPr>
              <w:spacing w:before="143" w:line="200" w:lineRule="auto"/>
              <w:ind w:left="84"/>
              <w:jc w:val="left"/>
              <w:rPr>
                <w:rFonts w:ascii="宋体" w:hAnsi="宋体" w:eastAsia="宋体" w:cs="宋体"/>
                <w:color w:val="000000"/>
                <w:sz w:val="24"/>
              </w:rPr>
            </w:pPr>
            <w:r>
              <w:rPr>
                <w:rFonts w:hint="eastAsia" w:ascii="宋体" w:hAnsi="宋体" w:eastAsia="宋体" w:cs="宋体"/>
                <w:color w:val="000000"/>
                <w:spacing w:val="19"/>
                <w:sz w:val="24"/>
              </w:rPr>
              <w:t>项目支出：</w:t>
            </w:r>
          </w:p>
        </w:tc>
        <w:tc>
          <w:tcPr>
            <w:tcW w:w="1815" w:type="dxa"/>
            <w:gridSpan w:val="2"/>
            <w:noWrap/>
          </w:tcPr>
          <w:p w14:paraId="17468383">
            <w:pPr>
              <w:jc w:val="center"/>
              <w:rPr>
                <w:rFonts w:hint="eastAsia" w:ascii="宋体" w:hAnsi="宋体" w:eastAsia="宋体" w:cs="宋体"/>
                <w:color w:val="000000"/>
                <w:sz w:val="24"/>
              </w:rPr>
            </w:pPr>
            <w:r>
              <w:rPr>
                <w:rFonts w:hint="eastAsia" w:ascii="宋体" w:hAnsi="宋体" w:eastAsia="宋体" w:cs="宋体"/>
                <w:color w:val="000000"/>
                <w:sz w:val="24"/>
              </w:rPr>
              <w:t>150.22</w:t>
            </w:r>
          </w:p>
        </w:tc>
        <w:tc>
          <w:tcPr>
            <w:tcW w:w="2325" w:type="dxa"/>
            <w:gridSpan w:val="2"/>
            <w:noWrap/>
          </w:tcPr>
          <w:p w14:paraId="704E83B3">
            <w:pPr>
              <w:jc w:val="center"/>
              <w:rPr>
                <w:rFonts w:hint="eastAsia" w:ascii="宋体" w:hAnsi="宋体" w:eastAsia="宋体" w:cs="宋体"/>
                <w:color w:val="000000"/>
                <w:sz w:val="24"/>
              </w:rPr>
            </w:pPr>
            <w:r>
              <w:rPr>
                <w:rFonts w:hint="eastAsia" w:ascii="宋体" w:hAnsi="宋体" w:eastAsia="宋体" w:cs="宋体"/>
                <w:color w:val="000000"/>
                <w:sz w:val="24"/>
              </w:rPr>
              <w:t>237</w:t>
            </w:r>
          </w:p>
        </w:tc>
        <w:tc>
          <w:tcPr>
            <w:tcW w:w="1679" w:type="dxa"/>
            <w:gridSpan w:val="2"/>
            <w:noWrap/>
          </w:tcPr>
          <w:p w14:paraId="4860A07C">
            <w:pPr>
              <w:jc w:val="center"/>
              <w:rPr>
                <w:rFonts w:hint="eastAsia" w:ascii="宋体" w:hAnsi="宋体" w:eastAsia="宋体" w:cs="宋体"/>
                <w:color w:val="000000"/>
                <w:sz w:val="24"/>
              </w:rPr>
            </w:pPr>
            <w:r>
              <w:rPr>
                <w:rFonts w:hint="eastAsia" w:ascii="宋体" w:hAnsi="宋体" w:eastAsia="宋体" w:cs="宋体"/>
                <w:color w:val="000000"/>
                <w:sz w:val="24"/>
              </w:rPr>
              <w:t>4.14</w:t>
            </w:r>
          </w:p>
        </w:tc>
      </w:tr>
      <w:tr w14:paraId="49EA8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09E97937">
            <w:pPr>
              <w:spacing w:before="133" w:line="200" w:lineRule="auto"/>
              <w:ind w:left="384"/>
              <w:jc w:val="left"/>
              <w:rPr>
                <w:rFonts w:ascii="宋体" w:hAnsi="宋体" w:eastAsia="宋体" w:cs="宋体"/>
                <w:color w:val="000000"/>
                <w:sz w:val="24"/>
              </w:rPr>
            </w:pPr>
            <w:r>
              <w:rPr>
                <w:rFonts w:hint="eastAsia" w:ascii="宋体" w:hAnsi="宋体" w:eastAsia="宋体" w:cs="宋体"/>
                <w:color w:val="000000"/>
                <w:spacing w:val="1"/>
                <w:sz w:val="24"/>
              </w:rPr>
              <w:t>1、业务工作经费</w:t>
            </w:r>
          </w:p>
        </w:tc>
        <w:tc>
          <w:tcPr>
            <w:tcW w:w="1815" w:type="dxa"/>
            <w:gridSpan w:val="2"/>
            <w:noWrap/>
          </w:tcPr>
          <w:p w14:paraId="0474226E">
            <w:pPr>
              <w:jc w:val="center"/>
              <w:rPr>
                <w:rFonts w:hint="eastAsia" w:ascii="宋体" w:hAnsi="宋体" w:eastAsia="宋体" w:cs="宋体"/>
                <w:color w:val="000000"/>
                <w:sz w:val="24"/>
              </w:rPr>
            </w:pPr>
            <w:r>
              <w:rPr>
                <w:rFonts w:hint="eastAsia" w:ascii="宋体" w:hAnsi="宋体" w:eastAsia="宋体" w:cs="宋体"/>
                <w:color w:val="000000"/>
                <w:sz w:val="24"/>
              </w:rPr>
              <w:t>150.22</w:t>
            </w:r>
          </w:p>
        </w:tc>
        <w:tc>
          <w:tcPr>
            <w:tcW w:w="2325" w:type="dxa"/>
            <w:gridSpan w:val="2"/>
            <w:noWrap/>
          </w:tcPr>
          <w:p w14:paraId="7299F514">
            <w:pPr>
              <w:jc w:val="center"/>
              <w:rPr>
                <w:rFonts w:hint="eastAsia" w:ascii="宋体" w:hAnsi="宋体" w:eastAsia="宋体" w:cs="宋体"/>
                <w:color w:val="000000"/>
                <w:sz w:val="24"/>
              </w:rPr>
            </w:pPr>
            <w:r>
              <w:rPr>
                <w:rFonts w:hint="eastAsia" w:ascii="宋体" w:hAnsi="宋体" w:eastAsia="宋体" w:cs="宋体"/>
                <w:color w:val="000000"/>
                <w:sz w:val="24"/>
              </w:rPr>
              <w:t>237</w:t>
            </w:r>
          </w:p>
        </w:tc>
        <w:tc>
          <w:tcPr>
            <w:tcW w:w="1679" w:type="dxa"/>
            <w:gridSpan w:val="2"/>
            <w:noWrap/>
          </w:tcPr>
          <w:p w14:paraId="6140BC94">
            <w:pPr>
              <w:jc w:val="center"/>
              <w:rPr>
                <w:rFonts w:hint="eastAsia" w:ascii="宋体" w:hAnsi="宋体" w:eastAsia="宋体" w:cs="宋体"/>
                <w:color w:val="000000"/>
                <w:sz w:val="24"/>
              </w:rPr>
            </w:pPr>
            <w:r>
              <w:rPr>
                <w:rFonts w:hint="eastAsia" w:ascii="宋体" w:hAnsi="宋体" w:eastAsia="宋体" w:cs="宋体"/>
                <w:color w:val="000000"/>
                <w:sz w:val="24"/>
              </w:rPr>
              <w:t>4.14</w:t>
            </w:r>
          </w:p>
        </w:tc>
      </w:tr>
      <w:tr w14:paraId="17513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tcPr>
          <w:p w14:paraId="74B09E78">
            <w:pPr>
              <w:spacing w:before="143" w:line="20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2、运行维护经费</w:t>
            </w:r>
          </w:p>
        </w:tc>
        <w:tc>
          <w:tcPr>
            <w:tcW w:w="1815" w:type="dxa"/>
            <w:gridSpan w:val="2"/>
            <w:noWrap/>
          </w:tcPr>
          <w:p w14:paraId="0A5BF36F">
            <w:pPr>
              <w:jc w:val="center"/>
              <w:rPr>
                <w:rFonts w:hint="eastAsia" w:ascii="宋体" w:hAnsi="宋体" w:eastAsia="宋体" w:cs="宋体"/>
                <w:color w:val="000000"/>
                <w:sz w:val="24"/>
              </w:rPr>
            </w:pPr>
          </w:p>
        </w:tc>
        <w:tc>
          <w:tcPr>
            <w:tcW w:w="2325" w:type="dxa"/>
            <w:gridSpan w:val="2"/>
            <w:noWrap/>
          </w:tcPr>
          <w:p w14:paraId="0BD7A299">
            <w:pPr>
              <w:jc w:val="center"/>
              <w:rPr>
                <w:rFonts w:hint="eastAsia" w:ascii="宋体" w:hAnsi="宋体" w:eastAsia="宋体" w:cs="宋体"/>
                <w:color w:val="000000"/>
                <w:sz w:val="24"/>
              </w:rPr>
            </w:pPr>
          </w:p>
        </w:tc>
        <w:tc>
          <w:tcPr>
            <w:tcW w:w="1679" w:type="dxa"/>
            <w:gridSpan w:val="2"/>
            <w:noWrap/>
          </w:tcPr>
          <w:p w14:paraId="7F2694F1">
            <w:pPr>
              <w:jc w:val="center"/>
              <w:rPr>
                <w:rFonts w:hint="eastAsia" w:ascii="宋体" w:hAnsi="宋体" w:eastAsia="宋体" w:cs="宋体"/>
                <w:color w:val="000000"/>
                <w:sz w:val="24"/>
              </w:rPr>
            </w:pPr>
          </w:p>
        </w:tc>
      </w:tr>
      <w:tr w14:paraId="236B4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tcPr>
          <w:p w14:paraId="4C5C9534">
            <w:pPr>
              <w:spacing w:before="93" w:line="219" w:lineRule="auto"/>
              <w:ind w:firstLine="488" w:firstLineChars="200"/>
              <w:jc w:val="left"/>
              <w:rPr>
                <w:rFonts w:ascii="宋体" w:hAnsi="宋体" w:eastAsia="宋体" w:cs="宋体"/>
                <w:color w:val="000000"/>
                <w:sz w:val="24"/>
              </w:rPr>
            </w:pPr>
            <w:r>
              <w:rPr>
                <w:rFonts w:hint="eastAsia" w:ascii="宋体" w:hAnsi="宋体" w:eastAsia="宋体" w:cs="宋体"/>
                <w:color w:val="000000"/>
                <w:spacing w:val="2"/>
                <w:sz w:val="24"/>
              </w:rPr>
              <w:t>3、区级专项资金</w:t>
            </w:r>
            <w:r>
              <w:rPr>
                <w:rFonts w:hint="eastAsia" w:ascii="宋体" w:hAnsi="宋体" w:eastAsia="宋体" w:cs="宋体"/>
                <w:color w:val="000000"/>
                <w:spacing w:val="2"/>
                <w:szCs w:val="21"/>
              </w:rPr>
              <w:t>(一个专项一行)</w:t>
            </w:r>
          </w:p>
        </w:tc>
        <w:tc>
          <w:tcPr>
            <w:tcW w:w="1815" w:type="dxa"/>
            <w:gridSpan w:val="2"/>
            <w:noWrap/>
          </w:tcPr>
          <w:p w14:paraId="47ADF227">
            <w:pPr>
              <w:jc w:val="center"/>
              <w:rPr>
                <w:rFonts w:hint="eastAsia" w:ascii="宋体" w:hAnsi="宋体" w:eastAsia="宋体" w:cs="宋体"/>
                <w:color w:val="000000"/>
                <w:sz w:val="24"/>
              </w:rPr>
            </w:pPr>
          </w:p>
        </w:tc>
        <w:tc>
          <w:tcPr>
            <w:tcW w:w="2325" w:type="dxa"/>
            <w:gridSpan w:val="2"/>
            <w:noWrap/>
          </w:tcPr>
          <w:p w14:paraId="62C2B89A">
            <w:pPr>
              <w:jc w:val="center"/>
              <w:rPr>
                <w:rFonts w:hint="eastAsia" w:ascii="宋体" w:hAnsi="宋体" w:eastAsia="宋体" w:cs="宋体"/>
                <w:color w:val="000000"/>
                <w:sz w:val="24"/>
              </w:rPr>
            </w:pPr>
          </w:p>
        </w:tc>
        <w:tc>
          <w:tcPr>
            <w:tcW w:w="1679" w:type="dxa"/>
            <w:gridSpan w:val="2"/>
            <w:noWrap/>
          </w:tcPr>
          <w:p w14:paraId="207C32B9">
            <w:pPr>
              <w:jc w:val="center"/>
              <w:rPr>
                <w:rFonts w:hint="eastAsia" w:ascii="宋体" w:hAnsi="宋体" w:eastAsia="宋体" w:cs="宋体"/>
                <w:color w:val="000000"/>
                <w:sz w:val="24"/>
              </w:rPr>
            </w:pPr>
          </w:p>
        </w:tc>
      </w:tr>
      <w:tr w14:paraId="1919F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74031C80">
            <w:pPr>
              <w:jc w:val="left"/>
              <w:rPr>
                <w:rFonts w:ascii="宋体" w:hAnsi="宋体" w:eastAsia="宋体" w:cs="宋体"/>
                <w:color w:val="000000"/>
                <w:sz w:val="24"/>
              </w:rPr>
            </w:pPr>
          </w:p>
        </w:tc>
        <w:tc>
          <w:tcPr>
            <w:tcW w:w="1815" w:type="dxa"/>
            <w:gridSpan w:val="2"/>
            <w:noWrap/>
          </w:tcPr>
          <w:p w14:paraId="478416FA">
            <w:pPr>
              <w:jc w:val="center"/>
              <w:rPr>
                <w:rFonts w:hint="eastAsia" w:ascii="宋体" w:hAnsi="宋体" w:eastAsia="宋体" w:cs="宋体"/>
                <w:color w:val="000000"/>
                <w:sz w:val="24"/>
              </w:rPr>
            </w:pPr>
          </w:p>
        </w:tc>
        <w:tc>
          <w:tcPr>
            <w:tcW w:w="2325" w:type="dxa"/>
            <w:gridSpan w:val="2"/>
            <w:noWrap/>
          </w:tcPr>
          <w:p w14:paraId="15F50ADE">
            <w:pPr>
              <w:jc w:val="center"/>
              <w:rPr>
                <w:rFonts w:hint="eastAsia" w:ascii="宋体" w:hAnsi="宋体" w:eastAsia="宋体" w:cs="宋体"/>
                <w:color w:val="000000"/>
                <w:sz w:val="24"/>
              </w:rPr>
            </w:pPr>
          </w:p>
        </w:tc>
        <w:tc>
          <w:tcPr>
            <w:tcW w:w="1679" w:type="dxa"/>
            <w:gridSpan w:val="2"/>
            <w:noWrap/>
          </w:tcPr>
          <w:p w14:paraId="060D3689">
            <w:pPr>
              <w:jc w:val="center"/>
              <w:rPr>
                <w:rFonts w:hint="eastAsia" w:ascii="宋体" w:hAnsi="宋体" w:eastAsia="宋体" w:cs="宋体"/>
                <w:color w:val="000000"/>
                <w:sz w:val="24"/>
              </w:rPr>
            </w:pPr>
          </w:p>
        </w:tc>
      </w:tr>
      <w:tr w14:paraId="3A99F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6ABDB20C">
            <w:pPr>
              <w:spacing w:before="85" w:line="220" w:lineRule="auto"/>
              <w:ind w:firstLine="492" w:firstLineChars="200"/>
              <w:jc w:val="left"/>
              <w:rPr>
                <w:rFonts w:ascii="宋体" w:hAnsi="宋体" w:eastAsia="宋体" w:cs="宋体"/>
                <w:color w:val="000000"/>
                <w:spacing w:val="3"/>
                <w:sz w:val="24"/>
              </w:rPr>
            </w:pPr>
            <w:r>
              <w:rPr>
                <w:rFonts w:hint="eastAsia" w:ascii="宋体" w:hAnsi="宋体" w:eastAsia="宋体" w:cs="宋体"/>
                <w:color w:val="000000"/>
                <w:spacing w:val="3"/>
                <w:sz w:val="24"/>
              </w:rPr>
              <w:t>4、上级转移支付</w:t>
            </w:r>
            <w:r>
              <w:rPr>
                <w:rFonts w:hint="eastAsia" w:ascii="宋体" w:hAnsi="宋体" w:eastAsia="宋体" w:cs="宋体"/>
                <w:color w:val="000000"/>
                <w:spacing w:val="2"/>
                <w:szCs w:val="21"/>
              </w:rPr>
              <w:t>(一个专项一行）</w:t>
            </w:r>
          </w:p>
        </w:tc>
        <w:tc>
          <w:tcPr>
            <w:tcW w:w="1815" w:type="dxa"/>
            <w:gridSpan w:val="2"/>
            <w:noWrap/>
          </w:tcPr>
          <w:p w14:paraId="374557F3">
            <w:pPr>
              <w:jc w:val="center"/>
              <w:rPr>
                <w:rFonts w:hint="eastAsia" w:ascii="宋体" w:hAnsi="宋体" w:eastAsia="宋体" w:cs="宋体"/>
                <w:color w:val="000000"/>
                <w:sz w:val="24"/>
              </w:rPr>
            </w:pPr>
          </w:p>
        </w:tc>
        <w:tc>
          <w:tcPr>
            <w:tcW w:w="2325" w:type="dxa"/>
            <w:gridSpan w:val="2"/>
            <w:noWrap/>
          </w:tcPr>
          <w:p w14:paraId="3C33FBFB">
            <w:pPr>
              <w:jc w:val="center"/>
              <w:rPr>
                <w:rFonts w:hint="eastAsia" w:ascii="宋体" w:hAnsi="宋体" w:eastAsia="宋体" w:cs="宋体"/>
                <w:color w:val="000000"/>
                <w:sz w:val="24"/>
              </w:rPr>
            </w:pPr>
          </w:p>
        </w:tc>
        <w:tc>
          <w:tcPr>
            <w:tcW w:w="1679" w:type="dxa"/>
            <w:gridSpan w:val="2"/>
            <w:noWrap/>
          </w:tcPr>
          <w:p w14:paraId="1D3755DF">
            <w:pPr>
              <w:jc w:val="center"/>
              <w:rPr>
                <w:rFonts w:hint="eastAsia" w:ascii="宋体" w:hAnsi="宋体" w:eastAsia="宋体" w:cs="宋体"/>
                <w:color w:val="000000"/>
                <w:sz w:val="24"/>
              </w:rPr>
            </w:pPr>
          </w:p>
        </w:tc>
      </w:tr>
      <w:tr w14:paraId="39AF1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02B91024">
            <w:pPr>
              <w:spacing w:before="85" w:line="220" w:lineRule="auto"/>
              <w:ind w:left="94"/>
              <w:jc w:val="left"/>
              <w:rPr>
                <w:rFonts w:ascii="宋体" w:hAnsi="宋体" w:eastAsia="宋体" w:cs="宋体"/>
                <w:color w:val="000000"/>
                <w:sz w:val="24"/>
              </w:rPr>
            </w:pPr>
            <w:r>
              <w:rPr>
                <w:rFonts w:hint="eastAsia" w:ascii="宋体" w:hAnsi="宋体" w:eastAsia="宋体" w:cs="宋体"/>
                <w:color w:val="000000"/>
                <w:spacing w:val="3"/>
                <w:sz w:val="24"/>
              </w:rPr>
              <w:t>公用经费</w:t>
            </w:r>
          </w:p>
        </w:tc>
        <w:tc>
          <w:tcPr>
            <w:tcW w:w="1815" w:type="dxa"/>
            <w:gridSpan w:val="2"/>
            <w:noWrap/>
          </w:tcPr>
          <w:p w14:paraId="6F64C5C6">
            <w:pPr>
              <w:jc w:val="center"/>
              <w:rPr>
                <w:rFonts w:hint="eastAsia" w:ascii="宋体" w:hAnsi="宋体" w:eastAsia="宋体" w:cs="宋体"/>
                <w:color w:val="000000"/>
                <w:sz w:val="24"/>
              </w:rPr>
            </w:pPr>
            <w:r>
              <w:rPr>
                <w:rFonts w:hint="eastAsia" w:ascii="宋体" w:hAnsi="宋体" w:eastAsia="宋体" w:cs="宋体"/>
                <w:color w:val="000000"/>
                <w:sz w:val="24"/>
              </w:rPr>
              <w:t>1321.30</w:t>
            </w:r>
          </w:p>
        </w:tc>
        <w:tc>
          <w:tcPr>
            <w:tcW w:w="2325" w:type="dxa"/>
            <w:gridSpan w:val="2"/>
            <w:noWrap/>
          </w:tcPr>
          <w:p w14:paraId="49A0A169">
            <w:pPr>
              <w:jc w:val="center"/>
              <w:rPr>
                <w:rFonts w:hint="eastAsia" w:ascii="宋体" w:hAnsi="宋体" w:eastAsia="宋体" w:cs="宋体"/>
                <w:color w:val="000000"/>
                <w:sz w:val="24"/>
              </w:rPr>
            </w:pPr>
            <w:r>
              <w:rPr>
                <w:rFonts w:hint="eastAsia" w:ascii="宋体" w:hAnsi="宋体" w:eastAsia="宋体" w:cs="宋体"/>
                <w:color w:val="000000"/>
                <w:sz w:val="24"/>
              </w:rPr>
              <w:t>113.40</w:t>
            </w:r>
          </w:p>
        </w:tc>
        <w:tc>
          <w:tcPr>
            <w:tcW w:w="1679" w:type="dxa"/>
            <w:gridSpan w:val="2"/>
            <w:noWrap/>
          </w:tcPr>
          <w:p w14:paraId="771DDB8A">
            <w:pPr>
              <w:jc w:val="center"/>
              <w:rPr>
                <w:rFonts w:hint="eastAsia" w:ascii="宋体" w:hAnsi="宋体" w:eastAsia="宋体" w:cs="宋体"/>
                <w:color w:val="000000"/>
                <w:sz w:val="24"/>
              </w:rPr>
            </w:pPr>
            <w:r>
              <w:rPr>
                <w:rFonts w:hint="eastAsia" w:ascii="宋体" w:hAnsi="宋体" w:eastAsia="宋体" w:cs="宋体"/>
                <w:color w:val="000000"/>
                <w:sz w:val="24"/>
              </w:rPr>
              <w:t>1580.86</w:t>
            </w:r>
          </w:p>
        </w:tc>
      </w:tr>
      <w:tr w14:paraId="00420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tcPr>
          <w:p w14:paraId="14B47DCB">
            <w:pPr>
              <w:spacing w:before="85" w:line="21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其中：办公经费</w:t>
            </w:r>
          </w:p>
        </w:tc>
        <w:tc>
          <w:tcPr>
            <w:tcW w:w="1815" w:type="dxa"/>
            <w:gridSpan w:val="2"/>
            <w:noWrap/>
          </w:tcPr>
          <w:p w14:paraId="27F3066F">
            <w:pPr>
              <w:jc w:val="center"/>
              <w:rPr>
                <w:rFonts w:hint="eastAsia" w:ascii="宋体" w:hAnsi="宋体" w:eastAsia="宋体" w:cs="宋体"/>
                <w:color w:val="000000"/>
                <w:sz w:val="24"/>
              </w:rPr>
            </w:pPr>
            <w:r>
              <w:rPr>
                <w:rFonts w:hint="eastAsia" w:ascii="宋体" w:hAnsi="宋体" w:eastAsia="宋体" w:cs="宋体"/>
                <w:color w:val="000000"/>
                <w:sz w:val="24"/>
              </w:rPr>
              <w:t>2</w:t>
            </w:r>
          </w:p>
        </w:tc>
        <w:tc>
          <w:tcPr>
            <w:tcW w:w="2325" w:type="dxa"/>
            <w:gridSpan w:val="2"/>
            <w:noWrap/>
          </w:tcPr>
          <w:p w14:paraId="0CD901C5">
            <w:pPr>
              <w:jc w:val="center"/>
              <w:rPr>
                <w:rFonts w:hint="eastAsia" w:ascii="宋体" w:hAnsi="宋体" w:eastAsia="宋体" w:cs="宋体"/>
                <w:color w:val="000000"/>
                <w:sz w:val="24"/>
              </w:rPr>
            </w:pPr>
            <w:r>
              <w:rPr>
                <w:rFonts w:hint="eastAsia" w:ascii="宋体" w:hAnsi="宋体" w:eastAsia="宋体" w:cs="宋体"/>
                <w:color w:val="000000"/>
                <w:sz w:val="24"/>
              </w:rPr>
              <w:t>4.73</w:t>
            </w:r>
          </w:p>
        </w:tc>
        <w:tc>
          <w:tcPr>
            <w:tcW w:w="1679" w:type="dxa"/>
            <w:gridSpan w:val="2"/>
            <w:noWrap/>
          </w:tcPr>
          <w:p w14:paraId="52AC5AE3">
            <w:pPr>
              <w:jc w:val="center"/>
              <w:rPr>
                <w:rFonts w:hint="eastAsia" w:ascii="宋体" w:hAnsi="宋体" w:eastAsia="宋体" w:cs="宋体"/>
                <w:color w:val="000000"/>
                <w:sz w:val="24"/>
              </w:rPr>
            </w:pPr>
            <w:r>
              <w:rPr>
                <w:rFonts w:hint="eastAsia" w:ascii="宋体" w:hAnsi="宋体" w:eastAsia="宋体" w:cs="宋体"/>
                <w:color w:val="000000"/>
                <w:sz w:val="24"/>
              </w:rPr>
              <w:t>63.81</w:t>
            </w:r>
          </w:p>
        </w:tc>
      </w:tr>
      <w:tr w14:paraId="3E46E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12E0764E">
            <w:pPr>
              <w:spacing w:before="135" w:line="198" w:lineRule="auto"/>
              <w:ind w:left="1114"/>
              <w:jc w:val="left"/>
              <w:rPr>
                <w:rFonts w:ascii="宋体" w:hAnsi="宋体" w:eastAsia="宋体" w:cs="宋体"/>
                <w:color w:val="000000"/>
                <w:sz w:val="24"/>
              </w:rPr>
            </w:pPr>
            <w:r>
              <w:rPr>
                <w:rFonts w:hint="eastAsia" w:ascii="宋体" w:hAnsi="宋体" w:eastAsia="宋体" w:cs="宋体"/>
                <w:color w:val="000000"/>
                <w:spacing w:val="1"/>
                <w:sz w:val="24"/>
              </w:rPr>
              <w:t>水费、电费、差旅费</w:t>
            </w:r>
          </w:p>
        </w:tc>
        <w:tc>
          <w:tcPr>
            <w:tcW w:w="1815" w:type="dxa"/>
            <w:gridSpan w:val="2"/>
            <w:noWrap/>
          </w:tcPr>
          <w:p w14:paraId="61E39D66">
            <w:pPr>
              <w:jc w:val="center"/>
              <w:rPr>
                <w:rFonts w:hint="eastAsia" w:ascii="宋体" w:hAnsi="宋体" w:eastAsia="宋体" w:cs="宋体"/>
                <w:color w:val="000000"/>
                <w:sz w:val="24"/>
              </w:rPr>
            </w:pPr>
            <w:r>
              <w:rPr>
                <w:rFonts w:hint="eastAsia" w:ascii="宋体" w:hAnsi="宋体" w:eastAsia="宋体" w:cs="宋体"/>
                <w:color w:val="000000"/>
                <w:sz w:val="24"/>
              </w:rPr>
              <w:t>6.54</w:t>
            </w:r>
          </w:p>
        </w:tc>
        <w:tc>
          <w:tcPr>
            <w:tcW w:w="2325" w:type="dxa"/>
            <w:gridSpan w:val="2"/>
            <w:noWrap/>
          </w:tcPr>
          <w:p w14:paraId="5F425FC9">
            <w:pPr>
              <w:jc w:val="center"/>
              <w:rPr>
                <w:rFonts w:hint="eastAsia" w:ascii="宋体" w:hAnsi="宋体" w:eastAsia="宋体" w:cs="宋体"/>
                <w:color w:val="000000"/>
                <w:sz w:val="24"/>
              </w:rPr>
            </w:pPr>
            <w:r>
              <w:rPr>
                <w:rFonts w:hint="eastAsia" w:ascii="宋体" w:hAnsi="宋体" w:eastAsia="宋体" w:cs="宋体"/>
                <w:color w:val="000000"/>
                <w:sz w:val="24"/>
              </w:rPr>
              <w:t>7.80</w:t>
            </w:r>
          </w:p>
        </w:tc>
        <w:tc>
          <w:tcPr>
            <w:tcW w:w="1679" w:type="dxa"/>
            <w:gridSpan w:val="2"/>
            <w:noWrap/>
          </w:tcPr>
          <w:p w14:paraId="3EF6996D">
            <w:pPr>
              <w:jc w:val="center"/>
              <w:rPr>
                <w:rFonts w:hint="eastAsia" w:ascii="宋体" w:hAnsi="宋体" w:eastAsia="宋体" w:cs="宋体"/>
                <w:color w:val="000000"/>
                <w:sz w:val="24"/>
              </w:rPr>
            </w:pPr>
            <w:r>
              <w:rPr>
                <w:rFonts w:hint="eastAsia" w:ascii="宋体" w:hAnsi="宋体" w:eastAsia="宋体" w:cs="宋体"/>
                <w:color w:val="000000"/>
                <w:sz w:val="24"/>
              </w:rPr>
              <w:t>7.72</w:t>
            </w:r>
          </w:p>
        </w:tc>
      </w:tr>
      <w:tr w14:paraId="0B8F2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5E112617">
            <w:pPr>
              <w:spacing w:before="144" w:line="198" w:lineRule="auto"/>
              <w:ind w:left="1124"/>
              <w:jc w:val="left"/>
              <w:rPr>
                <w:rFonts w:ascii="宋体" w:hAnsi="宋体" w:eastAsia="宋体" w:cs="宋体"/>
                <w:color w:val="000000"/>
                <w:sz w:val="24"/>
              </w:rPr>
            </w:pPr>
            <w:r>
              <w:rPr>
                <w:rFonts w:hint="eastAsia" w:ascii="宋体" w:hAnsi="宋体" w:eastAsia="宋体" w:cs="宋体"/>
                <w:color w:val="000000"/>
                <w:spacing w:val="-1"/>
                <w:sz w:val="24"/>
              </w:rPr>
              <w:t>会议费、培训费</w:t>
            </w:r>
          </w:p>
        </w:tc>
        <w:tc>
          <w:tcPr>
            <w:tcW w:w="1815" w:type="dxa"/>
            <w:gridSpan w:val="2"/>
            <w:noWrap/>
          </w:tcPr>
          <w:p w14:paraId="309B9BBC">
            <w:pPr>
              <w:jc w:val="center"/>
              <w:rPr>
                <w:rFonts w:hint="eastAsia" w:ascii="宋体" w:hAnsi="宋体" w:eastAsia="宋体" w:cs="宋体"/>
                <w:color w:val="000000"/>
                <w:sz w:val="24"/>
              </w:rPr>
            </w:pPr>
            <w:r>
              <w:rPr>
                <w:rFonts w:hint="eastAsia" w:ascii="宋体" w:hAnsi="宋体" w:eastAsia="宋体" w:cs="宋体"/>
                <w:color w:val="000000"/>
                <w:sz w:val="24"/>
              </w:rPr>
              <w:t>0</w:t>
            </w:r>
          </w:p>
        </w:tc>
        <w:tc>
          <w:tcPr>
            <w:tcW w:w="2325" w:type="dxa"/>
            <w:gridSpan w:val="2"/>
            <w:noWrap/>
          </w:tcPr>
          <w:p w14:paraId="2F6E0D73">
            <w:pPr>
              <w:jc w:val="center"/>
              <w:rPr>
                <w:rFonts w:hint="eastAsia" w:ascii="宋体" w:hAnsi="宋体" w:eastAsia="宋体" w:cs="宋体"/>
                <w:color w:val="000000"/>
                <w:sz w:val="24"/>
              </w:rPr>
            </w:pPr>
          </w:p>
        </w:tc>
        <w:tc>
          <w:tcPr>
            <w:tcW w:w="1679" w:type="dxa"/>
            <w:gridSpan w:val="2"/>
            <w:noWrap/>
          </w:tcPr>
          <w:p w14:paraId="69103028">
            <w:pPr>
              <w:jc w:val="center"/>
              <w:rPr>
                <w:rFonts w:hint="eastAsia" w:ascii="宋体" w:hAnsi="宋体" w:eastAsia="宋体" w:cs="宋体"/>
                <w:color w:val="000000"/>
                <w:sz w:val="24"/>
              </w:rPr>
            </w:pPr>
          </w:p>
        </w:tc>
      </w:tr>
      <w:tr w14:paraId="5ADFA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7135C94A">
            <w:pPr>
              <w:spacing w:before="145" w:line="189" w:lineRule="auto"/>
              <w:ind w:left="104"/>
              <w:jc w:val="left"/>
              <w:rPr>
                <w:rFonts w:ascii="宋体" w:hAnsi="宋体" w:eastAsia="宋体" w:cs="宋体"/>
                <w:color w:val="000000"/>
                <w:sz w:val="24"/>
              </w:rPr>
            </w:pPr>
            <w:r>
              <w:rPr>
                <w:rFonts w:hint="eastAsia" w:ascii="宋体" w:hAnsi="宋体" w:eastAsia="宋体" w:cs="宋体"/>
                <w:color w:val="000000"/>
                <w:spacing w:val="-1"/>
                <w:sz w:val="24"/>
              </w:rPr>
              <w:t>政府采购金额</w:t>
            </w:r>
          </w:p>
        </w:tc>
        <w:tc>
          <w:tcPr>
            <w:tcW w:w="1815" w:type="dxa"/>
            <w:gridSpan w:val="2"/>
            <w:noWrap/>
          </w:tcPr>
          <w:p w14:paraId="39E0B19E">
            <w:pPr>
              <w:jc w:val="center"/>
              <w:rPr>
                <w:rFonts w:hint="eastAsia" w:ascii="宋体" w:hAnsi="宋体" w:eastAsia="宋体" w:cs="宋体"/>
                <w:color w:val="000000"/>
                <w:sz w:val="24"/>
              </w:rPr>
            </w:pPr>
            <w:r>
              <w:rPr>
                <w:rFonts w:hint="eastAsia" w:ascii="宋体" w:hAnsi="宋体" w:eastAsia="宋体" w:cs="宋体"/>
                <w:color w:val="000000"/>
                <w:sz w:val="24"/>
              </w:rPr>
              <w:t>1438.67</w:t>
            </w:r>
          </w:p>
        </w:tc>
        <w:tc>
          <w:tcPr>
            <w:tcW w:w="2325" w:type="dxa"/>
            <w:gridSpan w:val="2"/>
            <w:noWrap/>
          </w:tcPr>
          <w:p w14:paraId="6D279BE3">
            <w:pPr>
              <w:jc w:val="center"/>
              <w:rPr>
                <w:rFonts w:hint="eastAsia" w:ascii="宋体" w:hAnsi="宋体" w:eastAsia="宋体" w:cs="宋体"/>
                <w:color w:val="000000"/>
                <w:sz w:val="24"/>
              </w:rPr>
            </w:pPr>
            <w:r>
              <w:rPr>
                <w:rFonts w:hint="eastAsia" w:ascii="宋体" w:hAnsi="宋体" w:eastAsia="宋体" w:cs="宋体"/>
                <w:color w:val="000000"/>
                <w:sz w:val="24"/>
              </w:rPr>
              <w:t>565.65</w:t>
            </w:r>
          </w:p>
        </w:tc>
        <w:tc>
          <w:tcPr>
            <w:tcW w:w="1679" w:type="dxa"/>
            <w:gridSpan w:val="2"/>
            <w:noWrap/>
          </w:tcPr>
          <w:p w14:paraId="2A846D05">
            <w:pPr>
              <w:jc w:val="center"/>
              <w:rPr>
                <w:rFonts w:hint="eastAsia" w:ascii="宋体" w:hAnsi="宋体" w:eastAsia="宋体" w:cs="宋体"/>
                <w:color w:val="000000"/>
                <w:sz w:val="24"/>
              </w:rPr>
            </w:pPr>
            <w:bookmarkStart w:id="0" w:name="_GoBack"/>
            <w:r>
              <w:rPr>
                <w:rFonts w:hint="eastAsia" w:ascii="宋体" w:hAnsi="宋体" w:eastAsia="宋体" w:cs="宋体"/>
                <w:color w:val="000000"/>
                <w:sz w:val="24"/>
                <w:highlight w:val="none"/>
              </w:rPr>
              <w:t>1229.07</w:t>
            </w:r>
            <w:bookmarkEnd w:id="0"/>
          </w:p>
        </w:tc>
      </w:tr>
      <w:tr w14:paraId="4A5FE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092CDA91">
            <w:pPr>
              <w:spacing w:before="145" w:line="198" w:lineRule="auto"/>
              <w:ind w:left="114"/>
              <w:jc w:val="left"/>
              <w:rPr>
                <w:rFonts w:ascii="宋体" w:hAnsi="宋体" w:eastAsia="宋体" w:cs="宋体"/>
                <w:color w:val="000000"/>
                <w:sz w:val="24"/>
              </w:rPr>
            </w:pPr>
            <w:r>
              <w:rPr>
                <w:rFonts w:hint="eastAsia" w:ascii="宋体" w:hAnsi="宋体" w:eastAsia="宋体" w:cs="宋体"/>
                <w:color w:val="000000"/>
                <w:spacing w:val="1"/>
                <w:sz w:val="24"/>
              </w:rPr>
              <w:t>部门基本支出预算调整</w:t>
            </w:r>
          </w:p>
        </w:tc>
        <w:tc>
          <w:tcPr>
            <w:tcW w:w="1815" w:type="dxa"/>
            <w:gridSpan w:val="2"/>
            <w:noWrap/>
          </w:tcPr>
          <w:p w14:paraId="5C421C3A">
            <w:pPr>
              <w:rPr>
                <w:rFonts w:ascii="宋体" w:hAnsi="宋体" w:eastAsia="宋体" w:cs="宋体"/>
                <w:color w:val="000000"/>
              </w:rPr>
            </w:pPr>
          </w:p>
        </w:tc>
        <w:tc>
          <w:tcPr>
            <w:tcW w:w="2325" w:type="dxa"/>
            <w:gridSpan w:val="2"/>
            <w:noWrap/>
          </w:tcPr>
          <w:p w14:paraId="4C597C61">
            <w:pPr>
              <w:rPr>
                <w:rFonts w:ascii="宋体" w:hAnsi="宋体" w:eastAsia="宋体" w:cs="宋体"/>
                <w:color w:val="000000"/>
              </w:rPr>
            </w:pPr>
          </w:p>
        </w:tc>
        <w:tc>
          <w:tcPr>
            <w:tcW w:w="1679" w:type="dxa"/>
            <w:gridSpan w:val="2"/>
            <w:noWrap/>
          </w:tcPr>
          <w:p w14:paraId="3E8F4401">
            <w:pPr>
              <w:rPr>
                <w:rFonts w:ascii="宋体" w:hAnsi="宋体" w:eastAsia="宋体" w:cs="宋体"/>
                <w:color w:val="000000"/>
              </w:rPr>
            </w:pPr>
          </w:p>
        </w:tc>
      </w:tr>
      <w:tr w14:paraId="6B46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ign w:val="center"/>
          </w:tcPr>
          <w:p w14:paraId="02142296">
            <w:pPr>
              <w:spacing w:before="65" w:line="390" w:lineRule="exact"/>
              <w:jc w:val="center"/>
              <w:rPr>
                <w:rFonts w:ascii="宋体" w:hAnsi="宋体" w:eastAsia="宋体" w:cs="宋体"/>
                <w:color w:val="000000"/>
                <w:sz w:val="24"/>
              </w:rPr>
            </w:pPr>
            <w:r>
              <w:rPr>
                <w:rFonts w:hint="eastAsia" w:ascii="宋体" w:hAnsi="宋体" w:eastAsia="宋体" w:cs="宋体"/>
                <w:color w:val="000000"/>
                <w:spacing w:val="-1"/>
                <w:position w:val="14"/>
                <w:sz w:val="24"/>
              </w:rPr>
              <w:t>楼堂馆所控制情况</w:t>
            </w:r>
          </w:p>
          <w:p w14:paraId="1ED2C14D">
            <w:pPr>
              <w:spacing w:line="219" w:lineRule="auto"/>
              <w:jc w:val="center"/>
              <w:rPr>
                <w:rFonts w:ascii="宋体" w:hAnsi="宋体" w:eastAsia="宋体" w:cs="宋体"/>
                <w:color w:val="000000"/>
                <w:sz w:val="24"/>
              </w:rPr>
            </w:pPr>
            <w:r>
              <w:rPr>
                <w:rFonts w:hint="eastAsia" w:ascii="宋体" w:hAnsi="宋体" w:eastAsia="宋体" w:cs="宋体"/>
                <w:color w:val="000000"/>
                <w:spacing w:val="3"/>
                <w:sz w:val="24"/>
              </w:rPr>
              <w:t>(202</w:t>
            </w:r>
            <w:r>
              <w:rPr>
                <w:rFonts w:hint="eastAsia" w:ascii="宋体" w:hAnsi="宋体" w:cs="宋体"/>
                <w:color w:val="000000"/>
                <w:spacing w:val="3"/>
                <w:sz w:val="24"/>
              </w:rPr>
              <w:t>4</w:t>
            </w:r>
            <w:r>
              <w:rPr>
                <w:rFonts w:hint="eastAsia" w:ascii="宋体" w:hAnsi="宋体" w:eastAsia="宋体" w:cs="宋体"/>
                <w:color w:val="000000"/>
                <w:spacing w:val="3"/>
                <w:sz w:val="24"/>
              </w:rPr>
              <w:t>年完工项目)</w:t>
            </w:r>
          </w:p>
        </w:tc>
        <w:tc>
          <w:tcPr>
            <w:tcW w:w="825" w:type="dxa"/>
            <w:noWrap/>
            <w:vAlign w:val="center"/>
          </w:tcPr>
          <w:p w14:paraId="6518A419">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批复规模</w:t>
            </w:r>
          </w:p>
          <w:p w14:paraId="480DB2D5">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(m²)</w:t>
            </w:r>
          </w:p>
        </w:tc>
        <w:tc>
          <w:tcPr>
            <w:tcW w:w="990" w:type="dxa"/>
            <w:noWrap/>
            <w:vAlign w:val="center"/>
          </w:tcPr>
          <w:p w14:paraId="2238D56F">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实际规</w:t>
            </w:r>
          </w:p>
          <w:p w14:paraId="753911E7">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模(m²)</w:t>
            </w:r>
          </w:p>
        </w:tc>
        <w:tc>
          <w:tcPr>
            <w:tcW w:w="1140" w:type="dxa"/>
            <w:noWrap/>
            <w:vAlign w:val="center"/>
          </w:tcPr>
          <w:p w14:paraId="6BB45AAA">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规模控制率</w:t>
            </w:r>
          </w:p>
        </w:tc>
        <w:tc>
          <w:tcPr>
            <w:tcW w:w="1185" w:type="dxa"/>
            <w:noWrap/>
            <w:vAlign w:val="center"/>
          </w:tcPr>
          <w:p w14:paraId="0F72E03B">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预算投资</w:t>
            </w:r>
          </w:p>
          <w:p w14:paraId="016D1CF0">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(万元)</w:t>
            </w:r>
          </w:p>
        </w:tc>
        <w:tc>
          <w:tcPr>
            <w:tcW w:w="810" w:type="dxa"/>
            <w:noWrap/>
            <w:vAlign w:val="center"/>
          </w:tcPr>
          <w:p w14:paraId="5EA88E2E">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实际</w:t>
            </w:r>
          </w:p>
          <w:p w14:paraId="08CEE8B4">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投资</w:t>
            </w:r>
          </w:p>
          <w:p w14:paraId="0B9BA233">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(万元)</w:t>
            </w:r>
          </w:p>
        </w:tc>
        <w:tc>
          <w:tcPr>
            <w:tcW w:w="869" w:type="dxa"/>
            <w:noWrap/>
            <w:vAlign w:val="center"/>
          </w:tcPr>
          <w:p w14:paraId="70CC3B24">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投资概</w:t>
            </w:r>
          </w:p>
          <w:p w14:paraId="585129E2">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算控制</w:t>
            </w:r>
          </w:p>
          <w:p w14:paraId="26EB1A68">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率</w:t>
            </w:r>
          </w:p>
        </w:tc>
      </w:tr>
      <w:tr w14:paraId="62F16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tcPr>
          <w:p w14:paraId="455773FC">
            <w:pPr>
              <w:jc w:val="left"/>
              <w:rPr>
                <w:rFonts w:ascii="宋体" w:hAnsi="宋体" w:eastAsia="宋体" w:cs="宋体"/>
                <w:color w:val="000000"/>
                <w:sz w:val="24"/>
              </w:rPr>
            </w:pPr>
          </w:p>
        </w:tc>
        <w:tc>
          <w:tcPr>
            <w:tcW w:w="825" w:type="dxa"/>
            <w:noWrap/>
          </w:tcPr>
          <w:p w14:paraId="5D61F997">
            <w:pPr>
              <w:rPr>
                <w:rFonts w:ascii="宋体" w:hAnsi="宋体" w:eastAsia="宋体" w:cs="宋体"/>
                <w:color w:val="000000"/>
              </w:rPr>
            </w:pPr>
          </w:p>
        </w:tc>
        <w:tc>
          <w:tcPr>
            <w:tcW w:w="990" w:type="dxa"/>
            <w:noWrap/>
          </w:tcPr>
          <w:p w14:paraId="11E624A3">
            <w:pPr>
              <w:rPr>
                <w:rFonts w:ascii="宋体" w:hAnsi="宋体" w:eastAsia="宋体" w:cs="宋体"/>
                <w:color w:val="000000"/>
              </w:rPr>
            </w:pPr>
          </w:p>
        </w:tc>
        <w:tc>
          <w:tcPr>
            <w:tcW w:w="1140" w:type="dxa"/>
            <w:noWrap/>
          </w:tcPr>
          <w:p w14:paraId="07BAFCA6">
            <w:pPr>
              <w:rPr>
                <w:rFonts w:ascii="宋体" w:hAnsi="宋体" w:eastAsia="宋体" w:cs="宋体"/>
                <w:color w:val="000000"/>
              </w:rPr>
            </w:pPr>
          </w:p>
        </w:tc>
        <w:tc>
          <w:tcPr>
            <w:tcW w:w="1185" w:type="dxa"/>
            <w:noWrap/>
          </w:tcPr>
          <w:p w14:paraId="52435451">
            <w:pPr>
              <w:rPr>
                <w:rFonts w:ascii="宋体" w:hAnsi="宋体" w:eastAsia="宋体" w:cs="宋体"/>
                <w:color w:val="000000"/>
              </w:rPr>
            </w:pPr>
          </w:p>
        </w:tc>
        <w:tc>
          <w:tcPr>
            <w:tcW w:w="810" w:type="dxa"/>
            <w:noWrap/>
          </w:tcPr>
          <w:p w14:paraId="5D177BCC">
            <w:pPr>
              <w:rPr>
                <w:rFonts w:ascii="宋体" w:hAnsi="宋体" w:eastAsia="宋体" w:cs="宋体"/>
                <w:color w:val="000000"/>
              </w:rPr>
            </w:pPr>
          </w:p>
        </w:tc>
        <w:tc>
          <w:tcPr>
            <w:tcW w:w="869" w:type="dxa"/>
            <w:noWrap/>
          </w:tcPr>
          <w:p w14:paraId="4FD9731F">
            <w:pPr>
              <w:rPr>
                <w:rFonts w:ascii="宋体" w:hAnsi="宋体" w:eastAsia="宋体" w:cs="宋体"/>
                <w:color w:val="000000"/>
              </w:rPr>
            </w:pPr>
          </w:p>
        </w:tc>
      </w:tr>
      <w:tr w14:paraId="39D97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tcPr>
          <w:p w14:paraId="35320BD7">
            <w:pPr>
              <w:jc w:val="center"/>
              <w:rPr>
                <w:rFonts w:ascii="宋体" w:hAnsi="宋体" w:eastAsia="宋体" w:cs="宋体"/>
                <w:color w:val="000000"/>
                <w:sz w:val="24"/>
              </w:rPr>
            </w:pPr>
            <w:r>
              <w:rPr>
                <w:rFonts w:hint="eastAsia" w:ascii="宋体" w:hAnsi="宋体" w:eastAsia="宋体" w:cs="宋体"/>
                <w:color w:val="000000"/>
                <w:spacing w:val="1"/>
                <w:sz w:val="24"/>
              </w:rPr>
              <w:t>厉行节约保障措施</w:t>
            </w:r>
          </w:p>
        </w:tc>
        <w:tc>
          <w:tcPr>
            <w:tcW w:w="5819" w:type="dxa"/>
            <w:gridSpan w:val="6"/>
            <w:noWrap/>
          </w:tcPr>
          <w:p w14:paraId="765AEBF6">
            <w:pPr>
              <w:jc w:val="center"/>
              <w:rPr>
                <w:rFonts w:ascii="宋体" w:hAnsi="宋体" w:eastAsia="宋体" w:cs="宋体"/>
                <w:color w:val="000000"/>
              </w:rPr>
            </w:pPr>
          </w:p>
        </w:tc>
      </w:tr>
    </w:tbl>
    <w:p w14:paraId="318AD5EF">
      <w:pPr>
        <w:spacing w:line="410" w:lineRule="exact"/>
        <w:rPr>
          <w:rFonts w:ascii="宋体" w:hAnsi="宋体" w:eastAsia="宋体" w:cs="宋体"/>
          <w:color w:val="000000"/>
          <w:sz w:val="23"/>
          <w:szCs w:val="23"/>
        </w:rPr>
      </w:pPr>
    </w:p>
    <w:p w14:paraId="3D3D65D4">
      <w:pPr>
        <w:jc w:val="left"/>
        <w:rPr>
          <w:rFonts w:eastAsia="宋体"/>
          <w:sz w:val="28"/>
          <w:szCs w:val="28"/>
        </w:rPr>
        <w:sectPr>
          <w:footerReference r:id="rId3" w:type="default"/>
          <w:pgSz w:w="11900" w:h="16833"/>
          <w:pgMar w:top="1429" w:right="1106" w:bottom="1253" w:left="1111" w:header="0" w:footer="964" w:gutter="0"/>
          <w:cols w:space="0" w:num="1"/>
        </w:sectPr>
      </w:pPr>
      <w:r>
        <w:rPr>
          <w:rFonts w:hint="eastAsia" w:ascii="宋体" w:hAnsi="宋体" w:eastAsia="宋体" w:cs="宋体"/>
          <w:color w:val="000000"/>
          <w:sz w:val="23"/>
          <w:szCs w:val="23"/>
        </w:rPr>
        <w:t>单位负责人签字： 白晓   填表人：梁琴 联系电话：18007302626填报日期：2025年7月30日</w:t>
      </w:r>
    </w:p>
    <w:p w14:paraId="3A4BD666">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Times New Roman" w:hAnsi="Times New Roman" w:eastAsia="宋体" w:cs="Times New Roman"/>
          <w:spacing w:val="-4"/>
          <w:sz w:val="31"/>
          <w:szCs w:val="31"/>
          <w:lang w:val="en-US" w:eastAsia="zh-CN"/>
        </w:rPr>
        <w:t>2</w:t>
      </w:r>
    </w:p>
    <w:p w14:paraId="49065CA6">
      <w:pPr>
        <w:spacing w:line="700" w:lineRule="exact"/>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rPr>
        <w:t>2024年度预算单位整体支出绩效自评表</w:t>
      </w:r>
    </w:p>
    <w:p w14:paraId="12CAFA06">
      <w:pPr>
        <w:spacing w:line="132" w:lineRule="exact"/>
      </w:pPr>
    </w:p>
    <w:tbl>
      <w:tblPr>
        <w:tblStyle w:val="11"/>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19"/>
        <w:gridCol w:w="996"/>
        <w:gridCol w:w="1445"/>
        <w:gridCol w:w="1232"/>
        <w:gridCol w:w="1268"/>
        <w:gridCol w:w="716"/>
        <w:gridCol w:w="873"/>
        <w:gridCol w:w="1450"/>
      </w:tblGrid>
      <w:tr w14:paraId="3417C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99" w:type="dxa"/>
            <w:gridSpan w:val="3"/>
            <w:noWrap/>
          </w:tcPr>
          <w:p w14:paraId="15F07F9D">
            <w:pPr>
              <w:spacing w:before="24" w:line="208" w:lineRule="auto"/>
              <w:ind w:left="120" w:firstLine="412" w:firstLineChars="200"/>
              <w:rPr>
                <w:rFonts w:ascii="宋体" w:hAnsi="宋体" w:eastAsia="宋体" w:cs="宋体"/>
                <w:sz w:val="19"/>
                <w:szCs w:val="19"/>
              </w:rPr>
            </w:pPr>
            <w:r>
              <w:rPr>
                <w:rFonts w:hint="eastAsia" w:ascii="宋体" w:hAnsi="宋体" w:eastAsia="宋体" w:cs="宋体"/>
                <w:spacing w:val="8"/>
                <w:sz w:val="19"/>
                <w:szCs w:val="19"/>
              </w:rPr>
              <w:t>预算单位名称</w:t>
            </w:r>
          </w:p>
        </w:tc>
        <w:tc>
          <w:tcPr>
            <w:tcW w:w="6984" w:type="dxa"/>
            <w:gridSpan w:val="6"/>
            <w:noWrap/>
          </w:tcPr>
          <w:p w14:paraId="79D540A6">
            <w:pPr>
              <w:pStyle w:val="12"/>
              <w:spacing w:line="239" w:lineRule="exact"/>
              <w:rPr>
                <w:rFonts w:ascii="宋体" w:hAnsi="宋体" w:eastAsia="宋体" w:cs="宋体"/>
                <w:sz w:val="20"/>
                <w:lang w:eastAsia="zh-CN"/>
              </w:rPr>
            </w:pPr>
            <w:r>
              <w:rPr>
                <w:rFonts w:hint="eastAsia" w:ascii="宋体" w:hAnsi="宋体" w:eastAsia="宋体" w:cs="宋体"/>
                <w:sz w:val="20"/>
                <w:lang w:eastAsia="zh-CN"/>
              </w:rPr>
              <w:t>岳阳市岳阳楼区城陵矶街道办事处</w:t>
            </w:r>
          </w:p>
        </w:tc>
      </w:tr>
      <w:tr w14:paraId="76B17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tcPr>
          <w:p w14:paraId="71764687">
            <w:pPr>
              <w:pStyle w:val="12"/>
              <w:spacing w:line="467" w:lineRule="auto"/>
              <w:rPr>
                <w:rFonts w:ascii="宋体" w:hAnsi="宋体" w:eastAsia="宋体" w:cs="宋体"/>
                <w:lang w:eastAsia="zh-CN"/>
              </w:rPr>
            </w:pPr>
          </w:p>
          <w:p w14:paraId="7811D5B3">
            <w:pPr>
              <w:spacing w:before="62" w:line="232" w:lineRule="auto"/>
              <w:ind w:left="144" w:right="144" w:firstLine="104"/>
              <w:rPr>
                <w:rFonts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pacing w:val="41"/>
                <w:sz w:val="19"/>
                <w:szCs w:val="19"/>
              </w:rPr>
              <w:t>算申请</w:t>
            </w:r>
            <w:r>
              <w:rPr>
                <w:rFonts w:hint="eastAsia" w:ascii="宋体" w:hAnsi="宋体" w:eastAsia="宋体" w:cs="宋体"/>
                <w:spacing w:val="7"/>
                <w:sz w:val="19"/>
                <w:szCs w:val="19"/>
              </w:rPr>
              <w:t>（万元）</w:t>
            </w:r>
          </w:p>
        </w:tc>
        <w:tc>
          <w:tcPr>
            <w:tcW w:w="2015" w:type="dxa"/>
            <w:gridSpan w:val="2"/>
            <w:noWrap/>
          </w:tcPr>
          <w:p w14:paraId="73D3F109">
            <w:pPr>
              <w:pStyle w:val="12"/>
              <w:spacing w:line="235" w:lineRule="exact"/>
              <w:rPr>
                <w:rFonts w:ascii="宋体" w:hAnsi="宋体" w:eastAsia="宋体" w:cs="宋体"/>
                <w:sz w:val="20"/>
                <w:lang w:eastAsia="zh-CN"/>
              </w:rPr>
            </w:pPr>
          </w:p>
        </w:tc>
        <w:tc>
          <w:tcPr>
            <w:tcW w:w="1445" w:type="dxa"/>
            <w:noWrap/>
          </w:tcPr>
          <w:p w14:paraId="7E3E6912">
            <w:pPr>
              <w:spacing w:before="20" w:line="208" w:lineRule="auto"/>
              <w:ind w:left="140"/>
              <w:rPr>
                <w:rFonts w:ascii="宋体" w:hAnsi="宋体" w:eastAsia="宋体" w:cs="宋体"/>
                <w:sz w:val="19"/>
                <w:szCs w:val="19"/>
              </w:rPr>
            </w:pPr>
            <w:r>
              <w:rPr>
                <w:rFonts w:hint="eastAsia" w:ascii="宋体" w:hAnsi="宋体" w:eastAsia="宋体" w:cs="宋体"/>
                <w:spacing w:val="7"/>
                <w:sz w:val="19"/>
                <w:szCs w:val="19"/>
              </w:rPr>
              <w:t>年初预算数</w:t>
            </w:r>
          </w:p>
        </w:tc>
        <w:tc>
          <w:tcPr>
            <w:tcW w:w="1232" w:type="dxa"/>
            <w:noWrap/>
          </w:tcPr>
          <w:p w14:paraId="04AD6E6F">
            <w:pPr>
              <w:spacing w:before="20" w:line="208" w:lineRule="auto"/>
              <w:ind w:left="159"/>
              <w:rPr>
                <w:rFonts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tcPr>
          <w:p w14:paraId="03B7A2B0">
            <w:pPr>
              <w:spacing w:before="20" w:line="208" w:lineRule="auto"/>
              <w:ind w:left="138"/>
              <w:rPr>
                <w:rFonts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tcPr>
          <w:p w14:paraId="3E2DB11B">
            <w:pPr>
              <w:spacing w:before="20" w:line="208" w:lineRule="auto"/>
              <w:ind w:left="166"/>
              <w:rPr>
                <w:rFonts w:ascii="宋体" w:hAnsi="宋体" w:eastAsia="宋体" w:cs="宋体"/>
                <w:sz w:val="19"/>
                <w:szCs w:val="19"/>
              </w:rPr>
            </w:pPr>
            <w:r>
              <w:rPr>
                <w:rFonts w:hint="eastAsia" w:ascii="宋体" w:hAnsi="宋体" w:eastAsia="宋体" w:cs="宋体"/>
                <w:spacing w:val="4"/>
                <w:sz w:val="19"/>
                <w:szCs w:val="19"/>
              </w:rPr>
              <w:t>分值</w:t>
            </w:r>
          </w:p>
        </w:tc>
        <w:tc>
          <w:tcPr>
            <w:tcW w:w="873" w:type="dxa"/>
            <w:noWrap/>
          </w:tcPr>
          <w:p w14:paraId="44116D5E">
            <w:pPr>
              <w:spacing w:before="20" w:line="208" w:lineRule="auto"/>
              <w:ind w:left="147"/>
              <w:rPr>
                <w:rFonts w:ascii="宋体" w:hAnsi="宋体" w:eastAsia="宋体" w:cs="宋体"/>
                <w:sz w:val="19"/>
                <w:szCs w:val="19"/>
              </w:rPr>
            </w:pPr>
            <w:r>
              <w:rPr>
                <w:rFonts w:hint="eastAsia" w:ascii="宋体" w:hAnsi="宋体" w:eastAsia="宋体" w:cs="宋体"/>
                <w:spacing w:val="5"/>
                <w:sz w:val="19"/>
                <w:szCs w:val="19"/>
              </w:rPr>
              <w:t>执行率</w:t>
            </w:r>
          </w:p>
        </w:tc>
        <w:tc>
          <w:tcPr>
            <w:tcW w:w="1450" w:type="dxa"/>
            <w:noWrap/>
          </w:tcPr>
          <w:p w14:paraId="0B7DB140">
            <w:pPr>
              <w:spacing w:before="20" w:line="208" w:lineRule="auto"/>
              <w:ind w:left="366"/>
              <w:rPr>
                <w:rFonts w:ascii="宋体" w:hAnsi="宋体" w:eastAsia="宋体" w:cs="宋体"/>
                <w:sz w:val="19"/>
                <w:szCs w:val="19"/>
              </w:rPr>
            </w:pPr>
            <w:r>
              <w:rPr>
                <w:rFonts w:hint="eastAsia" w:ascii="宋体" w:hAnsi="宋体" w:eastAsia="宋体" w:cs="宋体"/>
                <w:spacing w:val="-2"/>
                <w:sz w:val="19"/>
                <w:szCs w:val="19"/>
              </w:rPr>
              <w:t>自评得分</w:t>
            </w:r>
          </w:p>
        </w:tc>
      </w:tr>
      <w:tr w14:paraId="737B8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3ADF8D61">
            <w:pPr>
              <w:pStyle w:val="12"/>
              <w:rPr>
                <w:rFonts w:ascii="宋体" w:hAnsi="宋体" w:eastAsia="宋体" w:cs="宋体"/>
              </w:rPr>
            </w:pPr>
          </w:p>
        </w:tc>
        <w:tc>
          <w:tcPr>
            <w:tcW w:w="2015" w:type="dxa"/>
            <w:gridSpan w:val="2"/>
            <w:noWrap/>
          </w:tcPr>
          <w:p w14:paraId="0D81B0A7">
            <w:pPr>
              <w:spacing w:before="20" w:line="208" w:lineRule="auto"/>
              <w:ind w:left="463"/>
              <w:rPr>
                <w:rFonts w:ascii="宋体" w:hAnsi="宋体" w:eastAsia="宋体" w:cs="宋体"/>
                <w:sz w:val="19"/>
                <w:szCs w:val="19"/>
              </w:rPr>
            </w:pPr>
            <w:r>
              <w:rPr>
                <w:rFonts w:hint="eastAsia" w:ascii="宋体" w:hAnsi="宋体" w:eastAsia="宋体" w:cs="宋体"/>
                <w:spacing w:val="8"/>
                <w:sz w:val="19"/>
                <w:szCs w:val="19"/>
              </w:rPr>
              <w:t>年度资金总额</w:t>
            </w:r>
          </w:p>
        </w:tc>
        <w:tc>
          <w:tcPr>
            <w:tcW w:w="1445" w:type="dxa"/>
            <w:noWrap/>
          </w:tcPr>
          <w:p w14:paraId="6F823023">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1206.75</w:t>
            </w:r>
          </w:p>
        </w:tc>
        <w:tc>
          <w:tcPr>
            <w:tcW w:w="1232" w:type="dxa"/>
            <w:noWrap/>
          </w:tcPr>
          <w:p w14:paraId="37874193">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2513.56</w:t>
            </w:r>
          </w:p>
        </w:tc>
        <w:tc>
          <w:tcPr>
            <w:tcW w:w="1268" w:type="dxa"/>
            <w:noWrap/>
          </w:tcPr>
          <w:p w14:paraId="746D6C55">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2504.71</w:t>
            </w:r>
          </w:p>
        </w:tc>
        <w:tc>
          <w:tcPr>
            <w:tcW w:w="716" w:type="dxa"/>
            <w:noWrap/>
          </w:tcPr>
          <w:p w14:paraId="2F6B3C67">
            <w:pPr>
              <w:pStyle w:val="12"/>
              <w:spacing w:before="54" w:line="194" w:lineRule="auto"/>
              <w:ind w:left="270"/>
              <w:rPr>
                <w:rFonts w:ascii="宋体" w:hAnsi="宋体" w:eastAsia="宋体" w:cs="宋体"/>
                <w:sz w:val="19"/>
                <w:szCs w:val="19"/>
              </w:rPr>
            </w:pPr>
            <w:r>
              <w:rPr>
                <w:rFonts w:hint="eastAsia" w:ascii="宋体" w:hAnsi="宋体" w:eastAsia="宋体" w:cs="宋体"/>
                <w:b/>
                <w:bCs/>
                <w:spacing w:val="-10"/>
                <w:sz w:val="19"/>
                <w:szCs w:val="19"/>
              </w:rPr>
              <w:t>10</w:t>
            </w:r>
          </w:p>
        </w:tc>
        <w:tc>
          <w:tcPr>
            <w:tcW w:w="873" w:type="dxa"/>
            <w:noWrap/>
          </w:tcPr>
          <w:p w14:paraId="78803E98">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99.</w:t>
            </w:r>
            <w:r>
              <w:rPr>
                <w:rFonts w:hint="eastAsia" w:ascii="宋体" w:hAnsi="宋体" w:eastAsia="宋体" w:cs="宋体"/>
                <w:sz w:val="20"/>
                <w:lang w:val="en-US" w:eastAsia="zh-CN"/>
              </w:rPr>
              <w:t>6</w:t>
            </w:r>
            <w:r>
              <w:rPr>
                <w:rFonts w:hint="eastAsia" w:ascii="宋体" w:hAnsi="宋体" w:eastAsia="宋体" w:cs="宋体"/>
                <w:sz w:val="20"/>
                <w:lang w:eastAsia="zh-CN"/>
              </w:rPr>
              <w:t>5%</w:t>
            </w:r>
          </w:p>
        </w:tc>
        <w:tc>
          <w:tcPr>
            <w:tcW w:w="1450" w:type="dxa"/>
            <w:noWrap/>
          </w:tcPr>
          <w:p w14:paraId="6A06EC91">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9.93</w:t>
            </w:r>
          </w:p>
        </w:tc>
      </w:tr>
      <w:tr w14:paraId="06D4F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057EB073">
            <w:pPr>
              <w:pStyle w:val="12"/>
              <w:rPr>
                <w:rFonts w:ascii="宋体" w:hAnsi="宋体" w:eastAsia="宋体" w:cs="宋体"/>
              </w:rPr>
            </w:pPr>
          </w:p>
        </w:tc>
        <w:tc>
          <w:tcPr>
            <w:tcW w:w="4692" w:type="dxa"/>
            <w:gridSpan w:val="4"/>
            <w:noWrap/>
          </w:tcPr>
          <w:p w14:paraId="0DF6C379">
            <w:pPr>
              <w:spacing w:before="22" w:line="206" w:lineRule="auto"/>
              <w:ind w:left="111"/>
              <w:rPr>
                <w:rFonts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tcPr>
          <w:p w14:paraId="61E4ADFE">
            <w:pPr>
              <w:spacing w:before="22" w:line="206" w:lineRule="auto"/>
              <w:ind w:left="116"/>
              <w:rPr>
                <w:rFonts w:ascii="宋体" w:hAnsi="宋体" w:eastAsia="宋体" w:cs="宋体"/>
                <w:sz w:val="19"/>
                <w:szCs w:val="19"/>
              </w:rPr>
            </w:pPr>
            <w:r>
              <w:rPr>
                <w:rFonts w:hint="eastAsia" w:ascii="宋体" w:hAnsi="宋体" w:eastAsia="宋体" w:cs="宋体"/>
                <w:spacing w:val="2"/>
                <w:sz w:val="19"/>
                <w:szCs w:val="19"/>
              </w:rPr>
              <w:t>按支出性质分：</w:t>
            </w:r>
          </w:p>
        </w:tc>
      </w:tr>
      <w:tr w14:paraId="28EAD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06818509">
            <w:pPr>
              <w:pStyle w:val="12"/>
              <w:rPr>
                <w:rFonts w:ascii="宋体" w:hAnsi="宋体" w:eastAsia="宋体" w:cs="宋体"/>
              </w:rPr>
            </w:pPr>
          </w:p>
        </w:tc>
        <w:tc>
          <w:tcPr>
            <w:tcW w:w="4692" w:type="dxa"/>
            <w:gridSpan w:val="4"/>
            <w:noWrap/>
          </w:tcPr>
          <w:p w14:paraId="621D7531">
            <w:pPr>
              <w:spacing w:before="21" w:line="207" w:lineRule="auto"/>
              <w:ind w:left="312"/>
              <w:rPr>
                <w:rFonts w:ascii="宋体" w:hAnsi="宋体" w:eastAsia="宋体" w:cs="宋体"/>
                <w:sz w:val="19"/>
                <w:szCs w:val="19"/>
              </w:rPr>
            </w:pPr>
            <w:r>
              <w:rPr>
                <w:rFonts w:hint="eastAsia" w:ascii="宋体" w:hAnsi="宋体" w:eastAsia="宋体" w:cs="宋体"/>
                <w:spacing w:val="1"/>
                <w:sz w:val="19"/>
                <w:szCs w:val="19"/>
              </w:rPr>
              <w:t>其中：一般公共预算：2494.71</w:t>
            </w:r>
          </w:p>
        </w:tc>
        <w:tc>
          <w:tcPr>
            <w:tcW w:w="4307" w:type="dxa"/>
            <w:gridSpan w:val="4"/>
            <w:noWrap/>
          </w:tcPr>
          <w:p w14:paraId="11019363">
            <w:pPr>
              <w:spacing w:before="21" w:line="207" w:lineRule="auto"/>
              <w:ind w:left="115"/>
              <w:rPr>
                <w:rFonts w:ascii="宋体" w:hAnsi="宋体" w:eastAsia="宋体" w:cs="宋体"/>
                <w:sz w:val="19"/>
                <w:szCs w:val="19"/>
              </w:rPr>
            </w:pPr>
            <w:r>
              <w:rPr>
                <w:rFonts w:hint="eastAsia" w:ascii="宋体" w:hAnsi="宋体" w:eastAsia="宋体" w:cs="宋体"/>
                <w:spacing w:val="2"/>
                <w:sz w:val="19"/>
                <w:szCs w:val="19"/>
              </w:rPr>
              <w:t>其中：基本支出：2500.57</w:t>
            </w:r>
          </w:p>
        </w:tc>
      </w:tr>
      <w:tr w14:paraId="55149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05A4F8F7">
            <w:pPr>
              <w:pStyle w:val="12"/>
              <w:rPr>
                <w:rFonts w:ascii="宋体" w:hAnsi="宋体" w:eastAsia="宋体" w:cs="宋体"/>
              </w:rPr>
            </w:pPr>
          </w:p>
        </w:tc>
        <w:tc>
          <w:tcPr>
            <w:tcW w:w="4692" w:type="dxa"/>
            <w:gridSpan w:val="4"/>
            <w:noWrap/>
          </w:tcPr>
          <w:p w14:paraId="56EF608C">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10</w:t>
            </w:r>
          </w:p>
        </w:tc>
        <w:tc>
          <w:tcPr>
            <w:tcW w:w="4307" w:type="dxa"/>
            <w:gridSpan w:val="4"/>
            <w:noWrap/>
          </w:tcPr>
          <w:p w14:paraId="7FC07A38">
            <w:pPr>
              <w:spacing w:before="21" w:line="207" w:lineRule="auto"/>
              <w:ind w:left="717"/>
              <w:rPr>
                <w:rFonts w:ascii="宋体" w:hAnsi="宋体" w:eastAsia="宋体" w:cs="宋体"/>
                <w:sz w:val="19"/>
                <w:szCs w:val="19"/>
              </w:rPr>
            </w:pPr>
            <w:r>
              <w:rPr>
                <w:rFonts w:hint="eastAsia" w:ascii="宋体" w:hAnsi="宋体" w:eastAsia="宋体" w:cs="宋体"/>
                <w:spacing w:val="-3"/>
                <w:sz w:val="19"/>
                <w:szCs w:val="19"/>
              </w:rPr>
              <w:t>项目支出：4.14</w:t>
            </w:r>
          </w:p>
        </w:tc>
      </w:tr>
      <w:tr w14:paraId="7B56D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124B3104">
            <w:pPr>
              <w:pStyle w:val="12"/>
              <w:rPr>
                <w:rFonts w:ascii="宋体" w:hAnsi="宋体" w:eastAsia="宋体" w:cs="宋体"/>
              </w:rPr>
            </w:pPr>
          </w:p>
        </w:tc>
        <w:tc>
          <w:tcPr>
            <w:tcW w:w="4692" w:type="dxa"/>
            <w:gridSpan w:val="4"/>
            <w:noWrap/>
          </w:tcPr>
          <w:p w14:paraId="2BD0120C">
            <w:pPr>
              <w:spacing w:before="20" w:line="208" w:lineRule="auto"/>
              <w:ind w:left="115"/>
              <w:rPr>
                <w:rFonts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tcPr>
          <w:p w14:paraId="3B25654F">
            <w:pPr>
              <w:pStyle w:val="12"/>
              <w:spacing w:line="235" w:lineRule="exact"/>
              <w:rPr>
                <w:rFonts w:ascii="宋体" w:hAnsi="宋体" w:eastAsia="宋体" w:cs="宋体"/>
                <w:sz w:val="20"/>
                <w:lang w:eastAsia="zh-CN"/>
              </w:rPr>
            </w:pPr>
          </w:p>
        </w:tc>
      </w:tr>
      <w:tr w14:paraId="15CC7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tcPr>
          <w:p w14:paraId="6C2062BB">
            <w:pPr>
              <w:pStyle w:val="12"/>
              <w:rPr>
                <w:rFonts w:ascii="宋体" w:hAnsi="宋体" w:eastAsia="宋体" w:cs="宋体"/>
                <w:lang w:eastAsia="zh-CN"/>
              </w:rPr>
            </w:pPr>
          </w:p>
        </w:tc>
        <w:tc>
          <w:tcPr>
            <w:tcW w:w="4692" w:type="dxa"/>
            <w:gridSpan w:val="4"/>
            <w:noWrap/>
          </w:tcPr>
          <w:p w14:paraId="3D6CB169">
            <w:pPr>
              <w:spacing w:before="20" w:line="208" w:lineRule="auto"/>
              <w:ind w:left="1512"/>
              <w:rPr>
                <w:rFonts w:ascii="宋体" w:hAnsi="宋体" w:eastAsia="宋体" w:cs="宋体"/>
                <w:sz w:val="19"/>
                <w:szCs w:val="19"/>
              </w:rPr>
            </w:pPr>
            <w:r>
              <w:rPr>
                <w:rFonts w:hint="eastAsia" w:ascii="宋体" w:hAnsi="宋体" w:eastAsia="宋体" w:cs="宋体"/>
                <w:spacing w:val="-2"/>
                <w:sz w:val="19"/>
                <w:szCs w:val="19"/>
              </w:rPr>
              <w:t>其他资金：</w:t>
            </w:r>
          </w:p>
        </w:tc>
        <w:tc>
          <w:tcPr>
            <w:tcW w:w="4307" w:type="dxa"/>
            <w:gridSpan w:val="4"/>
            <w:noWrap/>
          </w:tcPr>
          <w:p w14:paraId="7B08633D">
            <w:pPr>
              <w:pStyle w:val="12"/>
              <w:spacing w:line="235" w:lineRule="exact"/>
              <w:rPr>
                <w:rFonts w:ascii="宋体" w:hAnsi="宋体" w:eastAsia="宋体" w:cs="宋体"/>
                <w:sz w:val="20"/>
              </w:rPr>
            </w:pPr>
          </w:p>
        </w:tc>
      </w:tr>
      <w:tr w14:paraId="0CA4E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tcPr>
          <w:p w14:paraId="0BFF2A93">
            <w:pPr>
              <w:pStyle w:val="12"/>
              <w:spacing w:line="242" w:lineRule="auto"/>
              <w:rPr>
                <w:rFonts w:ascii="宋体" w:hAnsi="宋体" w:eastAsia="宋体" w:cs="宋体"/>
              </w:rPr>
            </w:pPr>
          </w:p>
          <w:p w14:paraId="324C1FC0">
            <w:pPr>
              <w:pStyle w:val="12"/>
              <w:spacing w:line="243" w:lineRule="auto"/>
              <w:rPr>
                <w:rFonts w:ascii="宋体" w:hAnsi="宋体" w:eastAsia="宋体" w:cs="宋体"/>
              </w:rPr>
            </w:pPr>
          </w:p>
          <w:p w14:paraId="338ECF3D">
            <w:pPr>
              <w:spacing w:before="62" w:line="230" w:lineRule="auto"/>
              <w:ind w:left="382" w:right="139" w:hanging="232"/>
              <w:rPr>
                <w:rFonts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pacing w:val="-7"/>
                <w:sz w:val="19"/>
                <w:szCs w:val="19"/>
              </w:rPr>
              <w:t>目标</w:t>
            </w:r>
          </w:p>
        </w:tc>
        <w:tc>
          <w:tcPr>
            <w:tcW w:w="4692" w:type="dxa"/>
            <w:gridSpan w:val="4"/>
            <w:noWrap/>
          </w:tcPr>
          <w:p w14:paraId="1F214DBC">
            <w:pPr>
              <w:spacing w:before="20" w:line="208" w:lineRule="auto"/>
              <w:ind w:left="1959"/>
              <w:rPr>
                <w:rFonts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tcPr>
          <w:p w14:paraId="10E7C40B">
            <w:pPr>
              <w:spacing w:before="20" w:line="208" w:lineRule="auto"/>
              <w:ind w:left="1567"/>
              <w:rPr>
                <w:rFonts w:ascii="宋体" w:hAnsi="宋体" w:eastAsia="宋体" w:cs="宋体"/>
                <w:sz w:val="19"/>
                <w:szCs w:val="19"/>
              </w:rPr>
            </w:pPr>
            <w:r>
              <w:rPr>
                <w:rFonts w:hint="eastAsia" w:ascii="宋体" w:hAnsi="宋体" w:eastAsia="宋体" w:cs="宋体"/>
                <w:spacing w:val="6"/>
                <w:sz w:val="19"/>
                <w:szCs w:val="19"/>
              </w:rPr>
              <w:t>实际完成情况</w:t>
            </w:r>
          </w:p>
        </w:tc>
      </w:tr>
      <w:tr w14:paraId="27BF6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9" w:hRule="atLeast"/>
        </w:trPr>
        <w:tc>
          <w:tcPr>
            <w:tcW w:w="1084" w:type="dxa"/>
            <w:vMerge w:val="continue"/>
            <w:tcBorders>
              <w:top w:val="nil"/>
            </w:tcBorders>
            <w:noWrap/>
          </w:tcPr>
          <w:p w14:paraId="06883FB8">
            <w:pPr>
              <w:pStyle w:val="12"/>
              <w:rPr>
                <w:rFonts w:ascii="宋体" w:hAnsi="宋体" w:eastAsia="宋体" w:cs="宋体"/>
              </w:rPr>
            </w:pPr>
          </w:p>
        </w:tc>
        <w:tc>
          <w:tcPr>
            <w:tcW w:w="4692" w:type="dxa"/>
            <w:gridSpan w:val="4"/>
            <w:noWrap/>
          </w:tcPr>
          <w:p w14:paraId="3CFA484F">
            <w:pPr>
              <w:rPr>
                <w:rFonts w:ascii="宋体" w:hAnsi="宋体" w:eastAsia="宋体" w:cs="宋体"/>
                <w:b w:val="0"/>
                <w:bCs w:val="0"/>
              </w:rPr>
            </w:pPr>
            <w:r>
              <w:rPr>
                <w:rFonts w:hint="eastAsia" w:ascii="宋体" w:hAnsi="宋体" w:eastAsia="宋体" w:cs="宋体"/>
                <w:b w:val="0"/>
                <w:bCs w:val="0"/>
              </w:rPr>
              <w:t>1.党建引领,夯实建功主阵地</w:t>
            </w:r>
          </w:p>
          <w:p w14:paraId="668A9B2D">
            <w:pPr>
              <w:rPr>
                <w:rFonts w:ascii="宋体" w:hAnsi="宋体" w:eastAsia="宋体" w:cs="宋体"/>
                <w:b w:val="0"/>
                <w:bCs w:val="0"/>
              </w:rPr>
            </w:pPr>
            <w:r>
              <w:rPr>
                <w:rFonts w:hint="eastAsia" w:ascii="宋体" w:hAnsi="宋体" w:eastAsia="宋体" w:cs="宋体"/>
                <w:b w:val="0"/>
                <w:bCs w:val="0"/>
              </w:rPr>
              <w:t>2.聚力攻坚，重点工作高质量发展</w:t>
            </w:r>
          </w:p>
          <w:p w14:paraId="53A447F3">
            <w:pPr>
              <w:rPr>
                <w:rFonts w:asciiTheme="majorEastAsia" w:hAnsiTheme="majorEastAsia" w:eastAsiaTheme="majorEastAsia" w:cstheme="majorEastAsia"/>
                <w:b w:val="0"/>
                <w:bCs w:val="0"/>
                <w:szCs w:val="21"/>
              </w:rPr>
            </w:pPr>
            <w:r>
              <w:rPr>
                <w:rFonts w:hint="eastAsia" w:ascii="宋体" w:hAnsi="宋体" w:eastAsia="宋体" w:cs="宋体"/>
                <w:b w:val="0"/>
                <w:bCs w:val="0"/>
              </w:rPr>
              <w:t>3.兜底提标,民生福</w:t>
            </w:r>
            <w:r>
              <w:rPr>
                <w:rFonts w:hint="eastAsia" w:asciiTheme="majorEastAsia" w:hAnsiTheme="majorEastAsia" w:eastAsiaTheme="majorEastAsia" w:cstheme="majorEastAsia"/>
                <w:b w:val="0"/>
                <w:bCs w:val="0"/>
                <w:szCs w:val="21"/>
              </w:rPr>
              <w:t>祉稳步提升</w:t>
            </w:r>
          </w:p>
          <w:p w14:paraId="718B1857">
            <w:pPr>
              <w:pStyle w:val="12"/>
              <w:rPr>
                <w:rFonts w:asciiTheme="majorEastAsia" w:hAnsiTheme="majorEastAsia" w:eastAsiaTheme="majorEastAsia" w:cstheme="majorEastAsia"/>
                <w:b w:val="0"/>
                <w:bCs w:val="0"/>
                <w:lang w:eastAsia="zh-CN"/>
              </w:rPr>
            </w:pPr>
            <w:r>
              <w:rPr>
                <w:rFonts w:hint="eastAsia" w:asciiTheme="majorEastAsia" w:hAnsiTheme="majorEastAsia" w:eastAsiaTheme="majorEastAsia" w:cstheme="majorEastAsia"/>
                <w:b w:val="0"/>
                <w:bCs w:val="0"/>
                <w:lang w:eastAsia="zh-CN"/>
              </w:rPr>
              <w:t>4.精准发力,人居环境持续优化</w:t>
            </w:r>
          </w:p>
          <w:p w14:paraId="35CBF043">
            <w:pPr>
              <w:pStyle w:val="12"/>
              <w:rPr>
                <w:rFonts w:asciiTheme="majorEastAsia" w:hAnsiTheme="majorEastAsia" w:eastAsiaTheme="majorEastAsia" w:cstheme="majorEastAsia"/>
                <w:b w:val="0"/>
                <w:bCs w:val="0"/>
                <w:lang w:eastAsia="zh-CN"/>
              </w:rPr>
            </w:pPr>
            <w:r>
              <w:rPr>
                <w:rFonts w:hint="eastAsia" w:asciiTheme="majorEastAsia" w:hAnsiTheme="majorEastAsia" w:eastAsiaTheme="majorEastAsia" w:cstheme="majorEastAsia"/>
                <w:b w:val="0"/>
                <w:bCs w:val="0"/>
                <w:lang w:eastAsia="zh-CN"/>
              </w:rPr>
              <w:t>5.统筹推进,基层治理成效明显</w:t>
            </w:r>
          </w:p>
        </w:tc>
        <w:tc>
          <w:tcPr>
            <w:tcW w:w="4307" w:type="dxa"/>
            <w:gridSpan w:val="4"/>
            <w:noWrap/>
          </w:tcPr>
          <w:p w14:paraId="4FCDC182">
            <w:pPr>
              <w:jc w:val="left"/>
              <w:rPr>
                <w:rFonts w:ascii="仿宋_GB2312" w:hAnsi="仿宋_GB2312" w:eastAsia="仿宋_GB2312" w:cs="仿宋_GB2312"/>
                <w:b w:val="0"/>
                <w:bCs w:val="0"/>
                <w:sz w:val="11"/>
                <w:szCs w:val="11"/>
                <w:lang w:eastAsia="zh-CN"/>
              </w:rPr>
            </w:pPr>
            <w:r>
              <w:rPr>
                <w:rFonts w:hint="eastAsia" w:ascii="宋体" w:hAnsi="宋体" w:eastAsia="宋体" w:cs="宋体"/>
                <w:b w:val="0"/>
                <w:bCs w:val="0"/>
                <w:lang w:val="en-US" w:eastAsia="zh-CN"/>
              </w:rPr>
              <w:t>1</w:t>
            </w:r>
            <w:r>
              <w:rPr>
                <w:rFonts w:hint="eastAsia" w:ascii="宋体" w:hAnsi="宋体" w:eastAsia="宋体" w:cs="宋体"/>
                <w:b w:val="0"/>
                <w:bCs w:val="0"/>
                <w:lang w:eastAsia="zh-CN"/>
              </w:rPr>
              <w:t>、铸魂固本强党建、正风肃纪保稳定。2、旧改项目稳步推进、经济形势持续向好。3、环卫作业精细狠抓，城管执法有力有效。4、机制创新、多元共治，社会治理平稳。5、安全生产守底线。6、救助帮扶显温度、精神文明不断提升。7、生态环境治理有效。</w:t>
            </w:r>
          </w:p>
        </w:tc>
      </w:tr>
      <w:tr w14:paraId="45D5E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textDirection w:val="tbRlV"/>
          </w:tcPr>
          <w:p w14:paraId="48808EC0">
            <w:pPr>
              <w:pStyle w:val="12"/>
              <w:spacing w:line="364" w:lineRule="auto"/>
              <w:rPr>
                <w:rFonts w:ascii="宋体" w:hAnsi="宋体" w:eastAsia="宋体" w:cs="宋体"/>
              </w:rPr>
            </w:pPr>
          </w:p>
          <w:p w14:paraId="454B3276">
            <w:pPr>
              <w:spacing w:before="64" w:line="216" w:lineRule="auto"/>
              <w:ind w:left="3168"/>
              <w:rPr>
                <w:rFonts w:ascii="宋体" w:hAnsi="宋体" w:eastAsia="宋体" w:cs="宋体"/>
                <w:sz w:val="19"/>
                <w:szCs w:val="19"/>
              </w:rPr>
            </w:pPr>
            <w:r>
              <w:rPr>
                <w:rFonts w:hint="eastAsia" w:ascii="宋体" w:hAnsi="宋体" w:eastAsia="宋体" w:cs="宋体"/>
                <w:spacing w:val="39"/>
                <w:sz w:val="19"/>
                <w:szCs w:val="19"/>
              </w:rPr>
              <w:t>绩效指标</w:t>
            </w:r>
          </w:p>
        </w:tc>
        <w:tc>
          <w:tcPr>
            <w:tcW w:w="1019" w:type="dxa"/>
            <w:noWrap/>
          </w:tcPr>
          <w:p w14:paraId="32B29BE8">
            <w:pPr>
              <w:spacing w:before="141" w:line="226" w:lineRule="auto"/>
              <w:ind w:left="156"/>
              <w:rPr>
                <w:rFonts w:ascii="宋体" w:hAnsi="宋体" w:eastAsia="宋体" w:cs="宋体"/>
                <w:sz w:val="19"/>
                <w:szCs w:val="19"/>
              </w:rPr>
            </w:pPr>
            <w:r>
              <w:rPr>
                <w:rFonts w:hint="eastAsia" w:ascii="宋体" w:hAnsi="宋体" w:eastAsia="宋体" w:cs="宋体"/>
                <w:spacing w:val="4"/>
                <w:sz w:val="19"/>
                <w:szCs w:val="19"/>
              </w:rPr>
              <w:t>一级指标</w:t>
            </w:r>
          </w:p>
        </w:tc>
        <w:tc>
          <w:tcPr>
            <w:tcW w:w="996" w:type="dxa"/>
            <w:noWrap/>
          </w:tcPr>
          <w:p w14:paraId="5CEB2186">
            <w:pPr>
              <w:spacing w:before="141" w:line="226" w:lineRule="auto"/>
              <w:ind w:left="132"/>
              <w:rPr>
                <w:rFonts w:ascii="宋体" w:hAnsi="宋体" w:eastAsia="宋体" w:cs="宋体"/>
                <w:sz w:val="19"/>
                <w:szCs w:val="19"/>
              </w:rPr>
            </w:pPr>
            <w:r>
              <w:rPr>
                <w:rFonts w:hint="eastAsia" w:ascii="宋体" w:hAnsi="宋体" w:eastAsia="宋体" w:cs="宋体"/>
                <w:spacing w:val="5"/>
                <w:sz w:val="19"/>
                <w:szCs w:val="19"/>
              </w:rPr>
              <w:t>二级指标</w:t>
            </w:r>
          </w:p>
        </w:tc>
        <w:tc>
          <w:tcPr>
            <w:tcW w:w="1445" w:type="dxa"/>
            <w:noWrap/>
          </w:tcPr>
          <w:p w14:paraId="00CA4D53">
            <w:pPr>
              <w:spacing w:before="141" w:line="226" w:lineRule="auto"/>
              <w:ind w:left="253"/>
              <w:rPr>
                <w:rFonts w:ascii="宋体" w:hAnsi="宋体" w:eastAsia="宋体" w:cs="宋体"/>
                <w:sz w:val="19"/>
                <w:szCs w:val="19"/>
              </w:rPr>
            </w:pPr>
            <w:r>
              <w:rPr>
                <w:rFonts w:hint="eastAsia" w:ascii="宋体" w:hAnsi="宋体" w:eastAsia="宋体" w:cs="宋体"/>
                <w:spacing w:val="4"/>
                <w:sz w:val="19"/>
                <w:szCs w:val="19"/>
              </w:rPr>
              <w:t>三级指标</w:t>
            </w:r>
          </w:p>
        </w:tc>
        <w:tc>
          <w:tcPr>
            <w:tcW w:w="1232" w:type="dxa"/>
            <w:noWrap/>
          </w:tcPr>
          <w:p w14:paraId="2A3EA6F7">
            <w:pPr>
              <w:spacing w:before="141" w:line="226" w:lineRule="auto"/>
              <w:ind w:left="114"/>
              <w:rPr>
                <w:rFonts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tcPr>
          <w:p w14:paraId="40F57893">
            <w:pPr>
              <w:spacing w:before="141" w:line="226" w:lineRule="auto"/>
              <w:ind w:left="125"/>
              <w:rPr>
                <w:rFonts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tcPr>
          <w:p w14:paraId="312BB062">
            <w:pPr>
              <w:spacing w:before="141" w:line="227" w:lineRule="auto"/>
              <w:ind w:left="166"/>
              <w:rPr>
                <w:rFonts w:ascii="宋体" w:hAnsi="宋体" w:eastAsia="宋体" w:cs="宋体"/>
                <w:sz w:val="19"/>
                <w:szCs w:val="19"/>
              </w:rPr>
            </w:pPr>
            <w:r>
              <w:rPr>
                <w:rFonts w:hint="eastAsia" w:ascii="宋体" w:hAnsi="宋体" w:eastAsia="宋体" w:cs="宋体"/>
                <w:spacing w:val="4"/>
                <w:sz w:val="19"/>
                <w:szCs w:val="19"/>
              </w:rPr>
              <w:t>分值</w:t>
            </w:r>
          </w:p>
        </w:tc>
        <w:tc>
          <w:tcPr>
            <w:tcW w:w="873" w:type="dxa"/>
            <w:noWrap/>
          </w:tcPr>
          <w:p w14:paraId="2A424F8C">
            <w:pPr>
              <w:spacing w:before="174" w:line="218" w:lineRule="auto"/>
              <w:ind w:left="150"/>
              <w:rPr>
                <w:rFonts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tcPr>
          <w:p w14:paraId="2297541C">
            <w:pPr>
              <w:spacing w:before="21" w:line="220" w:lineRule="auto"/>
              <w:ind w:left="111" w:right="109" w:firstLine="1"/>
              <w:rPr>
                <w:rFonts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6EEA8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extDirection w:val="tbRlV"/>
          </w:tcPr>
          <w:p w14:paraId="345CBA3C">
            <w:pPr>
              <w:pStyle w:val="12"/>
              <w:rPr>
                <w:rFonts w:ascii="宋体" w:hAnsi="宋体" w:eastAsia="宋体" w:cs="宋体"/>
                <w:lang w:eastAsia="zh-CN"/>
              </w:rPr>
            </w:pPr>
          </w:p>
        </w:tc>
        <w:tc>
          <w:tcPr>
            <w:tcW w:w="1019" w:type="dxa"/>
            <w:vMerge w:val="restart"/>
            <w:tcBorders>
              <w:bottom w:val="nil"/>
            </w:tcBorders>
            <w:noWrap/>
          </w:tcPr>
          <w:p w14:paraId="7E10A12D">
            <w:pPr>
              <w:pStyle w:val="12"/>
              <w:spacing w:line="272" w:lineRule="auto"/>
              <w:rPr>
                <w:rFonts w:ascii="宋体" w:hAnsi="宋体" w:eastAsia="宋体" w:cs="宋体"/>
                <w:lang w:eastAsia="zh-CN"/>
              </w:rPr>
            </w:pPr>
          </w:p>
          <w:p w14:paraId="793AC543">
            <w:pPr>
              <w:pStyle w:val="12"/>
              <w:spacing w:line="272" w:lineRule="auto"/>
              <w:rPr>
                <w:rFonts w:ascii="宋体" w:hAnsi="宋体" w:eastAsia="宋体" w:cs="宋体"/>
                <w:lang w:eastAsia="zh-CN"/>
              </w:rPr>
            </w:pPr>
          </w:p>
          <w:p w14:paraId="51E8D3F6">
            <w:pPr>
              <w:pStyle w:val="12"/>
              <w:spacing w:line="272" w:lineRule="auto"/>
              <w:rPr>
                <w:rFonts w:ascii="宋体" w:hAnsi="宋体" w:eastAsia="宋体" w:cs="宋体"/>
                <w:lang w:eastAsia="zh-CN"/>
              </w:rPr>
            </w:pPr>
          </w:p>
          <w:p w14:paraId="5E5F1D52">
            <w:pPr>
              <w:pStyle w:val="12"/>
              <w:spacing w:line="273" w:lineRule="auto"/>
              <w:rPr>
                <w:rFonts w:ascii="宋体" w:hAnsi="宋体" w:eastAsia="宋体" w:cs="宋体"/>
                <w:lang w:eastAsia="zh-CN"/>
              </w:rPr>
            </w:pPr>
          </w:p>
          <w:p w14:paraId="25EBF51A">
            <w:pPr>
              <w:spacing w:before="62" w:line="450" w:lineRule="exact"/>
              <w:ind w:left="144"/>
              <w:rPr>
                <w:rFonts w:ascii="宋体" w:hAnsi="宋体" w:eastAsia="宋体" w:cs="宋体"/>
                <w:sz w:val="19"/>
                <w:szCs w:val="19"/>
              </w:rPr>
            </w:pPr>
            <w:r>
              <w:rPr>
                <w:rFonts w:hint="eastAsia" w:ascii="宋体" w:hAnsi="宋体" w:eastAsia="宋体" w:cs="宋体"/>
                <w:spacing w:val="7"/>
                <w:position w:val="19"/>
                <w:sz w:val="19"/>
                <w:szCs w:val="19"/>
              </w:rPr>
              <w:t>产出指标</w:t>
            </w:r>
          </w:p>
          <w:p w14:paraId="52707EE8">
            <w:pPr>
              <w:spacing w:line="261" w:lineRule="exact"/>
              <w:ind w:left="252"/>
              <w:rPr>
                <w:rFonts w:ascii="宋体" w:hAnsi="宋体" w:eastAsia="宋体" w:cs="宋体"/>
                <w:sz w:val="19"/>
                <w:szCs w:val="19"/>
              </w:rPr>
            </w:pPr>
            <w:r>
              <w:rPr>
                <w:rFonts w:hint="eastAsia" w:ascii="宋体" w:hAnsi="宋体" w:eastAsia="宋体" w:cs="宋体"/>
                <w:spacing w:val="1"/>
                <w:position w:val="2"/>
                <w:sz w:val="19"/>
                <w:szCs w:val="19"/>
              </w:rPr>
              <w:t>(50分)</w:t>
            </w:r>
          </w:p>
        </w:tc>
        <w:tc>
          <w:tcPr>
            <w:tcW w:w="996" w:type="dxa"/>
            <w:vMerge w:val="restart"/>
            <w:tcBorders>
              <w:bottom w:val="nil"/>
            </w:tcBorders>
            <w:noWrap/>
          </w:tcPr>
          <w:p w14:paraId="14550E19">
            <w:pPr>
              <w:spacing w:before="274" w:line="226" w:lineRule="auto"/>
              <w:ind w:left="126"/>
              <w:rPr>
                <w:rFonts w:ascii="宋体" w:hAnsi="宋体" w:eastAsia="宋体" w:cs="宋体"/>
                <w:sz w:val="19"/>
                <w:szCs w:val="19"/>
              </w:rPr>
            </w:pPr>
            <w:r>
              <w:rPr>
                <w:rFonts w:hint="eastAsia" w:ascii="宋体" w:hAnsi="宋体" w:eastAsia="宋体" w:cs="宋体"/>
                <w:spacing w:val="6"/>
                <w:sz w:val="19"/>
                <w:szCs w:val="19"/>
              </w:rPr>
              <w:t>数量指标</w:t>
            </w:r>
          </w:p>
        </w:tc>
        <w:tc>
          <w:tcPr>
            <w:tcW w:w="1445" w:type="dxa"/>
            <w:noWrap/>
          </w:tcPr>
          <w:p w14:paraId="017A1A29">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工作任务完成率</w:t>
            </w:r>
          </w:p>
        </w:tc>
        <w:tc>
          <w:tcPr>
            <w:tcW w:w="1232" w:type="dxa"/>
            <w:noWrap/>
          </w:tcPr>
          <w:p w14:paraId="3421772B">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100%</w:t>
            </w:r>
          </w:p>
        </w:tc>
        <w:tc>
          <w:tcPr>
            <w:tcW w:w="1268" w:type="dxa"/>
            <w:noWrap/>
          </w:tcPr>
          <w:p w14:paraId="12B6AE28">
            <w:pPr>
              <w:spacing w:line="235" w:lineRule="exact"/>
              <w:rPr>
                <w:rFonts w:ascii="宋体" w:hAnsi="宋体" w:eastAsia="宋体" w:cs="宋体"/>
                <w:sz w:val="20"/>
              </w:rPr>
            </w:pPr>
            <w:r>
              <w:rPr>
                <w:rFonts w:hint="eastAsia" w:ascii="宋体" w:hAnsi="宋体" w:eastAsia="宋体" w:cs="宋体"/>
                <w:sz w:val="20"/>
              </w:rPr>
              <w:t>100%</w:t>
            </w:r>
          </w:p>
        </w:tc>
        <w:tc>
          <w:tcPr>
            <w:tcW w:w="716" w:type="dxa"/>
            <w:noWrap/>
          </w:tcPr>
          <w:p w14:paraId="2A95DE3B">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7</w:t>
            </w:r>
          </w:p>
        </w:tc>
        <w:tc>
          <w:tcPr>
            <w:tcW w:w="873" w:type="dxa"/>
            <w:noWrap/>
          </w:tcPr>
          <w:p w14:paraId="4178D61F">
            <w:pPr>
              <w:pStyle w:val="12"/>
              <w:spacing w:line="235" w:lineRule="exact"/>
              <w:rPr>
                <w:rFonts w:ascii="宋体" w:hAnsi="宋体" w:eastAsia="宋体" w:cs="宋体"/>
                <w:sz w:val="20"/>
              </w:rPr>
            </w:pPr>
            <w:r>
              <w:rPr>
                <w:rFonts w:hint="eastAsia" w:ascii="宋体" w:hAnsi="宋体" w:eastAsia="宋体" w:cs="宋体"/>
                <w:sz w:val="20"/>
                <w:lang w:eastAsia="zh-CN"/>
              </w:rPr>
              <w:t>7</w:t>
            </w:r>
          </w:p>
        </w:tc>
        <w:tc>
          <w:tcPr>
            <w:tcW w:w="1450" w:type="dxa"/>
            <w:noWrap/>
          </w:tcPr>
          <w:p w14:paraId="06F059FC">
            <w:pPr>
              <w:pStyle w:val="12"/>
              <w:spacing w:line="235" w:lineRule="exact"/>
              <w:rPr>
                <w:rFonts w:ascii="宋体" w:hAnsi="宋体" w:eastAsia="宋体" w:cs="宋体"/>
                <w:sz w:val="20"/>
              </w:rPr>
            </w:pPr>
          </w:p>
        </w:tc>
      </w:tr>
      <w:tr w14:paraId="3A6B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extDirection w:val="tbRlV"/>
          </w:tcPr>
          <w:p w14:paraId="1441771C">
            <w:pPr>
              <w:pStyle w:val="12"/>
              <w:rPr>
                <w:rFonts w:ascii="宋体" w:hAnsi="宋体" w:eastAsia="宋体" w:cs="宋体"/>
              </w:rPr>
            </w:pPr>
          </w:p>
        </w:tc>
        <w:tc>
          <w:tcPr>
            <w:tcW w:w="1019" w:type="dxa"/>
            <w:vMerge w:val="continue"/>
            <w:tcBorders>
              <w:top w:val="nil"/>
              <w:bottom w:val="nil"/>
            </w:tcBorders>
            <w:noWrap/>
          </w:tcPr>
          <w:p w14:paraId="7D5CB130">
            <w:pPr>
              <w:pStyle w:val="12"/>
              <w:rPr>
                <w:rFonts w:ascii="宋体" w:hAnsi="宋体" w:eastAsia="宋体" w:cs="宋体"/>
              </w:rPr>
            </w:pPr>
          </w:p>
        </w:tc>
        <w:tc>
          <w:tcPr>
            <w:tcW w:w="996" w:type="dxa"/>
            <w:vMerge w:val="continue"/>
            <w:tcBorders>
              <w:top w:val="nil"/>
              <w:bottom w:val="nil"/>
            </w:tcBorders>
            <w:noWrap/>
          </w:tcPr>
          <w:p w14:paraId="41F2CAA6">
            <w:pPr>
              <w:pStyle w:val="12"/>
              <w:rPr>
                <w:rFonts w:ascii="宋体" w:hAnsi="宋体" w:eastAsia="宋体" w:cs="宋体"/>
              </w:rPr>
            </w:pPr>
          </w:p>
        </w:tc>
        <w:tc>
          <w:tcPr>
            <w:tcW w:w="1445" w:type="dxa"/>
            <w:noWrap/>
          </w:tcPr>
          <w:p w14:paraId="585C6C39">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资产管理规范率</w:t>
            </w:r>
          </w:p>
        </w:tc>
        <w:tc>
          <w:tcPr>
            <w:tcW w:w="1232" w:type="dxa"/>
            <w:noWrap/>
          </w:tcPr>
          <w:p w14:paraId="7B30C6B8">
            <w:pPr>
              <w:spacing w:line="235" w:lineRule="exact"/>
              <w:rPr>
                <w:rFonts w:ascii="宋体" w:hAnsi="宋体" w:eastAsia="宋体" w:cs="宋体"/>
                <w:sz w:val="20"/>
              </w:rPr>
            </w:pPr>
            <w:r>
              <w:rPr>
                <w:rFonts w:hint="eastAsia" w:ascii="宋体" w:hAnsi="宋体" w:eastAsia="宋体" w:cs="宋体"/>
                <w:sz w:val="20"/>
              </w:rPr>
              <w:t>100%</w:t>
            </w:r>
          </w:p>
        </w:tc>
        <w:tc>
          <w:tcPr>
            <w:tcW w:w="1268" w:type="dxa"/>
            <w:noWrap/>
          </w:tcPr>
          <w:p w14:paraId="3E171BBC">
            <w:pPr>
              <w:spacing w:line="235" w:lineRule="exact"/>
              <w:rPr>
                <w:rFonts w:ascii="宋体" w:hAnsi="宋体" w:eastAsia="宋体" w:cs="宋体"/>
                <w:sz w:val="20"/>
              </w:rPr>
            </w:pPr>
            <w:r>
              <w:rPr>
                <w:rFonts w:hint="eastAsia" w:ascii="宋体" w:hAnsi="宋体" w:eastAsia="宋体" w:cs="宋体"/>
                <w:sz w:val="20"/>
              </w:rPr>
              <w:t>100%</w:t>
            </w:r>
          </w:p>
        </w:tc>
        <w:tc>
          <w:tcPr>
            <w:tcW w:w="716" w:type="dxa"/>
            <w:noWrap/>
          </w:tcPr>
          <w:p w14:paraId="6DB4E945">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7</w:t>
            </w:r>
          </w:p>
        </w:tc>
        <w:tc>
          <w:tcPr>
            <w:tcW w:w="873" w:type="dxa"/>
            <w:noWrap/>
          </w:tcPr>
          <w:p w14:paraId="40E9112A">
            <w:pPr>
              <w:pStyle w:val="12"/>
              <w:spacing w:line="235" w:lineRule="exact"/>
              <w:rPr>
                <w:rFonts w:ascii="宋体" w:hAnsi="宋体" w:eastAsia="宋体" w:cs="宋体"/>
                <w:sz w:val="20"/>
              </w:rPr>
            </w:pPr>
            <w:r>
              <w:rPr>
                <w:rFonts w:hint="eastAsia" w:ascii="宋体" w:hAnsi="宋体" w:eastAsia="宋体" w:cs="宋体"/>
                <w:sz w:val="20"/>
                <w:lang w:eastAsia="zh-CN"/>
              </w:rPr>
              <w:t>7</w:t>
            </w:r>
          </w:p>
        </w:tc>
        <w:tc>
          <w:tcPr>
            <w:tcW w:w="1450" w:type="dxa"/>
            <w:noWrap/>
          </w:tcPr>
          <w:p w14:paraId="6D7D71C7">
            <w:pPr>
              <w:pStyle w:val="12"/>
              <w:spacing w:line="235" w:lineRule="exact"/>
              <w:rPr>
                <w:rFonts w:ascii="宋体" w:hAnsi="宋体" w:eastAsia="宋体" w:cs="宋体"/>
                <w:sz w:val="20"/>
              </w:rPr>
            </w:pPr>
          </w:p>
        </w:tc>
      </w:tr>
      <w:tr w14:paraId="6DD87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084" w:type="dxa"/>
            <w:vMerge w:val="continue"/>
            <w:tcBorders>
              <w:top w:val="nil"/>
              <w:bottom w:val="nil"/>
            </w:tcBorders>
            <w:noWrap/>
            <w:textDirection w:val="tbRlV"/>
          </w:tcPr>
          <w:p w14:paraId="288E928C">
            <w:pPr>
              <w:pStyle w:val="12"/>
              <w:rPr>
                <w:rFonts w:ascii="宋体" w:hAnsi="宋体" w:eastAsia="宋体" w:cs="宋体"/>
              </w:rPr>
            </w:pPr>
          </w:p>
        </w:tc>
        <w:tc>
          <w:tcPr>
            <w:tcW w:w="1019" w:type="dxa"/>
            <w:vMerge w:val="continue"/>
            <w:tcBorders>
              <w:top w:val="nil"/>
              <w:bottom w:val="nil"/>
            </w:tcBorders>
            <w:noWrap/>
          </w:tcPr>
          <w:p w14:paraId="0070DC65">
            <w:pPr>
              <w:pStyle w:val="12"/>
              <w:rPr>
                <w:rFonts w:ascii="宋体" w:hAnsi="宋体" w:eastAsia="宋体" w:cs="宋体"/>
              </w:rPr>
            </w:pPr>
          </w:p>
        </w:tc>
        <w:tc>
          <w:tcPr>
            <w:tcW w:w="996" w:type="dxa"/>
            <w:vMerge w:val="continue"/>
            <w:tcBorders>
              <w:top w:val="nil"/>
            </w:tcBorders>
            <w:noWrap/>
          </w:tcPr>
          <w:p w14:paraId="6566EE44">
            <w:pPr>
              <w:pStyle w:val="12"/>
              <w:rPr>
                <w:rFonts w:ascii="宋体" w:hAnsi="宋体" w:eastAsia="宋体" w:cs="宋体"/>
              </w:rPr>
            </w:pPr>
          </w:p>
        </w:tc>
        <w:tc>
          <w:tcPr>
            <w:tcW w:w="1445" w:type="dxa"/>
            <w:tcBorders>
              <w:bottom w:val="single" w:color="auto" w:sz="4" w:space="0"/>
            </w:tcBorders>
            <w:noWrap/>
          </w:tcPr>
          <w:p w14:paraId="0C1851E7">
            <w:pPr>
              <w:spacing w:before="175" w:line="60" w:lineRule="exact"/>
              <w:jc w:val="center"/>
              <w:rPr>
                <w:rFonts w:ascii="宋体" w:hAnsi="宋体" w:eastAsia="宋体" w:cs="宋体"/>
                <w:sz w:val="19"/>
                <w:szCs w:val="19"/>
              </w:rPr>
            </w:pPr>
            <w:r>
              <w:rPr>
                <w:rFonts w:hint="eastAsia" w:ascii="宋体" w:hAnsi="宋体" w:eastAsia="宋体" w:cs="宋体"/>
                <w:sz w:val="19"/>
                <w:szCs w:val="19"/>
              </w:rPr>
              <w:t>文明创建考核</w:t>
            </w:r>
          </w:p>
        </w:tc>
        <w:tc>
          <w:tcPr>
            <w:tcW w:w="1232" w:type="dxa"/>
            <w:tcBorders>
              <w:bottom w:val="single" w:color="auto" w:sz="4" w:space="0"/>
            </w:tcBorders>
            <w:noWrap/>
          </w:tcPr>
          <w:p w14:paraId="7E94FC34">
            <w:pPr>
              <w:spacing w:line="235" w:lineRule="exact"/>
              <w:rPr>
                <w:rFonts w:ascii="宋体" w:hAnsi="宋体" w:eastAsia="宋体" w:cs="宋体"/>
                <w:sz w:val="20"/>
              </w:rPr>
            </w:pPr>
            <w:r>
              <w:rPr>
                <w:rFonts w:hint="eastAsia" w:ascii="宋体" w:hAnsi="宋体" w:eastAsia="宋体" w:cs="宋体"/>
                <w:sz w:val="20"/>
              </w:rPr>
              <w:t>100%</w:t>
            </w:r>
          </w:p>
        </w:tc>
        <w:tc>
          <w:tcPr>
            <w:tcW w:w="1268" w:type="dxa"/>
            <w:tcBorders>
              <w:bottom w:val="single" w:color="auto" w:sz="4" w:space="0"/>
            </w:tcBorders>
            <w:noWrap/>
          </w:tcPr>
          <w:p w14:paraId="15C56E9F">
            <w:pPr>
              <w:spacing w:line="235" w:lineRule="exact"/>
              <w:rPr>
                <w:rFonts w:ascii="宋体" w:hAnsi="宋体" w:eastAsia="宋体" w:cs="宋体"/>
                <w:sz w:val="20"/>
              </w:rPr>
            </w:pPr>
            <w:r>
              <w:rPr>
                <w:rFonts w:hint="eastAsia" w:ascii="宋体" w:hAnsi="宋体" w:eastAsia="宋体" w:cs="宋体"/>
                <w:sz w:val="20"/>
              </w:rPr>
              <w:t>100%</w:t>
            </w:r>
          </w:p>
        </w:tc>
        <w:tc>
          <w:tcPr>
            <w:tcW w:w="716" w:type="dxa"/>
            <w:tcBorders>
              <w:bottom w:val="single" w:color="auto" w:sz="4" w:space="0"/>
            </w:tcBorders>
            <w:noWrap/>
          </w:tcPr>
          <w:p w14:paraId="1B78FAC9">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7</w:t>
            </w:r>
          </w:p>
        </w:tc>
        <w:tc>
          <w:tcPr>
            <w:tcW w:w="873" w:type="dxa"/>
            <w:tcBorders>
              <w:bottom w:val="single" w:color="auto" w:sz="4" w:space="0"/>
            </w:tcBorders>
            <w:noWrap/>
          </w:tcPr>
          <w:p w14:paraId="533B6C16">
            <w:pPr>
              <w:pStyle w:val="12"/>
              <w:spacing w:line="235" w:lineRule="exact"/>
              <w:rPr>
                <w:rFonts w:ascii="宋体" w:hAnsi="宋体" w:eastAsia="宋体" w:cs="宋体"/>
                <w:sz w:val="20"/>
              </w:rPr>
            </w:pPr>
            <w:r>
              <w:rPr>
                <w:rFonts w:hint="eastAsia" w:ascii="宋体" w:hAnsi="宋体" w:eastAsia="宋体" w:cs="宋体"/>
                <w:sz w:val="20"/>
                <w:lang w:eastAsia="zh-CN"/>
              </w:rPr>
              <w:t>7</w:t>
            </w:r>
          </w:p>
        </w:tc>
        <w:tc>
          <w:tcPr>
            <w:tcW w:w="1450" w:type="dxa"/>
            <w:tcBorders>
              <w:bottom w:val="single" w:color="auto" w:sz="4" w:space="0"/>
            </w:tcBorders>
            <w:noWrap/>
          </w:tcPr>
          <w:p w14:paraId="3B08F987">
            <w:pPr>
              <w:pStyle w:val="12"/>
              <w:spacing w:line="235" w:lineRule="exact"/>
              <w:rPr>
                <w:rFonts w:ascii="宋体" w:hAnsi="宋体" w:eastAsia="宋体" w:cs="宋体"/>
                <w:sz w:val="20"/>
              </w:rPr>
            </w:pPr>
          </w:p>
        </w:tc>
      </w:tr>
      <w:tr w14:paraId="1E89A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84" w:type="dxa"/>
            <w:vMerge w:val="continue"/>
            <w:tcBorders>
              <w:top w:val="nil"/>
              <w:bottom w:val="nil"/>
            </w:tcBorders>
            <w:noWrap/>
            <w:textDirection w:val="tbRlV"/>
          </w:tcPr>
          <w:p w14:paraId="6F575F4E">
            <w:pPr>
              <w:pStyle w:val="12"/>
              <w:rPr>
                <w:rFonts w:ascii="宋体" w:hAnsi="宋体" w:eastAsia="宋体" w:cs="宋体"/>
              </w:rPr>
            </w:pPr>
          </w:p>
        </w:tc>
        <w:tc>
          <w:tcPr>
            <w:tcW w:w="1019" w:type="dxa"/>
            <w:vMerge w:val="continue"/>
            <w:tcBorders>
              <w:top w:val="nil"/>
              <w:bottom w:val="nil"/>
            </w:tcBorders>
            <w:noWrap/>
          </w:tcPr>
          <w:p w14:paraId="60A6AA76">
            <w:pPr>
              <w:pStyle w:val="12"/>
              <w:rPr>
                <w:rFonts w:ascii="宋体" w:hAnsi="宋体" w:eastAsia="宋体" w:cs="宋体"/>
              </w:rPr>
            </w:pPr>
          </w:p>
        </w:tc>
        <w:tc>
          <w:tcPr>
            <w:tcW w:w="996" w:type="dxa"/>
            <w:vMerge w:val="continue"/>
            <w:noWrap/>
          </w:tcPr>
          <w:p w14:paraId="330CEE65">
            <w:pPr>
              <w:pStyle w:val="12"/>
              <w:rPr>
                <w:rFonts w:ascii="宋体" w:hAnsi="宋体" w:eastAsia="宋体" w:cs="宋体"/>
              </w:rPr>
            </w:pPr>
          </w:p>
        </w:tc>
        <w:tc>
          <w:tcPr>
            <w:tcW w:w="1445" w:type="dxa"/>
            <w:tcBorders>
              <w:top w:val="single" w:color="auto" w:sz="4" w:space="0"/>
            </w:tcBorders>
            <w:noWrap/>
          </w:tcPr>
          <w:p w14:paraId="73E8FEF7">
            <w:pPr>
              <w:spacing w:before="175" w:line="60" w:lineRule="exact"/>
              <w:jc w:val="center"/>
              <w:rPr>
                <w:rFonts w:ascii="宋体" w:hAnsi="宋体" w:eastAsia="宋体" w:cs="宋体"/>
                <w:sz w:val="19"/>
                <w:szCs w:val="19"/>
              </w:rPr>
            </w:pPr>
            <w:r>
              <w:rPr>
                <w:rFonts w:hint="eastAsia" w:ascii="宋体" w:hAnsi="宋体" w:eastAsia="宋体" w:cs="宋体"/>
                <w:sz w:val="19"/>
                <w:szCs w:val="19"/>
              </w:rPr>
              <w:t>资金公示率</w:t>
            </w:r>
          </w:p>
        </w:tc>
        <w:tc>
          <w:tcPr>
            <w:tcW w:w="1232" w:type="dxa"/>
            <w:tcBorders>
              <w:top w:val="single" w:color="auto" w:sz="4" w:space="0"/>
              <w:bottom w:val="single" w:color="auto" w:sz="4" w:space="0"/>
            </w:tcBorders>
            <w:noWrap/>
          </w:tcPr>
          <w:p w14:paraId="696CDC24">
            <w:pPr>
              <w:spacing w:line="235" w:lineRule="exact"/>
              <w:rPr>
                <w:rFonts w:ascii="宋体" w:hAnsi="宋体" w:eastAsia="宋体" w:cs="宋体"/>
                <w:sz w:val="20"/>
              </w:rPr>
            </w:pPr>
            <w:r>
              <w:rPr>
                <w:rFonts w:hint="eastAsia" w:ascii="宋体" w:hAnsi="宋体" w:eastAsia="宋体" w:cs="宋体"/>
                <w:sz w:val="20"/>
              </w:rPr>
              <w:t>100%</w:t>
            </w:r>
          </w:p>
        </w:tc>
        <w:tc>
          <w:tcPr>
            <w:tcW w:w="1268" w:type="dxa"/>
            <w:tcBorders>
              <w:top w:val="single" w:color="auto" w:sz="4" w:space="0"/>
              <w:bottom w:val="single" w:color="auto" w:sz="4" w:space="0"/>
            </w:tcBorders>
            <w:noWrap/>
          </w:tcPr>
          <w:p w14:paraId="23A864AF">
            <w:pPr>
              <w:spacing w:line="235" w:lineRule="exact"/>
              <w:rPr>
                <w:rFonts w:ascii="宋体" w:hAnsi="宋体" w:eastAsia="宋体" w:cs="宋体"/>
                <w:sz w:val="20"/>
              </w:rPr>
            </w:pPr>
            <w:r>
              <w:rPr>
                <w:rFonts w:hint="eastAsia" w:ascii="宋体" w:hAnsi="宋体" w:eastAsia="宋体" w:cs="宋体"/>
                <w:sz w:val="20"/>
              </w:rPr>
              <w:t>100%</w:t>
            </w:r>
          </w:p>
        </w:tc>
        <w:tc>
          <w:tcPr>
            <w:tcW w:w="716" w:type="dxa"/>
            <w:tcBorders>
              <w:top w:val="single" w:color="auto" w:sz="4" w:space="0"/>
              <w:bottom w:val="single" w:color="auto" w:sz="4" w:space="0"/>
            </w:tcBorders>
            <w:noWrap/>
          </w:tcPr>
          <w:p w14:paraId="2AC1E840">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8</w:t>
            </w:r>
          </w:p>
        </w:tc>
        <w:tc>
          <w:tcPr>
            <w:tcW w:w="873" w:type="dxa"/>
            <w:tcBorders>
              <w:top w:val="single" w:color="auto" w:sz="4" w:space="0"/>
              <w:bottom w:val="single" w:color="auto" w:sz="4" w:space="0"/>
            </w:tcBorders>
            <w:noWrap/>
          </w:tcPr>
          <w:p w14:paraId="03BBB858">
            <w:pPr>
              <w:pStyle w:val="12"/>
              <w:spacing w:line="235" w:lineRule="exact"/>
              <w:rPr>
                <w:rFonts w:ascii="宋体" w:hAnsi="宋体" w:eastAsia="宋体" w:cs="宋体"/>
                <w:sz w:val="20"/>
              </w:rPr>
            </w:pPr>
            <w:r>
              <w:rPr>
                <w:rFonts w:hint="eastAsia" w:ascii="宋体" w:hAnsi="宋体" w:eastAsia="宋体" w:cs="宋体"/>
                <w:sz w:val="20"/>
                <w:lang w:eastAsia="zh-CN"/>
              </w:rPr>
              <w:t>8</w:t>
            </w:r>
          </w:p>
        </w:tc>
        <w:tc>
          <w:tcPr>
            <w:tcW w:w="1450" w:type="dxa"/>
            <w:tcBorders>
              <w:top w:val="single" w:color="auto" w:sz="4" w:space="0"/>
              <w:bottom w:val="single" w:color="auto" w:sz="4" w:space="0"/>
            </w:tcBorders>
            <w:noWrap/>
          </w:tcPr>
          <w:p w14:paraId="2AC6B5BF">
            <w:pPr>
              <w:pStyle w:val="12"/>
              <w:spacing w:line="235" w:lineRule="exact"/>
              <w:rPr>
                <w:rFonts w:ascii="宋体" w:hAnsi="宋体" w:eastAsia="宋体" w:cs="宋体"/>
                <w:sz w:val="20"/>
              </w:rPr>
            </w:pPr>
          </w:p>
        </w:tc>
      </w:tr>
      <w:tr w14:paraId="2F19C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084" w:type="dxa"/>
            <w:vMerge w:val="continue"/>
            <w:tcBorders>
              <w:top w:val="nil"/>
              <w:bottom w:val="nil"/>
            </w:tcBorders>
            <w:noWrap/>
            <w:textDirection w:val="tbRlV"/>
          </w:tcPr>
          <w:p w14:paraId="1CB3E8B2">
            <w:pPr>
              <w:pStyle w:val="12"/>
              <w:rPr>
                <w:rFonts w:ascii="宋体" w:hAnsi="宋体" w:eastAsia="宋体" w:cs="宋体"/>
              </w:rPr>
            </w:pPr>
          </w:p>
        </w:tc>
        <w:tc>
          <w:tcPr>
            <w:tcW w:w="1019" w:type="dxa"/>
            <w:vMerge w:val="continue"/>
            <w:tcBorders>
              <w:top w:val="nil"/>
              <w:bottom w:val="nil"/>
            </w:tcBorders>
            <w:noWrap/>
          </w:tcPr>
          <w:p w14:paraId="03B14D69">
            <w:pPr>
              <w:pStyle w:val="12"/>
              <w:rPr>
                <w:rFonts w:ascii="宋体" w:hAnsi="宋体" w:eastAsia="宋体" w:cs="宋体"/>
              </w:rPr>
            </w:pPr>
          </w:p>
        </w:tc>
        <w:tc>
          <w:tcPr>
            <w:tcW w:w="996" w:type="dxa"/>
            <w:tcBorders>
              <w:bottom w:val="single" w:color="auto" w:sz="4" w:space="0"/>
            </w:tcBorders>
            <w:noWrap/>
          </w:tcPr>
          <w:p w14:paraId="26752071">
            <w:pPr>
              <w:spacing w:before="273" w:line="226" w:lineRule="auto"/>
              <w:ind w:left="121"/>
              <w:rPr>
                <w:rFonts w:ascii="宋体" w:hAnsi="宋体" w:eastAsia="宋体" w:cs="宋体"/>
                <w:sz w:val="19"/>
                <w:szCs w:val="19"/>
              </w:rPr>
            </w:pPr>
            <w:r>
              <w:rPr>
                <w:rFonts w:hint="eastAsia" w:ascii="宋体" w:hAnsi="宋体" w:eastAsia="宋体" w:cs="宋体"/>
                <w:spacing w:val="7"/>
                <w:sz w:val="19"/>
                <w:szCs w:val="19"/>
              </w:rPr>
              <w:t>质量指标</w:t>
            </w:r>
          </w:p>
        </w:tc>
        <w:tc>
          <w:tcPr>
            <w:tcW w:w="1445" w:type="dxa"/>
            <w:noWrap/>
          </w:tcPr>
          <w:p w14:paraId="65DFB85A">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辖区治理效果明显</w:t>
            </w:r>
          </w:p>
        </w:tc>
        <w:tc>
          <w:tcPr>
            <w:tcW w:w="1232" w:type="dxa"/>
            <w:tcBorders>
              <w:top w:val="single" w:color="auto" w:sz="4" w:space="0"/>
            </w:tcBorders>
            <w:noWrap/>
          </w:tcPr>
          <w:p w14:paraId="35950DE5">
            <w:pPr>
              <w:spacing w:line="235" w:lineRule="exact"/>
              <w:rPr>
                <w:rFonts w:ascii="宋体" w:hAnsi="宋体" w:eastAsia="宋体" w:cs="宋体"/>
                <w:sz w:val="20"/>
              </w:rPr>
            </w:pPr>
            <w:r>
              <w:rPr>
                <w:rFonts w:hint="eastAsia" w:ascii="宋体" w:hAnsi="宋体" w:eastAsia="宋体" w:cs="宋体"/>
                <w:sz w:val="20"/>
              </w:rPr>
              <w:t>100%</w:t>
            </w:r>
          </w:p>
        </w:tc>
        <w:tc>
          <w:tcPr>
            <w:tcW w:w="1268" w:type="dxa"/>
            <w:tcBorders>
              <w:top w:val="single" w:color="auto" w:sz="4" w:space="0"/>
            </w:tcBorders>
            <w:noWrap/>
          </w:tcPr>
          <w:p w14:paraId="4ECF14F2">
            <w:pPr>
              <w:spacing w:line="235" w:lineRule="exact"/>
              <w:rPr>
                <w:rFonts w:ascii="宋体" w:hAnsi="宋体" w:eastAsia="宋体" w:cs="宋体"/>
                <w:sz w:val="20"/>
              </w:rPr>
            </w:pPr>
            <w:r>
              <w:rPr>
                <w:rFonts w:hint="eastAsia" w:ascii="宋体" w:hAnsi="宋体" w:eastAsia="宋体" w:cs="宋体"/>
                <w:sz w:val="20"/>
              </w:rPr>
              <w:t>100%</w:t>
            </w:r>
          </w:p>
        </w:tc>
        <w:tc>
          <w:tcPr>
            <w:tcW w:w="716" w:type="dxa"/>
            <w:tcBorders>
              <w:top w:val="single" w:color="auto" w:sz="4" w:space="0"/>
            </w:tcBorders>
            <w:noWrap/>
          </w:tcPr>
          <w:p w14:paraId="3D88F739">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7</w:t>
            </w:r>
          </w:p>
        </w:tc>
        <w:tc>
          <w:tcPr>
            <w:tcW w:w="873" w:type="dxa"/>
            <w:tcBorders>
              <w:top w:val="single" w:color="auto" w:sz="4" w:space="0"/>
            </w:tcBorders>
            <w:noWrap/>
          </w:tcPr>
          <w:p w14:paraId="58A3C5F9">
            <w:pPr>
              <w:pStyle w:val="12"/>
              <w:spacing w:line="235" w:lineRule="exact"/>
              <w:rPr>
                <w:rFonts w:ascii="宋体" w:hAnsi="宋体" w:eastAsia="宋体" w:cs="宋体"/>
                <w:sz w:val="20"/>
              </w:rPr>
            </w:pPr>
            <w:r>
              <w:rPr>
                <w:rFonts w:hint="eastAsia" w:ascii="宋体" w:hAnsi="宋体" w:eastAsia="宋体" w:cs="宋体"/>
                <w:sz w:val="20"/>
                <w:lang w:eastAsia="zh-CN"/>
              </w:rPr>
              <w:t>7</w:t>
            </w:r>
          </w:p>
        </w:tc>
        <w:tc>
          <w:tcPr>
            <w:tcW w:w="1450" w:type="dxa"/>
            <w:tcBorders>
              <w:top w:val="single" w:color="auto" w:sz="4" w:space="0"/>
            </w:tcBorders>
            <w:noWrap/>
          </w:tcPr>
          <w:p w14:paraId="6C8D3C93">
            <w:pPr>
              <w:pStyle w:val="12"/>
              <w:spacing w:line="235" w:lineRule="exact"/>
              <w:rPr>
                <w:rFonts w:ascii="宋体" w:hAnsi="宋体" w:eastAsia="宋体" w:cs="宋体"/>
                <w:sz w:val="20"/>
              </w:rPr>
            </w:pPr>
          </w:p>
        </w:tc>
      </w:tr>
      <w:tr w14:paraId="5F88A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extDirection w:val="tbRlV"/>
          </w:tcPr>
          <w:p w14:paraId="12DBF503">
            <w:pPr>
              <w:pStyle w:val="12"/>
              <w:rPr>
                <w:rFonts w:ascii="宋体" w:hAnsi="宋体" w:eastAsia="宋体" w:cs="宋体"/>
              </w:rPr>
            </w:pPr>
          </w:p>
        </w:tc>
        <w:tc>
          <w:tcPr>
            <w:tcW w:w="1019" w:type="dxa"/>
            <w:vMerge w:val="continue"/>
            <w:tcBorders>
              <w:top w:val="nil"/>
              <w:bottom w:val="nil"/>
            </w:tcBorders>
            <w:noWrap/>
          </w:tcPr>
          <w:p w14:paraId="4EEAD1AE">
            <w:pPr>
              <w:pStyle w:val="12"/>
              <w:rPr>
                <w:rFonts w:ascii="宋体" w:hAnsi="宋体" w:eastAsia="宋体" w:cs="宋体"/>
              </w:rPr>
            </w:pPr>
          </w:p>
        </w:tc>
        <w:tc>
          <w:tcPr>
            <w:tcW w:w="996" w:type="dxa"/>
            <w:tcBorders>
              <w:top w:val="single" w:color="auto" w:sz="4" w:space="0"/>
              <w:bottom w:val="single" w:color="auto" w:sz="4" w:space="0"/>
            </w:tcBorders>
            <w:noWrap/>
          </w:tcPr>
          <w:p w14:paraId="6AEDFC9A">
            <w:pPr>
              <w:spacing w:before="274" w:line="226" w:lineRule="auto"/>
              <w:ind w:left="139"/>
              <w:rPr>
                <w:rFonts w:ascii="宋体" w:hAnsi="宋体" w:eastAsia="宋体" w:cs="宋体"/>
                <w:sz w:val="19"/>
                <w:szCs w:val="19"/>
              </w:rPr>
            </w:pPr>
            <w:r>
              <w:rPr>
                <w:rFonts w:hint="eastAsia" w:ascii="宋体" w:hAnsi="宋体" w:eastAsia="宋体" w:cs="宋体"/>
                <w:spacing w:val="3"/>
                <w:sz w:val="19"/>
                <w:szCs w:val="19"/>
              </w:rPr>
              <w:t>时效指标</w:t>
            </w:r>
          </w:p>
        </w:tc>
        <w:tc>
          <w:tcPr>
            <w:tcW w:w="1445" w:type="dxa"/>
            <w:noWrap/>
          </w:tcPr>
          <w:p w14:paraId="6B45DB0C">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工作完成时效</w:t>
            </w:r>
          </w:p>
        </w:tc>
        <w:tc>
          <w:tcPr>
            <w:tcW w:w="1232" w:type="dxa"/>
            <w:noWrap/>
          </w:tcPr>
          <w:p w14:paraId="4564D084">
            <w:pPr>
              <w:spacing w:line="235" w:lineRule="exact"/>
              <w:rPr>
                <w:rFonts w:ascii="宋体" w:hAnsi="宋体" w:eastAsia="宋体" w:cs="宋体"/>
                <w:sz w:val="20"/>
              </w:rPr>
            </w:pPr>
            <w:r>
              <w:rPr>
                <w:rFonts w:hint="eastAsia" w:ascii="宋体" w:hAnsi="宋体" w:eastAsia="宋体" w:cs="宋体"/>
                <w:sz w:val="20"/>
              </w:rPr>
              <w:t>100%</w:t>
            </w:r>
          </w:p>
        </w:tc>
        <w:tc>
          <w:tcPr>
            <w:tcW w:w="1268" w:type="dxa"/>
            <w:noWrap/>
          </w:tcPr>
          <w:p w14:paraId="121E9219">
            <w:pPr>
              <w:spacing w:line="235" w:lineRule="exact"/>
              <w:rPr>
                <w:rFonts w:ascii="宋体" w:hAnsi="宋体" w:eastAsia="宋体" w:cs="宋体"/>
                <w:sz w:val="20"/>
              </w:rPr>
            </w:pPr>
            <w:r>
              <w:rPr>
                <w:rFonts w:hint="eastAsia" w:ascii="宋体" w:hAnsi="宋体" w:eastAsia="宋体" w:cs="宋体"/>
                <w:sz w:val="20"/>
              </w:rPr>
              <w:t>100%</w:t>
            </w:r>
          </w:p>
        </w:tc>
        <w:tc>
          <w:tcPr>
            <w:tcW w:w="716" w:type="dxa"/>
            <w:noWrap/>
          </w:tcPr>
          <w:p w14:paraId="35657AFF">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7</w:t>
            </w:r>
          </w:p>
        </w:tc>
        <w:tc>
          <w:tcPr>
            <w:tcW w:w="873" w:type="dxa"/>
            <w:noWrap/>
          </w:tcPr>
          <w:p w14:paraId="2DF473AE">
            <w:pPr>
              <w:pStyle w:val="12"/>
              <w:spacing w:line="235" w:lineRule="exact"/>
              <w:rPr>
                <w:rFonts w:ascii="宋体" w:hAnsi="宋体" w:eastAsia="宋体" w:cs="宋体"/>
                <w:sz w:val="20"/>
              </w:rPr>
            </w:pPr>
            <w:r>
              <w:rPr>
                <w:rFonts w:hint="eastAsia" w:ascii="宋体" w:hAnsi="宋体" w:eastAsia="宋体" w:cs="宋体"/>
                <w:sz w:val="20"/>
                <w:lang w:eastAsia="zh-CN"/>
              </w:rPr>
              <w:t>7</w:t>
            </w:r>
          </w:p>
        </w:tc>
        <w:tc>
          <w:tcPr>
            <w:tcW w:w="1450" w:type="dxa"/>
            <w:noWrap/>
          </w:tcPr>
          <w:p w14:paraId="691B6E94">
            <w:pPr>
              <w:pStyle w:val="12"/>
              <w:spacing w:line="235" w:lineRule="exact"/>
              <w:rPr>
                <w:rFonts w:ascii="宋体" w:hAnsi="宋体" w:eastAsia="宋体" w:cs="宋体"/>
                <w:sz w:val="20"/>
              </w:rPr>
            </w:pPr>
          </w:p>
        </w:tc>
      </w:tr>
      <w:tr w14:paraId="7B79E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extDirection w:val="tbRlV"/>
          </w:tcPr>
          <w:p w14:paraId="49E3DC13">
            <w:pPr>
              <w:pStyle w:val="12"/>
              <w:rPr>
                <w:rFonts w:ascii="宋体" w:hAnsi="宋体" w:eastAsia="宋体" w:cs="宋体"/>
              </w:rPr>
            </w:pPr>
          </w:p>
        </w:tc>
        <w:tc>
          <w:tcPr>
            <w:tcW w:w="1019" w:type="dxa"/>
            <w:vMerge w:val="continue"/>
            <w:tcBorders>
              <w:top w:val="nil"/>
              <w:bottom w:val="single" w:color="auto" w:sz="4" w:space="0"/>
            </w:tcBorders>
            <w:noWrap/>
          </w:tcPr>
          <w:p w14:paraId="104695F1">
            <w:pPr>
              <w:pStyle w:val="12"/>
              <w:rPr>
                <w:rFonts w:ascii="宋体" w:hAnsi="宋体" w:eastAsia="宋体" w:cs="宋体"/>
              </w:rPr>
            </w:pPr>
          </w:p>
        </w:tc>
        <w:tc>
          <w:tcPr>
            <w:tcW w:w="996" w:type="dxa"/>
            <w:tcBorders>
              <w:top w:val="single" w:color="auto" w:sz="4" w:space="0"/>
              <w:bottom w:val="single" w:color="auto" w:sz="4" w:space="0"/>
            </w:tcBorders>
            <w:noWrap/>
          </w:tcPr>
          <w:p w14:paraId="4956CBA4">
            <w:pPr>
              <w:spacing w:before="273" w:line="226" w:lineRule="auto"/>
              <w:ind w:left="125"/>
              <w:rPr>
                <w:rFonts w:ascii="宋体" w:hAnsi="宋体" w:eastAsia="宋体" w:cs="宋体"/>
                <w:sz w:val="19"/>
                <w:szCs w:val="19"/>
              </w:rPr>
            </w:pPr>
            <w:r>
              <w:rPr>
                <w:rFonts w:hint="eastAsia" w:ascii="宋体" w:hAnsi="宋体" w:eastAsia="宋体" w:cs="宋体"/>
                <w:spacing w:val="6"/>
                <w:sz w:val="19"/>
                <w:szCs w:val="19"/>
              </w:rPr>
              <w:t>成本指标</w:t>
            </w:r>
          </w:p>
        </w:tc>
        <w:tc>
          <w:tcPr>
            <w:tcW w:w="1445" w:type="dxa"/>
            <w:noWrap/>
          </w:tcPr>
          <w:p w14:paraId="6C402A2C">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成本控制率</w:t>
            </w:r>
          </w:p>
        </w:tc>
        <w:tc>
          <w:tcPr>
            <w:tcW w:w="1232" w:type="dxa"/>
            <w:noWrap/>
          </w:tcPr>
          <w:p w14:paraId="706A5B00">
            <w:pPr>
              <w:spacing w:line="235" w:lineRule="exact"/>
              <w:rPr>
                <w:rFonts w:ascii="宋体" w:hAnsi="宋体" w:eastAsia="宋体" w:cs="宋体"/>
                <w:sz w:val="20"/>
              </w:rPr>
            </w:pPr>
            <w:r>
              <w:rPr>
                <w:rFonts w:hint="eastAsia" w:ascii="宋体" w:hAnsi="宋体" w:eastAsia="宋体" w:cs="宋体"/>
                <w:sz w:val="20"/>
              </w:rPr>
              <w:t>100%</w:t>
            </w:r>
          </w:p>
        </w:tc>
        <w:tc>
          <w:tcPr>
            <w:tcW w:w="1268" w:type="dxa"/>
            <w:noWrap/>
          </w:tcPr>
          <w:p w14:paraId="3224DAE2">
            <w:pPr>
              <w:spacing w:line="235" w:lineRule="exact"/>
              <w:rPr>
                <w:rFonts w:ascii="宋体" w:hAnsi="宋体" w:eastAsia="宋体" w:cs="宋体"/>
                <w:sz w:val="20"/>
              </w:rPr>
            </w:pPr>
            <w:r>
              <w:rPr>
                <w:rFonts w:hint="eastAsia" w:ascii="宋体" w:hAnsi="宋体" w:eastAsia="宋体" w:cs="宋体"/>
                <w:sz w:val="20"/>
              </w:rPr>
              <w:t>100%</w:t>
            </w:r>
          </w:p>
        </w:tc>
        <w:tc>
          <w:tcPr>
            <w:tcW w:w="716" w:type="dxa"/>
            <w:noWrap/>
          </w:tcPr>
          <w:p w14:paraId="762A6D8F">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7</w:t>
            </w:r>
          </w:p>
        </w:tc>
        <w:tc>
          <w:tcPr>
            <w:tcW w:w="873" w:type="dxa"/>
            <w:noWrap/>
          </w:tcPr>
          <w:p w14:paraId="39551B5C">
            <w:pPr>
              <w:pStyle w:val="12"/>
              <w:spacing w:line="235" w:lineRule="exact"/>
              <w:rPr>
                <w:rFonts w:ascii="宋体" w:hAnsi="宋体" w:eastAsia="宋体" w:cs="宋体"/>
                <w:sz w:val="20"/>
              </w:rPr>
            </w:pPr>
            <w:r>
              <w:rPr>
                <w:rFonts w:hint="eastAsia" w:ascii="宋体" w:hAnsi="宋体" w:eastAsia="宋体" w:cs="宋体"/>
                <w:sz w:val="20"/>
                <w:lang w:eastAsia="zh-CN"/>
              </w:rPr>
              <w:t>7</w:t>
            </w:r>
          </w:p>
        </w:tc>
        <w:tc>
          <w:tcPr>
            <w:tcW w:w="1450" w:type="dxa"/>
            <w:noWrap/>
          </w:tcPr>
          <w:p w14:paraId="295F714A">
            <w:pPr>
              <w:pStyle w:val="12"/>
              <w:spacing w:line="235" w:lineRule="exact"/>
              <w:rPr>
                <w:rFonts w:ascii="宋体" w:hAnsi="宋体" w:eastAsia="宋体" w:cs="宋体"/>
                <w:sz w:val="20"/>
              </w:rPr>
            </w:pPr>
          </w:p>
        </w:tc>
      </w:tr>
      <w:tr w14:paraId="15D89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extDirection w:val="tbRlV"/>
          </w:tcPr>
          <w:p w14:paraId="4805B204">
            <w:pPr>
              <w:pStyle w:val="12"/>
              <w:rPr>
                <w:rFonts w:ascii="宋体" w:hAnsi="宋体" w:eastAsia="宋体" w:cs="宋体"/>
              </w:rPr>
            </w:pPr>
          </w:p>
        </w:tc>
        <w:tc>
          <w:tcPr>
            <w:tcW w:w="1019" w:type="dxa"/>
            <w:vMerge w:val="restart"/>
            <w:tcBorders>
              <w:top w:val="single" w:color="auto" w:sz="4" w:space="0"/>
              <w:bottom w:val="single" w:color="auto" w:sz="4" w:space="0"/>
            </w:tcBorders>
            <w:noWrap/>
          </w:tcPr>
          <w:p w14:paraId="41D406B8">
            <w:pPr>
              <w:pStyle w:val="12"/>
              <w:spacing w:line="256" w:lineRule="auto"/>
              <w:rPr>
                <w:rFonts w:ascii="宋体" w:hAnsi="宋体" w:eastAsia="宋体" w:cs="宋体"/>
              </w:rPr>
            </w:pPr>
          </w:p>
          <w:p w14:paraId="4F93A19D">
            <w:pPr>
              <w:pStyle w:val="12"/>
              <w:spacing w:line="256" w:lineRule="auto"/>
              <w:rPr>
                <w:rFonts w:ascii="宋体" w:hAnsi="宋体" w:eastAsia="宋体" w:cs="宋体"/>
              </w:rPr>
            </w:pPr>
          </w:p>
          <w:p w14:paraId="66D67BED">
            <w:pPr>
              <w:pStyle w:val="12"/>
              <w:spacing w:line="256" w:lineRule="auto"/>
              <w:rPr>
                <w:rFonts w:ascii="宋体" w:hAnsi="宋体" w:eastAsia="宋体" w:cs="宋体"/>
              </w:rPr>
            </w:pPr>
          </w:p>
          <w:p w14:paraId="0891DA14">
            <w:pPr>
              <w:pStyle w:val="12"/>
              <w:spacing w:line="256" w:lineRule="auto"/>
              <w:rPr>
                <w:rFonts w:ascii="宋体" w:hAnsi="宋体" w:eastAsia="宋体" w:cs="宋体"/>
              </w:rPr>
            </w:pPr>
          </w:p>
          <w:p w14:paraId="524D1B6E">
            <w:pPr>
              <w:spacing w:before="62" w:line="480" w:lineRule="exact"/>
              <w:ind w:left="115"/>
              <w:rPr>
                <w:rFonts w:ascii="宋体" w:hAnsi="宋体" w:eastAsia="宋体" w:cs="宋体"/>
                <w:sz w:val="19"/>
                <w:szCs w:val="19"/>
              </w:rPr>
            </w:pPr>
            <w:r>
              <w:rPr>
                <w:rFonts w:hint="eastAsia" w:ascii="宋体" w:hAnsi="宋体" w:eastAsia="宋体" w:cs="宋体"/>
                <w:spacing w:val="6"/>
                <w:position w:val="22"/>
                <w:sz w:val="19"/>
                <w:szCs w:val="19"/>
              </w:rPr>
              <w:t>效益指标</w:t>
            </w:r>
          </w:p>
          <w:p w14:paraId="606FD627">
            <w:pPr>
              <w:spacing w:line="227" w:lineRule="auto"/>
              <w:ind w:left="107"/>
              <w:rPr>
                <w:rFonts w:ascii="宋体" w:hAnsi="宋体" w:eastAsia="宋体" w:cs="宋体"/>
                <w:sz w:val="19"/>
                <w:szCs w:val="19"/>
              </w:rPr>
            </w:pPr>
            <w:r>
              <w:rPr>
                <w:rFonts w:hint="eastAsia" w:ascii="宋体" w:hAnsi="宋体" w:eastAsia="宋体" w:cs="宋体"/>
                <w:spacing w:val="3"/>
                <w:sz w:val="19"/>
                <w:szCs w:val="19"/>
              </w:rPr>
              <w:t>（30分）</w:t>
            </w:r>
          </w:p>
        </w:tc>
        <w:tc>
          <w:tcPr>
            <w:tcW w:w="996" w:type="dxa"/>
            <w:tcBorders>
              <w:top w:val="single" w:color="auto" w:sz="4" w:space="0"/>
              <w:bottom w:val="single" w:color="auto" w:sz="4" w:space="0"/>
            </w:tcBorders>
            <w:noWrap/>
          </w:tcPr>
          <w:p w14:paraId="38349AD1">
            <w:pPr>
              <w:spacing w:before="154" w:line="233" w:lineRule="auto"/>
              <w:ind w:left="226"/>
              <w:rPr>
                <w:rFonts w:ascii="宋体" w:hAnsi="宋体" w:eastAsia="宋体" w:cs="宋体"/>
                <w:sz w:val="19"/>
                <w:szCs w:val="19"/>
              </w:rPr>
            </w:pPr>
            <w:r>
              <w:rPr>
                <w:rFonts w:hint="eastAsia" w:ascii="宋体" w:hAnsi="宋体" w:eastAsia="宋体" w:cs="宋体"/>
                <w:spacing w:val="5"/>
                <w:sz w:val="19"/>
                <w:szCs w:val="19"/>
              </w:rPr>
              <w:t>经济效</w:t>
            </w:r>
          </w:p>
          <w:p w14:paraId="721C9EBA">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tc>
        <w:tc>
          <w:tcPr>
            <w:tcW w:w="1445" w:type="dxa"/>
            <w:noWrap/>
          </w:tcPr>
          <w:p w14:paraId="4F6E30D8">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居民收入提高</w:t>
            </w:r>
          </w:p>
        </w:tc>
        <w:tc>
          <w:tcPr>
            <w:tcW w:w="1232" w:type="dxa"/>
            <w:noWrap/>
          </w:tcPr>
          <w:p w14:paraId="7F043A58">
            <w:pPr>
              <w:spacing w:line="235" w:lineRule="exact"/>
              <w:rPr>
                <w:rFonts w:ascii="宋体" w:hAnsi="宋体" w:eastAsia="宋体" w:cs="宋体"/>
                <w:sz w:val="20"/>
              </w:rPr>
            </w:pPr>
            <w:r>
              <w:rPr>
                <w:rFonts w:hint="eastAsia" w:ascii="宋体" w:hAnsi="宋体" w:eastAsia="宋体" w:cs="宋体"/>
                <w:sz w:val="20"/>
              </w:rPr>
              <w:t>100%</w:t>
            </w:r>
          </w:p>
        </w:tc>
        <w:tc>
          <w:tcPr>
            <w:tcW w:w="1268" w:type="dxa"/>
            <w:noWrap/>
          </w:tcPr>
          <w:p w14:paraId="49DEBFC9">
            <w:pPr>
              <w:spacing w:line="235" w:lineRule="exact"/>
              <w:rPr>
                <w:rFonts w:ascii="宋体" w:hAnsi="宋体" w:eastAsia="宋体" w:cs="宋体"/>
                <w:sz w:val="20"/>
              </w:rPr>
            </w:pPr>
            <w:r>
              <w:rPr>
                <w:rFonts w:hint="eastAsia" w:ascii="宋体" w:hAnsi="宋体" w:eastAsia="宋体" w:cs="宋体"/>
                <w:sz w:val="20"/>
              </w:rPr>
              <w:t>100%</w:t>
            </w:r>
          </w:p>
        </w:tc>
        <w:tc>
          <w:tcPr>
            <w:tcW w:w="716" w:type="dxa"/>
            <w:noWrap/>
          </w:tcPr>
          <w:p w14:paraId="3A614CC0">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7</w:t>
            </w:r>
          </w:p>
        </w:tc>
        <w:tc>
          <w:tcPr>
            <w:tcW w:w="873" w:type="dxa"/>
            <w:noWrap/>
          </w:tcPr>
          <w:p w14:paraId="2A7D36B3">
            <w:pPr>
              <w:pStyle w:val="12"/>
              <w:spacing w:line="235" w:lineRule="exact"/>
              <w:rPr>
                <w:rFonts w:ascii="宋体" w:hAnsi="宋体" w:eastAsia="宋体" w:cs="宋体"/>
                <w:sz w:val="20"/>
              </w:rPr>
            </w:pPr>
            <w:r>
              <w:rPr>
                <w:rFonts w:hint="eastAsia" w:ascii="宋体" w:hAnsi="宋体" w:eastAsia="宋体" w:cs="宋体"/>
                <w:sz w:val="20"/>
                <w:lang w:eastAsia="zh-CN"/>
              </w:rPr>
              <w:t>7</w:t>
            </w:r>
          </w:p>
        </w:tc>
        <w:tc>
          <w:tcPr>
            <w:tcW w:w="1450" w:type="dxa"/>
            <w:noWrap/>
          </w:tcPr>
          <w:p w14:paraId="310FB94B">
            <w:pPr>
              <w:pStyle w:val="12"/>
              <w:spacing w:line="235" w:lineRule="exact"/>
              <w:rPr>
                <w:rFonts w:ascii="宋体" w:hAnsi="宋体" w:eastAsia="宋体" w:cs="宋体"/>
                <w:sz w:val="20"/>
              </w:rPr>
            </w:pPr>
          </w:p>
        </w:tc>
      </w:tr>
      <w:tr w14:paraId="322CB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extDirection w:val="tbRlV"/>
          </w:tcPr>
          <w:p w14:paraId="62B1E758">
            <w:pPr>
              <w:pStyle w:val="12"/>
              <w:rPr>
                <w:rFonts w:ascii="宋体" w:hAnsi="宋体" w:eastAsia="宋体" w:cs="宋体"/>
              </w:rPr>
            </w:pPr>
          </w:p>
        </w:tc>
        <w:tc>
          <w:tcPr>
            <w:tcW w:w="1019" w:type="dxa"/>
            <w:vMerge w:val="continue"/>
            <w:tcBorders>
              <w:top w:val="single" w:color="auto" w:sz="4" w:space="0"/>
              <w:bottom w:val="single" w:color="auto" w:sz="4" w:space="0"/>
            </w:tcBorders>
            <w:noWrap/>
          </w:tcPr>
          <w:p w14:paraId="3571064D">
            <w:pPr>
              <w:pStyle w:val="12"/>
              <w:rPr>
                <w:rFonts w:ascii="宋体" w:hAnsi="宋体" w:eastAsia="宋体" w:cs="宋体"/>
              </w:rPr>
            </w:pPr>
          </w:p>
        </w:tc>
        <w:tc>
          <w:tcPr>
            <w:tcW w:w="996" w:type="dxa"/>
            <w:vMerge w:val="restart"/>
            <w:tcBorders>
              <w:top w:val="single" w:color="auto" w:sz="4" w:space="0"/>
              <w:bottom w:val="single" w:color="auto" w:sz="4" w:space="0"/>
            </w:tcBorders>
            <w:noWrap/>
          </w:tcPr>
          <w:p w14:paraId="45B2100B">
            <w:pPr>
              <w:spacing w:before="153" w:line="233" w:lineRule="auto"/>
              <w:ind w:left="225"/>
              <w:rPr>
                <w:rFonts w:ascii="宋体" w:hAnsi="宋体" w:eastAsia="宋体" w:cs="宋体"/>
                <w:sz w:val="19"/>
                <w:szCs w:val="19"/>
              </w:rPr>
            </w:pPr>
            <w:r>
              <w:rPr>
                <w:rFonts w:hint="eastAsia" w:ascii="宋体" w:hAnsi="宋体" w:eastAsia="宋体" w:cs="宋体"/>
                <w:spacing w:val="6"/>
                <w:sz w:val="19"/>
                <w:szCs w:val="19"/>
              </w:rPr>
              <w:t>社会效</w:t>
            </w:r>
          </w:p>
          <w:p w14:paraId="08A02079">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tc>
        <w:tc>
          <w:tcPr>
            <w:tcW w:w="1445" w:type="dxa"/>
            <w:noWrap/>
          </w:tcPr>
          <w:p w14:paraId="777A0320">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社会治安</w:t>
            </w:r>
          </w:p>
        </w:tc>
        <w:tc>
          <w:tcPr>
            <w:tcW w:w="1232" w:type="dxa"/>
            <w:noWrap/>
          </w:tcPr>
          <w:p w14:paraId="0A1B2D4D">
            <w:pPr>
              <w:spacing w:line="235" w:lineRule="exact"/>
              <w:rPr>
                <w:rFonts w:ascii="宋体" w:hAnsi="宋体" w:eastAsia="宋体" w:cs="宋体"/>
                <w:sz w:val="20"/>
              </w:rPr>
            </w:pPr>
            <w:r>
              <w:rPr>
                <w:rFonts w:hint="eastAsia" w:ascii="宋体" w:hAnsi="宋体" w:eastAsia="宋体" w:cs="宋体"/>
                <w:sz w:val="20"/>
              </w:rPr>
              <w:t>100%</w:t>
            </w:r>
          </w:p>
        </w:tc>
        <w:tc>
          <w:tcPr>
            <w:tcW w:w="1268" w:type="dxa"/>
            <w:noWrap/>
          </w:tcPr>
          <w:p w14:paraId="131CEBAF">
            <w:pPr>
              <w:spacing w:line="235" w:lineRule="exact"/>
              <w:rPr>
                <w:rFonts w:ascii="宋体" w:hAnsi="宋体" w:eastAsia="宋体" w:cs="宋体"/>
                <w:sz w:val="20"/>
              </w:rPr>
            </w:pPr>
            <w:r>
              <w:rPr>
                <w:rFonts w:hint="eastAsia" w:ascii="宋体" w:hAnsi="宋体" w:eastAsia="宋体" w:cs="宋体"/>
                <w:sz w:val="20"/>
              </w:rPr>
              <w:t>100%</w:t>
            </w:r>
          </w:p>
        </w:tc>
        <w:tc>
          <w:tcPr>
            <w:tcW w:w="716" w:type="dxa"/>
            <w:noWrap/>
          </w:tcPr>
          <w:p w14:paraId="1B8489DC">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4</w:t>
            </w:r>
          </w:p>
        </w:tc>
        <w:tc>
          <w:tcPr>
            <w:tcW w:w="873" w:type="dxa"/>
            <w:noWrap/>
          </w:tcPr>
          <w:p w14:paraId="6B5EE9DC">
            <w:pPr>
              <w:pStyle w:val="12"/>
              <w:spacing w:line="235" w:lineRule="exact"/>
              <w:rPr>
                <w:rFonts w:ascii="宋体" w:hAnsi="宋体" w:eastAsia="宋体" w:cs="宋体"/>
                <w:sz w:val="20"/>
              </w:rPr>
            </w:pPr>
            <w:r>
              <w:rPr>
                <w:rFonts w:hint="eastAsia" w:ascii="宋体" w:hAnsi="宋体" w:eastAsia="宋体" w:cs="宋体"/>
                <w:sz w:val="20"/>
                <w:lang w:eastAsia="zh-CN"/>
              </w:rPr>
              <w:t>4</w:t>
            </w:r>
          </w:p>
        </w:tc>
        <w:tc>
          <w:tcPr>
            <w:tcW w:w="1450" w:type="dxa"/>
            <w:noWrap/>
          </w:tcPr>
          <w:p w14:paraId="0DAAAAA1">
            <w:pPr>
              <w:pStyle w:val="12"/>
              <w:spacing w:line="235" w:lineRule="exact"/>
              <w:rPr>
                <w:rFonts w:ascii="宋体" w:hAnsi="宋体" w:eastAsia="宋体" w:cs="宋体"/>
                <w:sz w:val="20"/>
              </w:rPr>
            </w:pPr>
          </w:p>
        </w:tc>
      </w:tr>
      <w:tr w14:paraId="62888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extDirection w:val="tbRlV"/>
          </w:tcPr>
          <w:p w14:paraId="69B136BD">
            <w:pPr>
              <w:pStyle w:val="12"/>
              <w:rPr>
                <w:rFonts w:ascii="宋体" w:hAnsi="宋体" w:eastAsia="宋体" w:cs="宋体"/>
              </w:rPr>
            </w:pPr>
          </w:p>
        </w:tc>
        <w:tc>
          <w:tcPr>
            <w:tcW w:w="1019" w:type="dxa"/>
            <w:vMerge w:val="continue"/>
            <w:tcBorders>
              <w:top w:val="single" w:color="auto" w:sz="4" w:space="0"/>
              <w:bottom w:val="single" w:color="auto" w:sz="4" w:space="0"/>
            </w:tcBorders>
            <w:noWrap/>
          </w:tcPr>
          <w:p w14:paraId="24723F09">
            <w:pPr>
              <w:pStyle w:val="12"/>
              <w:rPr>
                <w:rFonts w:ascii="宋体" w:hAnsi="宋体" w:eastAsia="宋体" w:cs="宋体"/>
              </w:rPr>
            </w:pPr>
          </w:p>
        </w:tc>
        <w:tc>
          <w:tcPr>
            <w:tcW w:w="996" w:type="dxa"/>
            <w:vMerge w:val="continue"/>
            <w:tcBorders>
              <w:top w:val="single" w:color="auto" w:sz="4" w:space="0"/>
              <w:bottom w:val="single" w:color="auto" w:sz="4" w:space="0"/>
            </w:tcBorders>
            <w:noWrap/>
          </w:tcPr>
          <w:p w14:paraId="26644A6F">
            <w:pPr>
              <w:pStyle w:val="12"/>
              <w:rPr>
                <w:rFonts w:ascii="宋体" w:hAnsi="宋体" w:eastAsia="宋体" w:cs="宋体"/>
              </w:rPr>
            </w:pPr>
          </w:p>
        </w:tc>
        <w:tc>
          <w:tcPr>
            <w:tcW w:w="1445" w:type="dxa"/>
            <w:noWrap/>
          </w:tcPr>
          <w:p w14:paraId="6E6CAE95">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民生服务提升</w:t>
            </w:r>
          </w:p>
        </w:tc>
        <w:tc>
          <w:tcPr>
            <w:tcW w:w="1232" w:type="dxa"/>
            <w:noWrap/>
          </w:tcPr>
          <w:p w14:paraId="6855D210">
            <w:pPr>
              <w:spacing w:line="235" w:lineRule="exact"/>
              <w:rPr>
                <w:rFonts w:ascii="宋体" w:hAnsi="宋体" w:eastAsia="宋体" w:cs="宋体"/>
                <w:sz w:val="20"/>
              </w:rPr>
            </w:pPr>
            <w:r>
              <w:rPr>
                <w:rFonts w:hint="eastAsia" w:ascii="宋体" w:hAnsi="宋体" w:eastAsia="宋体" w:cs="宋体"/>
                <w:sz w:val="20"/>
              </w:rPr>
              <w:t>100%</w:t>
            </w:r>
          </w:p>
        </w:tc>
        <w:tc>
          <w:tcPr>
            <w:tcW w:w="1268" w:type="dxa"/>
            <w:noWrap/>
          </w:tcPr>
          <w:p w14:paraId="2F11523B">
            <w:pPr>
              <w:spacing w:line="235" w:lineRule="exact"/>
              <w:rPr>
                <w:rFonts w:ascii="宋体" w:hAnsi="宋体" w:eastAsia="宋体" w:cs="宋体"/>
                <w:sz w:val="20"/>
              </w:rPr>
            </w:pPr>
            <w:r>
              <w:rPr>
                <w:rFonts w:hint="eastAsia" w:ascii="宋体" w:hAnsi="宋体" w:eastAsia="宋体" w:cs="宋体"/>
                <w:sz w:val="20"/>
              </w:rPr>
              <w:t>100%</w:t>
            </w:r>
          </w:p>
        </w:tc>
        <w:tc>
          <w:tcPr>
            <w:tcW w:w="716" w:type="dxa"/>
            <w:noWrap/>
          </w:tcPr>
          <w:p w14:paraId="0E0CAD54">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4</w:t>
            </w:r>
          </w:p>
        </w:tc>
        <w:tc>
          <w:tcPr>
            <w:tcW w:w="873" w:type="dxa"/>
            <w:noWrap/>
          </w:tcPr>
          <w:p w14:paraId="3DD80989">
            <w:pPr>
              <w:pStyle w:val="12"/>
              <w:spacing w:line="235" w:lineRule="exact"/>
              <w:rPr>
                <w:rFonts w:ascii="宋体" w:hAnsi="宋体" w:eastAsia="宋体" w:cs="宋体"/>
                <w:sz w:val="20"/>
              </w:rPr>
            </w:pPr>
            <w:r>
              <w:rPr>
                <w:rFonts w:hint="eastAsia" w:ascii="宋体" w:hAnsi="宋体" w:eastAsia="宋体" w:cs="宋体"/>
                <w:sz w:val="20"/>
                <w:lang w:eastAsia="zh-CN"/>
              </w:rPr>
              <w:t>4</w:t>
            </w:r>
          </w:p>
        </w:tc>
        <w:tc>
          <w:tcPr>
            <w:tcW w:w="1450" w:type="dxa"/>
            <w:noWrap/>
          </w:tcPr>
          <w:p w14:paraId="2AB018E3">
            <w:pPr>
              <w:pStyle w:val="12"/>
              <w:spacing w:line="235" w:lineRule="exact"/>
              <w:rPr>
                <w:rFonts w:ascii="宋体" w:hAnsi="宋体" w:eastAsia="宋体" w:cs="宋体"/>
                <w:sz w:val="20"/>
              </w:rPr>
            </w:pPr>
          </w:p>
        </w:tc>
      </w:tr>
      <w:tr w14:paraId="26822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extDirection w:val="tbRlV"/>
          </w:tcPr>
          <w:p w14:paraId="061054F3">
            <w:pPr>
              <w:pStyle w:val="12"/>
              <w:rPr>
                <w:rFonts w:ascii="宋体" w:hAnsi="宋体" w:eastAsia="宋体" w:cs="宋体"/>
              </w:rPr>
            </w:pPr>
          </w:p>
        </w:tc>
        <w:tc>
          <w:tcPr>
            <w:tcW w:w="1019" w:type="dxa"/>
            <w:vMerge w:val="continue"/>
            <w:tcBorders>
              <w:top w:val="single" w:color="auto" w:sz="4" w:space="0"/>
              <w:bottom w:val="single" w:color="auto" w:sz="4" w:space="0"/>
            </w:tcBorders>
            <w:noWrap/>
          </w:tcPr>
          <w:p w14:paraId="7A68D769">
            <w:pPr>
              <w:pStyle w:val="12"/>
              <w:rPr>
                <w:rFonts w:ascii="宋体" w:hAnsi="宋体" w:eastAsia="宋体" w:cs="宋体"/>
              </w:rPr>
            </w:pPr>
          </w:p>
        </w:tc>
        <w:tc>
          <w:tcPr>
            <w:tcW w:w="996" w:type="dxa"/>
            <w:tcBorders>
              <w:top w:val="single" w:color="auto" w:sz="4" w:space="0"/>
              <w:bottom w:val="single" w:color="auto" w:sz="4" w:space="0"/>
            </w:tcBorders>
            <w:noWrap/>
          </w:tcPr>
          <w:p w14:paraId="4FA741E5">
            <w:pPr>
              <w:spacing w:before="154" w:line="233" w:lineRule="auto"/>
              <w:ind w:left="234"/>
              <w:rPr>
                <w:rFonts w:ascii="宋体" w:hAnsi="宋体" w:eastAsia="宋体" w:cs="宋体"/>
                <w:sz w:val="19"/>
                <w:szCs w:val="19"/>
              </w:rPr>
            </w:pPr>
            <w:r>
              <w:rPr>
                <w:rFonts w:hint="eastAsia" w:ascii="宋体" w:hAnsi="宋体" w:eastAsia="宋体" w:cs="宋体"/>
                <w:spacing w:val="3"/>
                <w:sz w:val="19"/>
                <w:szCs w:val="19"/>
              </w:rPr>
              <w:t>生态效</w:t>
            </w:r>
          </w:p>
          <w:p w14:paraId="1D5CF4B9">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tc>
        <w:tc>
          <w:tcPr>
            <w:tcW w:w="1445" w:type="dxa"/>
            <w:noWrap/>
          </w:tcPr>
          <w:p w14:paraId="6C4451F6">
            <w:pPr>
              <w:pStyle w:val="12"/>
              <w:spacing w:line="235" w:lineRule="exact"/>
              <w:jc w:val="center"/>
              <w:rPr>
                <w:rFonts w:ascii="宋体" w:hAnsi="宋体" w:eastAsia="宋体" w:cs="宋体"/>
                <w:sz w:val="20"/>
                <w:lang w:eastAsia="zh-CN"/>
              </w:rPr>
            </w:pPr>
            <w:r>
              <w:rPr>
                <w:rFonts w:hint="eastAsia" w:ascii="宋体" w:hAnsi="宋体" w:eastAsia="宋体" w:cs="宋体"/>
                <w:sz w:val="20"/>
                <w:lang w:eastAsia="zh-CN"/>
              </w:rPr>
              <w:t>环境治理全覆盖</w:t>
            </w:r>
          </w:p>
        </w:tc>
        <w:tc>
          <w:tcPr>
            <w:tcW w:w="1232" w:type="dxa"/>
            <w:noWrap/>
          </w:tcPr>
          <w:p w14:paraId="03D989F2">
            <w:pPr>
              <w:spacing w:line="235" w:lineRule="exact"/>
              <w:rPr>
                <w:rFonts w:ascii="宋体" w:hAnsi="宋体" w:eastAsia="宋体" w:cs="宋体"/>
                <w:sz w:val="20"/>
              </w:rPr>
            </w:pPr>
            <w:r>
              <w:rPr>
                <w:rFonts w:hint="eastAsia" w:ascii="宋体" w:hAnsi="宋体" w:eastAsia="宋体" w:cs="宋体"/>
                <w:sz w:val="20"/>
              </w:rPr>
              <w:t>100%</w:t>
            </w:r>
          </w:p>
        </w:tc>
        <w:tc>
          <w:tcPr>
            <w:tcW w:w="1268" w:type="dxa"/>
            <w:noWrap/>
          </w:tcPr>
          <w:p w14:paraId="79A67E05">
            <w:pPr>
              <w:spacing w:line="235" w:lineRule="exact"/>
              <w:rPr>
                <w:rFonts w:ascii="宋体" w:hAnsi="宋体" w:eastAsia="宋体" w:cs="宋体"/>
                <w:sz w:val="20"/>
              </w:rPr>
            </w:pPr>
            <w:r>
              <w:rPr>
                <w:rFonts w:hint="eastAsia" w:ascii="宋体" w:hAnsi="宋体" w:eastAsia="宋体" w:cs="宋体"/>
                <w:sz w:val="20"/>
              </w:rPr>
              <w:t>100%</w:t>
            </w:r>
          </w:p>
        </w:tc>
        <w:tc>
          <w:tcPr>
            <w:tcW w:w="716" w:type="dxa"/>
            <w:noWrap/>
          </w:tcPr>
          <w:p w14:paraId="3A7AB5E8">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7</w:t>
            </w:r>
          </w:p>
        </w:tc>
        <w:tc>
          <w:tcPr>
            <w:tcW w:w="873" w:type="dxa"/>
            <w:noWrap/>
          </w:tcPr>
          <w:p w14:paraId="23A536FB">
            <w:pPr>
              <w:pStyle w:val="12"/>
              <w:spacing w:line="235" w:lineRule="exact"/>
              <w:rPr>
                <w:rFonts w:ascii="宋体" w:hAnsi="宋体" w:eastAsia="宋体" w:cs="宋体"/>
                <w:sz w:val="20"/>
              </w:rPr>
            </w:pPr>
            <w:r>
              <w:rPr>
                <w:rFonts w:hint="eastAsia" w:ascii="宋体" w:hAnsi="宋体" w:eastAsia="宋体" w:cs="宋体"/>
                <w:sz w:val="20"/>
                <w:lang w:eastAsia="zh-CN"/>
              </w:rPr>
              <w:t>7</w:t>
            </w:r>
          </w:p>
        </w:tc>
        <w:tc>
          <w:tcPr>
            <w:tcW w:w="1450" w:type="dxa"/>
            <w:noWrap/>
          </w:tcPr>
          <w:p w14:paraId="1E7656BD">
            <w:pPr>
              <w:pStyle w:val="12"/>
              <w:spacing w:line="235" w:lineRule="exact"/>
              <w:rPr>
                <w:rFonts w:ascii="宋体" w:hAnsi="宋体" w:eastAsia="宋体" w:cs="宋体"/>
                <w:sz w:val="20"/>
              </w:rPr>
            </w:pPr>
          </w:p>
        </w:tc>
      </w:tr>
      <w:tr w14:paraId="057F8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noWrap/>
            <w:textDirection w:val="tbRlV"/>
          </w:tcPr>
          <w:p w14:paraId="092DC47C">
            <w:pPr>
              <w:pStyle w:val="12"/>
              <w:rPr>
                <w:rFonts w:ascii="宋体" w:hAnsi="宋体" w:eastAsia="宋体" w:cs="宋体"/>
              </w:rPr>
            </w:pPr>
          </w:p>
        </w:tc>
        <w:tc>
          <w:tcPr>
            <w:tcW w:w="1019" w:type="dxa"/>
            <w:vMerge w:val="continue"/>
            <w:tcBorders>
              <w:top w:val="single" w:color="auto" w:sz="4" w:space="0"/>
              <w:bottom w:val="single" w:color="auto" w:sz="4" w:space="0"/>
            </w:tcBorders>
            <w:noWrap/>
          </w:tcPr>
          <w:p w14:paraId="1A8ED8EB">
            <w:pPr>
              <w:pStyle w:val="12"/>
              <w:rPr>
                <w:rFonts w:ascii="宋体" w:hAnsi="宋体" w:eastAsia="宋体" w:cs="宋体"/>
              </w:rPr>
            </w:pPr>
          </w:p>
        </w:tc>
        <w:tc>
          <w:tcPr>
            <w:tcW w:w="996" w:type="dxa"/>
            <w:vMerge w:val="restart"/>
            <w:tcBorders>
              <w:top w:val="single" w:color="auto" w:sz="4" w:space="0"/>
              <w:bottom w:val="single" w:color="auto" w:sz="4" w:space="0"/>
            </w:tcBorders>
            <w:noWrap/>
          </w:tcPr>
          <w:p w14:paraId="09477F1D">
            <w:pPr>
              <w:spacing w:before="207" w:line="230" w:lineRule="auto"/>
              <w:ind w:left="227" w:right="116" w:hanging="98"/>
              <w:rPr>
                <w:rFonts w:ascii="宋体" w:hAnsi="宋体" w:eastAsia="宋体" w:cs="宋体"/>
                <w:sz w:val="19"/>
                <w:szCs w:val="19"/>
              </w:rPr>
            </w:pPr>
            <w:r>
              <w:rPr>
                <w:rFonts w:hint="eastAsia" w:ascii="宋体" w:hAnsi="宋体" w:cs="宋体"/>
                <w:sz w:val="19"/>
                <w:szCs w:val="19"/>
              </w:rPr>
              <w:t>可持续影响指标</w:t>
            </w:r>
          </w:p>
        </w:tc>
        <w:tc>
          <w:tcPr>
            <w:tcW w:w="1445" w:type="dxa"/>
            <w:noWrap/>
          </w:tcPr>
          <w:p w14:paraId="30792976">
            <w:pPr>
              <w:pStyle w:val="12"/>
              <w:jc w:val="center"/>
              <w:rPr>
                <w:rFonts w:ascii="宋体" w:hAnsi="宋体" w:eastAsia="宋体" w:cs="宋体"/>
                <w:lang w:eastAsia="zh-CN"/>
              </w:rPr>
            </w:pPr>
            <w:r>
              <w:rPr>
                <w:rFonts w:hint="eastAsia" w:ascii="宋体" w:hAnsi="宋体" w:eastAsia="宋体" w:cs="宋体"/>
                <w:lang w:eastAsia="zh-CN"/>
              </w:rPr>
              <w:t>无信访事件</w:t>
            </w:r>
          </w:p>
        </w:tc>
        <w:tc>
          <w:tcPr>
            <w:tcW w:w="1232" w:type="dxa"/>
            <w:noWrap/>
          </w:tcPr>
          <w:p w14:paraId="185EFD5D">
            <w:pPr>
              <w:rPr>
                <w:rFonts w:ascii="宋体" w:hAnsi="宋体" w:eastAsia="宋体" w:cs="宋体"/>
              </w:rPr>
            </w:pPr>
            <w:r>
              <w:rPr>
                <w:rFonts w:hint="eastAsia" w:ascii="宋体" w:hAnsi="宋体" w:eastAsia="宋体" w:cs="宋体"/>
                <w:sz w:val="20"/>
              </w:rPr>
              <w:t>100%</w:t>
            </w:r>
          </w:p>
        </w:tc>
        <w:tc>
          <w:tcPr>
            <w:tcW w:w="1268" w:type="dxa"/>
            <w:noWrap/>
          </w:tcPr>
          <w:p w14:paraId="0FC5F75E">
            <w:pPr>
              <w:rPr>
                <w:rFonts w:ascii="宋体" w:hAnsi="宋体" w:eastAsia="宋体" w:cs="宋体"/>
              </w:rPr>
            </w:pPr>
            <w:r>
              <w:rPr>
                <w:rFonts w:hint="eastAsia" w:ascii="宋体" w:hAnsi="宋体" w:eastAsia="宋体" w:cs="宋体"/>
                <w:sz w:val="20"/>
              </w:rPr>
              <w:t>100%</w:t>
            </w:r>
          </w:p>
        </w:tc>
        <w:tc>
          <w:tcPr>
            <w:tcW w:w="716" w:type="dxa"/>
            <w:noWrap/>
          </w:tcPr>
          <w:p w14:paraId="469681AF">
            <w:pPr>
              <w:pStyle w:val="12"/>
              <w:rPr>
                <w:rFonts w:ascii="宋体" w:hAnsi="宋体" w:eastAsia="宋体" w:cs="宋体"/>
                <w:lang w:eastAsia="zh-CN"/>
              </w:rPr>
            </w:pPr>
            <w:r>
              <w:rPr>
                <w:rFonts w:hint="eastAsia" w:ascii="宋体" w:hAnsi="宋体" w:eastAsia="宋体" w:cs="宋体"/>
                <w:lang w:eastAsia="zh-CN"/>
              </w:rPr>
              <w:t>4</w:t>
            </w:r>
          </w:p>
        </w:tc>
        <w:tc>
          <w:tcPr>
            <w:tcW w:w="873" w:type="dxa"/>
            <w:noWrap/>
          </w:tcPr>
          <w:p w14:paraId="22571B80">
            <w:pPr>
              <w:pStyle w:val="12"/>
              <w:rPr>
                <w:rFonts w:ascii="宋体" w:hAnsi="宋体" w:eastAsia="宋体" w:cs="宋体"/>
              </w:rPr>
            </w:pPr>
            <w:r>
              <w:rPr>
                <w:rFonts w:hint="eastAsia" w:ascii="宋体" w:hAnsi="宋体" w:eastAsia="宋体" w:cs="宋体"/>
                <w:lang w:eastAsia="zh-CN"/>
              </w:rPr>
              <w:t>4</w:t>
            </w:r>
          </w:p>
        </w:tc>
        <w:tc>
          <w:tcPr>
            <w:tcW w:w="1450" w:type="dxa"/>
            <w:noWrap/>
          </w:tcPr>
          <w:p w14:paraId="49CB2EBA">
            <w:pPr>
              <w:pStyle w:val="12"/>
              <w:rPr>
                <w:rFonts w:ascii="宋体" w:hAnsi="宋体" w:eastAsia="宋体" w:cs="宋体"/>
              </w:rPr>
            </w:pPr>
          </w:p>
        </w:tc>
      </w:tr>
      <w:tr w14:paraId="37D0C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tcBorders>
            <w:noWrap/>
            <w:textDirection w:val="tbRlV"/>
          </w:tcPr>
          <w:p w14:paraId="020261E0">
            <w:pPr>
              <w:pStyle w:val="12"/>
              <w:rPr>
                <w:rFonts w:ascii="宋体" w:hAnsi="宋体" w:eastAsia="宋体" w:cs="宋体"/>
              </w:rPr>
            </w:pPr>
          </w:p>
        </w:tc>
        <w:tc>
          <w:tcPr>
            <w:tcW w:w="1019" w:type="dxa"/>
            <w:vMerge w:val="continue"/>
            <w:tcBorders>
              <w:top w:val="single" w:color="auto" w:sz="4" w:space="0"/>
              <w:bottom w:val="single" w:color="auto" w:sz="4" w:space="0"/>
            </w:tcBorders>
            <w:noWrap/>
          </w:tcPr>
          <w:p w14:paraId="2050D104">
            <w:pPr>
              <w:pStyle w:val="12"/>
              <w:rPr>
                <w:rFonts w:ascii="宋体" w:hAnsi="宋体" w:eastAsia="宋体" w:cs="宋体"/>
              </w:rPr>
            </w:pPr>
          </w:p>
        </w:tc>
        <w:tc>
          <w:tcPr>
            <w:tcW w:w="996" w:type="dxa"/>
            <w:vMerge w:val="continue"/>
            <w:tcBorders>
              <w:top w:val="single" w:color="auto" w:sz="4" w:space="0"/>
              <w:bottom w:val="single" w:color="auto" w:sz="4" w:space="0"/>
            </w:tcBorders>
            <w:noWrap/>
          </w:tcPr>
          <w:p w14:paraId="36DDDC53">
            <w:pPr>
              <w:pStyle w:val="12"/>
              <w:rPr>
                <w:rFonts w:ascii="宋体" w:hAnsi="宋体" w:eastAsia="宋体" w:cs="宋体"/>
              </w:rPr>
            </w:pPr>
          </w:p>
        </w:tc>
        <w:tc>
          <w:tcPr>
            <w:tcW w:w="1445" w:type="dxa"/>
            <w:noWrap/>
          </w:tcPr>
          <w:p w14:paraId="70DD0D82">
            <w:pPr>
              <w:pStyle w:val="12"/>
              <w:jc w:val="center"/>
              <w:rPr>
                <w:rFonts w:ascii="宋体" w:hAnsi="宋体" w:eastAsia="宋体" w:cs="宋体"/>
                <w:lang w:eastAsia="zh-CN"/>
              </w:rPr>
            </w:pPr>
            <w:r>
              <w:rPr>
                <w:rFonts w:hint="eastAsia" w:ascii="宋体" w:hAnsi="宋体" w:eastAsia="宋体" w:cs="宋体"/>
                <w:lang w:eastAsia="zh-CN"/>
              </w:rPr>
              <w:t>无重大事故</w:t>
            </w:r>
          </w:p>
        </w:tc>
        <w:tc>
          <w:tcPr>
            <w:tcW w:w="1232" w:type="dxa"/>
            <w:noWrap/>
          </w:tcPr>
          <w:p w14:paraId="1DC3CF0B">
            <w:pPr>
              <w:rPr>
                <w:rFonts w:ascii="宋体" w:hAnsi="宋体" w:eastAsia="宋体" w:cs="宋体"/>
              </w:rPr>
            </w:pPr>
            <w:r>
              <w:rPr>
                <w:rFonts w:hint="eastAsia" w:ascii="宋体" w:hAnsi="宋体" w:eastAsia="宋体" w:cs="宋体"/>
                <w:sz w:val="20"/>
              </w:rPr>
              <w:t>100%</w:t>
            </w:r>
          </w:p>
        </w:tc>
        <w:tc>
          <w:tcPr>
            <w:tcW w:w="1268" w:type="dxa"/>
            <w:noWrap/>
          </w:tcPr>
          <w:p w14:paraId="2DF663BE">
            <w:pPr>
              <w:rPr>
                <w:rFonts w:ascii="宋体" w:hAnsi="宋体" w:eastAsia="宋体" w:cs="宋体"/>
              </w:rPr>
            </w:pPr>
            <w:r>
              <w:rPr>
                <w:rFonts w:hint="eastAsia" w:ascii="宋体" w:hAnsi="宋体" w:eastAsia="宋体" w:cs="宋体"/>
                <w:sz w:val="20"/>
              </w:rPr>
              <w:t>100%</w:t>
            </w:r>
          </w:p>
        </w:tc>
        <w:tc>
          <w:tcPr>
            <w:tcW w:w="716" w:type="dxa"/>
            <w:noWrap/>
          </w:tcPr>
          <w:p w14:paraId="292154F7">
            <w:pPr>
              <w:pStyle w:val="12"/>
              <w:rPr>
                <w:rFonts w:ascii="宋体" w:hAnsi="宋体" w:eastAsia="宋体" w:cs="宋体"/>
                <w:lang w:eastAsia="zh-CN"/>
              </w:rPr>
            </w:pPr>
            <w:r>
              <w:rPr>
                <w:rFonts w:hint="eastAsia" w:ascii="宋体" w:hAnsi="宋体" w:eastAsia="宋体" w:cs="宋体"/>
                <w:lang w:eastAsia="zh-CN"/>
              </w:rPr>
              <w:t>4</w:t>
            </w:r>
          </w:p>
        </w:tc>
        <w:tc>
          <w:tcPr>
            <w:tcW w:w="873" w:type="dxa"/>
            <w:noWrap/>
          </w:tcPr>
          <w:p w14:paraId="6CA5AC2C">
            <w:pPr>
              <w:pStyle w:val="12"/>
              <w:rPr>
                <w:rFonts w:ascii="宋体" w:hAnsi="宋体" w:eastAsia="宋体" w:cs="宋体"/>
              </w:rPr>
            </w:pPr>
            <w:r>
              <w:rPr>
                <w:rFonts w:hint="eastAsia" w:ascii="宋体" w:hAnsi="宋体" w:eastAsia="宋体" w:cs="宋体"/>
                <w:lang w:eastAsia="zh-CN"/>
              </w:rPr>
              <w:t>4</w:t>
            </w:r>
          </w:p>
        </w:tc>
        <w:tc>
          <w:tcPr>
            <w:tcW w:w="1450" w:type="dxa"/>
            <w:noWrap/>
          </w:tcPr>
          <w:p w14:paraId="027EF3F3">
            <w:pPr>
              <w:pStyle w:val="12"/>
              <w:rPr>
                <w:rFonts w:ascii="宋体" w:hAnsi="宋体" w:eastAsia="宋体" w:cs="宋体"/>
              </w:rPr>
            </w:pPr>
          </w:p>
        </w:tc>
      </w:tr>
      <w:tr w14:paraId="6B9FC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textDirection w:val="tbRlV"/>
          </w:tcPr>
          <w:p w14:paraId="606D5ABB">
            <w:pPr>
              <w:pStyle w:val="12"/>
              <w:rPr>
                <w:rFonts w:ascii="宋体" w:hAnsi="宋体" w:eastAsia="宋体" w:cs="宋体"/>
              </w:rPr>
            </w:pPr>
          </w:p>
        </w:tc>
        <w:tc>
          <w:tcPr>
            <w:tcW w:w="1019" w:type="dxa"/>
            <w:tcBorders>
              <w:top w:val="single" w:color="auto" w:sz="4" w:space="0"/>
              <w:bottom w:val="single" w:color="auto" w:sz="4" w:space="0"/>
            </w:tcBorders>
            <w:noWrap/>
          </w:tcPr>
          <w:p w14:paraId="1C9BF0FF">
            <w:pPr>
              <w:spacing w:before="110" w:line="226" w:lineRule="auto"/>
              <w:ind w:left="251"/>
              <w:rPr>
                <w:rFonts w:ascii="宋体" w:hAnsi="宋体" w:eastAsia="宋体" w:cs="宋体"/>
                <w:sz w:val="19"/>
                <w:szCs w:val="19"/>
              </w:rPr>
            </w:pPr>
            <w:r>
              <w:rPr>
                <w:rFonts w:hint="eastAsia" w:ascii="宋体" w:hAnsi="宋体" w:eastAsia="宋体" w:cs="宋体"/>
                <w:spacing w:val="4"/>
                <w:sz w:val="19"/>
                <w:szCs w:val="19"/>
              </w:rPr>
              <w:t>满意度</w:t>
            </w:r>
          </w:p>
          <w:p w14:paraId="392B2F54">
            <w:pPr>
              <w:spacing w:before="7" w:line="226" w:lineRule="auto"/>
              <w:ind w:left="345"/>
              <w:rPr>
                <w:rFonts w:ascii="宋体" w:hAnsi="宋体" w:eastAsia="宋体" w:cs="宋体"/>
                <w:sz w:val="19"/>
                <w:szCs w:val="19"/>
              </w:rPr>
            </w:pPr>
            <w:r>
              <w:rPr>
                <w:rFonts w:hint="eastAsia" w:ascii="宋体" w:hAnsi="宋体" w:eastAsia="宋体" w:cs="宋体"/>
                <w:spacing w:val="3"/>
                <w:sz w:val="19"/>
                <w:szCs w:val="19"/>
              </w:rPr>
              <w:t>指标</w:t>
            </w:r>
          </w:p>
          <w:p w14:paraId="276843DE">
            <w:pPr>
              <w:spacing w:before="7" w:line="227" w:lineRule="auto"/>
              <w:ind w:left="114"/>
              <w:rPr>
                <w:rFonts w:ascii="宋体" w:hAnsi="宋体" w:eastAsia="宋体" w:cs="宋体"/>
                <w:sz w:val="19"/>
                <w:szCs w:val="19"/>
              </w:rPr>
            </w:pPr>
            <w:r>
              <w:rPr>
                <w:rFonts w:hint="eastAsia" w:ascii="宋体" w:hAnsi="宋体" w:eastAsia="宋体" w:cs="宋体"/>
                <w:spacing w:val="3"/>
                <w:sz w:val="19"/>
                <w:szCs w:val="19"/>
              </w:rPr>
              <w:t>（10分）</w:t>
            </w:r>
          </w:p>
        </w:tc>
        <w:tc>
          <w:tcPr>
            <w:tcW w:w="996" w:type="dxa"/>
            <w:tcBorders>
              <w:top w:val="single" w:color="auto" w:sz="4" w:space="0"/>
              <w:bottom w:val="single" w:color="auto" w:sz="4" w:space="0"/>
            </w:tcBorders>
            <w:noWrap/>
          </w:tcPr>
          <w:p w14:paraId="28774960">
            <w:pPr>
              <w:spacing w:before="110" w:line="226" w:lineRule="auto"/>
              <w:ind w:left="123"/>
              <w:rPr>
                <w:rFonts w:ascii="宋体" w:hAnsi="宋体" w:eastAsia="宋体" w:cs="宋体"/>
                <w:sz w:val="19"/>
                <w:szCs w:val="19"/>
              </w:rPr>
            </w:pPr>
            <w:r>
              <w:rPr>
                <w:rFonts w:hint="eastAsia" w:ascii="宋体" w:hAnsi="宋体" w:eastAsia="宋体" w:cs="宋体"/>
                <w:spacing w:val="7"/>
                <w:sz w:val="19"/>
                <w:szCs w:val="19"/>
              </w:rPr>
              <w:t>服务对象</w:t>
            </w:r>
          </w:p>
          <w:p w14:paraId="15866F0D">
            <w:pPr>
              <w:spacing w:before="7" w:line="226" w:lineRule="auto"/>
              <w:ind w:left="129"/>
              <w:rPr>
                <w:rFonts w:ascii="宋体" w:hAnsi="宋体" w:eastAsia="宋体" w:cs="宋体"/>
                <w:sz w:val="19"/>
                <w:szCs w:val="19"/>
              </w:rPr>
            </w:pPr>
            <w:r>
              <w:rPr>
                <w:rFonts w:hint="eastAsia" w:ascii="宋体" w:hAnsi="宋体" w:eastAsia="宋体" w:cs="宋体"/>
                <w:spacing w:val="5"/>
                <w:sz w:val="19"/>
                <w:szCs w:val="19"/>
              </w:rPr>
              <w:t>满意度指</w:t>
            </w:r>
          </w:p>
          <w:p w14:paraId="6999FE54">
            <w:pPr>
              <w:spacing w:before="7" w:line="226" w:lineRule="auto"/>
              <w:ind w:left="419"/>
              <w:rPr>
                <w:rFonts w:ascii="宋体" w:hAnsi="宋体" w:eastAsia="宋体" w:cs="宋体"/>
                <w:sz w:val="19"/>
                <w:szCs w:val="19"/>
              </w:rPr>
            </w:pPr>
            <w:r>
              <w:rPr>
                <w:rFonts w:hint="eastAsia" w:ascii="宋体" w:hAnsi="宋体" w:eastAsia="宋体" w:cs="宋体"/>
                <w:spacing w:val="2"/>
                <w:sz w:val="19"/>
                <w:szCs w:val="19"/>
              </w:rPr>
              <w:t>标</w:t>
            </w:r>
          </w:p>
        </w:tc>
        <w:tc>
          <w:tcPr>
            <w:tcW w:w="1445" w:type="dxa"/>
            <w:noWrap/>
          </w:tcPr>
          <w:p w14:paraId="47A90443">
            <w:pPr>
              <w:pStyle w:val="12"/>
              <w:jc w:val="center"/>
              <w:rPr>
                <w:rFonts w:ascii="宋体" w:hAnsi="宋体" w:eastAsia="宋体" w:cs="宋体"/>
                <w:lang w:eastAsia="zh-CN"/>
              </w:rPr>
            </w:pPr>
            <w:r>
              <w:rPr>
                <w:rFonts w:hint="eastAsia" w:ascii="宋体" w:hAnsi="宋体" w:eastAsia="宋体" w:cs="宋体"/>
                <w:lang w:eastAsia="zh-CN"/>
              </w:rPr>
              <w:t>社会公众满意度</w:t>
            </w:r>
          </w:p>
        </w:tc>
        <w:tc>
          <w:tcPr>
            <w:tcW w:w="1232" w:type="dxa"/>
            <w:noWrap/>
          </w:tcPr>
          <w:p w14:paraId="43647B0F">
            <w:pPr>
              <w:rPr>
                <w:rFonts w:ascii="宋体" w:hAnsi="宋体" w:eastAsia="宋体" w:cs="宋体"/>
              </w:rPr>
            </w:pPr>
            <w:r>
              <w:rPr>
                <w:rFonts w:hint="eastAsia" w:ascii="宋体" w:hAnsi="宋体" w:eastAsia="宋体" w:cs="宋体"/>
                <w:sz w:val="20"/>
              </w:rPr>
              <w:t>100%</w:t>
            </w:r>
          </w:p>
        </w:tc>
        <w:tc>
          <w:tcPr>
            <w:tcW w:w="1268" w:type="dxa"/>
            <w:noWrap/>
          </w:tcPr>
          <w:p w14:paraId="1EBE5A8D">
            <w:pPr>
              <w:rPr>
                <w:rFonts w:ascii="宋体" w:hAnsi="宋体" w:eastAsia="宋体" w:cs="宋体"/>
              </w:rPr>
            </w:pPr>
            <w:r>
              <w:rPr>
                <w:rFonts w:hint="eastAsia" w:ascii="宋体" w:hAnsi="宋体" w:eastAsia="宋体" w:cs="宋体"/>
                <w:sz w:val="20"/>
              </w:rPr>
              <w:t>98%</w:t>
            </w:r>
          </w:p>
        </w:tc>
        <w:tc>
          <w:tcPr>
            <w:tcW w:w="716" w:type="dxa"/>
            <w:noWrap/>
          </w:tcPr>
          <w:p w14:paraId="79E90527">
            <w:pPr>
              <w:pStyle w:val="12"/>
              <w:rPr>
                <w:rFonts w:ascii="宋体" w:hAnsi="宋体" w:eastAsia="宋体" w:cs="宋体"/>
                <w:lang w:eastAsia="zh-CN"/>
              </w:rPr>
            </w:pPr>
            <w:r>
              <w:rPr>
                <w:rFonts w:hint="eastAsia" w:ascii="宋体" w:hAnsi="宋体" w:eastAsia="宋体" w:cs="宋体"/>
                <w:lang w:eastAsia="zh-CN"/>
              </w:rPr>
              <w:t>10</w:t>
            </w:r>
          </w:p>
        </w:tc>
        <w:tc>
          <w:tcPr>
            <w:tcW w:w="873" w:type="dxa"/>
            <w:noWrap/>
          </w:tcPr>
          <w:p w14:paraId="36ADDB8B">
            <w:pPr>
              <w:pStyle w:val="12"/>
              <w:rPr>
                <w:rFonts w:ascii="宋体" w:hAnsi="宋体" w:eastAsia="宋体" w:cs="宋体"/>
                <w:lang w:eastAsia="zh-CN"/>
              </w:rPr>
            </w:pPr>
            <w:r>
              <w:rPr>
                <w:rFonts w:hint="eastAsia" w:ascii="宋体" w:hAnsi="宋体" w:eastAsia="宋体" w:cs="宋体"/>
                <w:lang w:eastAsia="zh-CN"/>
              </w:rPr>
              <w:t>9</w:t>
            </w:r>
          </w:p>
        </w:tc>
        <w:tc>
          <w:tcPr>
            <w:tcW w:w="1450" w:type="dxa"/>
            <w:noWrap/>
          </w:tcPr>
          <w:p w14:paraId="36EFF6C0">
            <w:pPr>
              <w:pStyle w:val="12"/>
              <w:rPr>
                <w:rFonts w:ascii="宋体" w:hAnsi="宋体" w:eastAsia="宋体" w:cs="宋体"/>
              </w:rPr>
            </w:pPr>
          </w:p>
        </w:tc>
      </w:tr>
      <w:tr w14:paraId="3D64A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tcPr>
          <w:p w14:paraId="75540C77">
            <w:pPr>
              <w:spacing w:before="41" w:line="221" w:lineRule="auto"/>
              <w:ind w:left="3343"/>
              <w:rPr>
                <w:rFonts w:ascii="宋体" w:hAnsi="宋体" w:eastAsia="宋体" w:cs="宋体"/>
                <w:sz w:val="19"/>
                <w:szCs w:val="19"/>
              </w:rPr>
            </w:pPr>
            <w:r>
              <w:rPr>
                <w:rFonts w:hint="eastAsia" w:ascii="宋体" w:hAnsi="宋体" w:eastAsia="宋体" w:cs="宋体"/>
                <w:spacing w:val="-1"/>
                <w:sz w:val="19"/>
                <w:szCs w:val="19"/>
              </w:rPr>
              <w:t>总分</w:t>
            </w:r>
          </w:p>
        </w:tc>
        <w:tc>
          <w:tcPr>
            <w:tcW w:w="716" w:type="dxa"/>
            <w:noWrap/>
          </w:tcPr>
          <w:p w14:paraId="6A7EECE4">
            <w:pPr>
              <w:spacing w:before="75" w:line="195" w:lineRule="auto"/>
              <w:ind w:left="230"/>
              <w:rPr>
                <w:rFonts w:ascii="宋体" w:hAnsi="宋体" w:eastAsia="宋体" w:cs="宋体"/>
                <w:sz w:val="19"/>
                <w:szCs w:val="19"/>
              </w:rPr>
            </w:pPr>
            <w:r>
              <w:rPr>
                <w:rFonts w:hint="eastAsia" w:ascii="宋体" w:hAnsi="宋体" w:eastAsia="宋体" w:cs="宋体"/>
                <w:spacing w:val="-4"/>
                <w:sz w:val="19"/>
                <w:szCs w:val="19"/>
              </w:rPr>
              <w:t>100</w:t>
            </w:r>
          </w:p>
        </w:tc>
        <w:tc>
          <w:tcPr>
            <w:tcW w:w="873" w:type="dxa"/>
            <w:noWrap/>
          </w:tcPr>
          <w:p w14:paraId="54103402">
            <w:pPr>
              <w:pStyle w:val="12"/>
              <w:rPr>
                <w:rFonts w:hint="default" w:ascii="宋体" w:hAnsi="宋体" w:eastAsia="宋体" w:cs="宋体"/>
                <w:lang w:val="en-US" w:eastAsia="zh-CN"/>
              </w:rPr>
            </w:pPr>
            <w:r>
              <w:rPr>
                <w:rFonts w:hint="eastAsia" w:ascii="宋体" w:hAnsi="宋体" w:eastAsia="宋体" w:cs="宋体"/>
                <w:lang w:eastAsia="zh-CN"/>
              </w:rPr>
              <w:t>98</w:t>
            </w:r>
            <w:r>
              <w:rPr>
                <w:rFonts w:hint="eastAsia" w:ascii="宋体" w:hAnsi="宋体" w:eastAsia="宋体" w:cs="宋体"/>
                <w:lang w:val="en-US" w:eastAsia="zh-CN"/>
              </w:rPr>
              <w:t>.93</w:t>
            </w:r>
          </w:p>
        </w:tc>
        <w:tc>
          <w:tcPr>
            <w:tcW w:w="1450" w:type="dxa"/>
            <w:noWrap/>
          </w:tcPr>
          <w:p w14:paraId="631D58A3">
            <w:pPr>
              <w:pStyle w:val="12"/>
              <w:rPr>
                <w:rFonts w:ascii="宋体" w:hAnsi="宋体" w:eastAsia="宋体" w:cs="宋体"/>
              </w:rPr>
            </w:pPr>
          </w:p>
        </w:tc>
      </w:tr>
    </w:tbl>
    <w:p w14:paraId="2D93BD39">
      <w:pPr>
        <w:jc w:val="left"/>
        <w:rPr>
          <w:rFonts w:ascii="宋体" w:hAnsi="宋体" w:eastAsia="宋体" w:cs="宋体"/>
          <w:color w:val="000000"/>
          <w:sz w:val="23"/>
          <w:szCs w:val="23"/>
        </w:rPr>
      </w:pPr>
    </w:p>
    <w:p w14:paraId="72F64FAE">
      <w:pPr>
        <w:jc w:val="left"/>
        <w:rPr>
          <w:rFonts w:ascii="宋体" w:hAnsi="宋体" w:eastAsia="宋体" w:cs="宋体"/>
          <w:color w:val="000000"/>
          <w:sz w:val="23"/>
          <w:szCs w:val="23"/>
        </w:rPr>
      </w:pPr>
    </w:p>
    <w:p w14:paraId="704FDE26">
      <w:pPr>
        <w:jc w:val="left"/>
        <w:rPr>
          <w:rFonts w:eastAsia="宋体"/>
          <w:sz w:val="28"/>
          <w:szCs w:val="28"/>
        </w:rPr>
        <w:sectPr>
          <w:footerReference r:id="rId4" w:type="default"/>
          <w:pgSz w:w="11900" w:h="16833"/>
          <w:pgMar w:top="1429" w:right="1106" w:bottom="1253" w:left="1111" w:header="0" w:footer="964" w:gutter="0"/>
          <w:cols w:space="0" w:num="1"/>
        </w:sectPr>
      </w:pPr>
      <w:r>
        <w:rPr>
          <w:rFonts w:hint="eastAsia" w:ascii="宋体" w:hAnsi="宋体" w:eastAsia="宋体" w:cs="宋体"/>
          <w:color w:val="000000"/>
          <w:sz w:val="23"/>
          <w:szCs w:val="23"/>
        </w:rPr>
        <w:t>单位负责人签字：白晓   填表人：梁琴 联系电话：18007302626填报日期：2025年7月30日</w:t>
      </w:r>
    </w:p>
    <w:p w14:paraId="7C0E64CA">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D6F5E8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6A74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79275B28">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C11A1D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568D8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B19204C">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CF7A521">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3B2CB10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DE0594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043FF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E221D3A">
            <w:pPr>
              <w:spacing w:before="61" w:line="241" w:lineRule="auto"/>
              <w:ind w:right="141"/>
              <w:jc w:val="both"/>
              <w:rPr>
                <w:rFonts w:hint="eastAsia" w:ascii="宋体" w:hAnsi="宋体" w:eastAsia="宋体" w:cs="宋体"/>
                <w:sz w:val="19"/>
                <w:szCs w:val="19"/>
                <w:lang w:eastAsia="zh-CN"/>
              </w:rPr>
            </w:pPr>
          </w:p>
          <w:p w14:paraId="70CB7E1F">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5996A0C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E0BFC98">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123BA0E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517D20C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18EDF4E">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AB21360">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4053A78A">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0133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99AB5E0">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59401A2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0066335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noWrap w:val="0"/>
            <w:vAlign w:val="top"/>
          </w:tcPr>
          <w:p w14:paraId="6F2993AE">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4487B03B">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noWrap w:val="0"/>
            <w:vAlign w:val="top"/>
          </w:tcPr>
          <w:p w14:paraId="583CD6D0">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270D51EF">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571F59DE">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460B9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FE63EF7">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B8CB752">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5CBC318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C6D1B86">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2F9ED8D6">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CF01588">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42F4821">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5F996566">
            <w:pPr>
              <w:widowControl w:val="0"/>
              <w:jc w:val="both"/>
              <w:rPr>
                <w:rFonts w:hint="eastAsia" w:ascii="宋体" w:hAnsi="宋体" w:eastAsia="宋体" w:cs="宋体"/>
                <w:kern w:val="2"/>
                <w:sz w:val="21"/>
                <w:szCs w:val="21"/>
                <w:lang w:val="en-US" w:eastAsia="en-US" w:bidi="ar-SA"/>
              </w:rPr>
            </w:pPr>
          </w:p>
        </w:tc>
      </w:tr>
      <w:tr w14:paraId="02FAA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9912C24">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627E9204">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6BA3E8B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A4C7059">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7F9D0BF">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23BC17B9">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B6842DB">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65483AE">
            <w:pPr>
              <w:widowControl w:val="0"/>
              <w:jc w:val="both"/>
              <w:rPr>
                <w:rFonts w:hint="eastAsia" w:ascii="宋体" w:hAnsi="宋体" w:eastAsia="宋体" w:cs="宋体"/>
                <w:kern w:val="2"/>
                <w:sz w:val="21"/>
                <w:szCs w:val="21"/>
                <w:lang w:val="en-US" w:eastAsia="en-US" w:bidi="ar-SA"/>
              </w:rPr>
            </w:pPr>
          </w:p>
        </w:tc>
      </w:tr>
      <w:tr w14:paraId="12678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AE7C95F">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5CCD24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FC933B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D75B106">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6D9AEC91">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14BE625">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6D6E8C7">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E6D370C">
            <w:pPr>
              <w:widowControl w:val="0"/>
              <w:jc w:val="both"/>
              <w:rPr>
                <w:rFonts w:hint="eastAsia" w:ascii="宋体" w:hAnsi="宋体" w:eastAsia="宋体" w:cs="宋体"/>
                <w:kern w:val="2"/>
                <w:sz w:val="21"/>
                <w:szCs w:val="21"/>
                <w:lang w:val="en-US" w:eastAsia="en-US" w:bidi="ar-SA"/>
              </w:rPr>
            </w:pPr>
          </w:p>
        </w:tc>
      </w:tr>
      <w:tr w14:paraId="2F786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7B5FF5B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DB34F1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B297B6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3E819027">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D2F0AB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8B4F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521B16A5">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4A2B0195">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776E1AB0">
            <w:pPr>
              <w:widowControl w:val="0"/>
              <w:jc w:val="both"/>
              <w:rPr>
                <w:rFonts w:hint="eastAsia" w:ascii="宋体" w:hAnsi="宋体" w:eastAsia="宋体" w:cs="宋体"/>
                <w:kern w:val="2"/>
                <w:sz w:val="21"/>
                <w:szCs w:val="21"/>
                <w:lang w:val="en-US" w:eastAsia="en-US" w:bidi="ar-SA"/>
              </w:rPr>
            </w:pPr>
          </w:p>
        </w:tc>
      </w:tr>
      <w:tr w14:paraId="3C74D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01D722CC">
            <w:pPr>
              <w:widowControl w:val="0"/>
              <w:spacing w:line="366" w:lineRule="auto"/>
              <w:jc w:val="both"/>
              <w:rPr>
                <w:rFonts w:hint="eastAsia" w:ascii="宋体" w:hAnsi="宋体" w:eastAsia="宋体" w:cs="宋体"/>
                <w:kern w:val="2"/>
                <w:sz w:val="21"/>
                <w:szCs w:val="21"/>
                <w:lang w:val="en-US" w:eastAsia="en-US" w:bidi="ar-SA"/>
              </w:rPr>
            </w:pPr>
          </w:p>
          <w:p w14:paraId="7B2C3EB6">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3A0F8E3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4C5E565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71C192FA">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4D41F5B9">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954F83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91CB7F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2C99E053">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42791F8">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A6E941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508DE5A">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9E00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5AAF5A">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659FF788">
            <w:pPr>
              <w:widowControl w:val="0"/>
              <w:spacing w:line="256" w:lineRule="auto"/>
              <w:jc w:val="both"/>
              <w:rPr>
                <w:rFonts w:hint="eastAsia" w:ascii="宋体" w:hAnsi="宋体" w:eastAsia="宋体" w:cs="宋体"/>
                <w:kern w:val="2"/>
                <w:sz w:val="21"/>
                <w:szCs w:val="21"/>
                <w:lang w:val="en-US" w:eastAsia="en-US" w:bidi="ar-SA"/>
              </w:rPr>
            </w:pPr>
          </w:p>
          <w:p w14:paraId="35411A4A">
            <w:pPr>
              <w:widowControl w:val="0"/>
              <w:spacing w:line="256" w:lineRule="auto"/>
              <w:jc w:val="both"/>
              <w:rPr>
                <w:rFonts w:hint="eastAsia" w:ascii="宋体" w:hAnsi="宋体" w:eastAsia="宋体" w:cs="宋体"/>
                <w:kern w:val="2"/>
                <w:sz w:val="21"/>
                <w:szCs w:val="21"/>
                <w:lang w:val="en-US" w:eastAsia="en-US" w:bidi="ar-SA"/>
              </w:rPr>
            </w:pPr>
          </w:p>
          <w:p w14:paraId="4910B061">
            <w:pPr>
              <w:widowControl w:val="0"/>
              <w:spacing w:line="256" w:lineRule="auto"/>
              <w:jc w:val="both"/>
              <w:rPr>
                <w:rFonts w:hint="eastAsia" w:ascii="宋体" w:hAnsi="宋体" w:eastAsia="宋体" w:cs="宋体"/>
                <w:kern w:val="2"/>
                <w:sz w:val="21"/>
                <w:szCs w:val="21"/>
                <w:lang w:val="en-US" w:eastAsia="en-US" w:bidi="ar-SA"/>
              </w:rPr>
            </w:pPr>
          </w:p>
          <w:p w14:paraId="22395D5A">
            <w:pPr>
              <w:widowControl w:val="0"/>
              <w:spacing w:line="257" w:lineRule="auto"/>
              <w:jc w:val="both"/>
              <w:rPr>
                <w:rFonts w:hint="eastAsia" w:ascii="宋体" w:hAnsi="宋体" w:eastAsia="宋体" w:cs="宋体"/>
                <w:kern w:val="2"/>
                <w:sz w:val="21"/>
                <w:szCs w:val="21"/>
                <w:lang w:val="en-US" w:eastAsia="en-US" w:bidi="ar-SA"/>
              </w:rPr>
            </w:pPr>
          </w:p>
          <w:p w14:paraId="2F2CB5AE">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7580FAD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13C398CD">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291B1257">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06AC66B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0DE814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276BBC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74D323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751465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9C597FF">
            <w:pPr>
              <w:widowControl w:val="0"/>
              <w:spacing w:line="225" w:lineRule="exact"/>
              <w:jc w:val="both"/>
              <w:rPr>
                <w:rFonts w:hint="eastAsia" w:ascii="宋体" w:hAnsi="宋体" w:eastAsia="宋体" w:cs="宋体"/>
                <w:kern w:val="2"/>
                <w:sz w:val="19"/>
                <w:szCs w:val="21"/>
                <w:lang w:val="en-US" w:eastAsia="en-US" w:bidi="ar-SA"/>
              </w:rPr>
            </w:pPr>
          </w:p>
        </w:tc>
      </w:tr>
      <w:tr w14:paraId="5003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E5107C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7EE6027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F0C941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F70DB7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9E10D2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BF3078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8D47DF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50EB73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6CEBF50">
            <w:pPr>
              <w:widowControl w:val="0"/>
              <w:spacing w:line="225" w:lineRule="exact"/>
              <w:jc w:val="both"/>
              <w:rPr>
                <w:rFonts w:hint="eastAsia" w:ascii="宋体" w:hAnsi="宋体" w:eastAsia="宋体" w:cs="宋体"/>
                <w:kern w:val="2"/>
                <w:sz w:val="19"/>
                <w:szCs w:val="21"/>
                <w:lang w:val="en-US" w:eastAsia="en-US" w:bidi="ar-SA"/>
              </w:rPr>
            </w:pPr>
          </w:p>
        </w:tc>
      </w:tr>
      <w:tr w14:paraId="0E974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77BB5F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34AB7D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5F30CC0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FA0F02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23995A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DDF260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1F16B0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50E0D2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5EE2466">
            <w:pPr>
              <w:widowControl w:val="0"/>
              <w:spacing w:line="225" w:lineRule="exact"/>
              <w:jc w:val="both"/>
              <w:rPr>
                <w:rFonts w:hint="eastAsia" w:ascii="宋体" w:hAnsi="宋体" w:eastAsia="宋体" w:cs="宋体"/>
                <w:kern w:val="2"/>
                <w:sz w:val="19"/>
                <w:szCs w:val="21"/>
                <w:lang w:val="en-US" w:eastAsia="en-US" w:bidi="ar-SA"/>
              </w:rPr>
            </w:pPr>
          </w:p>
        </w:tc>
      </w:tr>
      <w:tr w14:paraId="74BC2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C55AFC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87DB23C">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6FD7E64D">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F3BAA4E">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540028B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1E5CE0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E151D2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7D1FC0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7DDEDC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C843BA3">
            <w:pPr>
              <w:widowControl w:val="0"/>
              <w:spacing w:line="225" w:lineRule="exact"/>
              <w:jc w:val="both"/>
              <w:rPr>
                <w:rFonts w:hint="eastAsia" w:ascii="宋体" w:hAnsi="宋体" w:eastAsia="宋体" w:cs="宋体"/>
                <w:kern w:val="2"/>
                <w:sz w:val="19"/>
                <w:szCs w:val="21"/>
                <w:lang w:val="en-US" w:eastAsia="en-US" w:bidi="ar-SA"/>
              </w:rPr>
            </w:pPr>
          </w:p>
        </w:tc>
      </w:tr>
      <w:tr w14:paraId="6A995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E3582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F5FE47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644017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8BC1AF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7E3982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63C069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9D76EC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9DB6CA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B80327A">
            <w:pPr>
              <w:widowControl w:val="0"/>
              <w:spacing w:line="225" w:lineRule="exact"/>
              <w:jc w:val="both"/>
              <w:rPr>
                <w:rFonts w:hint="eastAsia" w:ascii="宋体" w:hAnsi="宋体" w:eastAsia="宋体" w:cs="宋体"/>
                <w:kern w:val="2"/>
                <w:sz w:val="19"/>
                <w:szCs w:val="21"/>
                <w:lang w:val="en-US" w:eastAsia="en-US" w:bidi="ar-SA"/>
              </w:rPr>
            </w:pPr>
          </w:p>
        </w:tc>
      </w:tr>
      <w:tr w14:paraId="478DA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0DA26E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02ADC872">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6A006F9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7AE6FBD">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58D7B7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C9BC9D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080439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56B3BA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9855F5C">
            <w:pPr>
              <w:widowControl w:val="0"/>
              <w:spacing w:line="225" w:lineRule="exact"/>
              <w:jc w:val="both"/>
              <w:rPr>
                <w:rFonts w:hint="eastAsia" w:ascii="宋体" w:hAnsi="宋体" w:eastAsia="宋体" w:cs="宋体"/>
                <w:kern w:val="2"/>
                <w:sz w:val="19"/>
                <w:szCs w:val="21"/>
                <w:lang w:val="en-US" w:eastAsia="en-US" w:bidi="ar-SA"/>
              </w:rPr>
            </w:pPr>
          </w:p>
        </w:tc>
      </w:tr>
      <w:tr w14:paraId="7E560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06C9753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411A916">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7AD53BEF">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09517E23">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5A4E155A">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15C050B">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709E24D">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51A3BF48">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54A14505">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5BEBBBB">
            <w:pPr>
              <w:widowControl w:val="0"/>
              <w:spacing w:line="224" w:lineRule="exact"/>
              <w:jc w:val="both"/>
              <w:rPr>
                <w:rFonts w:hint="eastAsia" w:ascii="宋体" w:hAnsi="宋体" w:eastAsia="宋体" w:cs="宋体"/>
                <w:kern w:val="2"/>
                <w:sz w:val="19"/>
                <w:szCs w:val="21"/>
                <w:lang w:val="en-US" w:eastAsia="en-US" w:bidi="ar-SA"/>
              </w:rPr>
            </w:pPr>
          </w:p>
        </w:tc>
      </w:tr>
      <w:tr w14:paraId="29B7D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19A536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BA2D2E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6C7A8AC3">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B9B23A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1944EB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CC753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A592A4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4609BC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6FC9DE3">
            <w:pPr>
              <w:widowControl w:val="0"/>
              <w:spacing w:line="225" w:lineRule="exact"/>
              <w:jc w:val="both"/>
              <w:rPr>
                <w:rFonts w:hint="eastAsia" w:ascii="宋体" w:hAnsi="宋体" w:eastAsia="宋体" w:cs="宋体"/>
                <w:kern w:val="2"/>
                <w:sz w:val="19"/>
                <w:szCs w:val="21"/>
                <w:lang w:val="en-US" w:eastAsia="en-US" w:bidi="ar-SA"/>
              </w:rPr>
            </w:pPr>
          </w:p>
        </w:tc>
      </w:tr>
      <w:tr w14:paraId="4BDDA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762EB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CFAFB30">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2B4904C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4CDE2E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03FFA6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E47532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4E09B3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DDD6A3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C498C98">
            <w:pPr>
              <w:widowControl w:val="0"/>
              <w:spacing w:line="225" w:lineRule="exact"/>
              <w:jc w:val="both"/>
              <w:rPr>
                <w:rFonts w:hint="eastAsia" w:ascii="宋体" w:hAnsi="宋体" w:eastAsia="宋体" w:cs="宋体"/>
                <w:kern w:val="2"/>
                <w:sz w:val="19"/>
                <w:szCs w:val="21"/>
                <w:lang w:val="en-US" w:eastAsia="en-US" w:bidi="ar-SA"/>
              </w:rPr>
            </w:pPr>
          </w:p>
        </w:tc>
      </w:tr>
      <w:tr w14:paraId="6CA30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A477D0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CA1A59F">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59EA2522">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2B6132D">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51073B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E3D506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70865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9E0298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212534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7C4BB49">
            <w:pPr>
              <w:widowControl w:val="0"/>
              <w:spacing w:line="225" w:lineRule="exact"/>
              <w:jc w:val="both"/>
              <w:rPr>
                <w:rFonts w:hint="eastAsia" w:ascii="宋体" w:hAnsi="宋体" w:eastAsia="宋体" w:cs="宋体"/>
                <w:kern w:val="2"/>
                <w:sz w:val="19"/>
                <w:szCs w:val="21"/>
                <w:lang w:val="en-US" w:eastAsia="en-US" w:bidi="ar-SA"/>
              </w:rPr>
            </w:pPr>
          </w:p>
        </w:tc>
      </w:tr>
      <w:tr w14:paraId="16079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414559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626828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EB36C0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27524E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87D7DA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740DC8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A89A22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B40FB2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29E4E91">
            <w:pPr>
              <w:widowControl w:val="0"/>
              <w:spacing w:line="225" w:lineRule="exact"/>
              <w:jc w:val="both"/>
              <w:rPr>
                <w:rFonts w:hint="eastAsia" w:ascii="宋体" w:hAnsi="宋体" w:eastAsia="宋体" w:cs="宋体"/>
                <w:kern w:val="2"/>
                <w:sz w:val="19"/>
                <w:szCs w:val="21"/>
                <w:lang w:val="en-US" w:eastAsia="en-US" w:bidi="ar-SA"/>
              </w:rPr>
            </w:pPr>
          </w:p>
        </w:tc>
      </w:tr>
      <w:tr w14:paraId="78453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C9FD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226D6E0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539C549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9E268F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3811D6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90DB2E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4D2221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D8684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F1B8703">
            <w:pPr>
              <w:widowControl w:val="0"/>
              <w:spacing w:line="225" w:lineRule="exact"/>
              <w:jc w:val="both"/>
              <w:rPr>
                <w:rFonts w:hint="eastAsia" w:ascii="宋体" w:hAnsi="宋体" w:eastAsia="宋体" w:cs="宋体"/>
                <w:kern w:val="2"/>
                <w:sz w:val="19"/>
                <w:szCs w:val="21"/>
                <w:lang w:val="en-US" w:eastAsia="en-US" w:bidi="ar-SA"/>
              </w:rPr>
            </w:pPr>
          </w:p>
        </w:tc>
      </w:tr>
      <w:tr w14:paraId="61A6C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80BC985">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5A51027D">
            <w:pPr>
              <w:widowControl w:val="0"/>
              <w:spacing w:line="315" w:lineRule="auto"/>
              <w:jc w:val="both"/>
              <w:rPr>
                <w:rFonts w:hint="eastAsia" w:ascii="宋体" w:hAnsi="宋体" w:eastAsia="宋体" w:cs="宋体"/>
                <w:kern w:val="2"/>
                <w:sz w:val="21"/>
                <w:szCs w:val="21"/>
                <w:lang w:val="en-US" w:eastAsia="en-US" w:bidi="ar-SA"/>
              </w:rPr>
            </w:pPr>
          </w:p>
          <w:p w14:paraId="62F6902E">
            <w:pPr>
              <w:widowControl w:val="0"/>
              <w:spacing w:line="315" w:lineRule="auto"/>
              <w:jc w:val="both"/>
              <w:rPr>
                <w:rFonts w:hint="eastAsia" w:ascii="宋体" w:hAnsi="宋体" w:eastAsia="宋体" w:cs="宋体"/>
                <w:kern w:val="2"/>
                <w:sz w:val="21"/>
                <w:szCs w:val="21"/>
                <w:lang w:val="en-US" w:eastAsia="en-US" w:bidi="ar-SA"/>
              </w:rPr>
            </w:pPr>
          </w:p>
          <w:p w14:paraId="141BA632">
            <w:pPr>
              <w:widowControl w:val="0"/>
              <w:spacing w:line="315" w:lineRule="auto"/>
              <w:jc w:val="both"/>
              <w:rPr>
                <w:rFonts w:hint="eastAsia" w:ascii="宋体" w:hAnsi="宋体" w:eastAsia="宋体" w:cs="宋体"/>
                <w:kern w:val="2"/>
                <w:sz w:val="21"/>
                <w:szCs w:val="21"/>
                <w:lang w:val="en-US" w:eastAsia="en-US" w:bidi="ar-SA"/>
              </w:rPr>
            </w:pPr>
          </w:p>
          <w:p w14:paraId="6A7E761F">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A474A6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363846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D68768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6CB583">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0B39836">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468CF7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F9BD7B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72C46A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440AC2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6743E1B">
            <w:pPr>
              <w:widowControl w:val="0"/>
              <w:spacing w:line="225" w:lineRule="exact"/>
              <w:jc w:val="both"/>
              <w:rPr>
                <w:rFonts w:hint="eastAsia" w:ascii="宋体" w:hAnsi="宋体" w:eastAsia="宋体" w:cs="宋体"/>
                <w:kern w:val="2"/>
                <w:sz w:val="19"/>
                <w:szCs w:val="21"/>
                <w:lang w:val="en-US" w:eastAsia="en-US" w:bidi="ar-SA"/>
              </w:rPr>
            </w:pPr>
          </w:p>
        </w:tc>
      </w:tr>
      <w:tr w14:paraId="19EB2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B1CA3F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81A03B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17874E17">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860168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AEEE3E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427237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800D0E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D67300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5581A93">
            <w:pPr>
              <w:widowControl w:val="0"/>
              <w:spacing w:line="225" w:lineRule="exact"/>
              <w:jc w:val="both"/>
              <w:rPr>
                <w:rFonts w:hint="eastAsia" w:ascii="宋体" w:hAnsi="宋体" w:eastAsia="宋体" w:cs="宋体"/>
                <w:kern w:val="2"/>
                <w:sz w:val="19"/>
                <w:szCs w:val="21"/>
                <w:lang w:val="en-US" w:eastAsia="en-US" w:bidi="ar-SA"/>
              </w:rPr>
            </w:pPr>
          </w:p>
        </w:tc>
      </w:tr>
      <w:tr w14:paraId="25FA8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8DD30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BE8986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08F49E9B">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4DC4B4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B8D09B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1748B1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FB7F63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6754C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2FB431A">
            <w:pPr>
              <w:widowControl w:val="0"/>
              <w:spacing w:line="225" w:lineRule="exact"/>
              <w:jc w:val="both"/>
              <w:rPr>
                <w:rFonts w:hint="eastAsia" w:ascii="宋体" w:hAnsi="宋体" w:eastAsia="宋体" w:cs="宋体"/>
                <w:kern w:val="2"/>
                <w:sz w:val="19"/>
                <w:szCs w:val="21"/>
                <w:lang w:val="en-US" w:eastAsia="en-US" w:bidi="ar-SA"/>
              </w:rPr>
            </w:pPr>
          </w:p>
        </w:tc>
      </w:tr>
      <w:tr w14:paraId="37D66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A99DB8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C9569B7">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0C4D74DA">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2BB902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FE8599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5FEA33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884876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2DB8FD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5E7401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A77260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5182140">
            <w:pPr>
              <w:widowControl w:val="0"/>
              <w:spacing w:line="225" w:lineRule="exact"/>
              <w:jc w:val="both"/>
              <w:rPr>
                <w:rFonts w:hint="eastAsia" w:ascii="宋体" w:hAnsi="宋体" w:eastAsia="宋体" w:cs="宋体"/>
                <w:kern w:val="2"/>
                <w:sz w:val="19"/>
                <w:szCs w:val="21"/>
                <w:lang w:val="en-US" w:eastAsia="en-US" w:bidi="ar-SA"/>
              </w:rPr>
            </w:pPr>
          </w:p>
        </w:tc>
      </w:tr>
      <w:tr w14:paraId="484F2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3A106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8BEA64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2406348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87B480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B0C669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97F327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22B2A4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DA866F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43D49FE">
            <w:pPr>
              <w:widowControl w:val="0"/>
              <w:spacing w:line="225" w:lineRule="exact"/>
              <w:jc w:val="both"/>
              <w:rPr>
                <w:rFonts w:hint="eastAsia" w:ascii="宋体" w:hAnsi="宋体" w:eastAsia="宋体" w:cs="宋体"/>
                <w:kern w:val="2"/>
                <w:sz w:val="19"/>
                <w:szCs w:val="21"/>
                <w:lang w:val="en-US" w:eastAsia="en-US" w:bidi="ar-SA"/>
              </w:rPr>
            </w:pPr>
          </w:p>
        </w:tc>
      </w:tr>
      <w:tr w14:paraId="412C8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DFB60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C723D4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32E6F46F">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8042FC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701FD0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9E5B64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8F0776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366E42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A0C4E92">
            <w:pPr>
              <w:widowControl w:val="0"/>
              <w:spacing w:line="225" w:lineRule="exact"/>
              <w:jc w:val="both"/>
              <w:rPr>
                <w:rFonts w:hint="eastAsia" w:ascii="宋体" w:hAnsi="宋体" w:eastAsia="宋体" w:cs="宋体"/>
                <w:kern w:val="2"/>
                <w:sz w:val="19"/>
                <w:szCs w:val="21"/>
                <w:lang w:val="en-US" w:eastAsia="en-US" w:bidi="ar-SA"/>
              </w:rPr>
            </w:pPr>
          </w:p>
        </w:tc>
      </w:tr>
      <w:tr w14:paraId="6478C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33B2D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0FA8E4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1AE99E9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9BA72A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7A6915B">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8850C6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7068F3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2DFC51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87FA42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E943EF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CF812C5">
            <w:pPr>
              <w:widowControl w:val="0"/>
              <w:spacing w:line="225" w:lineRule="exact"/>
              <w:jc w:val="both"/>
              <w:rPr>
                <w:rFonts w:hint="eastAsia" w:ascii="宋体" w:hAnsi="宋体" w:eastAsia="宋体" w:cs="宋体"/>
                <w:kern w:val="2"/>
                <w:sz w:val="19"/>
                <w:szCs w:val="21"/>
                <w:lang w:val="en-US" w:eastAsia="en-US" w:bidi="ar-SA"/>
              </w:rPr>
            </w:pPr>
          </w:p>
        </w:tc>
      </w:tr>
      <w:tr w14:paraId="6F115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82655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636718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25E179F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55E7388">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6412FE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E6645E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F5DFF3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A8D66B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8985FEC">
            <w:pPr>
              <w:widowControl w:val="0"/>
              <w:spacing w:line="225" w:lineRule="exact"/>
              <w:jc w:val="both"/>
              <w:rPr>
                <w:rFonts w:hint="eastAsia" w:ascii="宋体" w:hAnsi="宋体" w:eastAsia="宋体" w:cs="宋体"/>
                <w:kern w:val="2"/>
                <w:sz w:val="19"/>
                <w:szCs w:val="21"/>
                <w:lang w:val="en-US" w:eastAsia="en-US" w:bidi="ar-SA"/>
              </w:rPr>
            </w:pPr>
          </w:p>
        </w:tc>
      </w:tr>
      <w:tr w14:paraId="19D7C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4DB6DB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653D23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4F748DE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04748A3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E8376F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791DF9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BF2E51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E3B519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D79371D">
            <w:pPr>
              <w:widowControl w:val="0"/>
              <w:spacing w:line="225" w:lineRule="exact"/>
              <w:jc w:val="both"/>
              <w:rPr>
                <w:rFonts w:hint="eastAsia" w:ascii="宋体" w:hAnsi="宋体" w:eastAsia="宋体" w:cs="宋体"/>
                <w:kern w:val="2"/>
                <w:sz w:val="19"/>
                <w:szCs w:val="21"/>
                <w:lang w:val="en-US" w:eastAsia="en-US" w:bidi="ar-SA"/>
              </w:rPr>
            </w:pPr>
          </w:p>
        </w:tc>
      </w:tr>
      <w:tr w14:paraId="1DD69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BC4CFE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AD5C6E4">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18AF2362">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1F821ACA">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DFE2E0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034CF4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FC8B4A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52309B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699B4ED">
            <w:pPr>
              <w:widowControl w:val="0"/>
              <w:spacing w:line="225" w:lineRule="exact"/>
              <w:jc w:val="both"/>
              <w:rPr>
                <w:rFonts w:hint="eastAsia" w:ascii="宋体" w:hAnsi="宋体" w:eastAsia="宋体" w:cs="宋体"/>
                <w:kern w:val="2"/>
                <w:sz w:val="19"/>
                <w:szCs w:val="21"/>
                <w:lang w:val="en-US" w:eastAsia="en-US" w:bidi="ar-SA"/>
              </w:rPr>
            </w:pPr>
          </w:p>
        </w:tc>
      </w:tr>
      <w:tr w14:paraId="5B01C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9243B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2CD098E4">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1B3D4608">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5C26867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E1B1EE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7EEB5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6CE53B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7D3A43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98ECA13">
            <w:pPr>
              <w:widowControl w:val="0"/>
              <w:spacing w:line="225" w:lineRule="exact"/>
              <w:jc w:val="both"/>
              <w:rPr>
                <w:rFonts w:hint="eastAsia" w:ascii="宋体" w:hAnsi="宋体" w:eastAsia="宋体" w:cs="宋体"/>
                <w:kern w:val="2"/>
                <w:sz w:val="19"/>
                <w:szCs w:val="21"/>
                <w:lang w:val="en-US" w:eastAsia="en-US" w:bidi="ar-SA"/>
              </w:rPr>
            </w:pPr>
          </w:p>
        </w:tc>
      </w:tr>
      <w:tr w14:paraId="0235E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9309F1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0C15EDB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3E293CC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DB8AB69">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08AC760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3072AD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E6DAE4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25AFEE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BB4C994">
            <w:pPr>
              <w:widowControl w:val="0"/>
              <w:spacing w:line="225" w:lineRule="exact"/>
              <w:jc w:val="both"/>
              <w:rPr>
                <w:rFonts w:hint="eastAsia" w:ascii="宋体" w:hAnsi="宋体" w:eastAsia="宋体" w:cs="宋体"/>
                <w:kern w:val="2"/>
                <w:sz w:val="19"/>
                <w:szCs w:val="21"/>
                <w:lang w:val="en-US" w:eastAsia="en-US" w:bidi="ar-SA"/>
              </w:rPr>
            </w:pPr>
          </w:p>
        </w:tc>
      </w:tr>
      <w:tr w14:paraId="1ACB9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59C4A3">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1C9E2676">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4383DD8E">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5941EED">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17FFCCBD">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38D200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38FB67D">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064696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CBAA74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FF6D12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4103E1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3624B3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841098E">
            <w:pPr>
              <w:widowControl w:val="0"/>
              <w:spacing w:line="225" w:lineRule="exact"/>
              <w:jc w:val="both"/>
              <w:rPr>
                <w:rFonts w:hint="eastAsia" w:ascii="宋体" w:hAnsi="宋体" w:eastAsia="宋体" w:cs="宋体"/>
                <w:kern w:val="2"/>
                <w:sz w:val="19"/>
                <w:szCs w:val="21"/>
                <w:lang w:val="en-US" w:eastAsia="en-US" w:bidi="ar-SA"/>
              </w:rPr>
            </w:pPr>
          </w:p>
        </w:tc>
      </w:tr>
      <w:tr w14:paraId="0C855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0919A2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1203325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1DE26D3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013658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02F8A8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0F5F3D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92F089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80EE30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292D3A4">
            <w:pPr>
              <w:widowControl w:val="0"/>
              <w:spacing w:line="225" w:lineRule="exact"/>
              <w:jc w:val="both"/>
              <w:rPr>
                <w:rFonts w:hint="eastAsia" w:ascii="宋体" w:hAnsi="宋体" w:eastAsia="宋体" w:cs="宋体"/>
                <w:kern w:val="2"/>
                <w:sz w:val="19"/>
                <w:szCs w:val="21"/>
                <w:lang w:val="en-US" w:eastAsia="en-US" w:bidi="ar-SA"/>
              </w:rPr>
            </w:pPr>
          </w:p>
        </w:tc>
      </w:tr>
      <w:tr w14:paraId="7D5E0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25841EB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6036111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0AE5A28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6722A9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6D897DD">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B44AE2B">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110A976">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F1FFD74">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961AB28">
            <w:pPr>
              <w:widowControl w:val="0"/>
              <w:jc w:val="both"/>
              <w:rPr>
                <w:rFonts w:hint="eastAsia" w:ascii="宋体" w:hAnsi="宋体" w:eastAsia="宋体" w:cs="宋体"/>
                <w:kern w:val="2"/>
                <w:sz w:val="21"/>
                <w:szCs w:val="21"/>
                <w:lang w:val="en-US" w:eastAsia="en-US" w:bidi="ar-SA"/>
              </w:rPr>
            </w:pPr>
          </w:p>
        </w:tc>
      </w:tr>
      <w:tr w14:paraId="6533D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E1AE716">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58A61B4E">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3CF811C6">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0FA001FC">
            <w:pPr>
              <w:widowControl w:val="0"/>
              <w:jc w:val="center"/>
              <w:rPr>
                <w:rFonts w:hint="eastAsia" w:ascii="宋体" w:hAnsi="宋体" w:eastAsia="宋体" w:cs="宋体"/>
                <w:kern w:val="2"/>
                <w:sz w:val="21"/>
                <w:szCs w:val="21"/>
                <w:lang w:val="en-US" w:eastAsia="en-US" w:bidi="ar-SA"/>
              </w:rPr>
            </w:pPr>
          </w:p>
        </w:tc>
      </w:tr>
    </w:tbl>
    <w:p w14:paraId="5159BF05">
      <w:pPr>
        <w:spacing w:line="217" w:lineRule="auto"/>
        <w:rPr>
          <w:rFonts w:ascii="Calibri" w:hAnsi="Calibri" w:eastAsia="宋体" w:cs="Times New Roman"/>
          <w:sz w:val="22"/>
          <w:szCs w:val="22"/>
        </w:rPr>
      </w:pPr>
    </w:p>
    <w:p w14:paraId="1DCE159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566B100F">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540A4082">
      <w:pPr>
        <w:spacing w:line="283" w:lineRule="auto"/>
        <w:rPr>
          <w:rFonts w:ascii="Arial"/>
        </w:rPr>
      </w:pPr>
    </w:p>
    <w:p w14:paraId="4A9FCD26">
      <w:pPr>
        <w:spacing w:line="700" w:lineRule="exact"/>
        <w:jc w:val="center"/>
        <w:rPr>
          <w:rFonts w:ascii="方正小标宋简体" w:hAnsi="方正小标宋简体" w:eastAsia="方正小标宋简体" w:cs="方正小标宋简体"/>
          <w:color w:val="000000" w:themeColor="text1"/>
          <w:spacing w:val="2"/>
          <w:sz w:val="44"/>
          <w:szCs w:val="44"/>
        </w:rPr>
      </w:pPr>
      <w:r>
        <w:rPr>
          <w:rFonts w:ascii="方正小标宋简体" w:hAnsi="方正小标宋简体" w:eastAsia="方正小标宋简体" w:cs="方正小标宋简体"/>
          <w:color w:val="000000" w:themeColor="text1"/>
          <w:spacing w:val="2"/>
          <w:sz w:val="44"/>
          <w:szCs w:val="44"/>
        </w:rPr>
        <w:t>202</w:t>
      </w:r>
      <w:r>
        <w:rPr>
          <w:rFonts w:hint="eastAsia" w:ascii="方正小标宋简体" w:hAnsi="方正小标宋简体" w:eastAsia="方正小标宋简体" w:cs="方正小标宋简体"/>
          <w:color w:val="000000" w:themeColor="text1"/>
          <w:spacing w:val="2"/>
          <w:sz w:val="44"/>
          <w:szCs w:val="44"/>
        </w:rPr>
        <w:t>4</w:t>
      </w:r>
      <w:r>
        <w:rPr>
          <w:rFonts w:ascii="方正小标宋简体" w:hAnsi="方正小标宋简体" w:eastAsia="方正小标宋简体" w:cs="方正小标宋简体"/>
          <w:color w:val="000000" w:themeColor="text1"/>
          <w:spacing w:val="2"/>
          <w:sz w:val="44"/>
          <w:szCs w:val="44"/>
        </w:rPr>
        <w:t>年度</w:t>
      </w:r>
      <w:r>
        <w:rPr>
          <w:rFonts w:hint="eastAsia" w:ascii="方正小标宋简体" w:hAnsi="方正小标宋简体" w:eastAsia="方正小标宋简体" w:cs="方正小标宋简体"/>
          <w:color w:val="000000" w:themeColor="text1"/>
          <w:spacing w:val="2"/>
          <w:sz w:val="44"/>
          <w:szCs w:val="44"/>
          <w:lang w:val="en-US" w:eastAsia="zh-CN"/>
        </w:rPr>
        <w:t>岳阳市</w:t>
      </w:r>
      <w:r>
        <w:rPr>
          <w:rFonts w:hint="eastAsia" w:ascii="方正小标宋简体" w:hAnsi="方正小标宋简体" w:eastAsia="方正小标宋简体" w:cs="方正小标宋简体"/>
          <w:color w:val="000000" w:themeColor="text1"/>
          <w:spacing w:val="2"/>
          <w:sz w:val="44"/>
          <w:szCs w:val="44"/>
        </w:rPr>
        <w:t>岳阳楼区城陵矶街道办事处</w:t>
      </w:r>
      <w:r>
        <w:rPr>
          <w:rFonts w:ascii="方正小标宋简体" w:hAnsi="方正小标宋简体" w:eastAsia="方正小标宋简体" w:cs="方正小标宋简体"/>
          <w:color w:val="000000" w:themeColor="text1"/>
          <w:spacing w:val="2"/>
          <w:sz w:val="44"/>
          <w:szCs w:val="44"/>
        </w:rPr>
        <w:t>整体支出绩效自评报告</w:t>
      </w:r>
    </w:p>
    <w:p w14:paraId="68554C22">
      <w:pPr>
        <w:jc w:val="left"/>
        <w:rPr>
          <w:rFonts w:ascii="仿宋" w:hAnsi="仿宋" w:eastAsia="仿宋" w:cs="仿宋"/>
          <w:color w:val="000000" w:themeColor="text1"/>
          <w:sz w:val="22"/>
          <w:szCs w:val="22"/>
        </w:rPr>
      </w:pPr>
    </w:p>
    <w:p w14:paraId="31820A36">
      <w:pPr>
        <w:jc w:val="left"/>
        <w:rPr>
          <w:rFonts w:ascii="仿宋" w:hAnsi="仿宋" w:eastAsia="仿宋" w:cs="仿宋"/>
          <w:color w:val="000000" w:themeColor="text1"/>
          <w:sz w:val="22"/>
          <w:szCs w:val="22"/>
        </w:rPr>
      </w:pPr>
    </w:p>
    <w:p w14:paraId="3156CC70">
      <w:pPr>
        <w:jc w:val="left"/>
        <w:rPr>
          <w:rFonts w:ascii="仿宋" w:hAnsi="仿宋" w:eastAsia="仿宋" w:cs="仿宋"/>
          <w:color w:val="000000" w:themeColor="text1"/>
          <w:sz w:val="22"/>
          <w:szCs w:val="22"/>
        </w:rPr>
      </w:pPr>
    </w:p>
    <w:p w14:paraId="73BCFBE4">
      <w:pPr>
        <w:jc w:val="left"/>
        <w:rPr>
          <w:rFonts w:ascii="仿宋" w:hAnsi="仿宋" w:eastAsia="仿宋" w:cs="仿宋"/>
          <w:color w:val="000000" w:themeColor="text1"/>
          <w:sz w:val="22"/>
          <w:szCs w:val="22"/>
        </w:rPr>
      </w:pPr>
    </w:p>
    <w:p w14:paraId="3A820329">
      <w:pPr>
        <w:jc w:val="left"/>
        <w:rPr>
          <w:rFonts w:ascii="仿宋" w:hAnsi="仿宋" w:eastAsia="仿宋" w:cs="仿宋"/>
          <w:color w:val="000000" w:themeColor="text1"/>
          <w:sz w:val="22"/>
          <w:szCs w:val="22"/>
        </w:rPr>
      </w:pPr>
    </w:p>
    <w:p w14:paraId="6F58C376">
      <w:pPr>
        <w:jc w:val="left"/>
        <w:rPr>
          <w:rFonts w:ascii="仿宋" w:hAnsi="仿宋" w:eastAsia="仿宋" w:cs="仿宋"/>
          <w:color w:val="000000" w:themeColor="text1"/>
          <w:sz w:val="22"/>
          <w:szCs w:val="22"/>
        </w:rPr>
      </w:pPr>
    </w:p>
    <w:p w14:paraId="1AEC1D52">
      <w:pPr>
        <w:jc w:val="left"/>
        <w:rPr>
          <w:rFonts w:ascii="仿宋" w:hAnsi="仿宋" w:eastAsia="仿宋" w:cs="仿宋"/>
          <w:color w:val="000000" w:themeColor="text1"/>
          <w:sz w:val="22"/>
          <w:szCs w:val="22"/>
        </w:rPr>
      </w:pPr>
    </w:p>
    <w:p w14:paraId="3ED420AB">
      <w:pPr>
        <w:jc w:val="left"/>
        <w:rPr>
          <w:rFonts w:ascii="仿宋" w:hAnsi="仿宋" w:eastAsia="仿宋" w:cs="仿宋"/>
          <w:color w:val="000000" w:themeColor="text1"/>
          <w:sz w:val="22"/>
          <w:szCs w:val="22"/>
        </w:rPr>
      </w:pPr>
    </w:p>
    <w:p w14:paraId="26F960F9">
      <w:pPr>
        <w:jc w:val="left"/>
        <w:rPr>
          <w:rFonts w:ascii="仿宋" w:hAnsi="仿宋" w:eastAsia="仿宋" w:cs="仿宋"/>
          <w:color w:val="000000" w:themeColor="text1"/>
          <w:sz w:val="22"/>
          <w:szCs w:val="22"/>
        </w:rPr>
      </w:pPr>
    </w:p>
    <w:p w14:paraId="60964AD0">
      <w:pPr>
        <w:jc w:val="left"/>
        <w:rPr>
          <w:rFonts w:ascii="仿宋" w:hAnsi="仿宋" w:eastAsia="仿宋" w:cs="仿宋"/>
          <w:color w:val="000000" w:themeColor="text1"/>
          <w:sz w:val="22"/>
          <w:szCs w:val="22"/>
        </w:rPr>
      </w:pPr>
    </w:p>
    <w:p w14:paraId="0E1C6C84">
      <w:pPr>
        <w:jc w:val="left"/>
        <w:rPr>
          <w:rFonts w:ascii="仿宋" w:hAnsi="仿宋" w:eastAsia="仿宋" w:cs="仿宋"/>
          <w:color w:val="000000" w:themeColor="text1"/>
          <w:sz w:val="22"/>
          <w:szCs w:val="22"/>
        </w:rPr>
      </w:pPr>
    </w:p>
    <w:p w14:paraId="6686F4D0">
      <w:pPr>
        <w:jc w:val="left"/>
        <w:rPr>
          <w:rFonts w:ascii="仿宋" w:hAnsi="仿宋" w:eastAsia="仿宋" w:cs="仿宋"/>
          <w:color w:val="000000" w:themeColor="text1"/>
          <w:sz w:val="22"/>
          <w:szCs w:val="22"/>
        </w:rPr>
      </w:pPr>
    </w:p>
    <w:p w14:paraId="5193A663">
      <w:pPr>
        <w:jc w:val="left"/>
        <w:rPr>
          <w:rFonts w:ascii="仿宋" w:hAnsi="仿宋" w:eastAsia="仿宋" w:cs="仿宋"/>
          <w:color w:val="000000" w:themeColor="text1"/>
          <w:sz w:val="22"/>
          <w:szCs w:val="22"/>
        </w:rPr>
      </w:pPr>
    </w:p>
    <w:p w14:paraId="10232B05">
      <w:pPr>
        <w:jc w:val="left"/>
        <w:rPr>
          <w:rFonts w:ascii="仿宋" w:hAnsi="仿宋" w:eastAsia="仿宋" w:cs="仿宋"/>
          <w:color w:val="000000" w:themeColor="text1"/>
          <w:sz w:val="22"/>
          <w:szCs w:val="22"/>
        </w:rPr>
      </w:pPr>
    </w:p>
    <w:p w14:paraId="09688979">
      <w:pPr>
        <w:jc w:val="center"/>
        <w:rPr>
          <w:rFonts w:ascii="楷体_GB2312" w:hAnsi="楷体_GB2312" w:eastAsia="楷体_GB2312" w:cs="楷体_GB2312"/>
          <w:color w:val="000000" w:themeColor="text1"/>
          <w:sz w:val="36"/>
          <w:szCs w:val="36"/>
        </w:rPr>
      </w:pPr>
    </w:p>
    <w:p w14:paraId="63EEE8E9">
      <w:pPr>
        <w:jc w:val="center"/>
        <w:rPr>
          <w:rFonts w:ascii="楷体_GB2312" w:hAnsi="楷体_GB2312" w:eastAsia="楷体_GB2312" w:cs="楷体_GB2312"/>
          <w:color w:val="000000" w:themeColor="text1"/>
          <w:sz w:val="36"/>
          <w:szCs w:val="36"/>
        </w:rPr>
      </w:pPr>
    </w:p>
    <w:p w14:paraId="37DA2586">
      <w:pPr>
        <w:jc w:val="center"/>
        <w:rPr>
          <w:rFonts w:ascii="楷体_GB2312" w:hAnsi="楷体_GB2312" w:eastAsia="楷体_GB2312" w:cs="楷体_GB2312"/>
          <w:color w:val="000000" w:themeColor="text1"/>
          <w:sz w:val="36"/>
          <w:szCs w:val="36"/>
        </w:rPr>
      </w:pPr>
    </w:p>
    <w:p w14:paraId="5A886E8D">
      <w:pPr>
        <w:jc w:val="center"/>
        <w:rPr>
          <w:rFonts w:ascii="楷体_GB2312" w:hAnsi="楷体_GB2312" w:eastAsia="楷体_GB2312" w:cs="楷体_GB2312"/>
          <w:color w:val="000000" w:themeColor="text1"/>
          <w:sz w:val="36"/>
          <w:szCs w:val="36"/>
        </w:rPr>
      </w:pPr>
    </w:p>
    <w:p w14:paraId="5FDE7BE8">
      <w:pPr>
        <w:jc w:val="center"/>
        <w:rPr>
          <w:rFonts w:ascii="楷体_GB2312" w:hAnsi="楷体_GB2312" w:eastAsia="楷体_GB2312" w:cs="楷体_GB2312"/>
          <w:color w:val="000000" w:themeColor="text1"/>
          <w:sz w:val="36"/>
          <w:szCs w:val="36"/>
        </w:rPr>
      </w:pPr>
    </w:p>
    <w:p w14:paraId="7A386D73">
      <w:pPr>
        <w:jc w:val="center"/>
        <w:rPr>
          <w:rFonts w:ascii="楷体_GB2312" w:hAnsi="楷体_GB2312" w:eastAsia="楷体_GB2312" w:cs="楷体_GB2312"/>
          <w:color w:val="000000" w:themeColor="text1"/>
          <w:sz w:val="36"/>
          <w:szCs w:val="36"/>
        </w:rPr>
      </w:pPr>
    </w:p>
    <w:p w14:paraId="058EE08D">
      <w:pPr>
        <w:jc w:val="center"/>
        <w:rPr>
          <w:rFonts w:ascii="楷体_GB2312" w:hAnsi="楷体_GB2312" w:eastAsia="楷体_GB2312" w:cs="楷体_GB2312"/>
          <w:color w:val="000000" w:themeColor="text1"/>
          <w:sz w:val="36"/>
          <w:szCs w:val="36"/>
        </w:rPr>
      </w:pPr>
      <w:r>
        <w:rPr>
          <w:rFonts w:hint="eastAsia" w:ascii="楷体_GB2312" w:hAnsi="楷体_GB2312" w:eastAsia="楷体_GB2312" w:cs="楷体_GB2312"/>
          <w:color w:val="000000" w:themeColor="text1"/>
          <w:sz w:val="36"/>
          <w:szCs w:val="36"/>
        </w:rPr>
        <w:t>部门(单位)名称：岳阳楼区城陵矶街道办事处   ( 盖 章 )</w:t>
      </w:r>
    </w:p>
    <w:p w14:paraId="621A3DEE">
      <w:pPr>
        <w:jc w:val="center"/>
        <w:rPr>
          <w:rFonts w:ascii="楷体_GB2312" w:hAnsi="楷体_GB2312" w:eastAsia="楷体_GB2312" w:cs="楷体_GB2312"/>
          <w:color w:val="000000" w:themeColor="text1"/>
          <w:sz w:val="36"/>
          <w:szCs w:val="36"/>
        </w:rPr>
      </w:pPr>
      <w:r>
        <w:rPr>
          <w:rFonts w:hint="eastAsia" w:ascii="楷体_GB2312" w:hAnsi="楷体_GB2312" w:eastAsia="楷体_GB2312" w:cs="楷体_GB2312"/>
          <w:color w:val="000000" w:themeColor="text1"/>
          <w:sz w:val="36"/>
          <w:szCs w:val="36"/>
        </w:rPr>
        <w:t>2025年 7月 30日</w:t>
      </w:r>
    </w:p>
    <w:p w14:paraId="30ED5F88">
      <w:pPr>
        <w:jc w:val="left"/>
        <w:rPr>
          <w:rFonts w:ascii="仿宋" w:hAnsi="仿宋" w:eastAsia="仿宋" w:cs="仿宋"/>
          <w:color w:val="000000" w:themeColor="text1"/>
          <w:sz w:val="22"/>
          <w:szCs w:val="22"/>
        </w:rPr>
      </w:pPr>
    </w:p>
    <w:p w14:paraId="2BC170FB">
      <w:pPr>
        <w:spacing w:line="700" w:lineRule="exact"/>
        <w:jc w:val="center"/>
        <w:rPr>
          <w:rFonts w:ascii="方正小标宋简体" w:hAnsi="方正小标宋简体" w:eastAsia="方正小标宋简体" w:cs="方正小标宋简体"/>
          <w:color w:val="000000" w:themeColor="text1"/>
          <w:sz w:val="44"/>
          <w:szCs w:val="44"/>
        </w:rPr>
      </w:pPr>
    </w:p>
    <w:p w14:paraId="43E0DBC5">
      <w:pPr>
        <w:spacing w:line="700" w:lineRule="exact"/>
        <w:jc w:val="center"/>
        <w:rPr>
          <w:rFonts w:ascii="方正小标宋简体" w:hAnsi="方正小标宋简体" w:eastAsia="方正小标宋简体" w:cs="方正小标宋简体"/>
          <w:color w:val="000000" w:themeColor="text1"/>
          <w:sz w:val="44"/>
          <w:szCs w:val="44"/>
        </w:rPr>
      </w:pPr>
    </w:p>
    <w:p w14:paraId="42E3F7A7">
      <w:pPr>
        <w:spacing w:line="700" w:lineRule="exact"/>
        <w:jc w:val="center"/>
        <w:rPr>
          <w:rFonts w:ascii="方正小标宋简体" w:hAnsi="方正小标宋简体" w:eastAsia="方正小标宋简体" w:cs="方正小标宋简体"/>
          <w:color w:val="000000" w:themeColor="text1"/>
          <w:sz w:val="44"/>
          <w:szCs w:val="44"/>
        </w:rPr>
      </w:pPr>
    </w:p>
    <w:p w14:paraId="02755EF2">
      <w:pPr>
        <w:spacing w:line="700" w:lineRule="exact"/>
        <w:jc w:val="center"/>
        <w:rPr>
          <w:rFonts w:ascii="方正小标宋简体" w:hAnsi="方正小标宋简体" w:eastAsia="方正小标宋简体" w:cs="方正小标宋简体"/>
          <w:color w:val="000000" w:themeColor="text1"/>
          <w:sz w:val="44"/>
          <w:szCs w:val="44"/>
        </w:rPr>
      </w:pPr>
      <w:r>
        <w:rPr>
          <w:rFonts w:hint="eastAsia" w:ascii="方正小标宋简体" w:hAnsi="方正小标宋简体" w:eastAsia="方正小标宋简体" w:cs="方正小标宋简体"/>
          <w:color w:val="000000" w:themeColor="text1"/>
          <w:sz w:val="44"/>
          <w:szCs w:val="44"/>
        </w:rPr>
        <w:t>2024年度岳阳楼区</w:t>
      </w:r>
      <w:r>
        <w:rPr>
          <w:rFonts w:hint="eastAsia" w:ascii="方正小标宋简体" w:hAnsi="方正小标宋简体" w:eastAsia="方正小标宋简体" w:cs="方正小标宋简体"/>
          <w:color w:val="000000" w:themeColor="text1"/>
          <w:spacing w:val="2"/>
          <w:sz w:val="44"/>
          <w:szCs w:val="44"/>
        </w:rPr>
        <w:t>城陵矶街道办事处</w:t>
      </w:r>
      <w:r>
        <w:rPr>
          <w:rFonts w:hint="eastAsia" w:ascii="方正小标宋简体" w:hAnsi="方正小标宋简体" w:eastAsia="方正小标宋简体" w:cs="方正小标宋简体"/>
          <w:color w:val="000000" w:themeColor="text1"/>
          <w:sz w:val="44"/>
          <w:szCs w:val="44"/>
        </w:rPr>
        <w:t>单位整体支出绩效自评报告</w:t>
      </w:r>
    </w:p>
    <w:p w14:paraId="7FEE0E91">
      <w:pPr>
        <w:jc w:val="left"/>
        <w:rPr>
          <w:rFonts w:ascii="仿宋" w:hAnsi="仿宋" w:eastAsia="仿宋" w:cs="仿宋"/>
          <w:color w:val="000000" w:themeColor="text1"/>
          <w:sz w:val="22"/>
          <w:szCs w:val="22"/>
        </w:rPr>
      </w:pPr>
    </w:p>
    <w:p w14:paraId="41B6546D">
      <w:pPr>
        <w:jc w:val="left"/>
        <w:rPr>
          <w:rFonts w:ascii="仿宋" w:hAnsi="仿宋" w:eastAsia="仿宋" w:cs="仿宋"/>
          <w:color w:val="000000" w:themeColor="text1"/>
          <w:sz w:val="22"/>
          <w:szCs w:val="22"/>
        </w:rPr>
      </w:pPr>
    </w:p>
    <w:p w14:paraId="2CB79446">
      <w:pPr>
        <w:jc w:val="left"/>
        <w:rPr>
          <w:rFonts w:ascii="仿宋" w:hAnsi="仿宋" w:eastAsia="仿宋" w:cs="仿宋"/>
          <w:color w:val="000000" w:themeColor="text1"/>
          <w:sz w:val="22"/>
          <w:szCs w:val="22"/>
        </w:rPr>
      </w:pPr>
    </w:p>
    <w:p w14:paraId="655B04F2">
      <w:pPr>
        <w:numPr>
          <w:ilvl w:val="0"/>
          <w:numId w:val="1"/>
        </w:numPr>
        <w:ind w:firstLine="643"/>
        <w:jc w:val="left"/>
        <w:rPr>
          <w:rFonts w:ascii="黑体" w:hAnsi="黑体" w:eastAsia="黑体" w:cs="黑体"/>
          <w:color w:val="000000" w:themeColor="text1"/>
          <w:sz w:val="32"/>
          <w:szCs w:val="32"/>
        </w:rPr>
      </w:pPr>
      <w:r>
        <w:rPr>
          <w:rFonts w:hint="eastAsia" w:ascii="黑体" w:hAnsi="黑体" w:eastAsia="黑体" w:cs="黑体"/>
          <w:b/>
          <w:bCs/>
          <w:color w:val="000000" w:themeColor="text1"/>
          <w:sz w:val="32"/>
          <w:szCs w:val="32"/>
        </w:rPr>
        <w:t>单位基本情况</w:t>
      </w:r>
    </w:p>
    <w:p w14:paraId="1B70299D">
      <w:pPr>
        <w:ind w:left="420" w:leftChars="200"/>
        <w:jc w:val="left"/>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（一）职能职责</w:t>
      </w:r>
    </w:p>
    <w:p w14:paraId="5905D13C">
      <w:pPr>
        <w:ind w:left="420" w:leftChars="200" w:firstLine="640" w:firstLineChars="200"/>
        <w:jc w:val="left"/>
        <w:rPr>
          <w:rFonts w:ascii="仿宋_GB2312" w:hAnsi="仿宋_GB2312" w:eastAsia="仿宋_GB2312" w:cs="仿宋_GB2312"/>
          <w:sz w:val="32"/>
          <w:szCs w:val="32"/>
        </w:rPr>
      </w:pPr>
      <w:r>
        <w:rPr>
          <w:rFonts w:hint="eastAsia" w:ascii="黑体" w:hAnsi="黑体" w:eastAsia="黑体" w:cs="黑体"/>
          <w:color w:val="000000" w:themeColor="text1"/>
          <w:sz w:val="32"/>
          <w:szCs w:val="32"/>
        </w:rPr>
        <w:t>1、加强党的建设。</w:t>
      </w:r>
      <w:r>
        <w:rPr>
          <w:rFonts w:hint="eastAsia" w:ascii="仿宋_GB2312" w:hAnsi="仿宋_GB2312" w:eastAsia="仿宋_GB2312" w:cs="仿宋_GB2312"/>
          <w:sz w:val="32"/>
          <w:szCs w:val="32"/>
        </w:rPr>
        <w:t>落实基层党建工作责任制，统筹街道和社区区域化党建，指导巩固社区党组织建设，完善社区党组织负责人培养和提拔机制，优化基层党组织经费保障；扩大新兴领域党建有效覆盖面，把街道、社区、企业、学校、社会组织等基层党组织建设成为宣传党的主张、贯彻党的决定、领导基层治理、团结动员群众、推动改革发展的坚强战斗堡垒，实现党的组织和工作全覆盖。深入开展党支部“五化”建设，不断提高党的建设质量，落实管党治党责任，推动全面从严治党向基层延伸。</w:t>
      </w:r>
    </w:p>
    <w:p w14:paraId="12BA548B">
      <w:pPr>
        <w:ind w:left="420" w:leftChars="200" w:firstLine="640" w:firstLineChars="200"/>
        <w:jc w:val="left"/>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2、服务经济发展。</w:t>
      </w:r>
      <w:r>
        <w:rPr>
          <w:rFonts w:hint="eastAsia" w:ascii="仿宋_GB2312" w:hAnsi="仿宋_GB2312" w:eastAsia="仿宋_GB2312" w:cs="仿宋_GB2312"/>
          <w:sz w:val="32"/>
          <w:szCs w:val="32"/>
        </w:rPr>
        <w:t>承担服务辖区内项目建设和企业发展的任务，配合相关单位打击破坏经济发展环境的行为，维护经济秩序，优化投资环境。</w:t>
      </w:r>
    </w:p>
    <w:p w14:paraId="02306331">
      <w:pPr>
        <w:ind w:left="420" w:leftChars="200" w:firstLine="640" w:firstLineChars="200"/>
        <w:jc w:val="left"/>
        <w:rPr>
          <w:rFonts w:ascii="仿宋_GB2312" w:hAnsi="仿宋_GB2312" w:eastAsia="仿宋_GB2312" w:cs="仿宋_GB2312"/>
          <w:sz w:val="32"/>
          <w:szCs w:val="32"/>
        </w:rPr>
      </w:pPr>
      <w:r>
        <w:rPr>
          <w:rFonts w:hint="eastAsia" w:ascii="黑体" w:hAnsi="黑体" w:eastAsia="黑体" w:cs="黑体"/>
          <w:color w:val="000000" w:themeColor="text1"/>
          <w:sz w:val="32"/>
          <w:szCs w:val="32"/>
        </w:rPr>
        <w:t>3、统筹社区发展。</w:t>
      </w:r>
      <w:r>
        <w:rPr>
          <w:rFonts w:hint="eastAsia" w:ascii="仿宋_GB2312" w:hAnsi="仿宋_GB2312" w:eastAsia="仿宋_GB2312" w:cs="仿宋_GB2312"/>
          <w:sz w:val="32"/>
          <w:szCs w:val="32"/>
        </w:rPr>
        <w:t>统筹落实社区发展的重大决策和社区建设规划，负责优化发展环境、采集企业信息、服务辖区企业、促进项目发展等工作，整合街道内部决策、管理、监督职责及力量，为审批服务等工作提供支持和保障，参与辖区公共服务设施建设规划，推动社区健康、有序、可持续发展。</w:t>
      </w:r>
    </w:p>
    <w:p w14:paraId="28194AA2">
      <w:pPr>
        <w:ind w:left="420" w:leftChars="200" w:firstLine="640" w:firstLineChars="200"/>
        <w:jc w:val="left"/>
        <w:rPr>
          <w:rFonts w:ascii="仿宋_GB2312" w:hAnsi="仿宋_GB2312" w:eastAsia="仿宋_GB2312" w:cs="仿宋_GB2312"/>
          <w:sz w:val="32"/>
          <w:szCs w:val="32"/>
        </w:rPr>
      </w:pPr>
      <w:r>
        <w:rPr>
          <w:rFonts w:hint="eastAsia" w:ascii="黑体" w:hAnsi="黑体" w:eastAsia="黑体" w:cs="黑体"/>
          <w:color w:val="000000" w:themeColor="text1"/>
          <w:sz w:val="32"/>
          <w:szCs w:val="32"/>
        </w:rPr>
        <w:t>4、组织公共服务。</w:t>
      </w:r>
      <w:r>
        <w:rPr>
          <w:rFonts w:hint="eastAsia" w:ascii="仿宋_GB2312" w:hAnsi="仿宋_GB2312" w:eastAsia="仿宋_GB2312" w:cs="仿宋_GB2312"/>
          <w:sz w:val="32"/>
          <w:szCs w:val="32"/>
        </w:rPr>
        <w:t>组织实施各项公共服务，落实人力资源和社会保障、民政、教育、卫生健康、医疗保障、科技、文化、体育、退役军人服务保障等领域相关法规政策，在整合基层行政审批和公共服务职责基础上，进一步加强服务机构和服务平台建设，充分发挥综合便民服务作用。</w:t>
      </w:r>
    </w:p>
    <w:p w14:paraId="43F09284">
      <w:pPr>
        <w:ind w:left="420" w:leftChars="200" w:firstLine="640" w:firstLineChars="200"/>
        <w:jc w:val="left"/>
        <w:rPr>
          <w:rFonts w:ascii="仿宋_GB2312" w:hAnsi="仿宋_GB2312" w:eastAsia="仿宋_GB2312" w:cs="仿宋_GB2312"/>
          <w:sz w:val="32"/>
          <w:szCs w:val="32"/>
        </w:rPr>
      </w:pPr>
      <w:r>
        <w:rPr>
          <w:rFonts w:hint="eastAsia" w:ascii="黑体" w:hAnsi="黑体" w:eastAsia="黑体" w:cs="黑体"/>
          <w:color w:val="000000" w:themeColor="text1"/>
          <w:sz w:val="32"/>
          <w:szCs w:val="32"/>
        </w:rPr>
        <w:t>5、实施综合管理。</w:t>
      </w:r>
      <w:r>
        <w:rPr>
          <w:rFonts w:hint="eastAsia" w:ascii="仿宋_GB2312" w:hAnsi="仿宋_GB2312" w:eastAsia="仿宋_GB2312" w:cs="仿宋_GB2312"/>
          <w:sz w:val="32"/>
          <w:szCs w:val="32"/>
        </w:rPr>
        <w:t>负责辖区内城市管理、人口服务、安全生产、禁违拆违治违、环境保护、社会治理等综合性管理工作，负责总牵头、总协调、总监督、总兜底。</w:t>
      </w:r>
    </w:p>
    <w:p w14:paraId="0BA8637A">
      <w:pPr>
        <w:ind w:left="420" w:leftChars="200" w:firstLine="640" w:firstLineChars="200"/>
        <w:jc w:val="left"/>
        <w:rPr>
          <w:rFonts w:ascii="仿宋_GB2312" w:hAnsi="仿宋_GB2312" w:eastAsia="仿宋_GB2312" w:cs="仿宋_GB2312"/>
          <w:sz w:val="32"/>
          <w:szCs w:val="32"/>
        </w:rPr>
      </w:pPr>
      <w:r>
        <w:rPr>
          <w:rFonts w:hint="eastAsia" w:ascii="黑体" w:hAnsi="黑体" w:eastAsia="黑体" w:cs="黑体"/>
          <w:color w:val="000000" w:themeColor="text1"/>
          <w:sz w:val="32"/>
          <w:szCs w:val="32"/>
        </w:rPr>
        <w:t>6、监督专业管理。</w:t>
      </w:r>
      <w:r>
        <w:rPr>
          <w:rFonts w:hint="eastAsia" w:ascii="仿宋_GB2312" w:hAnsi="仿宋_GB2312" w:eastAsia="仿宋_GB2312" w:cs="仿宋_GB2312"/>
          <w:sz w:val="32"/>
          <w:szCs w:val="32"/>
        </w:rPr>
        <w:t>对辖区内各类专业执法工作进行统筹协调，予以支持配合并组织开展群众监督和社会监督。</w:t>
      </w:r>
    </w:p>
    <w:p w14:paraId="3F4E9760">
      <w:pPr>
        <w:ind w:left="420" w:leftChars="200" w:firstLine="640" w:firstLineChars="200"/>
        <w:jc w:val="left"/>
        <w:rPr>
          <w:rFonts w:ascii="仿宋_GB2312" w:hAnsi="仿宋_GB2312" w:eastAsia="仿宋_GB2312" w:cs="仿宋_GB2312"/>
          <w:sz w:val="32"/>
          <w:szCs w:val="32"/>
        </w:rPr>
      </w:pPr>
      <w:r>
        <w:rPr>
          <w:rFonts w:hint="eastAsia" w:ascii="黑体" w:hAnsi="黑体" w:eastAsia="黑体" w:cs="黑体"/>
          <w:color w:val="000000" w:themeColor="text1"/>
          <w:sz w:val="32"/>
          <w:szCs w:val="32"/>
        </w:rPr>
        <w:t>7、指导基层自治。</w:t>
      </w:r>
      <w:r>
        <w:rPr>
          <w:rFonts w:hint="eastAsia" w:ascii="仿宋_GB2312" w:hAnsi="仿宋_GB2312" w:eastAsia="仿宋_GB2312" w:cs="仿宋_GB2312"/>
          <w:sz w:val="32"/>
          <w:szCs w:val="32"/>
        </w:rPr>
        <w:t>指导社区居委会建设，健全社区自治平台，组织驻区单位和社区居民参与社区建设和管理。</w:t>
      </w:r>
    </w:p>
    <w:p w14:paraId="3E48EBC1">
      <w:pPr>
        <w:ind w:left="420" w:leftChars="200" w:firstLine="640" w:firstLineChars="200"/>
        <w:jc w:val="left"/>
        <w:rPr>
          <w:rFonts w:ascii="仿宋_GB2312" w:hAnsi="仿宋_GB2312" w:eastAsia="仿宋_GB2312" w:cs="仿宋_GB2312"/>
          <w:sz w:val="32"/>
          <w:szCs w:val="32"/>
        </w:rPr>
      </w:pPr>
      <w:r>
        <w:rPr>
          <w:rFonts w:hint="eastAsia" w:ascii="黑体" w:hAnsi="黑体" w:eastAsia="黑体" w:cs="黑体"/>
          <w:color w:val="000000" w:themeColor="text1"/>
          <w:sz w:val="32"/>
          <w:szCs w:val="32"/>
        </w:rPr>
        <w:t>8、动员社会参与。</w:t>
      </w:r>
      <w:r>
        <w:rPr>
          <w:rFonts w:hint="eastAsia" w:ascii="仿宋_GB2312" w:hAnsi="仿宋_GB2312" w:eastAsia="仿宋_GB2312" w:cs="仿宋_GB2312"/>
          <w:sz w:val="32"/>
          <w:szCs w:val="32"/>
        </w:rPr>
        <w:t>动员各类驻辖区单位、社会组织和社区居民等社会力量参与社区治理，引导驻辖区单位履行社会责任，整合辖区内各种社会力量为社区发展服务。</w:t>
      </w:r>
    </w:p>
    <w:p w14:paraId="4CE82C18">
      <w:pPr>
        <w:ind w:left="420" w:leftChars="200" w:firstLine="640" w:firstLineChars="200"/>
        <w:jc w:val="left"/>
        <w:rPr>
          <w:rFonts w:ascii="仿宋_GB2312" w:hAnsi="仿宋_GB2312" w:eastAsia="仿宋_GB2312" w:cs="仿宋_GB2312"/>
          <w:sz w:val="32"/>
          <w:szCs w:val="32"/>
        </w:rPr>
      </w:pPr>
      <w:r>
        <w:rPr>
          <w:rFonts w:hint="eastAsia" w:ascii="黑体" w:hAnsi="黑体" w:eastAsia="黑体" w:cs="黑体"/>
          <w:color w:val="000000" w:themeColor="text1"/>
          <w:sz w:val="32"/>
          <w:szCs w:val="32"/>
        </w:rPr>
        <w:t>9、维护辖区平安。</w:t>
      </w:r>
      <w:r>
        <w:rPr>
          <w:rFonts w:hint="eastAsia" w:ascii="仿宋_GB2312" w:hAnsi="仿宋_GB2312" w:eastAsia="仿宋_GB2312" w:cs="仿宋_GB2312"/>
          <w:sz w:val="32"/>
          <w:szCs w:val="32"/>
        </w:rPr>
        <w:t>承担辖区社会治安综合管理、维护稳定、平安建设、应急管理与处置、安全生产监督管理等有关工作，接待群众来信来访，反映社情民意，化解矛盾纠纷，实现“小事不出社区，大事不出街道，矛盾不上交”。</w:t>
      </w:r>
    </w:p>
    <w:p w14:paraId="5B59147E">
      <w:pPr>
        <w:jc w:val="left"/>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（二）机构设置</w:t>
      </w:r>
    </w:p>
    <w:p w14:paraId="67546AEE">
      <w:pPr>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现有人数85人，其中：在职编制65人；离退休20人。机关设置股室：党政办公室、党建办公室、经济发展办公室、社会事务办公室、应急管理办公室、综治信访办公室、武装部、综合行政执法大队、社会事业综合服务中心、产业项目综合服务中心、公共服务和网格化中心、退役军人服务站、环境卫生服务中心。全部纳入部门预算范围。</w:t>
      </w:r>
    </w:p>
    <w:p w14:paraId="4733BF2E">
      <w:pPr>
        <w:numPr>
          <w:ilvl w:val="0"/>
          <w:numId w:val="1"/>
        </w:numPr>
        <w:ind w:firstLine="643"/>
        <w:jc w:val="left"/>
        <w:rPr>
          <w:rFonts w:ascii="黑体" w:hAnsi="黑体" w:eastAsia="黑体" w:cs="黑体"/>
          <w:b/>
          <w:bCs/>
          <w:color w:val="000000" w:themeColor="text1"/>
          <w:sz w:val="32"/>
          <w:szCs w:val="32"/>
        </w:rPr>
      </w:pPr>
      <w:r>
        <w:rPr>
          <w:rFonts w:hint="eastAsia" w:ascii="黑体" w:hAnsi="黑体" w:eastAsia="黑体" w:cs="黑体"/>
          <w:b/>
          <w:bCs/>
          <w:color w:val="000000" w:themeColor="text1"/>
          <w:sz w:val="32"/>
          <w:szCs w:val="32"/>
        </w:rPr>
        <w:t>一般公共预算支出情况</w:t>
      </w:r>
    </w:p>
    <w:p w14:paraId="73E9BD16">
      <w:pPr>
        <w:ind w:firstLine="643" w:firstLineChars="200"/>
        <w:jc w:val="left"/>
        <w:rPr>
          <w:rFonts w:ascii="楷体_GB2312" w:hAnsi="楷体_GB2312" w:eastAsia="楷体_GB2312" w:cs="楷体_GB2312"/>
          <w:b/>
          <w:bCs/>
          <w:color w:val="000000" w:themeColor="text1"/>
          <w:sz w:val="32"/>
          <w:szCs w:val="32"/>
        </w:rPr>
      </w:pPr>
      <w:r>
        <w:rPr>
          <w:rFonts w:hint="eastAsia" w:ascii="楷体_GB2312" w:hAnsi="楷体_GB2312" w:eastAsia="楷体_GB2312" w:cs="楷体_GB2312"/>
          <w:b/>
          <w:bCs/>
          <w:color w:val="000000" w:themeColor="text1"/>
          <w:sz w:val="32"/>
          <w:szCs w:val="32"/>
        </w:rPr>
        <w:t>(一)基本支出情况</w:t>
      </w:r>
    </w:p>
    <w:p w14:paraId="7726328C">
      <w:pPr>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单位2024年度的基本支出为2500.57万元，主要包括基本工资、津贴补贴、奖金、绩效工资、机关事业单位基本养老保险缴费、职业年金缴费、职工基本医疗保险缴费、公务员医疗补助缴费、其他社会保障缴费、住房公积金、其他工资福利支出、生活补助、其他对个人和家庭的补助。 本单位2024年办公经费支出63.81万元，物业、水电、差旅费、印刷费、设备维护费共支出29.50万元。</w:t>
      </w:r>
    </w:p>
    <w:p w14:paraId="102E3E12">
      <w:pPr>
        <w:numPr>
          <w:ilvl w:val="0"/>
          <w:numId w:val="2"/>
        </w:numPr>
        <w:ind w:firstLine="643"/>
        <w:jc w:val="left"/>
        <w:rPr>
          <w:rFonts w:ascii="楷体_GB2312" w:hAnsi="楷体_GB2312" w:eastAsia="楷体_GB2312" w:cs="楷体_GB2312"/>
          <w:b/>
          <w:bCs/>
          <w:color w:val="000000" w:themeColor="text1"/>
          <w:sz w:val="32"/>
          <w:szCs w:val="32"/>
        </w:rPr>
      </w:pPr>
      <w:r>
        <w:rPr>
          <w:rFonts w:hint="eastAsia" w:ascii="楷体_GB2312" w:hAnsi="楷体_GB2312" w:eastAsia="楷体_GB2312" w:cs="楷体_GB2312"/>
          <w:b/>
          <w:bCs/>
          <w:color w:val="000000" w:themeColor="text1"/>
          <w:sz w:val="32"/>
          <w:szCs w:val="32"/>
        </w:rPr>
        <w:t>项目支出情况</w:t>
      </w:r>
    </w:p>
    <w:p w14:paraId="334B952B">
      <w:pPr>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本单位2024年度的项目支出为4.14万元，主要为防汛救灾物资等专项开支。</w:t>
      </w:r>
    </w:p>
    <w:p w14:paraId="5904A6D8">
      <w:pPr>
        <w:jc w:val="left"/>
        <w:rPr>
          <w:rFonts w:ascii="黑体" w:hAnsi="黑体" w:eastAsia="黑体" w:cs="黑体"/>
          <w:b/>
          <w:bCs/>
          <w:color w:val="000000" w:themeColor="text1"/>
          <w:sz w:val="32"/>
          <w:szCs w:val="32"/>
        </w:rPr>
      </w:pPr>
      <w:r>
        <w:rPr>
          <w:rFonts w:hint="eastAsia" w:ascii="黑体" w:hAnsi="黑体" w:eastAsia="黑体" w:cs="黑体"/>
          <w:b/>
          <w:bCs/>
          <w:color w:val="000000" w:themeColor="text1"/>
          <w:sz w:val="32"/>
          <w:szCs w:val="32"/>
        </w:rPr>
        <w:t>三、政府性基金预算支出情况</w:t>
      </w:r>
    </w:p>
    <w:p w14:paraId="039F4D3C">
      <w:pPr>
        <w:ind w:firstLine="640" w:firstLineChars="200"/>
        <w:jc w:val="left"/>
        <w:rPr>
          <w:rFonts w:ascii="黑体" w:hAnsi="黑体" w:eastAsia="黑体" w:cs="黑体"/>
          <w:b/>
          <w:bCs/>
          <w:color w:val="000000" w:themeColor="text1"/>
          <w:sz w:val="32"/>
          <w:szCs w:val="32"/>
        </w:rPr>
      </w:pPr>
      <w:r>
        <w:rPr>
          <w:rFonts w:hint="eastAsia" w:ascii="仿宋_GB2312" w:hAnsi="仿宋_GB2312" w:eastAsia="仿宋_GB2312" w:cs="仿宋_GB2312"/>
          <w:sz w:val="32"/>
          <w:szCs w:val="32"/>
        </w:rPr>
        <w:t>本单位政府性基金预算支出10万，主要包括殡葬改革开支、关停私营殡仪馆开支、文明祭祀宣传等开支。</w:t>
      </w:r>
    </w:p>
    <w:p w14:paraId="29F76BC0">
      <w:pPr>
        <w:pStyle w:val="13"/>
        <w:numPr>
          <w:ilvl w:val="0"/>
          <w:numId w:val="3"/>
        </w:numPr>
        <w:ind w:firstLineChars="0"/>
        <w:jc w:val="left"/>
        <w:rPr>
          <w:rFonts w:ascii="黑体" w:hAnsi="黑体" w:eastAsia="黑体" w:cs="黑体"/>
          <w:b/>
          <w:bCs/>
          <w:color w:val="000000" w:themeColor="text1"/>
          <w:sz w:val="32"/>
          <w:szCs w:val="32"/>
        </w:rPr>
      </w:pPr>
      <w:r>
        <w:rPr>
          <w:rFonts w:hint="eastAsia" w:ascii="黑体" w:hAnsi="黑体" w:eastAsia="黑体" w:cs="黑体"/>
          <w:b/>
          <w:bCs/>
          <w:color w:val="000000" w:themeColor="text1"/>
          <w:sz w:val="32"/>
          <w:szCs w:val="32"/>
        </w:rPr>
        <w:t>国有资本经营预算支出情况</w:t>
      </w:r>
    </w:p>
    <w:p w14:paraId="41C79E9F">
      <w:pPr>
        <w:ind w:firstLine="640" w:firstLineChars="200"/>
        <w:jc w:val="left"/>
        <w:rPr>
          <w:rFonts w:ascii="黑体" w:hAnsi="黑体" w:eastAsia="黑体" w:cs="黑体"/>
          <w:b/>
          <w:bCs/>
          <w:color w:val="000000" w:themeColor="text1"/>
          <w:sz w:val="32"/>
          <w:szCs w:val="32"/>
        </w:rPr>
      </w:pPr>
      <w:r>
        <w:rPr>
          <w:rFonts w:hint="eastAsia" w:ascii="仿宋_GB2312" w:hAnsi="仿宋_GB2312" w:eastAsia="仿宋_GB2312" w:cs="仿宋_GB2312"/>
          <w:sz w:val="32"/>
          <w:szCs w:val="32"/>
        </w:rPr>
        <w:t>本单位无国有资本经营预算支出。</w:t>
      </w:r>
    </w:p>
    <w:p w14:paraId="4B083AC2">
      <w:pPr>
        <w:jc w:val="left"/>
        <w:rPr>
          <w:rFonts w:ascii="黑体" w:hAnsi="黑体" w:eastAsia="黑体" w:cs="黑体"/>
          <w:b/>
          <w:bCs/>
          <w:color w:val="000000" w:themeColor="text1"/>
          <w:sz w:val="32"/>
          <w:szCs w:val="32"/>
        </w:rPr>
      </w:pPr>
      <w:r>
        <w:rPr>
          <w:rFonts w:hint="eastAsia" w:ascii="黑体" w:hAnsi="黑体" w:eastAsia="黑体" w:cs="黑体"/>
          <w:b/>
          <w:bCs/>
          <w:color w:val="000000" w:themeColor="text1"/>
          <w:sz w:val="32"/>
          <w:szCs w:val="32"/>
        </w:rPr>
        <w:t>五、社会保险基金预算支出情况</w:t>
      </w:r>
    </w:p>
    <w:p w14:paraId="33633A01">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本单位无社保基金预算支出。</w:t>
      </w:r>
    </w:p>
    <w:p w14:paraId="3AEAB3F9">
      <w:pPr>
        <w:jc w:val="left"/>
        <w:rPr>
          <w:rFonts w:ascii="黑体" w:hAnsi="黑体" w:eastAsia="黑体" w:cs="黑体"/>
          <w:b/>
          <w:bCs/>
          <w:color w:val="000000" w:themeColor="text1"/>
          <w:sz w:val="32"/>
          <w:szCs w:val="32"/>
        </w:rPr>
      </w:pPr>
      <w:r>
        <w:rPr>
          <w:rFonts w:hint="eastAsia" w:ascii="黑体" w:hAnsi="黑体" w:eastAsia="黑体" w:cs="黑体"/>
          <w:b/>
          <w:bCs/>
          <w:color w:val="000000" w:themeColor="text1"/>
          <w:sz w:val="32"/>
          <w:szCs w:val="32"/>
        </w:rPr>
        <w:t>六部门整体支出绩效情况</w:t>
      </w:r>
    </w:p>
    <w:p w14:paraId="7ADFCFA2">
      <w:pPr>
        <w:pStyle w:val="4"/>
        <w:spacing w:after="0" w:line="560" w:lineRule="exact"/>
        <w:ind w:left="0" w:leftChars="0" w:firstLine="640" w:firstLineChars="200"/>
        <w:rPr>
          <w:rFonts w:ascii="楷体" w:hAnsi="楷体" w:eastAsia="楷体" w:cs="楷体"/>
          <w:sz w:val="32"/>
          <w:szCs w:val="32"/>
        </w:rPr>
      </w:pPr>
      <w:r>
        <w:rPr>
          <w:rFonts w:hint="eastAsia" w:ascii="黑体" w:hAnsi="黑体" w:eastAsia="黑体" w:cs="黑体"/>
          <w:color w:val="000000" w:themeColor="text1"/>
          <w:sz w:val="32"/>
          <w:szCs w:val="32"/>
        </w:rPr>
        <w:t>本单位整体支出绩效情况如下：</w:t>
      </w:r>
      <w:r>
        <w:rPr>
          <w:rFonts w:hint="eastAsia" w:ascii="楷体" w:hAnsi="楷体" w:eastAsia="楷体" w:cs="楷体"/>
          <w:sz w:val="32"/>
          <w:szCs w:val="32"/>
        </w:rPr>
        <w:t>（一）党建引领，正风肃纪，作风建设走深走实</w:t>
      </w:r>
    </w:p>
    <w:p w14:paraId="4CD84700">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铸魂固本强党建。</w:t>
      </w:r>
      <w:r>
        <w:rPr>
          <w:rFonts w:hint="eastAsia" w:ascii="仿宋_GB2312" w:hAnsi="仿宋_GB2312" w:eastAsia="仿宋_GB2312" w:cs="仿宋_GB2312"/>
          <w:color w:val="000000"/>
          <w:spacing w:val="-6"/>
          <w:sz w:val="32"/>
          <w:szCs w:val="32"/>
        </w:rPr>
        <w:t>全年围绕党纪学习教育的要求，开展学习、研讨、讲座等30余次，引导干部学纪、知纪、明纪、守纪，不断提升依规依纪依法履职能力和水平。</w:t>
      </w:r>
      <w:r>
        <w:rPr>
          <w:rFonts w:hint="eastAsia" w:ascii="仿宋_GB2312" w:hAnsi="仿宋_GB2312" w:eastAsia="仿宋_GB2312" w:cs="仿宋_GB2312"/>
          <w:b/>
          <w:bCs/>
          <w:color w:val="000000"/>
          <w:spacing w:val="-6"/>
          <w:sz w:val="32"/>
          <w:szCs w:val="32"/>
        </w:rPr>
        <w:t>正风肃纪保稳定。</w:t>
      </w:r>
      <w:r>
        <w:rPr>
          <w:rFonts w:hint="eastAsia" w:ascii="仿宋_GB2312" w:hAnsi="仿宋_GB2312" w:eastAsia="仿宋_GB2312" w:cs="仿宋_GB2312"/>
          <w:color w:val="000000"/>
          <w:spacing w:val="-6"/>
          <w:sz w:val="32"/>
          <w:szCs w:val="32"/>
        </w:rPr>
        <w:t>大力开展群众身边不正之风和腐败问题集中整治行动，全年召开党风廉政建设专题会议6次，开展廉政警示教育活动2次，主动上交问题线索7条，给予党纪政务处分10余人，全力营造风清气正的政治生态。</w:t>
      </w:r>
    </w:p>
    <w:p w14:paraId="2BD1BF25">
      <w:pPr>
        <w:pStyle w:val="4"/>
        <w:spacing w:after="0" w:line="560" w:lineRule="exact"/>
        <w:ind w:left="0" w:leftChars="0" w:firstLine="640" w:firstLineChars="200"/>
        <w:rPr>
          <w:rFonts w:ascii="楷体" w:hAnsi="楷体" w:eastAsia="楷体" w:cs="楷体"/>
          <w:sz w:val="32"/>
          <w:szCs w:val="32"/>
        </w:rPr>
      </w:pPr>
      <w:r>
        <w:rPr>
          <w:rFonts w:hint="eastAsia" w:ascii="楷体" w:hAnsi="楷体" w:eastAsia="楷体" w:cs="楷体"/>
          <w:sz w:val="32"/>
          <w:szCs w:val="32"/>
        </w:rPr>
        <w:t>（二）项目驱动，协同共进，经济发展提质增效</w:t>
      </w:r>
    </w:p>
    <w:p w14:paraId="4A132A3A">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旧改项目稳步推进。</w:t>
      </w:r>
      <w:r>
        <w:rPr>
          <w:rFonts w:hint="eastAsia" w:ascii="仿宋_GB2312" w:hAnsi="仿宋_GB2312" w:eastAsia="仿宋_GB2312" w:cs="仿宋_GB2312"/>
          <w:color w:val="000000"/>
          <w:spacing w:val="-6"/>
          <w:sz w:val="32"/>
          <w:szCs w:val="32"/>
        </w:rPr>
        <w:t>2024年老旧小区改造共有9个改造项目，涉及27个小区，4308户，11月均可竣工验收。完成了城陵矶村向阳组、前进二组、骆家坡社区安全隐患整治工程，南岳社区文化活动中心改造工程等配套设施建设，极大改善了辖区生活环境。</w:t>
      </w:r>
      <w:r>
        <w:rPr>
          <w:rFonts w:hint="eastAsia" w:ascii="仿宋_GB2312" w:hAnsi="仿宋_GB2312" w:eastAsia="仿宋_GB2312" w:cs="仿宋_GB2312"/>
          <w:b/>
          <w:bCs/>
          <w:color w:val="000000"/>
          <w:spacing w:val="-6"/>
          <w:sz w:val="32"/>
          <w:szCs w:val="32"/>
        </w:rPr>
        <w:t>经济形势持续向好。</w:t>
      </w:r>
      <w:r>
        <w:rPr>
          <w:rFonts w:hint="eastAsia" w:ascii="仿宋_GB2312" w:hAnsi="仿宋_GB2312" w:eastAsia="仿宋_GB2312" w:cs="仿宋_GB2312"/>
          <w:spacing w:val="-6"/>
          <w:sz w:val="32"/>
          <w:szCs w:val="32"/>
        </w:rPr>
        <w:t>新增项目总投资2.37亿元，入库项目资金达5.01亿元，其中固定资产投资建设项目新入库6个，申报金额约7500余万元。开展全国第五次经济普查，已完成对635家企业单位，2900余家个体户宣传入户、摸底排查及入库工作。积极推动商会建立，目前已召集辖区内55位优秀企业代表，搭建起政府与民营企业之间的“连心桥”。</w:t>
      </w:r>
      <w:r>
        <w:rPr>
          <w:rFonts w:hint="eastAsia" w:ascii="仿宋_GB2312" w:hAnsi="仿宋_GB2312" w:eastAsia="仿宋_GB2312" w:cs="仿宋_GB2312"/>
          <w:b/>
          <w:bCs/>
          <w:color w:val="000000"/>
          <w:spacing w:val="-6"/>
          <w:sz w:val="32"/>
          <w:szCs w:val="32"/>
        </w:rPr>
        <w:t>财务管理严格规范。</w:t>
      </w:r>
      <w:r>
        <w:rPr>
          <w:rFonts w:hint="eastAsia" w:ascii="仿宋_GB2312" w:hAnsi="仿宋_GB2312" w:eastAsia="仿宋_GB2312" w:cs="仿宋_GB2312"/>
          <w:color w:val="000000"/>
          <w:spacing w:val="-6"/>
          <w:sz w:val="32"/>
          <w:szCs w:val="32"/>
        </w:rPr>
        <w:t>制定了《城陵矶街道办事处（乡镇）社区（村）财务管理制度》及《城陵矶街道办事处内控制度》，严格控制预算执行，出台《城陵矶街道农村集体“三资”管理突出问题整治工作方案》，加强对社区（村）三资管理，全面澄清社区（村）资产底数，并审计财务状况，严肃财经纪律。</w:t>
      </w:r>
      <w:r>
        <w:rPr>
          <w:rFonts w:hint="eastAsia" w:ascii="仿宋_GB2312" w:hAnsi="仿宋_GB2312" w:eastAsia="仿宋_GB2312" w:cs="仿宋_GB2312"/>
          <w:b/>
          <w:bCs/>
          <w:color w:val="000000"/>
          <w:spacing w:val="-6"/>
          <w:sz w:val="32"/>
          <w:szCs w:val="32"/>
        </w:rPr>
        <w:t>资产移交成效突出。</w:t>
      </w:r>
      <w:r>
        <w:rPr>
          <w:rFonts w:hint="eastAsia" w:ascii="仿宋_GB2312" w:hAnsi="仿宋_GB2312" w:eastAsia="仿宋_GB2312" w:cs="仿宋_GB2312"/>
          <w:color w:val="000000"/>
          <w:spacing w:val="-6"/>
          <w:sz w:val="32"/>
          <w:szCs w:val="32"/>
        </w:rPr>
        <w:t>为优化资产管理，盘活存量资产，提高资源使用效率，加强厂地协作，积极向泰格林纸、华能电厂等辖区企业争取了一批优良资产，共计66处，总面积达到16800平方米。</w:t>
      </w:r>
    </w:p>
    <w:p w14:paraId="7EAF7C1E">
      <w:pPr>
        <w:pStyle w:val="4"/>
        <w:spacing w:after="0" w:line="560" w:lineRule="exact"/>
        <w:ind w:left="0" w:leftChars="0" w:firstLine="640" w:firstLineChars="200"/>
        <w:rPr>
          <w:rFonts w:ascii="楷体" w:hAnsi="楷体" w:eastAsia="楷体" w:cs="楷体"/>
          <w:sz w:val="32"/>
          <w:szCs w:val="32"/>
        </w:rPr>
      </w:pPr>
      <w:r>
        <w:rPr>
          <w:rFonts w:hint="eastAsia" w:ascii="楷体" w:hAnsi="楷体" w:eastAsia="楷体" w:cs="楷体"/>
          <w:sz w:val="32"/>
          <w:szCs w:val="32"/>
        </w:rPr>
        <w:t>（三）多管齐下，精准施策，城市管理井然有序</w:t>
      </w:r>
    </w:p>
    <w:p w14:paraId="106ECDA9">
      <w:pPr>
        <w:spacing w:line="560" w:lineRule="exact"/>
        <w:ind w:firstLine="64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环卫作业精细狠抓。</w:t>
      </w:r>
      <w:r>
        <w:rPr>
          <w:rFonts w:hint="eastAsia" w:ascii="仿宋_GB2312" w:hAnsi="仿宋_GB2312" w:eastAsia="仿宋_GB2312" w:cs="仿宋_GB2312"/>
          <w:color w:val="000000"/>
          <w:spacing w:val="-6"/>
          <w:sz w:val="32"/>
          <w:szCs w:val="32"/>
        </w:rPr>
        <w:t>巩固国家卫生城市创建成果；拓宽环卫大扫除覆盖面，开展无物业小区“点对点”帮扶，集中清理辖区卫生死角100余处，清运各类垃圾1100吨。积极应对冰灾及汛期，组织动员300余人次，调用大型机械设备及车辆50台次，拆除危旧门头21处，清理断枝300余吨，及时进行场所清理和消杀，确保辖区环境和道路干净、整洁、通畅。（</w:t>
      </w:r>
      <w:r>
        <w:rPr>
          <w:rFonts w:hint="eastAsia" w:ascii="仿宋_GB2312" w:hAnsi="仿宋_GB2312" w:eastAsia="仿宋_GB2312" w:cs="仿宋_GB2312"/>
          <w:b/>
          <w:bCs/>
          <w:sz w:val="32"/>
          <w:szCs w:val="32"/>
        </w:rPr>
        <w:t>国卫复审获实效。</w:t>
      </w:r>
      <w:r>
        <w:rPr>
          <w:rFonts w:hint="eastAsia" w:ascii="仿宋_GB2312" w:hAnsi="仿宋_GB2312" w:eastAsia="仿宋_GB2312" w:cs="仿宋_GB2312"/>
          <w:sz w:val="32"/>
          <w:szCs w:val="32"/>
          <w:shd w:val="clear" w:color="auto" w:fill="FFFFFF"/>
        </w:rPr>
        <w:t>组织召开文明卫生城市建设工作会议4次，对城陵矶菜市场及周边3个菜市场开展整治行动，对社区村落开展3次大型整治行动，全面清理居民区内的违规小广告累计300余处、油污4000平方米、各类垃圾150吨，整理空中缆线300米、杂草20000平方。</w:t>
      </w:r>
      <w:r>
        <w:rPr>
          <w:rFonts w:hint="eastAsia" w:ascii="仿宋_GB2312" w:hAnsi="仿宋_GB2312" w:eastAsia="仿宋_GB2312" w:cs="仿宋_GB2312"/>
          <w:color w:val="000000"/>
          <w:spacing w:val="-6"/>
          <w:sz w:val="32"/>
          <w:szCs w:val="32"/>
        </w:rPr>
        <w:t>）</w:t>
      </w:r>
      <w:r>
        <w:rPr>
          <w:rFonts w:hint="eastAsia" w:ascii="仿宋_GB2312" w:hAnsi="仿宋_GB2312" w:eastAsia="仿宋_GB2312" w:cs="仿宋_GB2312"/>
          <w:b/>
          <w:bCs/>
          <w:color w:val="000000"/>
          <w:spacing w:val="-6"/>
          <w:sz w:val="32"/>
          <w:szCs w:val="32"/>
        </w:rPr>
        <w:t>城管执法有力有效。</w:t>
      </w:r>
      <w:r>
        <w:rPr>
          <w:rFonts w:hint="eastAsia" w:ascii="仿宋_GB2312" w:hAnsi="仿宋_GB2312" w:eastAsia="仿宋_GB2312" w:cs="仿宋_GB2312"/>
          <w:color w:val="000000"/>
          <w:spacing w:val="-6"/>
          <w:sz w:val="32"/>
          <w:szCs w:val="32"/>
        </w:rPr>
        <w:t>围绕马路市场、飞线充电、油烟排放等突出问题开展集中整治，日常清理堆放杂物198处，处理出店经营605次，加强城市燃气管理，在经营性门店装燃气防泄漏装置158套。严打违法建设，开展拆违行动16次，共计拆除新增、存量违法建设68处，5179平方米。</w:t>
      </w:r>
    </w:p>
    <w:p w14:paraId="0AA053EB">
      <w:pPr>
        <w:pStyle w:val="4"/>
        <w:spacing w:after="0" w:line="560" w:lineRule="exact"/>
        <w:ind w:left="0" w:leftChars="0" w:firstLine="640" w:firstLineChars="200"/>
        <w:rPr>
          <w:rFonts w:ascii="楷体" w:hAnsi="楷体" w:eastAsia="楷体" w:cs="楷体"/>
          <w:sz w:val="32"/>
          <w:szCs w:val="32"/>
        </w:rPr>
      </w:pPr>
      <w:r>
        <w:rPr>
          <w:rFonts w:hint="eastAsia" w:ascii="楷体" w:hAnsi="楷体" w:eastAsia="楷体" w:cs="楷体"/>
          <w:sz w:val="32"/>
          <w:szCs w:val="32"/>
        </w:rPr>
        <w:t>（四）机制创新，多元共治，社会治理平稳</w:t>
      </w:r>
    </w:p>
    <w:p w14:paraId="17AFCE55">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网格服务解民忧。</w:t>
      </w:r>
      <w:r>
        <w:rPr>
          <w:rFonts w:hint="eastAsia" w:ascii="仿宋_GB2312" w:hAnsi="仿宋_GB2312" w:eastAsia="仿宋_GB2312" w:cs="仿宋_GB2312"/>
          <w:color w:val="000000"/>
          <w:spacing w:val="-6"/>
          <w:sz w:val="32"/>
          <w:szCs w:val="32"/>
        </w:rPr>
        <w:t>深化“党建+网格化微治理”工作模式，开展上门服务4977次，报送处理各类事件357起，办结“一门式”平台事项315条，受理“12345”“市长信箱”等平台投诉220余条，均已全部结案，着力打通服务群众的“最后一公里”。</w:t>
      </w:r>
      <w:r>
        <w:rPr>
          <w:rFonts w:hint="eastAsia" w:ascii="仿宋_GB2312" w:hAnsi="仿宋_GB2312" w:eastAsia="仿宋_GB2312" w:cs="仿宋_GB2312"/>
          <w:b/>
          <w:bCs/>
          <w:color w:val="000000"/>
          <w:spacing w:val="-6"/>
          <w:sz w:val="32"/>
          <w:szCs w:val="32"/>
        </w:rPr>
        <w:t>群英共治促和谐。</w:t>
      </w:r>
      <w:r>
        <w:rPr>
          <w:rFonts w:hint="eastAsia" w:ascii="仿宋_GB2312" w:hAnsi="仿宋_GB2312" w:eastAsia="仿宋_GB2312" w:cs="仿宋_GB2312"/>
          <w:color w:val="000000"/>
          <w:spacing w:val="-6"/>
          <w:sz w:val="32"/>
          <w:szCs w:val="32"/>
        </w:rPr>
        <w:t>善用“群英断是非”工作法破解基层治理难题，开展调解会29次，成功调解25起，其中桂花园小区燃气改造、骆家坡社区群英共商化旧改难题等案例被岳阳楼区群英断是非工作法专刊采用，构建了共建共治共享的社会治理格局。</w:t>
      </w:r>
      <w:r>
        <w:rPr>
          <w:rFonts w:hint="eastAsia" w:ascii="仿宋_GB2312" w:hAnsi="仿宋_GB2312" w:eastAsia="仿宋_GB2312" w:cs="仿宋_GB2312"/>
          <w:b/>
          <w:bCs/>
          <w:color w:val="000000"/>
          <w:spacing w:val="-6"/>
          <w:sz w:val="32"/>
          <w:szCs w:val="32"/>
        </w:rPr>
        <w:t>平安创建稳大局。</w:t>
      </w:r>
      <w:r>
        <w:rPr>
          <w:rFonts w:hint="eastAsia" w:ascii="仿宋_GB2312" w:hAnsi="仿宋_GB2312" w:eastAsia="仿宋_GB2312" w:cs="仿宋_GB2312"/>
          <w:color w:val="000000"/>
          <w:spacing w:val="-6"/>
          <w:sz w:val="32"/>
          <w:szCs w:val="32"/>
        </w:rPr>
        <w:t>联合派出所、市场监督管理所等部门开展扫楼行动10余次，排查出租房等重点场所800余处，抓获卖淫嫖娼2人；全年推进“利剑护蕾”专项行动，开展双防宣传教育活动20余次，辖区内未发生一起未成年受侵害事件；全力推进信访维稳，接待重点信访人员14批次，完成全国两会重点信访对象和区信访局下发重点信访人员稳控工作，7月被评为全市信访工作完成好的单位。</w:t>
      </w:r>
      <w:r>
        <w:rPr>
          <w:rFonts w:hint="eastAsia" w:ascii="仿宋_GB2312" w:hAnsi="仿宋_GB2312" w:eastAsia="仿宋_GB2312" w:cs="仿宋_GB2312"/>
          <w:b/>
          <w:bCs/>
          <w:color w:val="000000"/>
          <w:spacing w:val="-6"/>
          <w:sz w:val="32"/>
          <w:szCs w:val="32"/>
        </w:rPr>
        <w:t>安全生产守底线。</w:t>
      </w:r>
      <w:r>
        <w:rPr>
          <w:rFonts w:hint="eastAsia" w:ascii="仿宋_GB2312" w:hAnsi="仿宋_GB2312" w:eastAsia="仿宋_GB2312" w:cs="仿宋_GB2312"/>
          <w:color w:val="000000"/>
          <w:spacing w:val="-6"/>
          <w:sz w:val="32"/>
          <w:szCs w:val="32"/>
        </w:rPr>
        <w:t>积极开展自建房排查整治“回头看”工作；开展消防安全大整治、“敲门”行动等共计30余次，排查督改隐患75处，下达限期整改通知书59份，已全部整改完毕；6月至8月特汛期间，对莲花塘电排站和三码头进行24小时值班值守，动员300余人次，排查安全隐患56处，应急临时转移18人次。全年未发生一起安全事故，保障了居民群众生命、财产安全。</w:t>
      </w:r>
    </w:p>
    <w:p w14:paraId="243F6904">
      <w:pPr>
        <w:pStyle w:val="4"/>
        <w:spacing w:after="0" w:line="560" w:lineRule="exact"/>
        <w:ind w:left="0" w:leftChars="0" w:firstLine="640" w:firstLineChars="200"/>
        <w:rPr>
          <w:rFonts w:ascii="楷体" w:hAnsi="楷体" w:eastAsia="楷体" w:cs="楷体"/>
          <w:sz w:val="32"/>
          <w:szCs w:val="32"/>
        </w:rPr>
      </w:pPr>
      <w:r>
        <w:rPr>
          <w:rFonts w:hint="eastAsia" w:ascii="楷体" w:hAnsi="楷体" w:eastAsia="楷体" w:cs="楷体"/>
          <w:sz w:val="32"/>
          <w:szCs w:val="32"/>
        </w:rPr>
        <w:t>（五）暖心关怀，全力保障，民生福祉显著增进</w:t>
      </w:r>
    </w:p>
    <w:p w14:paraId="0CBE9A85">
      <w:pPr>
        <w:adjustRightInd w:val="0"/>
        <w:snapToGrid w:val="0"/>
        <w:spacing w:line="600" w:lineRule="exact"/>
        <w:ind w:firstLine="619" w:firstLineChars="200"/>
        <w:jc w:val="left"/>
        <w:rPr>
          <w:rFonts w:ascii="黑体" w:hAnsi="黑体" w:eastAsia="黑体" w:cs="黑体"/>
          <w:color w:val="000000" w:themeColor="text1"/>
          <w:sz w:val="32"/>
          <w:szCs w:val="32"/>
        </w:rPr>
      </w:pPr>
      <w:r>
        <w:rPr>
          <w:rFonts w:hint="eastAsia" w:ascii="仿宋_GB2312" w:hAnsi="仿宋_GB2312" w:eastAsia="仿宋_GB2312" w:cs="仿宋_GB2312"/>
          <w:b/>
          <w:bCs/>
          <w:color w:val="000000"/>
          <w:spacing w:val="-6"/>
          <w:sz w:val="32"/>
          <w:szCs w:val="32"/>
        </w:rPr>
        <w:t>救助帮扶彰显温度。</w:t>
      </w:r>
      <w:r>
        <w:rPr>
          <w:rFonts w:hint="eastAsia" w:ascii="仿宋_GB2312" w:hAnsi="仿宋_GB2312" w:eastAsia="仿宋_GB2312" w:cs="仿宋_GB2312"/>
          <w:color w:val="000000"/>
          <w:spacing w:val="-6"/>
          <w:sz w:val="32"/>
          <w:szCs w:val="32"/>
        </w:rPr>
        <w:t>持续做好特殊群体、弱势群体的帮扶救助，全年新增低保、特困、残疾等对象共计46人，累计救助470余人，救助金额超20余万元；与岳阳林纸集团、岳纸学校共建家校社共育基地、希望园，助力帮扶留守儿童，进一步托牢社会救助底线。</w:t>
      </w:r>
      <w:r>
        <w:rPr>
          <w:rFonts w:hint="eastAsia" w:ascii="仿宋_GB2312" w:hAnsi="仿宋_GB2312" w:eastAsia="仿宋_GB2312" w:cs="仿宋_GB2312"/>
          <w:b/>
          <w:bCs/>
          <w:color w:val="000000"/>
          <w:spacing w:val="-6"/>
          <w:sz w:val="32"/>
          <w:szCs w:val="32"/>
        </w:rPr>
        <w:t>精神文明不断提升。</w:t>
      </w:r>
      <w:r>
        <w:rPr>
          <w:rFonts w:hint="eastAsia" w:ascii="仿宋_GB2312" w:hAnsi="仿宋_GB2312" w:eastAsia="仿宋_GB2312" w:cs="仿宋_GB2312"/>
          <w:color w:val="000000"/>
          <w:spacing w:val="-6"/>
          <w:sz w:val="32"/>
          <w:szCs w:val="32"/>
        </w:rPr>
        <w:t>加强正向宣传，累计在市、区及以上媒体平台宣传报道200余篇；重视舆论维稳，多渠道收集上报舆情共897条；丰富活动载体，结合新时代文明实践站等开展多种形式的学习、实践、宣传、文化等活动160余场，传播新思想，弘扬新风尚，在潜移默化中进一步强化精神文明建设。</w:t>
      </w:r>
      <w:r>
        <w:rPr>
          <w:rFonts w:hint="eastAsia" w:ascii="仿宋_GB2312" w:hAnsi="仿宋_GB2312" w:eastAsia="仿宋_GB2312" w:cs="仿宋_GB2312"/>
          <w:b/>
          <w:bCs/>
          <w:color w:val="000000"/>
          <w:spacing w:val="-6"/>
          <w:sz w:val="32"/>
          <w:szCs w:val="32"/>
        </w:rPr>
        <w:t>生态环境治理有效。</w:t>
      </w:r>
      <w:r>
        <w:rPr>
          <w:rFonts w:hint="eastAsia" w:ascii="仿宋_GB2312" w:hAnsi="仿宋_GB2312" w:eastAsia="仿宋_GB2312" w:cs="仿宋_GB2312"/>
          <w:color w:val="000000"/>
          <w:spacing w:val="-6"/>
          <w:sz w:val="32"/>
          <w:szCs w:val="32"/>
        </w:rPr>
        <w:t>围绕大气污染防治和“保护一江碧水”，打好“碧水、净土、蓝天”三大保卫战。扎实开展水源污染源排查，发现城市黑臭水体、排水管网等问题线索12处，其中莲花塘电排及纸厂西大门排口问题，已协调配合相关单位进行处置，预计在年底完成销号。严肃环保巡查，整改散乱污企业3家，关停2家；在净滩行动中共计清理垃圾1.7吨。围绕国控监测站点周边开展扬尘、废气、露天焚烧专项整治行动，巡查整改项目2个，不断擦亮生态环境绿色底色</w:t>
      </w:r>
    </w:p>
    <w:p w14:paraId="6BD22FD6">
      <w:pPr>
        <w:ind w:left="210"/>
        <w:jc w:val="left"/>
        <w:rPr>
          <w:rFonts w:ascii="黑体" w:hAnsi="黑体" w:eastAsia="黑体" w:cs="黑体"/>
          <w:b/>
          <w:bCs/>
          <w:color w:val="000000" w:themeColor="text1"/>
          <w:sz w:val="32"/>
          <w:szCs w:val="32"/>
        </w:rPr>
      </w:pPr>
      <w:r>
        <w:rPr>
          <w:rFonts w:hint="eastAsia" w:ascii="黑体" w:hAnsi="黑体" w:eastAsia="黑体" w:cs="黑体"/>
          <w:b/>
          <w:bCs/>
          <w:color w:val="000000" w:themeColor="text1"/>
          <w:sz w:val="32"/>
          <w:szCs w:val="32"/>
        </w:rPr>
        <w:t>七、存在的问题及原因分析</w:t>
      </w:r>
    </w:p>
    <w:p w14:paraId="7B5E8371">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一是党建引领基层治理作用发挥不够充分。</w:t>
      </w:r>
      <w:r>
        <w:rPr>
          <w:rFonts w:hint="eastAsia" w:ascii="仿宋_GB2312" w:hAnsi="仿宋_GB2312" w:eastAsia="仿宋_GB2312" w:cs="仿宋_GB2312"/>
          <w:color w:val="000000"/>
          <w:spacing w:val="-6"/>
          <w:sz w:val="32"/>
          <w:szCs w:val="32"/>
        </w:rPr>
        <w:t>机关党建工作是党的组织建设的重要环节，是完成机关各项任务，促进机关全面建设的重要保证。目前，街道基层党组织在整合各方资源、形成工作合力方面还存在不足。</w:t>
      </w:r>
    </w:p>
    <w:p w14:paraId="5A5766BB">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主要原因：</w:t>
      </w:r>
      <w:r>
        <w:rPr>
          <w:rFonts w:hint="eastAsia" w:ascii="仿宋_GB2312" w:hAnsi="仿宋_GB2312" w:eastAsia="仿宋_GB2312" w:cs="仿宋_GB2312"/>
          <w:color w:val="000000"/>
          <w:spacing w:val="-6"/>
          <w:sz w:val="32"/>
          <w:szCs w:val="32"/>
        </w:rPr>
        <w:t>党建引领基层治理的机制不够完善，缺乏明确的资源整合流程和协调机制；部分社区党组织的领导能力和统筹能力有待提高，对各方资源的认识和利用不够充分。</w:t>
      </w:r>
    </w:p>
    <w:p w14:paraId="2EF75447">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解决措施：</w:t>
      </w:r>
      <w:r>
        <w:rPr>
          <w:rFonts w:hint="eastAsia" w:ascii="仿宋_GB2312" w:hAnsi="仿宋_GB2312" w:eastAsia="仿宋_GB2312" w:cs="仿宋_GB2312"/>
          <w:color w:val="000000"/>
          <w:spacing w:val="-6"/>
          <w:sz w:val="32"/>
          <w:szCs w:val="32"/>
        </w:rPr>
        <w:t>完善党建引领基层治理机制，建立健全资源整合平台和协调机制，明确各方职责和工作流程；加强社区党组织建设，提高党组织领导能力和统筹能力，通过培训和实践锻炼，提升社区干部协调各方的能力。</w:t>
      </w:r>
    </w:p>
    <w:p w14:paraId="7A188A42">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二是“一门式”服务效能未能充分发挥。</w:t>
      </w:r>
      <w:r>
        <w:rPr>
          <w:rFonts w:hint="eastAsia" w:ascii="仿宋_GB2312" w:hAnsi="仿宋_GB2312" w:eastAsia="仿宋_GB2312" w:cs="仿宋_GB2312"/>
          <w:color w:val="000000"/>
          <w:spacing w:val="-6"/>
          <w:sz w:val="32"/>
          <w:szCs w:val="32"/>
        </w:rPr>
        <w:t>“一门式”服务全覆盖是实现“一门式”办理、“一站式”服务，打通服务群众“最后一公里”的一项具体基层惠民举措。但现存“一门式”部分事项街道无法办理，事件受理流于形式等现象。</w:t>
      </w:r>
    </w:p>
    <w:p w14:paraId="44E9D438">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主要原因：</w:t>
      </w:r>
      <w:r>
        <w:rPr>
          <w:rFonts w:hint="eastAsia" w:ascii="仿宋_GB2312" w:hAnsi="仿宋_GB2312" w:eastAsia="仿宋_GB2312" w:cs="仿宋_GB2312"/>
          <w:color w:val="000000"/>
          <w:spacing w:val="-6"/>
          <w:sz w:val="32"/>
          <w:szCs w:val="32"/>
        </w:rPr>
        <w:t>对工作人员的业务培训不足，导致业务不熟练；部门之间沟通协调机制不完善，使得受理事项与其他站所对接不顺畅。</w:t>
      </w:r>
    </w:p>
    <w:p w14:paraId="26EBE7DA">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解决措施：</w:t>
      </w:r>
      <w:r>
        <w:rPr>
          <w:rFonts w:hint="eastAsia" w:ascii="仿宋_GB2312" w:hAnsi="仿宋_GB2312" w:eastAsia="仿宋_GB2312" w:cs="仿宋_GB2312"/>
          <w:color w:val="000000"/>
          <w:spacing w:val="-6"/>
          <w:sz w:val="32"/>
          <w:szCs w:val="32"/>
        </w:rPr>
        <w:t>加强工作人员业务培训，通过集中授课、案例分析、模拟操作等方式，提高工作人员的业务水平和服务能力；建立健全部门之间的沟通协调机制，明确对接流程和责任分工，确保受理事项能够及时与其他站所进行对接。</w:t>
      </w:r>
    </w:p>
    <w:p w14:paraId="5FBFA614">
      <w:pPr>
        <w:spacing w:line="560" w:lineRule="exact"/>
        <w:rPr>
          <w:rFonts w:ascii="仿宋_GB2312" w:hAnsi="仿宋_GB2312" w:eastAsia="仿宋_GB2312" w:cs="仿宋_GB2312"/>
          <w:bCs/>
          <w:sz w:val="32"/>
          <w:szCs w:val="32"/>
        </w:rPr>
      </w:pPr>
    </w:p>
    <w:p w14:paraId="49278791">
      <w:pPr>
        <w:ind w:left="210"/>
        <w:jc w:val="left"/>
        <w:rPr>
          <w:rFonts w:ascii="黑体" w:hAnsi="黑体" w:eastAsia="黑体" w:cs="黑体"/>
          <w:b/>
          <w:bCs/>
          <w:color w:val="000000" w:themeColor="text1"/>
          <w:sz w:val="32"/>
          <w:szCs w:val="32"/>
        </w:rPr>
      </w:pPr>
      <w:r>
        <w:rPr>
          <w:rFonts w:hint="eastAsia" w:ascii="黑体" w:hAnsi="黑体" w:eastAsia="黑体" w:cs="黑体"/>
          <w:b/>
          <w:bCs/>
          <w:color w:val="000000" w:themeColor="text1"/>
          <w:sz w:val="32"/>
          <w:szCs w:val="32"/>
        </w:rPr>
        <w:t>八、下一步工作目标</w:t>
      </w:r>
    </w:p>
    <w:p w14:paraId="72FBCFFC">
      <w:pPr>
        <w:pStyle w:val="4"/>
        <w:spacing w:after="0" w:line="560" w:lineRule="exact"/>
        <w:ind w:left="0" w:leftChars="0" w:firstLine="640" w:firstLineChars="200"/>
        <w:rPr>
          <w:rFonts w:ascii="楷体" w:hAnsi="楷体" w:eastAsia="楷体" w:cs="楷体"/>
          <w:sz w:val="32"/>
          <w:szCs w:val="32"/>
        </w:rPr>
      </w:pPr>
      <w:r>
        <w:rPr>
          <w:rFonts w:hint="eastAsia" w:ascii="黑体" w:hAnsi="黑体" w:eastAsia="黑体" w:cs="黑体"/>
          <w:color w:val="000000" w:themeColor="text1"/>
          <w:sz w:val="32"/>
          <w:szCs w:val="32"/>
        </w:rPr>
        <w:t>以绩效目标为标准，从以下方面提升整体工作能力绩效：</w:t>
      </w:r>
      <w:r>
        <w:rPr>
          <w:rFonts w:hint="eastAsia" w:ascii="楷体" w:hAnsi="楷体" w:eastAsia="楷体" w:cs="楷体"/>
          <w:sz w:val="32"/>
          <w:szCs w:val="32"/>
        </w:rPr>
        <w:t>（一）优机制，提效能，政府建设展新貌</w:t>
      </w:r>
    </w:p>
    <w:p w14:paraId="07788A98">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完善党建引领机制。</w:t>
      </w:r>
      <w:r>
        <w:rPr>
          <w:rFonts w:hint="eastAsia" w:ascii="仿宋_GB2312" w:hAnsi="仿宋_GB2312" w:eastAsia="仿宋_GB2312" w:cs="仿宋_GB2312"/>
          <w:color w:val="000000"/>
          <w:spacing w:val="-6"/>
          <w:sz w:val="32"/>
          <w:szCs w:val="32"/>
        </w:rPr>
        <w:t>进一步健全党建引领基层治理的长效机制，加大对街道“大工委”、社区“大党委”建设的力度。通过明确各方职责、优化组织架构，充分发挥街道“大工委”在统筹协调区域资源中的关键作用，以及社区“大党委”在整合社区内各类党组织力量方面的核心优势。完善议事规则和工作流程，促进资源共享、问题共解，使党建引领基层治理更具系统性、协同性和实效性，为居民提供更优质的服务，营造更和谐稳定的社区环境。</w:t>
      </w:r>
      <w:r>
        <w:rPr>
          <w:rFonts w:hint="eastAsia" w:ascii="仿宋_GB2312" w:hAnsi="仿宋_GB2312" w:eastAsia="仿宋_GB2312" w:cs="仿宋_GB2312"/>
          <w:b/>
          <w:bCs/>
          <w:color w:val="000000"/>
          <w:spacing w:val="-6"/>
          <w:sz w:val="32"/>
          <w:szCs w:val="32"/>
        </w:rPr>
        <w:t>推进治理模式优化。</w:t>
      </w:r>
      <w:r>
        <w:rPr>
          <w:rFonts w:hint="eastAsia" w:ascii="仿宋_GB2312" w:hAnsi="仿宋_GB2312" w:eastAsia="仿宋_GB2312" w:cs="仿宋_GB2312"/>
          <w:color w:val="000000"/>
          <w:spacing w:val="-6"/>
          <w:sz w:val="32"/>
          <w:szCs w:val="32"/>
        </w:rPr>
        <w:t>秉持“简化流程、优化服务”的理念，对街道工作流程展开全面梳理与优化。充分依托现代信息技术，深入推动政务服务向数字化方向转型。重点聚焦完善“一站式”服务平台建设，强化协调联动、整合各方资源，积极促进“一门式”办理模式落实，以此提升企业和群众办事的便捷性与高效性，真正实现基层办事效率提升。</w:t>
      </w:r>
      <w:r>
        <w:rPr>
          <w:rFonts w:hint="eastAsia" w:ascii="仿宋_GB2312" w:hAnsi="仿宋_GB2312" w:eastAsia="仿宋_GB2312" w:cs="仿宋_GB2312"/>
          <w:b/>
          <w:bCs/>
          <w:color w:val="000000"/>
          <w:spacing w:val="-6"/>
          <w:sz w:val="32"/>
          <w:szCs w:val="32"/>
        </w:rPr>
        <w:t>筑牢防腐拒变防线。</w:t>
      </w:r>
      <w:r>
        <w:rPr>
          <w:rFonts w:hint="eastAsia" w:ascii="仿宋_GB2312" w:hAnsi="仿宋_GB2312" w:eastAsia="仿宋_GB2312" w:cs="仿宋_GB2312"/>
          <w:color w:val="000000"/>
          <w:spacing w:val="-6"/>
          <w:sz w:val="32"/>
          <w:szCs w:val="32"/>
        </w:rPr>
        <w:t>严格落实中央八项规定精神及省、市、区作风建设规定。充分发挥纪工委履行监督职能，严格日常督查，围绕重点工作，对关键环节、时间节点加大明查暗访力度，全力遏制“四风”反弹。同时，严控“三公”经费和一般性支出，全面加强财政资金管理。</w:t>
      </w:r>
    </w:p>
    <w:p w14:paraId="4BE5BAD3">
      <w:pPr>
        <w:pStyle w:val="4"/>
        <w:spacing w:after="0" w:line="560" w:lineRule="exact"/>
        <w:ind w:left="0" w:leftChars="0" w:firstLine="640" w:firstLineChars="200"/>
        <w:rPr>
          <w:rFonts w:ascii="楷体" w:hAnsi="楷体" w:eastAsia="楷体" w:cs="楷体"/>
          <w:sz w:val="32"/>
          <w:szCs w:val="32"/>
        </w:rPr>
      </w:pPr>
      <w:r>
        <w:rPr>
          <w:rFonts w:hint="eastAsia" w:ascii="楷体" w:hAnsi="楷体" w:eastAsia="楷体" w:cs="楷体"/>
          <w:sz w:val="32"/>
          <w:szCs w:val="32"/>
        </w:rPr>
        <w:t>（二）稳经济，抓项目，激发动能促发展</w:t>
      </w:r>
    </w:p>
    <w:p w14:paraId="7D9C9669">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旅发助力焕新颜。</w:t>
      </w:r>
      <w:r>
        <w:rPr>
          <w:rFonts w:hint="eastAsia" w:ascii="仿宋_GB2312" w:hAnsi="仿宋_GB2312" w:eastAsia="仿宋_GB2312" w:cs="仿宋_GB2312"/>
          <w:color w:val="000000"/>
          <w:spacing w:val="-6"/>
          <w:sz w:val="32"/>
          <w:szCs w:val="32"/>
        </w:rPr>
        <w:t>贯彻落实省委、省政府“办会兴城”决策部署和“精益求精、务求实效、越办越好”总体要求，以第四届湖南旅游发展大会为重要契机，全力推进城陵矶老码头及上洋关的改造工程。将桂花园社区作为重点，扎实推动辖区内重点区域、重点地段的建筑翻新以及路面修整等项目切实落地落实，从而焕新辖区整体容貌，大幅提升居民的幸福感与满意度。</w:t>
      </w:r>
      <w:r>
        <w:rPr>
          <w:rFonts w:hint="eastAsia" w:ascii="仿宋_GB2312" w:hAnsi="仿宋_GB2312" w:eastAsia="仿宋_GB2312" w:cs="仿宋_GB2312"/>
          <w:b/>
          <w:bCs/>
          <w:color w:val="000000"/>
          <w:spacing w:val="-6"/>
          <w:sz w:val="32"/>
          <w:szCs w:val="32"/>
        </w:rPr>
        <w:t>特色打造铸品牌。</w:t>
      </w:r>
      <w:r>
        <w:rPr>
          <w:rFonts w:hint="eastAsia" w:ascii="仿宋_GB2312" w:hAnsi="仿宋_GB2312" w:eastAsia="仿宋_GB2312" w:cs="仿宋_GB2312"/>
          <w:color w:val="000000"/>
          <w:spacing w:val="-6"/>
          <w:sz w:val="32"/>
          <w:szCs w:val="32"/>
        </w:rPr>
        <w:t>深入发掘城陵矶码头的独特特色，精心打造港口文化旅游等文旅产业。努力以洞庭南路、岳阳楼、城陵矶水文站、岳州关等为关键节点，以沿湖路及生态环保旅游廊道为连线，将各个景区景点串联起来，全力打造极具吸引力的网红打卡地。以纸厂老李烧烤为突破口，塑造出城陵矶烧烤的特色口碑，全方位助力辖区产业蓬勃发展。</w:t>
      </w:r>
      <w:r>
        <w:rPr>
          <w:rFonts w:hint="eastAsia" w:ascii="仿宋_GB2312" w:hAnsi="仿宋_GB2312" w:eastAsia="仿宋_GB2312" w:cs="仿宋_GB2312"/>
          <w:b/>
          <w:bCs/>
          <w:color w:val="000000"/>
          <w:spacing w:val="-6"/>
          <w:sz w:val="32"/>
          <w:szCs w:val="32"/>
        </w:rPr>
        <w:t>资源整合促发展。</w:t>
      </w:r>
      <w:r>
        <w:rPr>
          <w:rFonts w:hint="eastAsia" w:ascii="仿宋_GB2312" w:hAnsi="仿宋_GB2312" w:eastAsia="仿宋_GB2312" w:cs="仿宋_GB2312"/>
          <w:color w:val="000000"/>
          <w:spacing w:val="-6"/>
          <w:sz w:val="32"/>
          <w:szCs w:val="32"/>
        </w:rPr>
        <w:t>对于前期向辖区企业争取到的优良资产，将进一步整合，通过评估进行分类管理，排除安全隐患，完善相关配套设施，并按照“全盘管理、统一规划”的原则，将资源进行“打包”，通过项目招标等多种形式，积极吸引投资，充分激发闲置资产的活力，同时着力做好配套服务优化营商环境，全力促进辖区经济高质量发展。</w:t>
      </w:r>
    </w:p>
    <w:p w14:paraId="374A91EA">
      <w:pPr>
        <w:pStyle w:val="4"/>
        <w:spacing w:after="0" w:line="560" w:lineRule="exact"/>
        <w:ind w:left="0" w:leftChars="0" w:firstLine="640" w:firstLineChars="200"/>
        <w:rPr>
          <w:rFonts w:ascii="楷体" w:hAnsi="楷体" w:eastAsia="楷体" w:cs="楷体"/>
          <w:sz w:val="32"/>
          <w:szCs w:val="32"/>
        </w:rPr>
      </w:pPr>
      <w:r>
        <w:rPr>
          <w:rFonts w:hint="eastAsia" w:ascii="楷体" w:hAnsi="楷体" w:eastAsia="楷体" w:cs="楷体"/>
          <w:sz w:val="32"/>
          <w:szCs w:val="32"/>
        </w:rPr>
        <w:t>（三）强建设，保平安，筑牢防线护稳定</w:t>
      </w:r>
    </w:p>
    <w:p w14:paraId="3A20A90E">
      <w:pPr>
        <w:pStyle w:val="4"/>
        <w:spacing w:after="0" w:line="560" w:lineRule="exact"/>
        <w:ind w:left="0" w:leftChars="0"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rPr>
        <w:t>狠抓源头治理。</w:t>
      </w:r>
      <w:r>
        <w:rPr>
          <w:rFonts w:hint="eastAsia" w:ascii="仿宋_GB2312" w:hAnsi="仿宋_GB2312" w:eastAsia="仿宋_GB2312" w:cs="仿宋_GB2312"/>
          <w:color w:val="000000"/>
          <w:spacing w:val="-6"/>
          <w:sz w:val="32"/>
          <w:szCs w:val="32"/>
        </w:rPr>
        <w:t>加强对重点人群、重点区域、重点行业的监测预警，做到早发现、早报告、早处置；完善街道、社区（村）、网格三级矛盾纠纷排查调处网络，推行“人民调解、行政调解、司法调解”三调联动，引导群众依法理性表达诉求，有效化解矛盾纠纷；强化对金融、房地产、安全生产、食品药品安全、环境保护等领域风险排控，提高应急处置能力。</w:t>
      </w:r>
      <w:r>
        <w:rPr>
          <w:rFonts w:hint="eastAsia" w:ascii="仿宋_GB2312" w:hAnsi="仿宋_GB2312" w:eastAsia="仿宋_GB2312" w:cs="仿宋_GB2312"/>
          <w:b/>
          <w:bCs/>
          <w:color w:val="000000"/>
          <w:spacing w:val="-6"/>
          <w:sz w:val="32"/>
          <w:szCs w:val="32"/>
        </w:rPr>
        <w:t>夯实治安防控。</w:t>
      </w:r>
      <w:r>
        <w:rPr>
          <w:rFonts w:hint="eastAsia" w:ascii="仿宋_GB2312" w:hAnsi="仿宋_GB2312" w:eastAsia="仿宋_GB2312" w:cs="仿宋_GB2312"/>
          <w:color w:val="000000"/>
          <w:spacing w:val="-6"/>
          <w:sz w:val="32"/>
          <w:szCs w:val="32"/>
        </w:rPr>
        <w:t>持续巩固平安街道、平安社区（村）、平安校园、平安医院等创建成果，提升基层平安建设水平；加强对重点部位、区域、路段的夜间重点时段的巡控，加强流动人口和特殊人群服务管理，预防和减少违法犯罪发生；加强对交通、消防、危化品、建筑工地等重点领域的安全监管。</w:t>
      </w:r>
      <w:r>
        <w:rPr>
          <w:rFonts w:hint="eastAsia" w:ascii="仿宋_GB2312" w:hAnsi="仿宋_GB2312" w:eastAsia="仿宋_GB2312" w:cs="仿宋_GB2312"/>
          <w:b/>
          <w:bCs/>
          <w:color w:val="000000"/>
          <w:spacing w:val="-6"/>
          <w:sz w:val="32"/>
          <w:szCs w:val="32"/>
        </w:rPr>
        <w:t>强化正面宣传。</w:t>
      </w:r>
      <w:r>
        <w:rPr>
          <w:rFonts w:hint="eastAsia" w:ascii="仿宋_GB2312" w:hAnsi="仿宋_GB2312" w:eastAsia="仿宋_GB2312" w:cs="仿宋_GB2312"/>
          <w:color w:val="000000"/>
          <w:spacing w:val="-6"/>
          <w:sz w:val="32"/>
          <w:szCs w:val="32"/>
        </w:rPr>
        <w:t>督促各社区、村对接社区民辅警定期召开社区警情通报会或民情恳谈会，提升居民参与度；紧跟街道品牌建设创新，结合实际开展“知名专家讲理论”“机关干部讲政策”“五老人员讲故事”等理论宣讲，对重点工作、中心工作进行专题宣传，形成正面导向。</w:t>
      </w:r>
    </w:p>
    <w:p w14:paraId="1EC59EC0">
      <w:pPr>
        <w:pStyle w:val="4"/>
        <w:spacing w:after="0" w:line="560" w:lineRule="exact"/>
        <w:ind w:left="0" w:leftChars="0" w:firstLine="640" w:firstLineChars="200"/>
        <w:rPr>
          <w:rFonts w:ascii="楷体" w:hAnsi="楷体" w:eastAsia="楷体" w:cs="楷体"/>
          <w:sz w:val="32"/>
          <w:szCs w:val="32"/>
        </w:rPr>
      </w:pPr>
      <w:r>
        <w:rPr>
          <w:rFonts w:hint="eastAsia" w:ascii="楷体" w:hAnsi="楷体" w:eastAsia="楷体" w:cs="楷体"/>
          <w:sz w:val="32"/>
          <w:szCs w:val="32"/>
        </w:rPr>
        <w:t>（四）办实事，解难题，增进福祉暖民心</w:t>
      </w:r>
    </w:p>
    <w:p w14:paraId="58E65D10">
      <w:pPr>
        <w:pStyle w:val="4"/>
        <w:spacing w:after="0" w:line="560" w:lineRule="exact"/>
        <w:ind w:left="0" w:leftChars="0" w:firstLine="619" w:firstLineChars="200"/>
      </w:pPr>
      <w:r>
        <w:rPr>
          <w:rFonts w:hint="eastAsia" w:ascii="仿宋_GB2312" w:hAnsi="仿宋_GB2312" w:eastAsia="仿宋_GB2312" w:cs="仿宋_GB2312"/>
          <w:b/>
          <w:bCs/>
          <w:color w:val="000000"/>
          <w:spacing w:val="-6"/>
          <w:sz w:val="32"/>
          <w:szCs w:val="32"/>
        </w:rPr>
        <w:t>协同治理解难题。</w:t>
      </w:r>
      <w:r>
        <w:rPr>
          <w:rFonts w:hint="eastAsia" w:ascii="仿宋_GB2312" w:hAnsi="仿宋_GB2312" w:eastAsia="仿宋_GB2312" w:cs="仿宋_GB2312"/>
          <w:color w:val="000000"/>
          <w:spacing w:val="-6"/>
          <w:sz w:val="32"/>
          <w:szCs w:val="32"/>
        </w:rPr>
        <w:t>围绕乡村振兴、老旧小区改造、治安管控等热难点，引导</w:t>
      </w:r>
      <w:r>
        <w:rPr>
          <w:rFonts w:hint="eastAsia" w:ascii="仿宋_GB2312" w:hAnsi="仿宋_GB2312" w:eastAsia="仿宋_GB2312" w:cs="仿宋_GB2312"/>
          <w:color w:val="000000"/>
          <w:sz w:val="32"/>
          <w:szCs w:val="32"/>
        </w:rPr>
        <w:t>统战、人大、政协、非公企业等多方代表，</w:t>
      </w:r>
      <w:r>
        <w:rPr>
          <w:rFonts w:hint="eastAsia" w:ascii="仿宋_GB2312" w:hAnsi="仿宋_GB2312" w:eastAsia="仿宋_GB2312" w:cs="仿宋_GB2312"/>
          <w:color w:val="000000"/>
          <w:spacing w:val="-6"/>
          <w:sz w:val="32"/>
          <w:szCs w:val="32"/>
        </w:rPr>
        <w:t>通过代表活动、“微调研”行动、结对帮扶等多种形式</w:t>
      </w:r>
      <w:r>
        <w:rPr>
          <w:rFonts w:hint="eastAsia" w:ascii="仿宋_GB2312" w:hAnsi="仿宋_GB2312" w:eastAsia="仿宋_GB2312" w:cs="仿宋_GB2312"/>
          <w:color w:val="000000"/>
          <w:sz w:val="32"/>
          <w:szCs w:val="32"/>
        </w:rPr>
        <w:t>协同治理</w:t>
      </w:r>
      <w:r>
        <w:rPr>
          <w:rFonts w:hint="eastAsia" w:ascii="仿宋_GB2312" w:hAnsi="仿宋_GB2312" w:eastAsia="仿宋_GB2312" w:cs="仿宋_GB2312"/>
          <w:color w:val="000000"/>
          <w:spacing w:val="-6"/>
          <w:sz w:val="32"/>
          <w:szCs w:val="32"/>
        </w:rPr>
        <w:t>，</w:t>
      </w:r>
      <w:r>
        <w:rPr>
          <w:rFonts w:hint="eastAsia" w:ascii="仿宋_GB2312" w:hAnsi="仿宋_GB2312" w:eastAsia="仿宋_GB2312" w:cs="仿宋_GB2312"/>
          <w:color w:val="000000"/>
          <w:sz w:val="32"/>
          <w:szCs w:val="32"/>
        </w:rPr>
        <w:t>深入调研，</w:t>
      </w:r>
      <w:r>
        <w:rPr>
          <w:rFonts w:hint="eastAsia" w:ascii="仿宋_GB2312" w:hAnsi="仿宋_GB2312" w:eastAsia="仿宋_GB2312" w:cs="仿宋_GB2312"/>
          <w:color w:val="000000"/>
          <w:spacing w:val="-6"/>
          <w:sz w:val="32"/>
          <w:szCs w:val="32"/>
        </w:rPr>
        <w:t>收集民意，</w:t>
      </w:r>
      <w:r>
        <w:rPr>
          <w:rFonts w:hint="eastAsia" w:ascii="仿宋_GB2312" w:hAnsi="仿宋_GB2312" w:eastAsia="仿宋_GB2312" w:cs="仿宋_GB2312"/>
          <w:color w:val="000000"/>
          <w:sz w:val="32"/>
          <w:szCs w:val="32"/>
        </w:rPr>
        <w:t>积极建言献策，办实事，解难题，</w:t>
      </w:r>
      <w:r>
        <w:rPr>
          <w:rFonts w:hint="eastAsia" w:ascii="仿宋_GB2312" w:hAnsi="仿宋_GB2312" w:eastAsia="仿宋_GB2312" w:cs="仿宋_GB2312"/>
          <w:color w:val="000000"/>
          <w:spacing w:val="-6"/>
          <w:sz w:val="32"/>
          <w:szCs w:val="32"/>
        </w:rPr>
        <w:t>持续发力为民众排忧解难，形成多元共治的良好局面。</w:t>
      </w:r>
      <w:r>
        <w:rPr>
          <w:rFonts w:hint="eastAsia" w:ascii="仿宋_GB2312" w:hAnsi="仿宋_GB2312" w:eastAsia="仿宋_GB2312" w:cs="仿宋_GB2312"/>
          <w:b/>
          <w:bCs/>
          <w:color w:val="000000"/>
          <w:spacing w:val="-6"/>
          <w:sz w:val="32"/>
          <w:szCs w:val="32"/>
        </w:rPr>
        <w:t>惠民服务再升级。</w:t>
      </w:r>
      <w:r>
        <w:rPr>
          <w:rFonts w:hint="eastAsia" w:ascii="仿宋_GB2312" w:hAnsi="仿宋_GB2312" w:eastAsia="仿宋_GB2312" w:cs="仿宋_GB2312"/>
          <w:color w:val="000000"/>
          <w:spacing w:val="-6"/>
          <w:sz w:val="32"/>
          <w:szCs w:val="32"/>
        </w:rPr>
        <w:t>大力推进建设规模适度、经济适用且服务高效的社区嵌入式服务设施，项目涵盖养老、助餐、儿童托管等多项服务内容，满足“一老一小”群体的多元服务需求，打造更优质的生活环境。</w:t>
      </w:r>
      <w:r>
        <w:rPr>
          <w:rFonts w:hint="eastAsia" w:ascii="仿宋_GB2312" w:hAnsi="仿宋_GB2312" w:eastAsia="仿宋_GB2312" w:cs="仿宋_GB2312"/>
          <w:b/>
          <w:bCs/>
          <w:color w:val="000000"/>
          <w:spacing w:val="-6"/>
          <w:sz w:val="32"/>
          <w:szCs w:val="32"/>
        </w:rPr>
        <w:t>绿色底色再擦亮。</w:t>
      </w:r>
      <w:r>
        <w:rPr>
          <w:rFonts w:hint="eastAsia" w:ascii="仿宋_GB2312" w:hAnsi="仿宋_GB2312" w:eastAsia="仿宋_GB2312" w:cs="仿宋_GB2312"/>
          <w:color w:val="000000"/>
          <w:spacing w:val="-6"/>
          <w:sz w:val="32"/>
          <w:szCs w:val="32"/>
        </w:rPr>
        <w:t>持续深入打好“碧水、净土、蓝天”保卫战。持续开展城市黑臭水体排查、“落后产能”清查以及“散乱污”企业等排查工作，从根源上消除污染隐患。常态化开展秸秆焚烧巡查和非法捕捞巡查，同时充分借助先进科技手段构建起全方位、多层次的监管体系，实现对各类环境问题的实时监测和精准防控，从而从源头上遏制各类破坏生态环境的行为，守护我们的绿水青山。</w:t>
      </w:r>
    </w:p>
    <w:p w14:paraId="626F360E">
      <w:pPr>
        <w:ind w:firstLine="640" w:firstLineChars="200"/>
        <w:jc w:val="left"/>
        <w:rPr>
          <w:rFonts w:ascii="黑体" w:hAnsi="黑体" w:eastAsia="黑体" w:cs="黑体"/>
          <w:color w:val="000000" w:themeColor="text1"/>
          <w:sz w:val="32"/>
          <w:szCs w:val="32"/>
        </w:rPr>
      </w:pPr>
    </w:p>
    <w:p w14:paraId="2489AEB3">
      <w:pPr>
        <w:ind w:firstLine="321" w:firstLineChars="100"/>
        <w:jc w:val="left"/>
        <w:rPr>
          <w:rFonts w:ascii="黑体" w:hAnsi="黑体" w:eastAsia="黑体" w:cs="黑体"/>
          <w:b/>
          <w:bCs/>
          <w:color w:val="000000" w:themeColor="text1"/>
          <w:sz w:val="32"/>
          <w:szCs w:val="32"/>
        </w:rPr>
      </w:pPr>
      <w:r>
        <w:rPr>
          <w:rFonts w:hint="eastAsia" w:ascii="黑体" w:hAnsi="黑体" w:eastAsia="黑体" w:cs="黑体"/>
          <w:b/>
          <w:bCs/>
          <w:color w:val="000000" w:themeColor="text1"/>
          <w:sz w:val="32"/>
          <w:szCs w:val="32"/>
        </w:rPr>
        <w:t>九、部门整体支出绩效自评结果拟应用和公开情况</w:t>
      </w:r>
    </w:p>
    <w:p w14:paraId="2254782F">
      <w:pPr>
        <w:ind w:firstLine="640" w:firstLineChars="200"/>
        <w:jc w:val="left"/>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本单位部门整体支出绩效自评为98分。</w:t>
      </w:r>
    </w:p>
    <w:p w14:paraId="63B3F29D">
      <w:pPr>
        <w:pStyle w:val="4"/>
        <w:numPr>
          <w:ilvl w:val="0"/>
          <w:numId w:val="4"/>
        </w:numP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其他需要说明的情况：无</w:t>
      </w:r>
    </w:p>
    <w:p w14:paraId="476F8E51">
      <w:pPr>
        <w:ind w:firstLine="640" w:firstLineChars="200"/>
        <w:jc w:val="left"/>
        <w:rPr>
          <w:rFonts w:ascii="仿宋_GB2312" w:hAnsi="仿宋_GB2312" w:eastAsia="仿宋_GB2312" w:cs="仿宋_GB2312"/>
          <w:color w:val="000000" w:themeColor="text1"/>
          <w:sz w:val="32"/>
          <w:szCs w:val="32"/>
        </w:rPr>
      </w:pPr>
    </w:p>
    <w:p w14:paraId="1823DAB9">
      <w:pPr>
        <w:ind w:firstLine="640" w:firstLineChars="200"/>
        <w:jc w:val="left"/>
        <w:rPr>
          <w:rFonts w:ascii="仿宋_GB2312" w:hAnsi="仿宋_GB2312" w:eastAsia="仿宋_GB2312" w:cs="仿宋_GB2312"/>
          <w:color w:val="000000" w:themeColor="text1"/>
          <w:sz w:val="32"/>
          <w:szCs w:val="32"/>
        </w:rPr>
      </w:pPr>
    </w:p>
    <w:p w14:paraId="131FEC47">
      <w:pPr>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报告需要以下附件：</w:t>
      </w:r>
    </w:p>
    <w:p w14:paraId="3625C6C5">
      <w:pPr>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1、单位整体支出绩效评价基础数据表</w:t>
      </w:r>
    </w:p>
    <w:p w14:paraId="2368C6D4">
      <w:pPr>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2、单位整体支出绩效自评表</w:t>
      </w:r>
    </w:p>
    <w:p w14:paraId="2D7FBB22">
      <w:pPr>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3、项目支出绩效自评表</w:t>
      </w:r>
    </w:p>
    <w:p w14:paraId="639AAC3E">
      <w:pPr>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4、政府性基金预算支出情况表</w:t>
      </w:r>
    </w:p>
    <w:p w14:paraId="5E8A5FA9">
      <w:pPr>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5、国有资本经营预算支出情况表</w:t>
      </w:r>
    </w:p>
    <w:p w14:paraId="2FAC9CFA">
      <w:pPr>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6、社会保险基金预算支出情况表</w:t>
      </w:r>
    </w:p>
    <w:p w14:paraId="0EBC63C6">
      <w:pPr>
        <w:ind w:firstLine="640" w:firstLineChars="200"/>
        <w:jc w:val="left"/>
        <w:rPr>
          <w:rFonts w:ascii="仿宋_GB2312" w:hAnsi="仿宋_GB2312" w:eastAsia="仿宋_GB2312" w:cs="仿宋_GB2312"/>
          <w:color w:val="000000" w:themeColor="text1"/>
          <w:sz w:val="32"/>
          <w:szCs w:val="32"/>
        </w:rPr>
      </w:pPr>
    </w:p>
    <w:p w14:paraId="2959D0D6">
      <w:pPr>
        <w:ind w:firstLine="640" w:firstLineChars="200"/>
        <w:jc w:val="left"/>
        <w:rPr>
          <w:rFonts w:ascii="仿宋_GB2312" w:hAnsi="仿宋_GB2312" w:eastAsia="仿宋_GB2312" w:cs="仿宋_GB2312"/>
          <w:color w:val="000000" w:themeColor="text1"/>
          <w:sz w:val="32"/>
          <w:szCs w:val="32"/>
        </w:rPr>
      </w:pPr>
    </w:p>
    <w:p w14:paraId="40FA5E9B">
      <w:pPr>
        <w:pStyle w:val="3"/>
        <w:jc w:val="left"/>
        <w:rPr>
          <w:rFonts w:ascii="仿宋_GB2312" w:hAnsi="仿宋_GB2312" w:eastAsia="仿宋_GB2312" w:cs="仿宋_GB2312"/>
          <w:sz w:val="32"/>
          <w:szCs w:val="32"/>
          <w:lang w:eastAsia="zh-CN"/>
        </w:rPr>
      </w:pPr>
    </w:p>
    <w:sectPr>
      <w:footerReference r:id="rId6" w:type="default"/>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5ED28">
    <w:pPr>
      <w:spacing w:line="14" w:lineRule="auto"/>
      <w:rPr>
        <w:rFonts w:ascii="Arial"/>
        <w:sz w:val="2"/>
      </w:rPr>
    </w:pPr>
    <w:r>
      <w:rPr>
        <w:sz w:val="2"/>
      </w:rP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path/>
          <v:fill on="f" focussize="0,0"/>
          <v:stroke on="f" weight="0.5pt" joinstyle="miter"/>
          <v:imagedata o:title=""/>
          <o:lock v:ext="edit"/>
          <v:textbox inset="0mm,0mm,0mm,0mm" style="mso-fit-shape-to-text:t;">
            <w:txbxContent>
              <w:p w14:paraId="149F8CF9">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8D1D">
    <w:pPr>
      <w:spacing w:line="14" w:lineRule="auto"/>
      <w:rPr>
        <w:rFonts w:ascii="Arial"/>
        <w:sz w:val="2"/>
      </w:rPr>
    </w:pPr>
    <w:r>
      <w:rPr>
        <w:sz w:val="2"/>
      </w:rPr>
      <w:pict>
        <v:shape id="_x0000_s1028" o:spid="_x0000_s1028"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joinstyle="miter"/>
          <v:imagedata o:title=""/>
          <o:lock v:ext="edit"/>
          <v:textbox inset="0mm,0mm,0mm,0mm" style="mso-fit-shape-to-text:t;">
            <w:txbxContent>
              <w:p w14:paraId="731E2AFD">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FCC61">
    <w:pPr>
      <w:widowControl w:val="0"/>
      <w:spacing w:before="1" w:line="174" w:lineRule="auto"/>
      <w:ind w:left="574"/>
      <w:jc w:val="both"/>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w:pict>
        <v:shape id="_x0000_s1029" o:spid="_x0000_s1029"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v:imagedata o:title=""/>
          <o:lock v:ext="edit" aspectratio="f"/>
          <v:textbox inset="0mm,0mm,0mm,0mm" style="mso-fit-shape-to-text:t;">
            <w:txbxContent>
              <w:p w14:paraId="3B0A2D05">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47F2C">
    <w:pPr>
      <w:pStyle w:val="3"/>
      <w:spacing w:before="1" w:line="174" w:lineRule="auto"/>
      <w:jc w:val="right"/>
      <w:rPr>
        <w:sz w:val="28"/>
        <w:szCs w:val="28"/>
      </w:rPr>
    </w:pPr>
    <w:r>
      <w:rPr>
        <w:sz w:val="28"/>
      </w:rP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14:paraId="3318E9BA">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C55BD"/>
    <w:multiLevelType w:val="singleLevel"/>
    <w:tmpl w:val="91EC55BD"/>
    <w:lvl w:ilvl="0" w:tentative="0">
      <w:start w:val="1"/>
      <w:numFmt w:val="chineseCounting"/>
      <w:suff w:val="nothing"/>
      <w:lvlText w:val="%1、"/>
      <w:lvlJc w:val="left"/>
      <w:pPr>
        <w:ind w:left="-433"/>
      </w:pPr>
      <w:rPr>
        <w:rFonts w:hint="eastAsia"/>
      </w:rPr>
    </w:lvl>
  </w:abstractNum>
  <w:abstractNum w:abstractNumId="1">
    <w:nsid w:val="A016AA69"/>
    <w:multiLevelType w:val="singleLevel"/>
    <w:tmpl w:val="A016AA69"/>
    <w:lvl w:ilvl="0" w:tentative="0">
      <w:start w:val="10"/>
      <w:numFmt w:val="chineseCounting"/>
      <w:suff w:val="nothing"/>
      <w:lvlText w:val="%1、"/>
      <w:lvlJc w:val="left"/>
      <w:rPr>
        <w:rFonts w:hint="eastAsia"/>
      </w:rPr>
    </w:lvl>
  </w:abstractNum>
  <w:abstractNum w:abstractNumId="2">
    <w:nsid w:val="176660E9"/>
    <w:multiLevelType w:val="multilevel"/>
    <w:tmpl w:val="176660E9"/>
    <w:lvl w:ilvl="0" w:tentative="0">
      <w:start w:val="4"/>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1C03604"/>
    <w:multiLevelType w:val="singleLevel"/>
    <w:tmpl w:val="41C03604"/>
    <w:lvl w:ilvl="0" w:tentative="0">
      <w:start w:val="2"/>
      <w:numFmt w:val="chineseCounting"/>
      <w:lvlText w:val="(%1)"/>
      <w:lvlJc w:val="left"/>
      <w:pPr>
        <w:tabs>
          <w:tab w:val="left" w:pos="596"/>
        </w:tabs>
        <w:ind w:left="-13"/>
      </w:pPr>
      <w:rPr>
        <w:rFonts w:hint="eastAsia"/>
        <w:color w:val="auto"/>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cwYTIyNzAxZDkzN2YzMzc5ZTM2ZjViOWQ4ZGIxNWMifQ=="/>
  </w:docVars>
  <w:rsids>
    <w:rsidRoot w:val="76284CE1"/>
    <w:rsid w:val="000A3765"/>
    <w:rsid w:val="001D7282"/>
    <w:rsid w:val="001F1103"/>
    <w:rsid w:val="0039081D"/>
    <w:rsid w:val="00424513"/>
    <w:rsid w:val="0049022E"/>
    <w:rsid w:val="004E1CB8"/>
    <w:rsid w:val="005E6ECB"/>
    <w:rsid w:val="00665E2F"/>
    <w:rsid w:val="006B5224"/>
    <w:rsid w:val="00744EA1"/>
    <w:rsid w:val="00793DAF"/>
    <w:rsid w:val="007B3BF9"/>
    <w:rsid w:val="007C15D1"/>
    <w:rsid w:val="00820B1A"/>
    <w:rsid w:val="008C064A"/>
    <w:rsid w:val="0091337F"/>
    <w:rsid w:val="009419CA"/>
    <w:rsid w:val="00955854"/>
    <w:rsid w:val="009C7330"/>
    <w:rsid w:val="00A00FBB"/>
    <w:rsid w:val="00A04D3F"/>
    <w:rsid w:val="00BF0721"/>
    <w:rsid w:val="00C03795"/>
    <w:rsid w:val="00CE3756"/>
    <w:rsid w:val="00D27A74"/>
    <w:rsid w:val="00D61779"/>
    <w:rsid w:val="00E3201C"/>
    <w:rsid w:val="00E831C8"/>
    <w:rsid w:val="00EF287A"/>
    <w:rsid w:val="00F63BA3"/>
    <w:rsid w:val="00FC5518"/>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B70F09"/>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1188D"/>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31F8"/>
    <w:rsid w:val="043B5C60"/>
    <w:rsid w:val="045F666C"/>
    <w:rsid w:val="0460075C"/>
    <w:rsid w:val="04613BEE"/>
    <w:rsid w:val="04675C34"/>
    <w:rsid w:val="046C0B29"/>
    <w:rsid w:val="047B7C52"/>
    <w:rsid w:val="04816E5C"/>
    <w:rsid w:val="048924DD"/>
    <w:rsid w:val="04914D95"/>
    <w:rsid w:val="0495144B"/>
    <w:rsid w:val="04AC07A1"/>
    <w:rsid w:val="04B07CB0"/>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100CBA"/>
    <w:rsid w:val="0725074E"/>
    <w:rsid w:val="073045A9"/>
    <w:rsid w:val="07313C60"/>
    <w:rsid w:val="07331F0A"/>
    <w:rsid w:val="073336CE"/>
    <w:rsid w:val="073404AB"/>
    <w:rsid w:val="073556E3"/>
    <w:rsid w:val="074A1FC1"/>
    <w:rsid w:val="07560FC4"/>
    <w:rsid w:val="07576646"/>
    <w:rsid w:val="076912F0"/>
    <w:rsid w:val="076971BD"/>
    <w:rsid w:val="076D43AE"/>
    <w:rsid w:val="077323CA"/>
    <w:rsid w:val="0775145F"/>
    <w:rsid w:val="077C65FF"/>
    <w:rsid w:val="0780202B"/>
    <w:rsid w:val="07885339"/>
    <w:rsid w:val="078C68F4"/>
    <w:rsid w:val="078E0AF3"/>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358BE"/>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8442D"/>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0386"/>
    <w:rsid w:val="0DDB14CA"/>
    <w:rsid w:val="0DE03EAA"/>
    <w:rsid w:val="0DE12394"/>
    <w:rsid w:val="0DE14775"/>
    <w:rsid w:val="0DE818F6"/>
    <w:rsid w:val="0DF15D7D"/>
    <w:rsid w:val="0DF36262"/>
    <w:rsid w:val="0E02782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32523"/>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17E99"/>
    <w:rsid w:val="108449FF"/>
    <w:rsid w:val="108A0CDB"/>
    <w:rsid w:val="108B34B0"/>
    <w:rsid w:val="108F1E83"/>
    <w:rsid w:val="1095698E"/>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145A5"/>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11E61"/>
    <w:rsid w:val="136B7A0D"/>
    <w:rsid w:val="136C145A"/>
    <w:rsid w:val="13776D50"/>
    <w:rsid w:val="137B3EE1"/>
    <w:rsid w:val="139404F9"/>
    <w:rsid w:val="13A55CD5"/>
    <w:rsid w:val="13B654E3"/>
    <w:rsid w:val="13B819E6"/>
    <w:rsid w:val="13BC4189"/>
    <w:rsid w:val="13C169EC"/>
    <w:rsid w:val="13CA717D"/>
    <w:rsid w:val="13CE022A"/>
    <w:rsid w:val="13DF25B8"/>
    <w:rsid w:val="13E0569F"/>
    <w:rsid w:val="13E2403C"/>
    <w:rsid w:val="14047D3B"/>
    <w:rsid w:val="140C7BCE"/>
    <w:rsid w:val="141A00EA"/>
    <w:rsid w:val="14394A85"/>
    <w:rsid w:val="143A1FCF"/>
    <w:rsid w:val="1441725F"/>
    <w:rsid w:val="14430D66"/>
    <w:rsid w:val="14470936"/>
    <w:rsid w:val="14477E65"/>
    <w:rsid w:val="147026FF"/>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D481F"/>
    <w:rsid w:val="16ED6FC0"/>
    <w:rsid w:val="16F042AC"/>
    <w:rsid w:val="16F626B5"/>
    <w:rsid w:val="16FB005D"/>
    <w:rsid w:val="16FC4F3B"/>
    <w:rsid w:val="171630EB"/>
    <w:rsid w:val="17171C62"/>
    <w:rsid w:val="171B2129"/>
    <w:rsid w:val="172B5BB7"/>
    <w:rsid w:val="17435DB3"/>
    <w:rsid w:val="174849B3"/>
    <w:rsid w:val="174F5CC1"/>
    <w:rsid w:val="175075E0"/>
    <w:rsid w:val="17561DD9"/>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4B55A5"/>
    <w:rsid w:val="1A5F35C0"/>
    <w:rsid w:val="1A734275"/>
    <w:rsid w:val="1A7C4FE0"/>
    <w:rsid w:val="1A8006B2"/>
    <w:rsid w:val="1A8439F7"/>
    <w:rsid w:val="1A8D640E"/>
    <w:rsid w:val="1A974192"/>
    <w:rsid w:val="1AAC2E83"/>
    <w:rsid w:val="1AB73785"/>
    <w:rsid w:val="1ACA62AD"/>
    <w:rsid w:val="1ACF41BD"/>
    <w:rsid w:val="1ADA675E"/>
    <w:rsid w:val="1AE11CDA"/>
    <w:rsid w:val="1AF20311"/>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20928"/>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2E34392"/>
    <w:rsid w:val="22EA6B29"/>
    <w:rsid w:val="23033650"/>
    <w:rsid w:val="231527D7"/>
    <w:rsid w:val="23185AD8"/>
    <w:rsid w:val="23336451"/>
    <w:rsid w:val="233649D3"/>
    <w:rsid w:val="234436D4"/>
    <w:rsid w:val="23474320"/>
    <w:rsid w:val="23492735"/>
    <w:rsid w:val="235B5F37"/>
    <w:rsid w:val="235C3EA6"/>
    <w:rsid w:val="23604810"/>
    <w:rsid w:val="23830488"/>
    <w:rsid w:val="23932D47"/>
    <w:rsid w:val="23BB2620"/>
    <w:rsid w:val="23BE4330"/>
    <w:rsid w:val="23BF0A62"/>
    <w:rsid w:val="23C263BB"/>
    <w:rsid w:val="23C63733"/>
    <w:rsid w:val="23CC59AF"/>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93712"/>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16C7E"/>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02AEF"/>
    <w:rsid w:val="2A367BB2"/>
    <w:rsid w:val="2A3B610C"/>
    <w:rsid w:val="2A3D54FD"/>
    <w:rsid w:val="2A410FE5"/>
    <w:rsid w:val="2A596631"/>
    <w:rsid w:val="2A5A05BF"/>
    <w:rsid w:val="2A5F2983"/>
    <w:rsid w:val="2A600C1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CE652B"/>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07E12"/>
    <w:rsid w:val="2D6578A0"/>
    <w:rsid w:val="2D6B21D3"/>
    <w:rsid w:val="2D6D2389"/>
    <w:rsid w:val="2D7343C9"/>
    <w:rsid w:val="2DA20908"/>
    <w:rsid w:val="2DA30D70"/>
    <w:rsid w:val="2DB45073"/>
    <w:rsid w:val="2DB713DE"/>
    <w:rsid w:val="2DC72B92"/>
    <w:rsid w:val="2DE32BEB"/>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952B5"/>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023E"/>
    <w:rsid w:val="322A1170"/>
    <w:rsid w:val="322B51BC"/>
    <w:rsid w:val="322F26BF"/>
    <w:rsid w:val="32313F22"/>
    <w:rsid w:val="323867C0"/>
    <w:rsid w:val="32447DF8"/>
    <w:rsid w:val="324736B6"/>
    <w:rsid w:val="324C78AE"/>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A5B5D"/>
    <w:rsid w:val="32FC6C4E"/>
    <w:rsid w:val="330326BB"/>
    <w:rsid w:val="33085CC5"/>
    <w:rsid w:val="33100DE3"/>
    <w:rsid w:val="33262CBA"/>
    <w:rsid w:val="332B323C"/>
    <w:rsid w:val="332E3189"/>
    <w:rsid w:val="3333740C"/>
    <w:rsid w:val="334B4AB3"/>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E6DB1"/>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572C6"/>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227225"/>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A03C3"/>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47FA7"/>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044A7"/>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8C7B7B"/>
    <w:rsid w:val="49967AF4"/>
    <w:rsid w:val="499D482B"/>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970FD"/>
    <w:rsid w:val="4A1A0131"/>
    <w:rsid w:val="4A212635"/>
    <w:rsid w:val="4A2175B6"/>
    <w:rsid w:val="4A246FCD"/>
    <w:rsid w:val="4A250C92"/>
    <w:rsid w:val="4A3E56F1"/>
    <w:rsid w:val="4A3F0D79"/>
    <w:rsid w:val="4A4260CB"/>
    <w:rsid w:val="4A611E1A"/>
    <w:rsid w:val="4A7055A6"/>
    <w:rsid w:val="4A8C584B"/>
    <w:rsid w:val="4A906B51"/>
    <w:rsid w:val="4A9A17FA"/>
    <w:rsid w:val="4A9C47ED"/>
    <w:rsid w:val="4AA71D5E"/>
    <w:rsid w:val="4AAA6CA9"/>
    <w:rsid w:val="4AAC134C"/>
    <w:rsid w:val="4AC951F4"/>
    <w:rsid w:val="4AE008D2"/>
    <w:rsid w:val="4AE2639D"/>
    <w:rsid w:val="4B0B3617"/>
    <w:rsid w:val="4B110177"/>
    <w:rsid w:val="4B1525EA"/>
    <w:rsid w:val="4B245246"/>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925E8"/>
    <w:rsid w:val="4E8A7107"/>
    <w:rsid w:val="4E95725E"/>
    <w:rsid w:val="4E9A6CF9"/>
    <w:rsid w:val="4EA65FD0"/>
    <w:rsid w:val="4EA96F07"/>
    <w:rsid w:val="4EAD4E5F"/>
    <w:rsid w:val="4ED33DCB"/>
    <w:rsid w:val="4EE34782"/>
    <w:rsid w:val="4EE63F4F"/>
    <w:rsid w:val="4F007E65"/>
    <w:rsid w:val="4F053462"/>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0321F"/>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844624"/>
    <w:rsid w:val="508F14FF"/>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966BB"/>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371BA"/>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8146D"/>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915F2"/>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846A57"/>
    <w:rsid w:val="58905FCC"/>
    <w:rsid w:val="58AD7359"/>
    <w:rsid w:val="58C07CA9"/>
    <w:rsid w:val="58C5235F"/>
    <w:rsid w:val="58CB35D4"/>
    <w:rsid w:val="58D247DD"/>
    <w:rsid w:val="58DE5A38"/>
    <w:rsid w:val="58ED2719"/>
    <w:rsid w:val="58FA7B16"/>
    <w:rsid w:val="58FB22A6"/>
    <w:rsid w:val="59003437"/>
    <w:rsid w:val="59035499"/>
    <w:rsid w:val="59182EE7"/>
    <w:rsid w:val="591D7A2A"/>
    <w:rsid w:val="5921119F"/>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440B"/>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62370B"/>
    <w:rsid w:val="5F683CCB"/>
    <w:rsid w:val="5F792AFF"/>
    <w:rsid w:val="5F826595"/>
    <w:rsid w:val="5F901AC8"/>
    <w:rsid w:val="5F993F7A"/>
    <w:rsid w:val="5FA342D5"/>
    <w:rsid w:val="5FA40581"/>
    <w:rsid w:val="5FB4440F"/>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0CBA"/>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02D1"/>
    <w:rsid w:val="61E73697"/>
    <w:rsid w:val="61EE3162"/>
    <w:rsid w:val="61F62056"/>
    <w:rsid w:val="620208E6"/>
    <w:rsid w:val="62074A2F"/>
    <w:rsid w:val="620E46C5"/>
    <w:rsid w:val="620F37AC"/>
    <w:rsid w:val="621536B2"/>
    <w:rsid w:val="621C707C"/>
    <w:rsid w:val="621E0130"/>
    <w:rsid w:val="62271A32"/>
    <w:rsid w:val="62292F8A"/>
    <w:rsid w:val="622A09DE"/>
    <w:rsid w:val="622A199E"/>
    <w:rsid w:val="622D74F5"/>
    <w:rsid w:val="6245212D"/>
    <w:rsid w:val="6245710A"/>
    <w:rsid w:val="624B2E9D"/>
    <w:rsid w:val="624F2006"/>
    <w:rsid w:val="62504ABA"/>
    <w:rsid w:val="62510C1A"/>
    <w:rsid w:val="62550B75"/>
    <w:rsid w:val="625C5461"/>
    <w:rsid w:val="62607DE0"/>
    <w:rsid w:val="626506AE"/>
    <w:rsid w:val="626F13F7"/>
    <w:rsid w:val="62757089"/>
    <w:rsid w:val="627C139F"/>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B62C3"/>
    <w:rsid w:val="656E6D13"/>
    <w:rsid w:val="65792400"/>
    <w:rsid w:val="65990AED"/>
    <w:rsid w:val="65A5311F"/>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0363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8C2521"/>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57495"/>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1614"/>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737C7F"/>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72ACD"/>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2FE4B93"/>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20E05"/>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B8340E"/>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8666B"/>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23F5B"/>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BC2C91"/>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85911"/>
    <w:rsid w:val="7EEB5BB3"/>
    <w:rsid w:val="7EF05AD7"/>
    <w:rsid w:val="7EFA2ADA"/>
    <w:rsid w:val="7F1568D7"/>
    <w:rsid w:val="7F297DAB"/>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semiHidden/>
    <w:qFormat/>
    <w:uiPriority w:val="0"/>
    <w:rPr>
      <w:rFonts w:ascii="仿宋" w:hAnsi="仿宋" w:eastAsia="仿宋" w:cs="仿宋"/>
      <w:sz w:val="35"/>
      <w:szCs w:val="35"/>
      <w:lang w:eastAsia="en-US"/>
    </w:rPr>
  </w:style>
  <w:style w:type="paragraph" w:styleId="4">
    <w:name w:val="Body Text Indent 2"/>
    <w:basedOn w:val="1"/>
    <w:qFormat/>
    <w:uiPriority w:val="0"/>
    <w:pPr>
      <w:spacing w:after="120" w:line="480" w:lineRule="auto"/>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Cs w:val="21"/>
      <w:lang w:eastAsia="en-US"/>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9"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7428</Words>
  <Characters>7867</Characters>
  <Lines>57</Lines>
  <Paragraphs>16</Paragraphs>
  <TotalTime>0</TotalTime>
  <ScaleCrop>false</ScaleCrop>
  <LinksUpToDate>false</LinksUpToDate>
  <CharactersWithSpaces>7926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cp:lastPrinted>2025-06-30T07:19:00Z</cp:lastPrinted>
  <dcterms:modified xsi:type="dcterms:W3CDTF">2026-08-17T06:18:16Z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47AE613C0723421F98F35D2EA2CC2427_13</vt:lpwstr>
  </property>
  <property fmtid="{D5CDD505-2E9C-101B-9397-08002B2CF9AE}" pid="4" name="KSOTemplateDocerSaveRecord">
    <vt:lpwstr>eyJoZGlkIjoiM2ExM2I1Y2E5MTg1NzJhN2FkNjlmNDg5OTI5OGY3ZTQiLCJ1c2VySWQiOiI0MTQ2OTI3NDEifQ==</vt:lpwstr>
  </property>
</Properties>
</file>