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岳阳市岳阳楼区五里牌街道办事处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59</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59</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1321.5</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672</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887.07</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4FC6071B">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color w:val="000000"/>
                <w:kern w:val="2"/>
                <w:sz w:val="24"/>
                <w:szCs w:val="24"/>
                <w:lang w:val="en-US" w:eastAsia="zh-CN" w:bidi="ar-SA"/>
              </w:rPr>
              <w:t>15</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bidi="ar-SA"/>
              </w:rPr>
              <w:t>887.07</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43" w:line="209" w:lineRule="auto"/>
              <w:ind w:left="384" w:firstLine="242" w:firstLineChars="100"/>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就业创业专项</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13.79</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2.54</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防汛抢险救灾专项党费</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5.16</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七中片区项目</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w:t>
            </w:r>
          </w:p>
        </w:tc>
      </w:tr>
      <w:tr w14:paraId="6A47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8284E7E">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自然灾害</w:t>
            </w:r>
          </w:p>
        </w:tc>
        <w:tc>
          <w:tcPr>
            <w:tcW w:w="1815" w:type="dxa"/>
            <w:gridSpan w:val="2"/>
            <w:shd w:val="clear" w:color="auto" w:fill="auto"/>
            <w:vAlign w:val="center"/>
          </w:tcPr>
          <w:p w14:paraId="2214172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F9F38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E07DDA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2.91</w:t>
            </w:r>
          </w:p>
        </w:tc>
      </w:tr>
      <w:tr w14:paraId="75B49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1CF67F5">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残疾人专职委员工资</w:t>
            </w:r>
          </w:p>
        </w:tc>
        <w:tc>
          <w:tcPr>
            <w:tcW w:w="1815" w:type="dxa"/>
            <w:gridSpan w:val="2"/>
            <w:shd w:val="clear" w:color="auto" w:fill="auto"/>
            <w:vAlign w:val="center"/>
          </w:tcPr>
          <w:p w14:paraId="312C43F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87B9E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0E82B2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0.54</w:t>
            </w:r>
          </w:p>
        </w:tc>
      </w:tr>
      <w:tr w14:paraId="5E4C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60D86B9">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青年中路与洞庭大道洞穿项目</w:t>
            </w:r>
          </w:p>
        </w:tc>
        <w:tc>
          <w:tcPr>
            <w:tcW w:w="1815" w:type="dxa"/>
            <w:gridSpan w:val="2"/>
            <w:shd w:val="clear" w:color="auto" w:fill="auto"/>
            <w:vAlign w:val="center"/>
          </w:tcPr>
          <w:p w14:paraId="5497DA0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1DE7A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139CF0E">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w:t>
            </w:r>
          </w:p>
        </w:tc>
      </w:tr>
      <w:tr w14:paraId="3BBB0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23B83E4D">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残疾人信息数据采集录入经费</w:t>
            </w:r>
          </w:p>
        </w:tc>
        <w:tc>
          <w:tcPr>
            <w:tcW w:w="1815" w:type="dxa"/>
            <w:gridSpan w:val="2"/>
            <w:shd w:val="clear" w:color="auto" w:fill="auto"/>
            <w:vAlign w:val="center"/>
          </w:tcPr>
          <w:p w14:paraId="6DB328F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E9187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661773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0.42</w:t>
            </w:r>
          </w:p>
        </w:tc>
      </w:tr>
      <w:tr w14:paraId="3B9B0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1B79540">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其他卫计资金</w:t>
            </w:r>
          </w:p>
        </w:tc>
        <w:tc>
          <w:tcPr>
            <w:tcW w:w="1815" w:type="dxa"/>
            <w:gridSpan w:val="2"/>
            <w:shd w:val="clear" w:color="auto" w:fill="auto"/>
            <w:vAlign w:val="center"/>
          </w:tcPr>
          <w:p w14:paraId="2A21736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18.43</w:t>
            </w:r>
          </w:p>
        </w:tc>
        <w:tc>
          <w:tcPr>
            <w:tcW w:w="2254" w:type="dxa"/>
            <w:gridSpan w:val="2"/>
            <w:vAlign w:val="center"/>
          </w:tcPr>
          <w:p w14:paraId="5D3152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A31A8D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3.62</w:t>
            </w:r>
          </w:p>
        </w:tc>
      </w:tr>
      <w:tr w14:paraId="1C83B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CE568DF">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独生子女父母奖励</w:t>
            </w:r>
          </w:p>
        </w:tc>
        <w:tc>
          <w:tcPr>
            <w:tcW w:w="1815" w:type="dxa"/>
            <w:gridSpan w:val="2"/>
            <w:shd w:val="clear" w:color="auto" w:fill="auto"/>
            <w:vAlign w:val="center"/>
          </w:tcPr>
          <w:p w14:paraId="1A67698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71E0B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38DCAC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0.94</w:t>
            </w:r>
          </w:p>
        </w:tc>
      </w:tr>
      <w:tr w14:paraId="6385B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33653E7">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退役军人社保</w:t>
            </w:r>
          </w:p>
        </w:tc>
        <w:tc>
          <w:tcPr>
            <w:tcW w:w="1815" w:type="dxa"/>
            <w:gridSpan w:val="2"/>
            <w:shd w:val="clear" w:color="auto" w:fill="auto"/>
            <w:vAlign w:val="center"/>
          </w:tcPr>
          <w:p w14:paraId="79A640A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2147A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DF940A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9.12</w:t>
            </w:r>
          </w:p>
        </w:tc>
      </w:tr>
      <w:tr w14:paraId="79750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CD13999">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特殊困难退役军人财政补贴</w:t>
            </w:r>
          </w:p>
        </w:tc>
        <w:tc>
          <w:tcPr>
            <w:tcW w:w="1815" w:type="dxa"/>
            <w:gridSpan w:val="2"/>
            <w:shd w:val="clear" w:color="auto" w:fill="auto"/>
            <w:vAlign w:val="center"/>
          </w:tcPr>
          <w:p w14:paraId="0403C9C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CC4EB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D95F6A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9.82</w:t>
            </w:r>
          </w:p>
        </w:tc>
      </w:tr>
      <w:tr w14:paraId="35B24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2546C99">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其他资金</w:t>
            </w:r>
          </w:p>
        </w:tc>
        <w:tc>
          <w:tcPr>
            <w:tcW w:w="1815" w:type="dxa"/>
            <w:gridSpan w:val="2"/>
            <w:shd w:val="clear" w:color="auto" w:fill="auto"/>
            <w:vAlign w:val="center"/>
          </w:tcPr>
          <w:p w14:paraId="3573B06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8BFCD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F56954E">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18.03</w:t>
            </w:r>
          </w:p>
        </w:tc>
      </w:tr>
      <w:tr w14:paraId="1058C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47E8CCA">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老旧小区改造专项</w:t>
            </w:r>
          </w:p>
        </w:tc>
        <w:tc>
          <w:tcPr>
            <w:tcW w:w="1815" w:type="dxa"/>
            <w:gridSpan w:val="2"/>
            <w:shd w:val="clear" w:color="auto" w:fill="auto"/>
            <w:vAlign w:val="center"/>
          </w:tcPr>
          <w:p w14:paraId="2E5400D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65.28</w:t>
            </w:r>
          </w:p>
        </w:tc>
        <w:tc>
          <w:tcPr>
            <w:tcW w:w="2254" w:type="dxa"/>
            <w:gridSpan w:val="2"/>
            <w:vAlign w:val="center"/>
          </w:tcPr>
          <w:p w14:paraId="5911B9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424C666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107.47</w:t>
            </w:r>
          </w:p>
        </w:tc>
      </w:tr>
      <w:tr w14:paraId="7A952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A2EA55B">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临时救助</w:t>
            </w:r>
          </w:p>
        </w:tc>
        <w:tc>
          <w:tcPr>
            <w:tcW w:w="1815" w:type="dxa"/>
            <w:gridSpan w:val="2"/>
            <w:shd w:val="clear" w:color="auto" w:fill="auto"/>
            <w:vAlign w:val="center"/>
          </w:tcPr>
          <w:p w14:paraId="2C6EC53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w:t>
            </w:r>
          </w:p>
        </w:tc>
        <w:tc>
          <w:tcPr>
            <w:tcW w:w="2254" w:type="dxa"/>
            <w:gridSpan w:val="2"/>
            <w:vAlign w:val="center"/>
          </w:tcPr>
          <w:p w14:paraId="747DDE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909B11F">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1.77</w:t>
            </w:r>
          </w:p>
        </w:tc>
      </w:tr>
      <w:tr w14:paraId="31F9A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F4EAB9E">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其他城管环卫资金</w:t>
            </w:r>
          </w:p>
        </w:tc>
        <w:tc>
          <w:tcPr>
            <w:tcW w:w="1815" w:type="dxa"/>
            <w:gridSpan w:val="2"/>
            <w:shd w:val="clear" w:color="auto" w:fill="auto"/>
            <w:vAlign w:val="center"/>
          </w:tcPr>
          <w:p w14:paraId="0F85516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49.19</w:t>
            </w:r>
          </w:p>
        </w:tc>
        <w:tc>
          <w:tcPr>
            <w:tcW w:w="2254" w:type="dxa"/>
            <w:gridSpan w:val="2"/>
            <w:vAlign w:val="center"/>
          </w:tcPr>
          <w:p w14:paraId="7CAEC3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D7F54B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30.66</w:t>
            </w:r>
          </w:p>
        </w:tc>
      </w:tr>
      <w:tr w14:paraId="07526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ECF8448">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环境卫生整治专项</w:t>
            </w:r>
          </w:p>
        </w:tc>
        <w:tc>
          <w:tcPr>
            <w:tcW w:w="1815" w:type="dxa"/>
            <w:gridSpan w:val="2"/>
            <w:shd w:val="clear" w:color="auto" w:fill="auto"/>
            <w:vAlign w:val="center"/>
          </w:tcPr>
          <w:p w14:paraId="5E4081C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23.18</w:t>
            </w:r>
          </w:p>
        </w:tc>
        <w:tc>
          <w:tcPr>
            <w:tcW w:w="2254" w:type="dxa"/>
            <w:gridSpan w:val="2"/>
            <w:vAlign w:val="center"/>
          </w:tcPr>
          <w:p w14:paraId="6ED8CB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6E3F24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27.66</w:t>
            </w:r>
          </w:p>
        </w:tc>
      </w:tr>
      <w:tr w14:paraId="06A06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B278D5B">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环卫工人工资及社保</w:t>
            </w:r>
          </w:p>
        </w:tc>
        <w:tc>
          <w:tcPr>
            <w:tcW w:w="1815" w:type="dxa"/>
            <w:gridSpan w:val="2"/>
            <w:shd w:val="clear" w:color="auto" w:fill="auto"/>
            <w:vAlign w:val="center"/>
          </w:tcPr>
          <w:p w14:paraId="66551A7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569.09</w:t>
            </w:r>
          </w:p>
        </w:tc>
        <w:tc>
          <w:tcPr>
            <w:tcW w:w="2254" w:type="dxa"/>
            <w:gridSpan w:val="2"/>
            <w:vAlign w:val="center"/>
          </w:tcPr>
          <w:p w14:paraId="461B5D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657</w:t>
            </w:r>
          </w:p>
        </w:tc>
        <w:tc>
          <w:tcPr>
            <w:tcW w:w="1750" w:type="dxa"/>
            <w:gridSpan w:val="2"/>
            <w:vAlign w:val="center"/>
          </w:tcPr>
          <w:p w14:paraId="4524886A">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618.03</w:t>
            </w: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分散供养费</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0.35</w:t>
            </w: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0.58</w:t>
            </w:r>
          </w:p>
        </w:tc>
      </w:tr>
      <w:tr w14:paraId="62C1B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8879DD0">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退役军人春节走访慰问</w:t>
            </w:r>
          </w:p>
        </w:tc>
        <w:tc>
          <w:tcPr>
            <w:tcW w:w="1815" w:type="dxa"/>
            <w:gridSpan w:val="2"/>
            <w:shd w:val="clear" w:color="auto" w:fill="auto"/>
            <w:vAlign w:val="center"/>
          </w:tcPr>
          <w:p w14:paraId="1D6D9B8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9.98</w:t>
            </w:r>
          </w:p>
        </w:tc>
        <w:tc>
          <w:tcPr>
            <w:tcW w:w="2254" w:type="dxa"/>
            <w:gridSpan w:val="2"/>
            <w:vAlign w:val="center"/>
          </w:tcPr>
          <w:p w14:paraId="08677A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C7BBCF4">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24</w:t>
            </w:r>
          </w:p>
        </w:tc>
      </w:tr>
      <w:tr w14:paraId="3812C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3FAF9C9">
            <w:pPr>
              <w:spacing w:before="143" w:line="209" w:lineRule="auto"/>
              <w:ind w:left="384" w:firstLine="242" w:firstLineChars="100"/>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医保征缴代办专项</w:t>
            </w:r>
          </w:p>
        </w:tc>
        <w:tc>
          <w:tcPr>
            <w:tcW w:w="1815" w:type="dxa"/>
            <w:gridSpan w:val="2"/>
            <w:shd w:val="clear" w:color="auto" w:fill="auto"/>
            <w:vAlign w:val="center"/>
          </w:tcPr>
          <w:p w14:paraId="4564D095">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2.56</w:t>
            </w:r>
          </w:p>
        </w:tc>
        <w:tc>
          <w:tcPr>
            <w:tcW w:w="2254" w:type="dxa"/>
            <w:gridSpan w:val="2"/>
            <w:vAlign w:val="center"/>
          </w:tcPr>
          <w:p w14:paraId="1061C6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E8E8E6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11.8</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269.7</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111.6</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471.61</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25.7</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20.43</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8.76</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16.36</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0.21</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382.31</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111.6</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686.29</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0CE540D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10"/>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岳阳市岳阳楼区五里牌街道办事处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10"/>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10"/>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10"/>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spacing w:before="21" w:line="207" w:lineRule="auto"/>
              <w:jc w:val="center"/>
              <w:rPr>
                <w:rFonts w:hint="default" w:ascii="宋体" w:hAnsi="宋体" w:eastAsia="宋体" w:cs="宋体"/>
                <w:spacing w:val="1"/>
                <w:sz w:val="19"/>
                <w:szCs w:val="19"/>
                <w:highlight w:val="none"/>
                <w:lang w:val="en-US" w:eastAsia="zh-CN"/>
              </w:rPr>
            </w:pPr>
            <w:r>
              <w:rPr>
                <w:rFonts w:hint="eastAsia" w:ascii="宋体" w:hAnsi="宋体" w:eastAsia="宋体" w:cs="宋体"/>
                <w:spacing w:val="1"/>
                <w:sz w:val="19"/>
                <w:szCs w:val="19"/>
                <w:highlight w:val="none"/>
                <w:lang w:val="en-US" w:eastAsia="zh-CN"/>
              </w:rPr>
              <w:t>1658.86</w:t>
            </w:r>
          </w:p>
        </w:tc>
        <w:tc>
          <w:tcPr>
            <w:tcW w:w="1212" w:type="dxa"/>
            <w:vAlign w:val="center"/>
          </w:tcPr>
          <w:p w14:paraId="122C9419">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2424.69</w:t>
            </w:r>
          </w:p>
        </w:tc>
        <w:tc>
          <w:tcPr>
            <w:tcW w:w="1286" w:type="dxa"/>
            <w:vAlign w:val="center"/>
          </w:tcPr>
          <w:p w14:paraId="3E29C04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2344.62</w:t>
            </w:r>
          </w:p>
        </w:tc>
        <w:tc>
          <w:tcPr>
            <w:tcW w:w="735" w:type="dxa"/>
            <w:vAlign w:val="center"/>
          </w:tcPr>
          <w:p w14:paraId="7CE703A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10</w:t>
            </w:r>
          </w:p>
        </w:tc>
        <w:tc>
          <w:tcPr>
            <w:tcW w:w="739" w:type="dxa"/>
            <w:vAlign w:val="center"/>
          </w:tcPr>
          <w:p w14:paraId="0A3E9397">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9</w:t>
            </w:r>
            <w:r>
              <w:rPr>
                <w:rFonts w:hint="eastAsia" w:ascii="宋体" w:hAnsi="宋体" w:eastAsia="宋体" w:cs="宋体"/>
                <w:spacing w:val="1"/>
                <w:sz w:val="19"/>
                <w:szCs w:val="19"/>
                <w:highlight w:val="none"/>
                <w:lang w:val="en-US" w:eastAsia="zh-CN"/>
              </w:rPr>
              <w:t>6.70</w:t>
            </w:r>
            <w:r>
              <w:rPr>
                <w:rFonts w:hint="default" w:ascii="宋体" w:hAnsi="宋体" w:eastAsia="宋体" w:cs="宋体"/>
                <w:spacing w:val="1"/>
                <w:sz w:val="19"/>
                <w:szCs w:val="19"/>
                <w:highlight w:val="none"/>
                <w:lang w:val="en-US" w:eastAsia="zh-CN"/>
              </w:rPr>
              <w:t>%</w:t>
            </w:r>
          </w:p>
        </w:tc>
        <w:tc>
          <w:tcPr>
            <w:tcW w:w="1450" w:type="dxa"/>
            <w:vAlign w:val="center"/>
          </w:tcPr>
          <w:p w14:paraId="6CA57E7D">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9.5</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10"/>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10"/>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2000.48</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1457.55</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10"/>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887.07</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10"/>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10"/>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10"/>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344.14</w:t>
            </w:r>
          </w:p>
        </w:tc>
        <w:tc>
          <w:tcPr>
            <w:tcW w:w="4210" w:type="dxa"/>
            <w:gridSpan w:val="4"/>
            <w:vAlign w:val="top"/>
          </w:tcPr>
          <w:p w14:paraId="492CC969">
            <w:pPr>
              <w:pStyle w:val="10"/>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10"/>
              <w:spacing w:line="242" w:lineRule="auto"/>
              <w:rPr>
                <w:rFonts w:hint="eastAsia" w:ascii="宋体" w:hAnsi="宋体" w:eastAsia="宋体" w:cs="宋体"/>
              </w:rPr>
            </w:pPr>
          </w:p>
          <w:p w14:paraId="56827C23">
            <w:pPr>
              <w:pStyle w:val="10"/>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10"/>
              <w:rPr>
                <w:rFonts w:hint="eastAsia" w:ascii="宋体" w:hAnsi="宋体" w:eastAsia="宋体" w:cs="宋体"/>
              </w:rPr>
            </w:pPr>
          </w:p>
        </w:tc>
        <w:tc>
          <w:tcPr>
            <w:tcW w:w="4789" w:type="dxa"/>
            <w:gridSpan w:val="4"/>
            <w:vAlign w:val="center"/>
          </w:tcPr>
          <w:p w14:paraId="2CA2C432">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负责公共卫生事件的应急处置、传染病疫情的预防控制、职业健康、流动人口婚育状况等有关事务;负责做好城乡居民社会养老保险登记、就业登记和失业登记;负责城乡居民基本医疗保险参保登记、缴费续保等工作，做到应保尽保。根据委托，负责承接教育、科学、文化、体育、广电、旅游、红十字会等方面的事务性工作和公益性服务。负责维护社会稳定，全面掌握辖区社会稳定形势，组织开展社会矛盾纠纷排查不少于20次，及时调处，协调有关部门妥善处置重大复杂矛盾纠纷;落实防范措施，组织开展突出治安问题排查整治不少于15次;做好邪教人员的排查与管控工作;开展平安建设，组织群防群治;加强社区(村)警务建设，打造“四无社区(村)”，推进社区(村)治理创新水平;提升公众安全感测评，较2023年提升20%。接待群众来信来访。负责做好辖区内特殊群体基础数据的统计，网格化信息更新录入20000条;负责事实无人抚养儿童的查验核实，终止保障资格以及孤儿保障对象的审核工作;负责做好老年人权益保障工作，对辖区内敬老院、养老服务机构进行监督管理;负责五保对象入住敬老院、特困人员入住特困供养机构的批准许可;负责做好辖区内特困人员认定和救助供养待遇的审核及监管。</w:t>
            </w:r>
          </w:p>
        </w:tc>
        <w:tc>
          <w:tcPr>
            <w:tcW w:w="4210" w:type="dxa"/>
            <w:gridSpan w:val="4"/>
            <w:vAlign w:val="center"/>
          </w:tcPr>
          <w:p w14:paraId="68748D6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安全生产常抓不懈，压实安全防范责任，全年共在辖区内组织开展突出问题排查23次。2.经济发展稳进提质，1-11月共完成固定资产投资11.8214亿元，同比增长11.52%，四化建社区荣获市“产业发展”工作先进集体。3.人居环境不断优化，全年开展清洁家园活动470余次，清理卫生死角6000余处，牛皮癣17500余处，清除菜地200余处，清运垃圾2000余车。4.为居民幸福生活保驾护航，依托社区网格，积极上报处理各种民生网格事件1458件。5.项目建设态势良好，共完成了63个旧改项目和7个配套设施项目。6.市容市貌不断提升，拆除四化建小区等违法建筑479处，共26366.54平方米，对违法建设保持零容忍的态度。7.利民惠民持续升温，街道集中力量开展专场招聘会2次，新增就业837人，发挥了公共就业服务的作用，助力高质量就业。</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评扣分标准</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分值</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得分</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组织开展突出治安问题排查次数</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达到指标值得满分，每少完成一次，扣0.5分，扣完为止。</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344427C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w:t>
            </w: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9D9246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F335145">
            <w:pPr>
              <w:rPr>
                <w:rFonts w:hint="eastAsia" w:ascii="宋体" w:hAnsi="宋体" w:eastAsia="宋体" w:cs="宋体"/>
                <w:sz w:val="21"/>
                <w:szCs w:val="21"/>
              </w:rPr>
            </w:pP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完成固定资产投资任务数</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不低于6亿元</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11.8214亿元</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达到指标值得满分，每少完成一个，扣0.5分，扣完为止。</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30B6B3C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w:t>
            </w: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全年垃圾清运数量</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不少于500余车</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2000余车</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达到指标值得满分，每少完成一车，扣0.5分，扣完为止。</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5EADC4F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w:t>
            </w: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0C1E07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经费支出合规性</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经费支出合规</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经费支出合理合规</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符合预算支出管理办法的规定，有完整的审批程序和手续，已经过评估论证，符合预算批复的用途，且不存在截留、挤占、挪用、虚列支出等情形，得5分，其他情况不得分。</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rPr>
                <w:rFonts w:hint="eastAsia" w:ascii="宋体" w:hAnsi="宋体" w:eastAsia="宋体" w:cs="宋体"/>
                <w:sz w:val="21"/>
                <w:szCs w:val="21"/>
              </w:rPr>
            </w:pP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固定资产投资增速</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高于同比增速10%</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11.52%</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达到指标值得满分，每少于1%，扣0.5分，扣完为止。</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FAC28F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处理民生网格事件</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能够及时处理各种民生网格事件</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未达指标值酌情扣分</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2B67DDA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w:t>
            </w: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AD2B8A">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B692CE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优化项目建设态势</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项目建设态势提升</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项目建设态势有所提升</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项目建设态势显著优化，得5分；项目建设态势一般优化，得2分；项目建设态势没有变化，得0分。</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777F1D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95.5</w:t>
            </w:r>
          </w:p>
        </w:tc>
        <w:tc>
          <w:tcPr>
            <w:tcW w:w="1450" w:type="dxa"/>
            <w:vAlign w:val="top"/>
          </w:tcPr>
          <w:p w14:paraId="433EE453">
            <w:pPr>
              <w:pStyle w:val="10"/>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E8D6E65">
      <w:pPr>
        <w:spacing w:before="191" w:line="230" w:lineRule="auto"/>
        <w:rPr>
          <w:rFonts w:ascii="黑体" w:hAnsi="黑体" w:eastAsia="黑体" w:cs="黑体"/>
          <w:spacing w:val="-4"/>
          <w:sz w:val="31"/>
          <w:szCs w:val="31"/>
        </w:rPr>
      </w:pPr>
    </w:p>
    <w:p w14:paraId="6B02919D">
      <w:pPr>
        <w:spacing w:before="191" w:line="230" w:lineRule="auto"/>
        <w:rPr>
          <w:rFonts w:ascii="黑体" w:hAnsi="黑体" w:eastAsia="黑体" w:cs="黑体"/>
          <w:spacing w:val="-4"/>
          <w:sz w:val="31"/>
          <w:szCs w:val="31"/>
        </w:r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leftChars="0"/>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widowControl w:val="0"/>
              <w:jc w:val="center"/>
              <w:rPr>
                <w:rFonts w:hint="eastAsia" w:ascii="宋体" w:hAnsi="宋体" w:eastAsia="宋体" w:cs="宋体"/>
                <w:lang w:val="en-US" w:eastAsia="zh-CN"/>
              </w:rPr>
            </w:pPr>
            <w:r>
              <w:rPr>
                <w:rFonts w:hint="eastAsia" w:ascii="宋体" w:hAnsi="宋体" w:eastAsia="宋体" w:cs="宋体"/>
                <w:kern w:val="2"/>
                <w:sz w:val="21"/>
                <w:szCs w:val="21"/>
                <w:lang w:val="en-US" w:eastAsia="zh-CN" w:bidi="ar-SA"/>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leftChars="0"/>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widowControl w:val="0"/>
              <w:jc w:val="center"/>
              <w:rPr>
                <w:rFonts w:hint="eastAsia" w:ascii="宋体" w:hAnsi="宋体" w:eastAsia="宋体" w:cs="宋体"/>
                <w:lang w:val="en-US" w:eastAsia="zh-CN"/>
              </w:rPr>
            </w:pPr>
            <w:r>
              <w:rPr>
                <w:rFonts w:hint="eastAsia" w:ascii="宋体" w:hAnsi="宋体" w:eastAsia="宋体" w:cs="宋体"/>
                <w:kern w:val="2"/>
                <w:sz w:val="21"/>
                <w:szCs w:val="21"/>
                <w:lang w:val="en-US" w:eastAsia="zh-CN" w:bidi="ar-SA"/>
              </w:rPr>
              <w:t>/</w:t>
            </w:r>
          </w:p>
        </w:tc>
        <w:tc>
          <w:tcPr>
            <w:tcW w:w="1281" w:type="dxa"/>
            <w:vAlign w:val="top"/>
          </w:tcPr>
          <w:p w14:paraId="27D62055">
            <w:pPr>
              <w:spacing w:before="32" w:line="215" w:lineRule="auto"/>
              <w:ind w:left="258" w:leftChars="0"/>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widowControl w:val="0"/>
              <w:jc w:val="center"/>
              <w:rPr>
                <w:rFonts w:hint="eastAsia" w:ascii="宋体" w:hAnsi="宋体" w:eastAsia="宋体" w:cs="宋体"/>
                <w:lang w:val="en-US" w:eastAsia="zh-CN"/>
              </w:rPr>
            </w:pPr>
            <w:r>
              <w:rPr>
                <w:rFonts w:hint="eastAsia" w:ascii="宋体" w:hAnsi="宋体" w:eastAsia="宋体" w:cs="宋体"/>
                <w:kern w:val="2"/>
                <w:sz w:val="21"/>
                <w:szCs w:val="21"/>
                <w:lang w:val="en-US" w:eastAsia="zh-CN" w:bidi="ar-SA"/>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DA3E87D">
            <w:pPr>
              <w:spacing w:before="61" w:line="241" w:lineRule="auto"/>
              <w:ind w:right="141"/>
              <w:jc w:val="both"/>
              <w:rPr>
                <w:rFonts w:hint="eastAsia" w:ascii="宋体" w:hAnsi="宋体" w:eastAsia="宋体" w:cs="宋体"/>
                <w:sz w:val="19"/>
                <w:szCs w:val="19"/>
                <w:lang w:eastAsia="zh-CN"/>
              </w:rPr>
            </w:pPr>
          </w:p>
          <w:p w14:paraId="7DCD543D">
            <w:pPr>
              <w:spacing w:before="61" w:line="241" w:lineRule="auto"/>
              <w:ind w:right="141" w:rightChars="0"/>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vAlign w:val="top"/>
          </w:tcPr>
          <w:p w14:paraId="5BB79AD6">
            <w:pPr>
              <w:widowControl w:val="0"/>
              <w:jc w:val="both"/>
              <w:rPr>
                <w:rFonts w:hint="eastAsia" w:ascii="宋体" w:hAnsi="宋体" w:eastAsia="宋体" w:cs="宋体"/>
              </w:rPr>
            </w:pPr>
          </w:p>
        </w:tc>
        <w:tc>
          <w:tcPr>
            <w:tcW w:w="1244" w:type="dxa"/>
            <w:vAlign w:val="top"/>
          </w:tcPr>
          <w:p w14:paraId="0B55A164">
            <w:pPr>
              <w:spacing w:before="31" w:line="217" w:lineRule="auto"/>
              <w:ind w:left="129" w:leftChars="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leftChars="0"/>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leftChars="0"/>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leftChars="0"/>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leftChars="0"/>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leftChars="0"/>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widowControl w:val="0"/>
              <w:jc w:val="both"/>
              <w:rPr>
                <w:rFonts w:hint="eastAsia" w:ascii="宋体" w:hAnsi="宋体" w:eastAsia="宋体" w:cs="宋体"/>
              </w:rPr>
            </w:pPr>
          </w:p>
        </w:tc>
        <w:tc>
          <w:tcPr>
            <w:tcW w:w="2034" w:type="dxa"/>
            <w:gridSpan w:val="2"/>
            <w:vAlign w:val="top"/>
          </w:tcPr>
          <w:p w14:paraId="1961070E">
            <w:pPr>
              <w:spacing w:before="30" w:line="217" w:lineRule="auto"/>
              <w:ind w:left="114" w:leftChars="0"/>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1244" w:type="dxa"/>
            <w:vAlign w:val="top"/>
          </w:tcPr>
          <w:p w14:paraId="127FE77D">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1281" w:type="dxa"/>
            <w:vAlign w:val="top"/>
          </w:tcPr>
          <w:p w14:paraId="0A7D30FD">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673" w:type="dxa"/>
            <w:vAlign w:val="top"/>
          </w:tcPr>
          <w:p w14:paraId="48ED08E8">
            <w:pPr>
              <w:spacing w:before="64" w:line="195" w:lineRule="auto"/>
              <w:ind w:left="331" w:leftChars="0"/>
              <w:jc w:val="center"/>
              <w:rPr>
                <w:rFonts w:hint="eastAsia" w:ascii="宋体" w:hAnsi="宋体" w:eastAsia="宋体" w:cs="宋体"/>
                <w:sz w:val="19"/>
                <w:szCs w:val="19"/>
                <w:lang w:eastAsia="zh-CN"/>
              </w:rPr>
            </w:pPr>
            <w:r>
              <w:rPr>
                <w:rFonts w:hint="eastAsia" w:ascii="宋体" w:hAnsi="宋体" w:eastAsia="宋体" w:cs="宋体"/>
                <w:spacing w:val="-8"/>
                <w:sz w:val="19"/>
                <w:szCs w:val="19"/>
              </w:rPr>
              <w:t>10</w:t>
            </w:r>
          </w:p>
        </w:tc>
        <w:tc>
          <w:tcPr>
            <w:tcW w:w="873" w:type="dxa"/>
            <w:vAlign w:val="top"/>
          </w:tcPr>
          <w:p w14:paraId="5C211E40">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1422" w:type="dxa"/>
            <w:vAlign w:val="top"/>
          </w:tcPr>
          <w:p w14:paraId="396B5D3C">
            <w:pPr>
              <w:widowControl w:val="0"/>
              <w:jc w:val="center"/>
              <w:rPr>
                <w:rFonts w:hint="eastAsia"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widowControl w:val="0"/>
              <w:jc w:val="both"/>
              <w:rPr>
                <w:rFonts w:hint="eastAsia" w:ascii="宋体" w:hAnsi="宋体" w:eastAsia="宋体" w:cs="宋体"/>
              </w:rPr>
            </w:pPr>
          </w:p>
        </w:tc>
        <w:tc>
          <w:tcPr>
            <w:tcW w:w="2034" w:type="dxa"/>
            <w:gridSpan w:val="2"/>
            <w:vAlign w:val="top"/>
          </w:tcPr>
          <w:p w14:paraId="3A12AE5D">
            <w:pPr>
              <w:spacing w:before="30" w:line="218" w:lineRule="auto"/>
              <w:ind w:left="111" w:leftChars="0"/>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widowControl w:val="0"/>
              <w:jc w:val="both"/>
              <w:rPr>
                <w:rFonts w:hint="eastAsia" w:ascii="宋体" w:hAnsi="宋体" w:eastAsia="宋体" w:cs="宋体"/>
                <w:sz w:val="19"/>
                <w:szCs w:val="19"/>
              </w:rPr>
            </w:pPr>
          </w:p>
        </w:tc>
        <w:tc>
          <w:tcPr>
            <w:tcW w:w="1244" w:type="dxa"/>
            <w:vAlign w:val="top"/>
          </w:tcPr>
          <w:p w14:paraId="03439224">
            <w:pPr>
              <w:widowControl w:val="0"/>
              <w:jc w:val="both"/>
              <w:rPr>
                <w:rFonts w:hint="eastAsia" w:ascii="宋体" w:hAnsi="宋体" w:eastAsia="宋体" w:cs="宋体"/>
                <w:sz w:val="19"/>
                <w:szCs w:val="19"/>
              </w:rPr>
            </w:pPr>
          </w:p>
        </w:tc>
        <w:tc>
          <w:tcPr>
            <w:tcW w:w="1281" w:type="dxa"/>
            <w:vAlign w:val="top"/>
          </w:tcPr>
          <w:p w14:paraId="4381A9BD">
            <w:pPr>
              <w:widowControl w:val="0"/>
              <w:jc w:val="both"/>
              <w:rPr>
                <w:rFonts w:hint="eastAsia" w:ascii="宋体" w:hAnsi="宋体" w:eastAsia="宋体" w:cs="宋体"/>
                <w:sz w:val="19"/>
                <w:szCs w:val="19"/>
              </w:rPr>
            </w:pPr>
          </w:p>
        </w:tc>
        <w:tc>
          <w:tcPr>
            <w:tcW w:w="673" w:type="dxa"/>
            <w:vAlign w:val="top"/>
          </w:tcPr>
          <w:p w14:paraId="47C6F8E2">
            <w:pPr>
              <w:widowControl w:val="0"/>
              <w:jc w:val="both"/>
              <w:rPr>
                <w:rFonts w:hint="eastAsia" w:ascii="宋体" w:hAnsi="宋体" w:eastAsia="宋体" w:cs="宋体"/>
                <w:sz w:val="19"/>
                <w:szCs w:val="19"/>
              </w:rPr>
            </w:pPr>
          </w:p>
        </w:tc>
        <w:tc>
          <w:tcPr>
            <w:tcW w:w="873" w:type="dxa"/>
            <w:vAlign w:val="top"/>
          </w:tcPr>
          <w:p w14:paraId="297386A5">
            <w:pPr>
              <w:widowControl w:val="0"/>
              <w:jc w:val="both"/>
              <w:rPr>
                <w:rFonts w:hint="eastAsia" w:ascii="宋体" w:hAnsi="宋体" w:eastAsia="宋体" w:cs="宋体"/>
                <w:sz w:val="19"/>
                <w:szCs w:val="19"/>
              </w:rPr>
            </w:pPr>
          </w:p>
        </w:tc>
        <w:tc>
          <w:tcPr>
            <w:tcW w:w="1422" w:type="dxa"/>
            <w:vAlign w:val="top"/>
          </w:tcPr>
          <w:p w14:paraId="104708F6">
            <w:pPr>
              <w:widowControl w:val="0"/>
              <w:jc w:val="both"/>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widowControl w:val="0"/>
              <w:jc w:val="both"/>
              <w:rPr>
                <w:rFonts w:hint="eastAsia" w:ascii="宋体" w:hAnsi="宋体" w:eastAsia="宋体" w:cs="宋体"/>
              </w:rPr>
            </w:pPr>
          </w:p>
        </w:tc>
        <w:tc>
          <w:tcPr>
            <w:tcW w:w="2034" w:type="dxa"/>
            <w:gridSpan w:val="2"/>
            <w:vAlign w:val="top"/>
          </w:tcPr>
          <w:p w14:paraId="646BBC59">
            <w:pPr>
              <w:spacing w:before="31" w:line="216" w:lineRule="auto"/>
              <w:ind w:left="716" w:leftChars="0"/>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widowControl w:val="0"/>
              <w:jc w:val="both"/>
              <w:rPr>
                <w:rFonts w:hint="eastAsia" w:ascii="宋体" w:hAnsi="宋体" w:eastAsia="宋体" w:cs="宋体"/>
                <w:sz w:val="19"/>
                <w:szCs w:val="19"/>
              </w:rPr>
            </w:pPr>
          </w:p>
        </w:tc>
        <w:tc>
          <w:tcPr>
            <w:tcW w:w="1244" w:type="dxa"/>
            <w:vAlign w:val="top"/>
          </w:tcPr>
          <w:p w14:paraId="46EE1AD1">
            <w:pPr>
              <w:widowControl w:val="0"/>
              <w:jc w:val="both"/>
              <w:rPr>
                <w:rFonts w:hint="eastAsia" w:ascii="宋体" w:hAnsi="宋体" w:eastAsia="宋体" w:cs="宋体"/>
                <w:sz w:val="19"/>
                <w:szCs w:val="19"/>
              </w:rPr>
            </w:pPr>
          </w:p>
        </w:tc>
        <w:tc>
          <w:tcPr>
            <w:tcW w:w="1281" w:type="dxa"/>
            <w:vAlign w:val="top"/>
          </w:tcPr>
          <w:p w14:paraId="756E5E75">
            <w:pPr>
              <w:widowControl w:val="0"/>
              <w:jc w:val="both"/>
              <w:rPr>
                <w:rFonts w:hint="eastAsia" w:ascii="宋体" w:hAnsi="宋体" w:eastAsia="宋体" w:cs="宋体"/>
                <w:sz w:val="19"/>
                <w:szCs w:val="19"/>
              </w:rPr>
            </w:pPr>
          </w:p>
        </w:tc>
        <w:tc>
          <w:tcPr>
            <w:tcW w:w="673" w:type="dxa"/>
            <w:vAlign w:val="top"/>
          </w:tcPr>
          <w:p w14:paraId="1F9B036A">
            <w:pPr>
              <w:widowControl w:val="0"/>
              <w:jc w:val="both"/>
              <w:rPr>
                <w:rFonts w:hint="eastAsia" w:ascii="宋体" w:hAnsi="宋体" w:eastAsia="宋体" w:cs="宋体"/>
                <w:sz w:val="19"/>
                <w:szCs w:val="19"/>
              </w:rPr>
            </w:pPr>
          </w:p>
        </w:tc>
        <w:tc>
          <w:tcPr>
            <w:tcW w:w="873" w:type="dxa"/>
            <w:vAlign w:val="top"/>
          </w:tcPr>
          <w:p w14:paraId="0A72949A">
            <w:pPr>
              <w:widowControl w:val="0"/>
              <w:jc w:val="both"/>
              <w:rPr>
                <w:rFonts w:hint="eastAsia" w:ascii="宋体" w:hAnsi="宋体" w:eastAsia="宋体" w:cs="宋体"/>
                <w:sz w:val="19"/>
                <w:szCs w:val="19"/>
              </w:rPr>
            </w:pPr>
          </w:p>
        </w:tc>
        <w:tc>
          <w:tcPr>
            <w:tcW w:w="1422" w:type="dxa"/>
            <w:vAlign w:val="top"/>
          </w:tcPr>
          <w:p w14:paraId="5ECE096B">
            <w:pPr>
              <w:widowControl w:val="0"/>
              <w:jc w:val="both"/>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widowControl w:val="0"/>
              <w:jc w:val="both"/>
              <w:rPr>
                <w:rFonts w:hint="eastAsia" w:ascii="宋体" w:hAnsi="宋体" w:eastAsia="宋体" w:cs="宋体"/>
              </w:rPr>
            </w:pPr>
          </w:p>
        </w:tc>
        <w:tc>
          <w:tcPr>
            <w:tcW w:w="2034" w:type="dxa"/>
            <w:gridSpan w:val="2"/>
            <w:vAlign w:val="top"/>
          </w:tcPr>
          <w:p w14:paraId="7143F68C">
            <w:pPr>
              <w:spacing w:before="31" w:line="216" w:lineRule="auto"/>
              <w:ind w:left="711" w:leftChars="0"/>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widowControl w:val="0"/>
              <w:jc w:val="both"/>
              <w:rPr>
                <w:rFonts w:hint="eastAsia" w:ascii="宋体" w:hAnsi="宋体" w:eastAsia="宋体" w:cs="宋体"/>
                <w:sz w:val="19"/>
                <w:szCs w:val="19"/>
              </w:rPr>
            </w:pPr>
          </w:p>
        </w:tc>
        <w:tc>
          <w:tcPr>
            <w:tcW w:w="1244" w:type="dxa"/>
            <w:vAlign w:val="top"/>
          </w:tcPr>
          <w:p w14:paraId="05A2BEB9">
            <w:pPr>
              <w:widowControl w:val="0"/>
              <w:jc w:val="both"/>
              <w:rPr>
                <w:rFonts w:hint="eastAsia" w:ascii="宋体" w:hAnsi="宋体" w:eastAsia="宋体" w:cs="宋体"/>
                <w:sz w:val="19"/>
                <w:szCs w:val="19"/>
              </w:rPr>
            </w:pPr>
          </w:p>
        </w:tc>
        <w:tc>
          <w:tcPr>
            <w:tcW w:w="1281" w:type="dxa"/>
            <w:vAlign w:val="top"/>
          </w:tcPr>
          <w:p w14:paraId="78C8F7D2">
            <w:pPr>
              <w:widowControl w:val="0"/>
              <w:jc w:val="both"/>
              <w:rPr>
                <w:rFonts w:hint="eastAsia" w:ascii="宋体" w:hAnsi="宋体" w:eastAsia="宋体" w:cs="宋体"/>
                <w:sz w:val="19"/>
                <w:szCs w:val="19"/>
              </w:rPr>
            </w:pPr>
          </w:p>
        </w:tc>
        <w:tc>
          <w:tcPr>
            <w:tcW w:w="673" w:type="dxa"/>
            <w:vAlign w:val="top"/>
          </w:tcPr>
          <w:p w14:paraId="6EEC7306">
            <w:pPr>
              <w:widowControl w:val="0"/>
              <w:jc w:val="both"/>
              <w:rPr>
                <w:rFonts w:hint="eastAsia" w:ascii="宋体" w:hAnsi="宋体" w:eastAsia="宋体" w:cs="宋体"/>
                <w:sz w:val="19"/>
                <w:szCs w:val="19"/>
              </w:rPr>
            </w:pPr>
          </w:p>
        </w:tc>
        <w:tc>
          <w:tcPr>
            <w:tcW w:w="873" w:type="dxa"/>
            <w:vAlign w:val="top"/>
          </w:tcPr>
          <w:p w14:paraId="6C9BE358">
            <w:pPr>
              <w:widowControl w:val="0"/>
              <w:jc w:val="both"/>
              <w:rPr>
                <w:rFonts w:hint="eastAsia" w:ascii="宋体" w:hAnsi="宋体" w:eastAsia="宋体" w:cs="宋体"/>
                <w:sz w:val="19"/>
                <w:szCs w:val="19"/>
              </w:rPr>
            </w:pPr>
          </w:p>
        </w:tc>
        <w:tc>
          <w:tcPr>
            <w:tcW w:w="1422" w:type="dxa"/>
            <w:vAlign w:val="top"/>
          </w:tcPr>
          <w:p w14:paraId="666B0CDF">
            <w:pPr>
              <w:widowControl w:val="0"/>
              <w:jc w:val="both"/>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50BD27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C780D8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42D1364">
            <w:pPr>
              <w:keepNext w:val="0"/>
              <w:keepLines w:val="0"/>
              <w:pageBreakBefore w:val="0"/>
              <w:widowControl w:val="0"/>
              <w:kinsoku/>
              <w:wordWrap/>
              <w:overflowPunct/>
              <w:topLinePunct w:val="0"/>
              <w:autoSpaceDE/>
              <w:autoSpaceDN/>
              <w:bidi w:val="0"/>
              <w:adjustRightInd/>
              <w:snapToGrid/>
              <w:spacing w:line="240" w:lineRule="auto"/>
              <w:ind w:left="380" w:leftChars="0" w:right="142" w:rightChars="0" w:hanging="232" w:firstLineChars="0"/>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leftChars="0"/>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leftChars="0"/>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widowControl w:val="0"/>
              <w:jc w:val="both"/>
              <w:rPr>
                <w:rFonts w:hint="eastAsia" w:ascii="宋体" w:hAnsi="宋体" w:eastAsia="宋体" w:cs="宋体"/>
              </w:rPr>
            </w:pPr>
          </w:p>
        </w:tc>
        <w:tc>
          <w:tcPr>
            <w:tcW w:w="4522" w:type="dxa"/>
            <w:gridSpan w:val="4"/>
            <w:vAlign w:val="top"/>
          </w:tcPr>
          <w:p w14:paraId="72223BA9">
            <w:pPr>
              <w:widowControl w:val="0"/>
              <w:jc w:val="both"/>
              <w:rPr>
                <w:rFonts w:hint="eastAsia" w:ascii="宋体" w:hAnsi="宋体" w:eastAsia="宋体" w:cs="宋体"/>
                <w:sz w:val="19"/>
                <w:szCs w:val="19"/>
              </w:rPr>
            </w:pPr>
          </w:p>
        </w:tc>
        <w:tc>
          <w:tcPr>
            <w:tcW w:w="4249" w:type="dxa"/>
            <w:gridSpan w:val="4"/>
            <w:vAlign w:val="top"/>
          </w:tcPr>
          <w:p w14:paraId="058E4203">
            <w:pPr>
              <w:widowControl w:val="0"/>
              <w:jc w:val="both"/>
              <w:rPr>
                <w:rFonts w:hint="eastAsia" w:ascii="宋体" w:hAnsi="宋体" w:eastAsia="宋体" w:cs="宋体"/>
                <w:sz w:val="19"/>
                <w:szCs w:val="19"/>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549E5E7">
            <w:pPr>
              <w:widowControl w:val="0"/>
              <w:spacing w:line="366" w:lineRule="auto"/>
              <w:jc w:val="both"/>
              <w:rPr>
                <w:rFonts w:hint="eastAsia" w:ascii="宋体" w:hAnsi="宋体" w:eastAsia="宋体" w:cs="宋体"/>
                <w:kern w:val="2"/>
                <w:sz w:val="21"/>
                <w:szCs w:val="21"/>
                <w:lang w:val="en-US" w:eastAsia="en-US" w:bidi="ar-SA"/>
              </w:rPr>
            </w:pPr>
          </w:p>
          <w:p w14:paraId="5F072010">
            <w:pPr>
              <w:spacing w:before="63" w:line="216" w:lineRule="auto"/>
              <w:ind w:left="3058" w:leftChars="0"/>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bottom w:val="single" w:color="auto" w:sz="4" w:space="0"/>
            </w:tcBorders>
            <w:vAlign w:val="top"/>
          </w:tcPr>
          <w:p w14:paraId="7C11B9F0">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7782CF9">
            <w:pPr>
              <w:spacing w:line="205" w:lineRule="auto"/>
              <w:ind w:left="330" w:leftChars="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tcBorders>
              <w:bottom w:val="single" w:color="auto" w:sz="4" w:space="0"/>
            </w:tcBorders>
            <w:vAlign w:val="top"/>
          </w:tcPr>
          <w:p w14:paraId="1ABF8735">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DEFF90F">
            <w:pPr>
              <w:spacing w:line="205" w:lineRule="auto"/>
              <w:ind w:left="357" w:leftChars="0"/>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bottom w:val="single" w:color="auto" w:sz="4" w:space="0"/>
            </w:tcBorders>
            <w:vAlign w:val="top"/>
          </w:tcPr>
          <w:p w14:paraId="0C3865E0">
            <w:pPr>
              <w:spacing w:before="142" w:line="227" w:lineRule="auto"/>
              <w:ind w:left="144" w:leftChars="0"/>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bottom w:val="single" w:color="auto" w:sz="4" w:space="0"/>
            </w:tcBorders>
            <w:vAlign w:val="top"/>
          </w:tcPr>
          <w:p w14:paraId="58E89B74">
            <w:pPr>
              <w:spacing w:before="175" w:line="218" w:lineRule="auto"/>
              <w:ind w:left="150" w:leftChars="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tcBorders>
              <w:bottom w:val="single" w:color="auto" w:sz="4" w:space="0"/>
            </w:tcBorders>
            <w:vAlign w:val="top"/>
          </w:tcPr>
          <w:p w14:paraId="0DD3FC65">
            <w:pPr>
              <w:spacing w:before="23" w:line="219" w:lineRule="auto"/>
              <w:ind w:left="113" w:leftChars="0" w:right="109" w:rightChars="0" w:firstLine="1" w:firstLineChars="0"/>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widowControl w:val="0"/>
              <w:jc w:val="both"/>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09E45933">
            <w:pPr>
              <w:widowControl w:val="0"/>
              <w:spacing w:line="256" w:lineRule="auto"/>
              <w:jc w:val="both"/>
              <w:rPr>
                <w:rFonts w:hint="eastAsia" w:ascii="宋体" w:hAnsi="宋体" w:eastAsia="宋体" w:cs="宋体"/>
                <w:kern w:val="2"/>
                <w:sz w:val="21"/>
                <w:szCs w:val="21"/>
                <w:lang w:val="en-US" w:eastAsia="en-US" w:bidi="ar-SA"/>
              </w:rPr>
            </w:pPr>
          </w:p>
          <w:p w14:paraId="05F7C8F2">
            <w:pPr>
              <w:widowControl w:val="0"/>
              <w:spacing w:line="256" w:lineRule="auto"/>
              <w:jc w:val="both"/>
              <w:rPr>
                <w:rFonts w:hint="eastAsia" w:ascii="宋体" w:hAnsi="宋体" w:eastAsia="宋体" w:cs="宋体"/>
                <w:kern w:val="2"/>
                <w:sz w:val="21"/>
                <w:szCs w:val="21"/>
                <w:lang w:val="en-US" w:eastAsia="en-US" w:bidi="ar-SA"/>
              </w:rPr>
            </w:pPr>
          </w:p>
          <w:p w14:paraId="4DAD2E48">
            <w:pPr>
              <w:widowControl w:val="0"/>
              <w:spacing w:line="256" w:lineRule="auto"/>
              <w:jc w:val="both"/>
              <w:rPr>
                <w:rFonts w:hint="eastAsia" w:ascii="宋体" w:hAnsi="宋体" w:eastAsia="宋体" w:cs="宋体"/>
                <w:kern w:val="2"/>
                <w:sz w:val="21"/>
                <w:szCs w:val="21"/>
                <w:lang w:val="en-US" w:eastAsia="en-US" w:bidi="ar-SA"/>
              </w:rPr>
            </w:pPr>
          </w:p>
          <w:p w14:paraId="0721BF39">
            <w:pPr>
              <w:widowControl w:val="0"/>
              <w:spacing w:line="257" w:lineRule="auto"/>
              <w:jc w:val="both"/>
              <w:rPr>
                <w:rFonts w:hint="eastAsia" w:ascii="宋体" w:hAnsi="宋体" w:eastAsia="宋体" w:cs="宋体"/>
                <w:kern w:val="2"/>
                <w:sz w:val="21"/>
                <w:szCs w:val="21"/>
                <w:lang w:val="en-US" w:eastAsia="en-US" w:bidi="ar-SA"/>
              </w:rPr>
            </w:pPr>
          </w:p>
          <w:p w14:paraId="148EA418">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656F1A0">
            <w:pPr>
              <w:spacing w:line="261" w:lineRule="exact"/>
              <w:ind w:left="253" w:leftChars="0"/>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52341F9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C947A80">
            <w:pPr>
              <w:spacing w:before="126" w:line="239" w:lineRule="auto"/>
              <w:ind w:left="379" w:leftChars="0" w:right="175" w:rightChars="0" w:hanging="192"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67D54BCB">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32D24BC1">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361A8AB7">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3291A3A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C51F327">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7A88DDF7">
            <w:pPr>
              <w:widowControl w:val="0"/>
              <w:spacing w:line="225" w:lineRule="exact"/>
              <w:jc w:val="both"/>
              <w:rPr>
                <w:rFonts w:hint="eastAsia" w:ascii="宋体" w:hAnsi="宋体" w:eastAsia="宋体" w:cs="宋体"/>
                <w:sz w:val="18"/>
                <w:szCs w:val="18"/>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D4881A5">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13E32DF4">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579FED7C">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767F6DB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28B469A0">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3709EE55">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71A52AE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4A2238AE">
            <w:pPr>
              <w:widowControl w:val="0"/>
              <w:spacing w:line="225" w:lineRule="exact"/>
              <w:jc w:val="both"/>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ADB4760">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47EE0C6D">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78A5F43E">
            <w:pPr>
              <w:spacing w:before="169"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34A3FF72">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2CD24DB1">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71040C2">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781C444">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243929F5">
            <w:pPr>
              <w:widowControl w:val="0"/>
              <w:spacing w:line="225" w:lineRule="exact"/>
              <w:jc w:val="both"/>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A12340A">
            <w:pPr>
              <w:widowControl w:val="0"/>
              <w:jc w:val="both"/>
              <w:rPr>
                <w:rFonts w:hint="eastAsia" w:ascii="宋体" w:hAnsi="宋体" w:eastAsia="宋体" w:cs="宋体"/>
                <w:sz w:val="19"/>
                <w:szCs w:val="19"/>
              </w:rPr>
            </w:pP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3E164C2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B6D3232">
            <w:pPr>
              <w:spacing w:before="126" w:line="239" w:lineRule="auto"/>
              <w:ind w:left="379" w:leftChars="0" w:right="175" w:rightChars="0" w:hanging="196"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27C1D3F3">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15870B31">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7DBE7A68">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553738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F26294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201BC398">
            <w:pPr>
              <w:widowControl w:val="0"/>
              <w:spacing w:line="225" w:lineRule="exact"/>
              <w:jc w:val="both"/>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3AB3C8F">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6C6217DA">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42FE2186">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43663126">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5BEDAE17">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4A950A3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30F08DC">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712F8105">
            <w:pPr>
              <w:widowControl w:val="0"/>
              <w:spacing w:line="225" w:lineRule="exact"/>
              <w:jc w:val="both"/>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487E54E">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238090C7">
            <w:pPr>
              <w:widowControl w:val="0"/>
              <w:jc w:val="both"/>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1DA6D43C">
            <w:pPr>
              <w:spacing w:before="169"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1D8CAEE8">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8FBDA42">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7CE95A0">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7A1C662F">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5819947E">
            <w:pPr>
              <w:widowControl w:val="0"/>
              <w:spacing w:line="225" w:lineRule="exact"/>
              <w:jc w:val="both"/>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08D5173">
            <w:pPr>
              <w:widowControl w:val="0"/>
              <w:jc w:val="both"/>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6CF380A6">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381539C">
            <w:pPr>
              <w:spacing w:before="126" w:line="239" w:lineRule="auto"/>
              <w:ind w:left="379" w:leftChars="0" w:right="175" w:rightChars="0" w:hanging="178" w:firstLine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6A44DBCE">
            <w:pPr>
              <w:widowControl w:val="0"/>
              <w:spacing w:line="224"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2C43FF02">
            <w:pPr>
              <w:widowControl w:val="0"/>
              <w:spacing w:line="224"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1A6BEB69">
            <w:pPr>
              <w:widowControl w:val="0"/>
              <w:spacing w:line="224"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605D6439">
            <w:pPr>
              <w:widowControl w:val="0"/>
              <w:spacing w:line="224"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1A5375FF">
            <w:pPr>
              <w:widowControl w:val="0"/>
              <w:spacing w:line="224"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1FC84480">
            <w:pPr>
              <w:widowControl w:val="0"/>
              <w:spacing w:line="224" w:lineRule="exact"/>
              <w:jc w:val="both"/>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6B4BD20">
            <w:pPr>
              <w:widowControl w:val="0"/>
              <w:jc w:val="both"/>
              <w:rPr>
                <w:rFonts w:hint="eastAsia" w:ascii="宋体" w:hAnsi="宋体" w:eastAsia="宋体" w:cs="宋体"/>
                <w:spacing w:val="3"/>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4882917E">
            <w:pPr>
              <w:widowControl w:val="0"/>
              <w:jc w:val="both"/>
              <w:rPr>
                <w:rFonts w:hint="eastAsia" w:ascii="宋体" w:hAnsi="宋体" w:eastAsia="宋体" w:cs="宋体"/>
                <w:spacing w:val="2"/>
                <w:sz w:val="19"/>
                <w:szCs w:val="19"/>
              </w:rPr>
            </w:pPr>
          </w:p>
        </w:tc>
        <w:tc>
          <w:tcPr>
            <w:tcW w:w="1244" w:type="dxa"/>
            <w:tcBorders>
              <w:top w:val="single" w:color="auto" w:sz="4" w:space="0"/>
              <w:left w:val="single" w:color="auto" w:sz="4" w:space="0"/>
              <w:bottom w:val="single" w:color="auto" w:sz="4" w:space="0"/>
              <w:right w:val="single" w:color="auto" w:sz="4" w:space="0"/>
            </w:tcBorders>
            <w:vAlign w:val="top"/>
          </w:tcPr>
          <w:p w14:paraId="4E937DD5">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05E307BC">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3D20A8F7">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AF2B4C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642D7A50">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5633168D">
            <w:pPr>
              <w:widowControl w:val="0"/>
              <w:spacing w:line="225" w:lineRule="exact"/>
              <w:jc w:val="both"/>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788015B">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E0AEE32">
            <w:pPr>
              <w:widowControl w:val="0"/>
              <w:jc w:val="both"/>
              <w:rPr>
                <w:rFonts w:hint="eastAsia" w:ascii="宋体" w:hAnsi="宋体" w:eastAsia="宋体" w:cs="宋体"/>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3F53B901">
            <w:pPr>
              <w:widowControl w:val="0"/>
              <w:jc w:val="both"/>
              <w:rPr>
                <w:rFonts w:hint="eastAsia" w:ascii="宋体" w:hAnsi="宋体" w:eastAsia="宋体" w:cs="宋体"/>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vAlign w:val="top"/>
          </w:tcPr>
          <w:p w14:paraId="58842E2E">
            <w:pPr>
              <w:spacing w:before="170" w:line="55" w:lineRule="exact"/>
              <w:ind w:left="127" w:leftChars="0"/>
              <w:rPr>
                <w:rFonts w:hint="eastAsia" w:ascii="宋体" w:hAnsi="宋体" w:eastAsia="宋体" w:cs="宋体"/>
                <w:sz w:val="18"/>
                <w:szCs w:val="18"/>
              </w:rPr>
            </w:pPr>
            <w:r>
              <w:rPr>
                <w:rFonts w:hint="eastAsia" w:ascii="宋体" w:hAnsi="宋体" w:eastAsia="宋体" w:cs="宋体"/>
                <w:spacing w:val="-2"/>
                <w:position w:val="1"/>
                <w:sz w:val="19"/>
                <w:szCs w:val="19"/>
              </w:rPr>
              <w:t>……</w:t>
            </w:r>
          </w:p>
        </w:tc>
        <w:tc>
          <w:tcPr>
            <w:tcW w:w="1244" w:type="dxa"/>
            <w:tcBorders>
              <w:top w:val="single" w:color="auto" w:sz="4" w:space="0"/>
              <w:left w:val="single" w:color="auto" w:sz="4" w:space="0"/>
              <w:bottom w:val="single" w:color="auto" w:sz="4" w:space="0"/>
              <w:right w:val="single" w:color="auto" w:sz="4" w:space="0"/>
            </w:tcBorders>
            <w:vAlign w:val="top"/>
          </w:tcPr>
          <w:p w14:paraId="244B854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4C091D7F">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5CFD3C1C">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1253FF4">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1F978E51">
            <w:pPr>
              <w:widowControl w:val="0"/>
              <w:spacing w:line="225" w:lineRule="exact"/>
              <w:jc w:val="both"/>
              <w:rPr>
                <w:rFonts w:hint="eastAsia" w:ascii="宋体" w:hAnsi="宋体" w:eastAsia="宋体" w:cs="宋体"/>
                <w:sz w:val="18"/>
                <w:szCs w:val="18"/>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95404">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2B7F8EA">
            <w:pPr>
              <w:widowControl w:val="0"/>
              <w:jc w:val="both"/>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top"/>
          </w:tcPr>
          <w:p w14:paraId="65DFEA62">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7BF7B404">
            <w:pPr>
              <w:spacing w:before="127" w:line="239" w:lineRule="auto"/>
              <w:ind w:left="379" w:leftChars="0" w:right="175" w:rightChars="0" w:hanging="192" w:firstLineChars="0"/>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top"/>
          </w:tcPr>
          <w:p w14:paraId="713673AC">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299DEF43">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0DAEAF7C">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2A296A9D">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64C95E8">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322E2A5E">
            <w:pPr>
              <w:widowControl w:val="0"/>
              <w:spacing w:line="225" w:lineRule="exact"/>
              <w:jc w:val="both"/>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6ADA55E">
            <w:pPr>
              <w:widowControl w:val="0"/>
              <w:jc w:val="both"/>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8B2418D">
            <w:pPr>
              <w:widowControl w:val="0"/>
              <w:jc w:val="both"/>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top"/>
          </w:tcPr>
          <w:p w14:paraId="6E9487B6">
            <w:pPr>
              <w:widowControl w:val="0"/>
              <w:jc w:val="both"/>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top"/>
          </w:tcPr>
          <w:p w14:paraId="74E94E2A">
            <w:pPr>
              <w:widowControl w:val="0"/>
              <w:spacing w:line="225" w:lineRule="exact"/>
              <w:jc w:val="both"/>
              <w:rPr>
                <w:rFonts w:hint="eastAsia" w:ascii="宋体" w:hAnsi="宋体" w:eastAsia="宋体" w:cs="宋体"/>
                <w:sz w:val="18"/>
                <w:szCs w:val="18"/>
              </w:rPr>
            </w:pPr>
          </w:p>
        </w:tc>
        <w:tc>
          <w:tcPr>
            <w:tcW w:w="1244" w:type="dxa"/>
            <w:tcBorders>
              <w:top w:val="single" w:color="auto" w:sz="4" w:space="0"/>
              <w:left w:val="single" w:color="auto" w:sz="4" w:space="0"/>
              <w:bottom w:val="single" w:color="auto" w:sz="4" w:space="0"/>
              <w:right w:val="single" w:color="auto" w:sz="4" w:space="0"/>
            </w:tcBorders>
            <w:vAlign w:val="top"/>
          </w:tcPr>
          <w:p w14:paraId="1531794D">
            <w:pPr>
              <w:widowControl w:val="0"/>
              <w:spacing w:line="225" w:lineRule="exact"/>
              <w:jc w:val="both"/>
              <w:rPr>
                <w:rFonts w:hint="eastAsia" w:ascii="宋体" w:hAnsi="宋体" w:eastAsia="宋体" w:cs="宋体"/>
                <w:sz w:val="18"/>
                <w:szCs w:val="18"/>
              </w:rPr>
            </w:pPr>
          </w:p>
        </w:tc>
        <w:tc>
          <w:tcPr>
            <w:tcW w:w="1281" w:type="dxa"/>
            <w:tcBorders>
              <w:top w:val="single" w:color="auto" w:sz="4" w:space="0"/>
              <w:left w:val="single" w:color="auto" w:sz="4" w:space="0"/>
              <w:bottom w:val="single" w:color="auto" w:sz="4" w:space="0"/>
              <w:right w:val="single" w:color="auto" w:sz="4" w:space="0"/>
            </w:tcBorders>
            <w:vAlign w:val="top"/>
          </w:tcPr>
          <w:p w14:paraId="634A8CFC">
            <w:pPr>
              <w:widowControl w:val="0"/>
              <w:spacing w:line="225" w:lineRule="exact"/>
              <w:jc w:val="both"/>
              <w:rPr>
                <w:rFonts w:hint="eastAsia" w:ascii="宋体" w:hAnsi="宋体" w:eastAsia="宋体" w:cs="宋体"/>
                <w:sz w:val="18"/>
                <w:szCs w:val="18"/>
              </w:rPr>
            </w:pPr>
          </w:p>
        </w:tc>
        <w:tc>
          <w:tcPr>
            <w:tcW w:w="673" w:type="dxa"/>
            <w:tcBorders>
              <w:top w:val="single" w:color="auto" w:sz="4" w:space="0"/>
              <w:left w:val="single" w:color="auto" w:sz="4" w:space="0"/>
              <w:bottom w:val="single" w:color="auto" w:sz="4" w:space="0"/>
              <w:right w:val="single" w:color="auto" w:sz="4" w:space="0"/>
            </w:tcBorders>
            <w:vAlign w:val="top"/>
          </w:tcPr>
          <w:p w14:paraId="0FCBC2C0">
            <w:pPr>
              <w:widowControl w:val="0"/>
              <w:spacing w:line="225" w:lineRule="exact"/>
              <w:jc w:val="both"/>
              <w:rPr>
                <w:rFonts w:hint="eastAsia" w:ascii="宋体" w:hAnsi="宋体" w:eastAsia="宋体" w:cs="宋体"/>
                <w:sz w:val="18"/>
                <w:szCs w:val="18"/>
              </w:rPr>
            </w:pPr>
          </w:p>
        </w:tc>
        <w:tc>
          <w:tcPr>
            <w:tcW w:w="873" w:type="dxa"/>
            <w:tcBorders>
              <w:top w:val="single" w:color="auto" w:sz="4" w:space="0"/>
              <w:left w:val="single" w:color="auto" w:sz="4" w:space="0"/>
              <w:bottom w:val="single" w:color="auto" w:sz="4" w:space="0"/>
              <w:right w:val="single" w:color="auto" w:sz="4" w:space="0"/>
            </w:tcBorders>
            <w:vAlign w:val="top"/>
          </w:tcPr>
          <w:p w14:paraId="36B7B363">
            <w:pPr>
              <w:widowControl w:val="0"/>
              <w:spacing w:line="225" w:lineRule="exact"/>
              <w:jc w:val="both"/>
              <w:rPr>
                <w:rFonts w:hint="eastAsia" w:ascii="宋体" w:hAnsi="宋体" w:eastAsia="宋体" w:cs="宋体"/>
                <w:sz w:val="18"/>
                <w:szCs w:val="18"/>
              </w:rPr>
            </w:pPr>
          </w:p>
        </w:tc>
        <w:tc>
          <w:tcPr>
            <w:tcW w:w="1422" w:type="dxa"/>
            <w:tcBorders>
              <w:top w:val="single" w:color="auto" w:sz="4" w:space="0"/>
              <w:left w:val="single" w:color="auto" w:sz="4" w:space="0"/>
              <w:bottom w:val="single" w:color="auto" w:sz="4" w:space="0"/>
              <w:right w:val="single" w:color="auto" w:sz="4" w:space="0"/>
            </w:tcBorders>
            <w:vAlign w:val="top"/>
          </w:tcPr>
          <w:p w14:paraId="2A6D29A3">
            <w:pPr>
              <w:widowControl w:val="0"/>
              <w:spacing w:line="225" w:lineRule="exact"/>
              <w:jc w:val="both"/>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084" w:type="dxa"/>
            <w:vMerge w:val="continue"/>
            <w:textDirection w:val="tbRlV"/>
            <w:vAlign w:val="top"/>
          </w:tcPr>
          <w:p w14:paraId="16E2250D">
            <w:pPr>
              <w:widowControl w:val="0"/>
              <w:jc w:val="both"/>
              <w:rPr>
                <w:rFonts w:hint="eastAsia" w:ascii="宋体" w:hAnsi="宋体" w:eastAsia="宋体" w:cs="宋体"/>
                <w:sz w:val="18"/>
                <w:szCs w:val="18"/>
              </w:rPr>
            </w:pPr>
          </w:p>
        </w:tc>
        <w:tc>
          <w:tcPr>
            <w:tcW w:w="1079" w:type="dxa"/>
            <w:vMerge w:val="continue"/>
            <w:vAlign w:val="top"/>
          </w:tcPr>
          <w:p w14:paraId="20B49ECD">
            <w:pPr>
              <w:widowControl w:val="0"/>
              <w:jc w:val="both"/>
            </w:pPr>
          </w:p>
        </w:tc>
        <w:tc>
          <w:tcPr>
            <w:tcW w:w="955" w:type="dxa"/>
            <w:vMerge w:val="continue"/>
            <w:vAlign w:val="top"/>
          </w:tcPr>
          <w:p w14:paraId="4805F4CF">
            <w:pPr>
              <w:widowControl w:val="0"/>
              <w:jc w:val="both"/>
            </w:pPr>
          </w:p>
        </w:tc>
        <w:tc>
          <w:tcPr>
            <w:tcW w:w="1244" w:type="dxa"/>
            <w:vAlign w:val="top"/>
          </w:tcPr>
          <w:p w14:paraId="1C655CB4">
            <w:pPr>
              <w:spacing w:before="170" w:line="55" w:lineRule="exact"/>
              <w:ind w:left="127" w:leftChars="0"/>
            </w:pPr>
            <w:r>
              <w:rPr>
                <w:rFonts w:hint="eastAsia" w:ascii="宋体" w:hAnsi="宋体" w:eastAsia="宋体" w:cs="宋体"/>
                <w:spacing w:val="-2"/>
                <w:position w:val="1"/>
                <w:sz w:val="19"/>
                <w:szCs w:val="19"/>
              </w:rPr>
              <w:t>……</w:t>
            </w:r>
          </w:p>
        </w:tc>
        <w:tc>
          <w:tcPr>
            <w:tcW w:w="1244" w:type="dxa"/>
            <w:vAlign w:val="top"/>
          </w:tcPr>
          <w:p w14:paraId="2094A8AA">
            <w:pPr>
              <w:widowControl w:val="0"/>
              <w:spacing w:line="225" w:lineRule="exact"/>
              <w:jc w:val="both"/>
            </w:pPr>
          </w:p>
        </w:tc>
        <w:tc>
          <w:tcPr>
            <w:tcW w:w="1281" w:type="dxa"/>
            <w:vAlign w:val="top"/>
          </w:tcPr>
          <w:p w14:paraId="37C01EA2">
            <w:pPr>
              <w:widowControl w:val="0"/>
              <w:spacing w:line="225" w:lineRule="exact"/>
              <w:jc w:val="both"/>
            </w:pPr>
          </w:p>
        </w:tc>
        <w:tc>
          <w:tcPr>
            <w:tcW w:w="673" w:type="dxa"/>
            <w:vAlign w:val="top"/>
          </w:tcPr>
          <w:p w14:paraId="21CC18B2">
            <w:pPr>
              <w:widowControl w:val="0"/>
              <w:spacing w:line="225" w:lineRule="exact"/>
              <w:jc w:val="both"/>
              <w:rPr>
                <w:rFonts w:hint="eastAsia" w:ascii="宋体" w:hAnsi="宋体" w:eastAsia="宋体" w:cs="宋体"/>
                <w:sz w:val="18"/>
                <w:szCs w:val="18"/>
                <w:lang w:eastAsia="zh-CN"/>
              </w:rPr>
            </w:pPr>
          </w:p>
        </w:tc>
        <w:tc>
          <w:tcPr>
            <w:tcW w:w="873" w:type="dxa"/>
            <w:vAlign w:val="top"/>
          </w:tcPr>
          <w:p w14:paraId="517FE756">
            <w:pPr>
              <w:widowControl w:val="0"/>
              <w:spacing w:line="225" w:lineRule="exact"/>
              <w:jc w:val="both"/>
              <w:rPr>
                <w:rFonts w:hint="eastAsia" w:ascii="宋体" w:hAnsi="宋体" w:eastAsia="宋体" w:cs="宋体"/>
                <w:sz w:val="18"/>
                <w:szCs w:val="18"/>
                <w:lang w:val="en-US" w:eastAsia="zh-CN"/>
              </w:rPr>
            </w:pPr>
          </w:p>
        </w:tc>
        <w:tc>
          <w:tcPr>
            <w:tcW w:w="1422" w:type="dxa"/>
            <w:vAlign w:val="top"/>
          </w:tcPr>
          <w:p w14:paraId="0E10417D">
            <w:pPr>
              <w:widowControl w:val="0"/>
              <w:spacing w:line="225" w:lineRule="exact"/>
              <w:jc w:val="both"/>
              <w:rPr>
                <w:rFonts w:hint="eastAsia" w:ascii="宋体" w:hAnsi="宋体" w:eastAsia="宋体" w:cs="宋体"/>
                <w:sz w:val="18"/>
                <w:szCs w:val="18"/>
              </w:rPr>
            </w:pPr>
          </w:p>
        </w:tc>
      </w:tr>
    </w:tbl>
    <w:p w14:paraId="19D6EFA9">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p>
    <w:p w14:paraId="3E38524B">
      <w:pPr>
        <w:pStyle w:val="2"/>
        <w:bidi w:val="0"/>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0C985C1">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2024年度岳阳市岳阳楼区五里牌街道办事处整体支出</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3"/>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bookmarkStart w:id="0" w:name="_GoBack"/>
      <w:r>
        <w:rPr>
          <w:rFonts w:hint="eastAsia" w:ascii="楷体" w:hAnsi="楷体" w:eastAsia="楷体" w:cs="楷体"/>
          <w:spacing w:val="21"/>
          <w:sz w:val="31"/>
          <w:szCs w:val="31"/>
        </w:rPr>
        <w:t>6</w:t>
      </w:r>
      <w:bookmarkEnd w:id="0"/>
      <w:r>
        <w:rPr>
          <w:rFonts w:ascii="楷体" w:hAnsi="楷体" w:eastAsia="楷体" w:cs="楷体"/>
          <w:spacing w:val="-8"/>
          <w:sz w:val="31"/>
          <w:szCs w:val="31"/>
        </w:rPr>
        <w:t>月</w:t>
      </w:r>
      <w:r>
        <w:rPr>
          <w:rFonts w:hint="eastAsia" w:ascii="楷体" w:hAnsi="楷体" w:eastAsia="楷体" w:cs="楷体"/>
          <w:spacing w:val="43"/>
          <w:sz w:val="31"/>
          <w:szCs w:val="31"/>
        </w:rPr>
        <w:t>30</w:t>
      </w:r>
      <w:r>
        <w:rPr>
          <w:rFonts w:ascii="楷体" w:hAnsi="楷体" w:eastAsia="楷体" w:cs="楷体"/>
          <w:spacing w:val="-8"/>
          <w:sz w:val="31"/>
          <w:szCs w:val="31"/>
        </w:rPr>
        <w:t>日</w:t>
      </w:r>
    </w:p>
    <w:p w14:paraId="787AD60A">
      <w:pPr>
        <w:spacing w:line="335" w:lineRule="auto"/>
        <w:rPr>
          <w:rFonts w:ascii="Arial"/>
        </w:rPr>
      </w:pPr>
    </w:p>
    <w:p w14:paraId="1B72390B">
      <w:pPr>
        <w:pStyle w:val="3"/>
        <w:spacing w:before="102" w:line="224" w:lineRule="auto"/>
        <w:ind w:left="3216"/>
        <w:rPr>
          <w:rFonts w:hint="eastAsia"/>
          <w:lang w:eastAsia="zh-CN"/>
        </w:rPr>
      </w:pPr>
      <w:r>
        <w:rPr>
          <w:spacing w:val="8"/>
          <w:lang w:eastAsia="zh-CN"/>
        </w:rPr>
        <w:t>（此页为封面）</w:t>
      </w:r>
    </w:p>
    <w:p w14:paraId="080314C5">
      <w:pPr>
        <w:spacing w:line="224" w:lineRule="auto"/>
        <w:sectPr>
          <w:footerReference r:id="rId4" w:type="default"/>
          <w:pgSz w:w="11900" w:h="16833"/>
          <w:pgMar w:top="1401" w:right="1583" w:bottom="1445" w:left="1618" w:header="0" w:footer="1170" w:gutter="0"/>
          <w:cols w:space="720" w:num="1"/>
        </w:sectPr>
      </w:pPr>
    </w:p>
    <w:p w14:paraId="5171DED5">
      <w:pPr>
        <w:spacing w:line="7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4</w:t>
      </w:r>
      <w:r>
        <w:rPr>
          <w:rFonts w:hint="eastAsia" w:ascii="方正小标宋简体" w:hAnsi="方正小标宋简体" w:eastAsia="方正小标宋简体" w:cs="方正小标宋简体"/>
          <w:color w:val="000000"/>
          <w:sz w:val="44"/>
          <w:szCs w:val="44"/>
        </w:rPr>
        <w:t>年度岳阳楼区五里牌街道办事处</w:t>
      </w:r>
    </w:p>
    <w:p w14:paraId="0B9A012D">
      <w:pPr>
        <w:spacing w:line="7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整体支出绩效自评报告</w:t>
      </w:r>
    </w:p>
    <w:p w14:paraId="16B08C43">
      <w:pPr>
        <w:jc w:val="left"/>
        <w:rPr>
          <w:rFonts w:ascii="仿宋" w:hAnsi="仿宋" w:eastAsia="仿宋" w:cs="仿宋"/>
          <w:color w:val="000000"/>
          <w:sz w:val="22"/>
          <w:szCs w:val="22"/>
        </w:rPr>
      </w:pPr>
    </w:p>
    <w:p w14:paraId="7E3D78A5">
      <w:pPr>
        <w:jc w:val="left"/>
        <w:rPr>
          <w:rFonts w:ascii="仿宋" w:hAnsi="仿宋" w:eastAsia="仿宋" w:cs="仿宋"/>
          <w:color w:val="000000"/>
          <w:sz w:val="22"/>
          <w:szCs w:val="22"/>
        </w:rPr>
      </w:pPr>
    </w:p>
    <w:p w14:paraId="7BA58D0E">
      <w:pPr>
        <w:jc w:val="left"/>
        <w:rPr>
          <w:rFonts w:ascii="仿宋" w:hAnsi="仿宋" w:eastAsia="仿宋" w:cs="仿宋"/>
          <w:color w:val="000000"/>
          <w:sz w:val="22"/>
          <w:szCs w:val="22"/>
        </w:rPr>
      </w:pPr>
    </w:p>
    <w:p w14:paraId="01768637">
      <w:pPr>
        <w:widowControl w:val="0"/>
        <w:numPr>
          <w:ilvl w:val="0"/>
          <w:numId w:val="1"/>
        </w:numPr>
        <w:ind w:left="1360" w:hanging="720" w:firstLineChars="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单位基本情况</w:t>
      </w:r>
    </w:p>
    <w:p w14:paraId="4572591B">
      <w:pPr>
        <w:spacing w:line="600" w:lineRule="exact"/>
        <w:ind w:firstLine="640" w:firstLineChars="200"/>
        <w:rPr>
          <w:rFonts w:hint="eastAsia" w:ascii="Calibri" w:hAnsi="Calibri" w:eastAsia="仿宋_GB2312" w:cs="Times New Roman"/>
          <w:sz w:val="32"/>
          <w:szCs w:val="32"/>
        </w:rPr>
      </w:pPr>
      <w:r>
        <w:rPr>
          <w:rFonts w:hint="eastAsia" w:ascii="Calibri" w:hAnsi="Calibri" w:eastAsia="仿宋_GB2312" w:cs="Times New Roman"/>
          <w:sz w:val="32"/>
          <w:szCs w:val="32"/>
        </w:rPr>
        <w:t>五里牌街道地处岳阳市中心城区，东起琵琶王路、西至南湖大道、南抵金鹗中路、北达巴陵中路。辖区面积约</w:t>
      </w:r>
      <w:r>
        <w:rPr>
          <w:rFonts w:hint="eastAsia" w:ascii="Calibri" w:hAnsi="Calibri" w:eastAsia="仿宋_GB2312" w:cs="Times New Roman"/>
          <w:sz w:val="32"/>
          <w:szCs w:val="32"/>
          <w:lang w:val="en-US" w:eastAsia="zh-CN"/>
        </w:rPr>
        <w:t>6.8</w:t>
      </w:r>
      <w:r>
        <w:rPr>
          <w:rFonts w:hint="eastAsia" w:ascii="Calibri" w:hAnsi="Calibri" w:eastAsia="仿宋_GB2312" w:cs="Times New Roman"/>
          <w:sz w:val="32"/>
          <w:szCs w:val="32"/>
        </w:rPr>
        <w:t>平方公里，</w:t>
      </w:r>
      <w:r>
        <w:rPr>
          <w:rFonts w:hint="eastAsia" w:ascii="Calibri" w:hAnsi="Calibri" w:eastAsia="仿宋_GB2312" w:cs="Times New Roman"/>
          <w:sz w:val="32"/>
          <w:szCs w:val="32"/>
          <w:lang w:eastAsia="zh-CN"/>
        </w:rPr>
        <w:t>常住加</w:t>
      </w:r>
      <w:r>
        <w:rPr>
          <w:rFonts w:hint="eastAsia" w:ascii="Calibri" w:hAnsi="Calibri" w:eastAsia="仿宋_GB2312" w:cs="Times New Roman"/>
          <w:sz w:val="32"/>
          <w:szCs w:val="32"/>
        </w:rPr>
        <w:t>流动人口约</w:t>
      </w:r>
      <w:r>
        <w:rPr>
          <w:rFonts w:hint="eastAsia" w:ascii="Calibri" w:hAnsi="Calibri" w:eastAsia="仿宋_GB2312" w:cs="Times New Roman"/>
          <w:sz w:val="32"/>
          <w:szCs w:val="32"/>
          <w:lang w:val="en-US" w:eastAsia="zh-CN"/>
        </w:rPr>
        <w:t>11.8</w:t>
      </w:r>
      <w:r>
        <w:rPr>
          <w:rFonts w:hint="eastAsia" w:ascii="Calibri" w:hAnsi="Calibri" w:eastAsia="仿宋_GB2312" w:cs="Times New Roman"/>
          <w:sz w:val="32"/>
          <w:szCs w:val="32"/>
        </w:rPr>
        <w:t>万人</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住宅小区177个，其中无人管理小区99个；下辖杨树塘、五里牌、高山坡、花板桥、古井、四化建、余家垅、运通街、新城等9个社区居委会；</w:t>
      </w:r>
      <w:r>
        <w:rPr>
          <w:rFonts w:hint="eastAsia" w:ascii="Calibri" w:hAnsi="Calibri" w:eastAsia="仿宋_GB2312" w:cs="Times New Roman"/>
          <w:sz w:val="32"/>
          <w:szCs w:val="32"/>
          <w:lang w:eastAsia="zh-CN"/>
        </w:rPr>
        <w:t>现</w:t>
      </w:r>
      <w:r>
        <w:rPr>
          <w:rFonts w:hint="eastAsia" w:ascii="Calibri" w:hAnsi="Calibri" w:eastAsia="仿宋_GB2312" w:cs="Times New Roman"/>
          <w:sz w:val="32"/>
          <w:szCs w:val="32"/>
        </w:rPr>
        <w:t>有市委、楼区四大家机关等在内的117个单位，</w:t>
      </w:r>
      <w:r>
        <w:rPr>
          <w:rFonts w:hint="eastAsia" w:ascii="Calibri" w:hAnsi="Calibri" w:eastAsia="仿宋_GB2312" w:cs="Times New Roman"/>
          <w:sz w:val="32"/>
          <w:szCs w:val="32"/>
          <w:lang w:eastAsia="zh-CN"/>
        </w:rPr>
        <w:t>已</w:t>
      </w:r>
      <w:r>
        <w:rPr>
          <w:rFonts w:hint="eastAsia" w:ascii="Calibri" w:hAnsi="Calibri" w:eastAsia="仿宋_GB2312" w:cs="Times New Roman"/>
          <w:sz w:val="32"/>
          <w:szCs w:val="32"/>
        </w:rPr>
        <w:t>建成运营商业楼宇20栋</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登记企业4400家，个体8000户</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是全</w:t>
      </w:r>
      <w:r>
        <w:rPr>
          <w:rFonts w:hint="eastAsia" w:ascii="Calibri" w:hAnsi="Calibri" w:eastAsia="仿宋_GB2312" w:cs="Times New Roman"/>
          <w:sz w:val="32"/>
          <w:szCs w:val="32"/>
          <w:lang w:eastAsia="zh-CN"/>
        </w:rPr>
        <w:t>区</w:t>
      </w:r>
      <w:r>
        <w:rPr>
          <w:rFonts w:hint="eastAsia" w:ascii="Calibri" w:hAnsi="Calibri" w:eastAsia="仿宋_GB2312" w:cs="Times New Roman"/>
          <w:sz w:val="32"/>
          <w:szCs w:val="32"/>
        </w:rPr>
        <w:t>政治、文化、经济中心</w:t>
      </w:r>
      <w:r>
        <w:rPr>
          <w:rFonts w:hint="eastAsia" w:ascii="Calibri" w:hAnsi="Calibri" w:eastAsia="仿宋_GB2312" w:cs="Times New Roman"/>
          <w:sz w:val="32"/>
          <w:szCs w:val="32"/>
          <w:lang w:eastAsia="zh-CN"/>
        </w:rPr>
        <w:t>。</w:t>
      </w:r>
      <w:r>
        <w:rPr>
          <w:rFonts w:hint="eastAsia" w:ascii="Calibri" w:hAnsi="Calibri" w:eastAsia="仿宋_GB2312" w:cs="Times New Roman"/>
          <w:sz w:val="32"/>
          <w:szCs w:val="32"/>
        </w:rPr>
        <w:t>202</w:t>
      </w:r>
      <w:r>
        <w:rPr>
          <w:rFonts w:hint="eastAsia" w:ascii="Calibri" w:hAnsi="Calibri" w:eastAsia="仿宋_GB2312" w:cs="Times New Roman"/>
          <w:sz w:val="32"/>
          <w:szCs w:val="32"/>
          <w:lang w:val="en-US" w:eastAsia="zh-CN"/>
        </w:rPr>
        <w:t>4</w:t>
      </w:r>
      <w:r>
        <w:rPr>
          <w:rFonts w:hint="eastAsia" w:ascii="Calibri" w:hAnsi="Calibri" w:eastAsia="仿宋_GB2312" w:cs="Times New Roman"/>
          <w:sz w:val="32"/>
          <w:szCs w:val="32"/>
        </w:rPr>
        <w:t>年办事处编制人数</w:t>
      </w:r>
      <w:r>
        <w:rPr>
          <w:rFonts w:hint="eastAsia" w:ascii="Calibri" w:hAnsi="Calibri" w:eastAsia="仿宋_GB2312" w:cs="Times New Roman"/>
          <w:sz w:val="32"/>
          <w:szCs w:val="32"/>
          <w:lang w:val="en-US" w:eastAsia="zh-CN"/>
        </w:rPr>
        <w:t>59</w:t>
      </w:r>
      <w:r>
        <w:rPr>
          <w:rFonts w:hint="eastAsia" w:ascii="Calibri" w:hAnsi="Calibri" w:eastAsia="仿宋_GB2312" w:cs="Times New Roman"/>
          <w:sz w:val="32"/>
          <w:szCs w:val="32"/>
        </w:rPr>
        <w:t>人（在职</w:t>
      </w:r>
      <w:r>
        <w:rPr>
          <w:rFonts w:hint="eastAsia" w:ascii="Calibri" w:hAnsi="Calibri" w:eastAsia="仿宋_GB2312" w:cs="Times New Roman"/>
          <w:sz w:val="32"/>
          <w:szCs w:val="32"/>
          <w:lang w:val="en-US" w:eastAsia="zh-CN"/>
        </w:rPr>
        <w:t>59</w:t>
      </w:r>
      <w:r>
        <w:rPr>
          <w:rFonts w:hint="eastAsia" w:ascii="Calibri" w:hAnsi="Calibri" w:eastAsia="仿宋_GB2312" w:cs="Times New Roman"/>
          <w:sz w:val="32"/>
          <w:szCs w:val="32"/>
        </w:rPr>
        <w:t>人，退休1</w:t>
      </w:r>
      <w:r>
        <w:rPr>
          <w:rFonts w:hint="eastAsia" w:ascii="Calibri" w:hAnsi="Calibri" w:eastAsia="仿宋_GB2312" w:cs="Times New Roman"/>
          <w:sz w:val="32"/>
          <w:szCs w:val="32"/>
          <w:lang w:val="en-US" w:eastAsia="zh-CN"/>
        </w:rPr>
        <w:t>6</w:t>
      </w:r>
      <w:r>
        <w:rPr>
          <w:rFonts w:hint="eastAsia" w:ascii="Calibri" w:hAnsi="Calibri" w:eastAsia="仿宋_GB2312" w:cs="Times New Roman"/>
          <w:sz w:val="32"/>
          <w:szCs w:val="32"/>
        </w:rPr>
        <w:t>人），实际人数</w:t>
      </w:r>
      <w:r>
        <w:rPr>
          <w:rFonts w:hint="eastAsia" w:ascii="Calibri" w:hAnsi="Calibri" w:eastAsia="仿宋_GB2312" w:cs="Times New Roman"/>
          <w:sz w:val="32"/>
          <w:szCs w:val="32"/>
          <w:lang w:val="en-US" w:eastAsia="zh-CN"/>
        </w:rPr>
        <w:t>75</w:t>
      </w:r>
      <w:r>
        <w:rPr>
          <w:rFonts w:hint="eastAsia" w:ascii="Calibri" w:hAnsi="Calibri" w:eastAsia="仿宋_GB2312" w:cs="Times New Roman"/>
          <w:sz w:val="32"/>
          <w:szCs w:val="32"/>
        </w:rPr>
        <w:t>人。</w:t>
      </w:r>
    </w:p>
    <w:p w14:paraId="1A64B536">
      <w:pPr>
        <w:widowControl w:val="0"/>
        <w:ind w:left="1360" w:firstLine="0" w:firstLineChars="0"/>
        <w:jc w:val="left"/>
        <w:rPr>
          <w:rFonts w:hint="eastAsia" w:ascii="黑体" w:hAnsi="黑体" w:eastAsia="黑体" w:cs="黑体"/>
          <w:color w:val="000000"/>
          <w:kern w:val="2"/>
          <w:sz w:val="32"/>
          <w:szCs w:val="32"/>
          <w:lang w:val="en-US" w:eastAsia="zh-CN" w:bidi="ar-SA"/>
        </w:rPr>
      </w:pPr>
    </w:p>
    <w:p w14:paraId="0D351979">
      <w:pPr>
        <w:widowControl w:val="0"/>
        <w:numPr>
          <w:ilvl w:val="0"/>
          <w:numId w:val="1"/>
        </w:numPr>
        <w:ind w:left="1360" w:hanging="720" w:firstLineChars="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一般公共预算支出情况</w:t>
      </w:r>
    </w:p>
    <w:p w14:paraId="363B176A">
      <w:pPr>
        <w:ind w:firstLine="640" w:firstLineChars="200"/>
        <w:jc w:val="left"/>
        <w:rPr>
          <w:rFonts w:hint="eastAsia" w:ascii="黑体" w:hAnsi="黑体" w:eastAsia="黑体" w:cs="黑体"/>
          <w:color w:val="000000"/>
          <w:sz w:val="32"/>
          <w:szCs w:val="32"/>
        </w:rPr>
      </w:pPr>
      <w:r>
        <w:rPr>
          <w:rFonts w:hint="eastAsia" w:ascii="Calibri" w:hAnsi="Calibri" w:eastAsia="仿宋_GB2312" w:cs="Times New Roman"/>
          <w:sz w:val="32"/>
          <w:szCs w:val="32"/>
        </w:rPr>
        <w:t>本单位2</w:t>
      </w:r>
      <w:r>
        <w:rPr>
          <w:rFonts w:ascii="Calibri" w:hAnsi="Calibri" w:eastAsia="仿宋_GB2312" w:cs="Times New Roman"/>
          <w:sz w:val="32"/>
          <w:szCs w:val="32"/>
        </w:rPr>
        <w:t>02</w:t>
      </w:r>
      <w:r>
        <w:rPr>
          <w:rFonts w:hint="eastAsia" w:ascii="Calibri" w:hAnsi="Calibri" w:eastAsia="仿宋_GB2312" w:cs="Times New Roman"/>
          <w:sz w:val="32"/>
          <w:szCs w:val="32"/>
          <w:lang w:val="en-US" w:eastAsia="zh-CN"/>
        </w:rPr>
        <w:t>4</w:t>
      </w:r>
      <w:r>
        <w:rPr>
          <w:rFonts w:hint="eastAsia" w:ascii="Calibri" w:hAnsi="Calibri" w:eastAsia="仿宋_GB2312" w:cs="Times New Roman"/>
          <w:sz w:val="32"/>
          <w:szCs w:val="32"/>
        </w:rPr>
        <w:t>年一般公共预算整体支出</w:t>
      </w:r>
      <w:r>
        <w:rPr>
          <w:rFonts w:hint="eastAsia" w:ascii="Calibri" w:hAnsi="Calibri" w:eastAsia="仿宋_GB2312" w:cs="Times New Roman"/>
          <w:sz w:val="32"/>
          <w:szCs w:val="32"/>
          <w:lang w:val="en-US" w:eastAsia="zh-CN"/>
        </w:rPr>
        <w:t>2344.62</w:t>
      </w:r>
      <w:r>
        <w:rPr>
          <w:rFonts w:hint="eastAsia" w:ascii="Calibri" w:hAnsi="Calibri" w:eastAsia="仿宋_GB2312" w:cs="Times New Roman"/>
          <w:sz w:val="32"/>
          <w:szCs w:val="32"/>
        </w:rPr>
        <w:t>万元。按收入性质分，其中：一般公共预算收入</w:t>
      </w:r>
      <w:r>
        <w:rPr>
          <w:rFonts w:hint="eastAsia" w:ascii="Calibri" w:hAnsi="Calibri" w:eastAsia="仿宋_GB2312" w:cs="Times New Roman"/>
          <w:sz w:val="32"/>
          <w:szCs w:val="32"/>
          <w:lang w:val="en-US" w:eastAsia="zh-CN"/>
        </w:rPr>
        <w:t>2000.48</w:t>
      </w:r>
      <w:r>
        <w:rPr>
          <w:rFonts w:hint="eastAsia" w:ascii="Calibri" w:hAnsi="Calibri" w:eastAsia="仿宋_GB2312" w:cs="Times New Roman"/>
          <w:sz w:val="32"/>
          <w:szCs w:val="32"/>
        </w:rPr>
        <w:t>万元，其他资金收入</w:t>
      </w:r>
      <w:r>
        <w:rPr>
          <w:rFonts w:hint="eastAsia" w:ascii="Calibri" w:hAnsi="Calibri" w:eastAsia="仿宋_GB2312" w:cs="Times New Roman"/>
          <w:sz w:val="32"/>
          <w:szCs w:val="32"/>
          <w:lang w:val="en-US" w:eastAsia="zh-CN"/>
        </w:rPr>
        <w:t>344.14</w:t>
      </w:r>
      <w:r>
        <w:rPr>
          <w:rFonts w:hint="eastAsia" w:ascii="Calibri" w:hAnsi="Calibri" w:eastAsia="仿宋_GB2312" w:cs="Times New Roman"/>
          <w:sz w:val="32"/>
          <w:szCs w:val="32"/>
        </w:rPr>
        <w:t>万元。按支出性质分，其中：基本支出</w:t>
      </w:r>
      <w:r>
        <w:rPr>
          <w:rFonts w:hint="eastAsia" w:ascii="Calibri" w:hAnsi="Calibri" w:eastAsia="仿宋_GB2312" w:cs="Times New Roman"/>
          <w:sz w:val="32"/>
          <w:szCs w:val="32"/>
          <w:lang w:val="en-US" w:eastAsia="zh-CN"/>
        </w:rPr>
        <w:t>1457.55</w:t>
      </w:r>
      <w:r>
        <w:rPr>
          <w:rFonts w:hint="eastAsia" w:ascii="Calibri" w:hAnsi="Calibri" w:eastAsia="仿宋_GB2312" w:cs="Times New Roman"/>
          <w:sz w:val="32"/>
          <w:szCs w:val="32"/>
        </w:rPr>
        <w:t>万元，项目支出</w:t>
      </w:r>
      <w:r>
        <w:rPr>
          <w:rFonts w:hint="eastAsia" w:ascii="Calibri" w:hAnsi="Calibri" w:eastAsia="仿宋_GB2312" w:cs="Times New Roman"/>
          <w:sz w:val="32"/>
          <w:szCs w:val="32"/>
          <w:lang w:val="en-US" w:eastAsia="zh-CN"/>
        </w:rPr>
        <w:t>887.07</w:t>
      </w:r>
      <w:r>
        <w:rPr>
          <w:rFonts w:hint="eastAsia" w:ascii="Calibri" w:hAnsi="Calibri" w:eastAsia="仿宋_GB2312" w:cs="Times New Roman"/>
          <w:sz w:val="32"/>
          <w:szCs w:val="32"/>
        </w:rPr>
        <w:t>万元。</w:t>
      </w:r>
    </w:p>
    <w:p w14:paraId="4DD648A9">
      <w:pPr>
        <w:widowControl w:val="0"/>
        <w:numPr>
          <w:ilvl w:val="0"/>
          <w:numId w:val="2"/>
        </w:numPr>
        <w:ind w:left="1363" w:hanging="720" w:firstLineChars="0"/>
        <w:jc w:val="left"/>
        <w:rPr>
          <w:rFonts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基本支出情况</w:t>
      </w:r>
    </w:p>
    <w:p w14:paraId="264BCA87">
      <w:pPr>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年度基本支出</w:t>
      </w:r>
      <w:r>
        <w:rPr>
          <w:rFonts w:hint="eastAsia" w:ascii="Times New Roman" w:hAnsi="Times New Roman" w:eastAsia="仿宋_GB2312" w:cs="仿宋_GB2312"/>
          <w:kern w:val="0"/>
          <w:sz w:val="32"/>
          <w:szCs w:val="32"/>
          <w:lang w:val="en-US" w:eastAsia="zh-CN"/>
        </w:rPr>
        <w:t>1457.55</w:t>
      </w:r>
      <w:r>
        <w:rPr>
          <w:rFonts w:hint="eastAsia" w:ascii="Times New Roman" w:hAnsi="Times New Roman" w:eastAsia="仿宋_GB2312" w:cs="仿宋_GB2312"/>
          <w:kern w:val="0"/>
          <w:sz w:val="32"/>
          <w:szCs w:val="32"/>
        </w:rPr>
        <w:t>万元，其中：工资福利支出</w:t>
      </w:r>
      <w:r>
        <w:rPr>
          <w:rFonts w:hint="eastAsia" w:ascii="Times New Roman" w:hAnsi="Times New Roman" w:eastAsia="仿宋_GB2312" w:cs="仿宋_GB2312"/>
          <w:kern w:val="0"/>
          <w:sz w:val="32"/>
          <w:szCs w:val="32"/>
          <w:lang w:val="en-US" w:eastAsia="zh-CN"/>
        </w:rPr>
        <w:t>937.75</w:t>
      </w:r>
      <w:r>
        <w:rPr>
          <w:rFonts w:hint="eastAsia" w:ascii="Times New Roman" w:hAnsi="Times New Roman" w:eastAsia="仿宋_GB2312" w:cs="仿宋_GB2312"/>
          <w:kern w:val="0"/>
          <w:sz w:val="32"/>
          <w:szCs w:val="32"/>
        </w:rPr>
        <w:t>万元，占基本支出的</w:t>
      </w:r>
      <w:r>
        <w:rPr>
          <w:rFonts w:hint="eastAsia" w:ascii="Times New Roman" w:hAnsi="Times New Roman" w:eastAsia="仿宋_GB2312" w:cs="仿宋_GB2312"/>
          <w:kern w:val="0"/>
          <w:sz w:val="32"/>
          <w:szCs w:val="32"/>
          <w:lang w:val="en-US" w:eastAsia="zh-CN"/>
        </w:rPr>
        <w:t>64.34</w:t>
      </w:r>
      <w:r>
        <w:rPr>
          <w:rFonts w:hint="eastAsia" w:ascii="Times New Roman" w:hAnsi="Times New Roman" w:eastAsia="仿宋_GB2312" w:cs="仿宋_GB2312"/>
          <w:kern w:val="0"/>
          <w:sz w:val="32"/>
          <w:szCs w:val="32"/>
        </w:rPr>
        <w:t>%。主要包括基本工资、津贴补贴、</w:t>
      </w:r>
      <w:r>
        <w:rPr>
          <w:rFonts w:hint="eastAsia" w:ascii="Times New Roman" w:hAnsi="Times New Roman" w:eastAsia="仿宋_GB2312" w:cs="仿宋_GB2312"/>
          <w:kern w:val="0"/>
          <w:sz w:val="32"/>
          <w:szCs w:val="32"/>
          <w:lang w:val="zh-CN"/>
        </w:rPr>
        <w:t>奖金、伙食补助费、绩效工资、机关事业单位基本养老保险缴费、职工基本医疗保险缴费、其他社会保障缴费、住房公积金、其他工资福利支出。</w:t>
      </w:r>
      <w:r>
        <w:rPr>
          <w:rFonts w:hint="eastAsia" w:ascii="Times New Roman" w:hAnsi="Times New Roman" w:eastAsia="仿宋_GB2312" w:cs="仿宋_GB2312"/>
          <w:kern w:val="0"/>
          <w:sz w:val="32"/>
          <w:szCs w:val="32"/>
        </w:rPr>
        <w:t>商品和服务支出</w:t>
      </w:r>
      <w:r>
        <w:rPr>
          <w:rFonts w:hint="eastAsia" w:ascii="Times New Roman" w:hAnsi="Times New Roman" w:eastAsia="仿宋_GB2312" w:cs="仿宋_GB2312"/>
          <w:kern w:val="0"/>
          <w:sz w:val="32"/>
          <w:szCs w:val="32"/>
          <w:lang w:val="en-US" w:eastAsia="zh-CN"/>
        </w:rPr>
        <w:t>471.61</w:t>
      </w:r>
      <w:r>
        <w:rPr>
          <w:rFonts w:hint="eastAsia" w:ascii="Times New Roman" w:hAnsi="Times New Roman" w:eastAsia="仿宋_GB2312" w:cs="仿宋_GB2312"/>
          <w:kern w:val="0"/>
          <w:sz w:val="32"/>
          <w:szCs w:val="32"/>
        </w:rPr>
        <w:t>万元，占基本支出的</w:t>
      </w:r>
      <w:r>
        <w:rPr>
          <w:rFonts w:hint="eastAsia" w:ascii="Times New Roman" w:hAnsi="Times New Roman" w:eastAsia="仿宋_GB2312" w:cs="仿宋_GB2312"/>
          <w:kern w:val="0"/>
          <w:sz w:val="32"/>
          <w:szCs w:val="32"/>
          <w:lang w:val="en-US" w:eastAsia="zh-CN"/>
        </w:rPr>
        <w:t>32.36</w:t>
      </w:r>
      <w:r>
        <w:rPr>
          <w:rFonts w:hint="eastAsia" w:ascii="Times New Roman" w:hAnsi="Times New Roman" w:eastAsia="仿宋_GB2312" w:cs="仿宋_GB2312"/>
          <w:kern w:val="0"/>
          <w:sz w:val="32"/>
          <w:szCs w:val="32"/>
        </w:rPr>
        <w:t>%。主要包括办公费、印刷费、</w:t>
      </w:r>
      <w:r>
        <w:rPr>
          <w:rFonts w:hint="eastAsia" w:ascii="Times New Roman" w:hAnsi="Times New Roman" w:eastAsia="仿宋_GB2312" w:cs="仿宋_GB2312"/>
          <w:kern w:val="0"/>
          <w:sz w:val="32"/>
          <w:szCs w:val="32"/>
          <w:lang w:eastAsia="zh-CN"/>
        </w:rPr>
        <w:t>咨询费、</w:t>
      </w:r>
      <w:r>
        <w:rPr>
          <w:rFonts w:hint="eastAsia" w:ascii="Times New Roman" w:hAnsi="Times New Roman" w:eastAsia="仿宋_GB2312" w:cs="仿宋_GB2312"/>
          <w:kern w:val="0"/>
          <w:sz w:val="32"/>
          <w:szCs w:val="32"/>
        </w:rPr>
        <w:t>水费、电费、邮电费、差旅费、维修（护）费、</w:t>
      </w:r>
      <w:r>
        <w:rPr>
          <w:rFonts w:hint="eastAsia" w:ascii="Times New Roman" w:hAnsi="Times New Roman" w:eastAsia="仿宋_GB2312" w:cs="仿宋_GB2312"/>
          <w:kern w:val="0"/>
          <w:sz w:val="32"/>
          <w:szCs w:val="32"/>
          <w:lang w:eastAsia="zh-CN"/>
        </w:rPr>
        <w:t>租赁费、</w:t>
      </w:r>
      <w:r>
        <w:rPr>
          <w:rFonts w:hint="eastAsia" w:ascii="Times New Roman" w:hAnsi="Times New Roman" w:eastAsia="仿宋_GB2312" w:cs="仿宋_GB2312"/>
          <w:kern w:val="0"/>
          <w:sz w:val="32"/>
          <w:szCs w:val="32"/>
        </w:rPr>
        <w:t>培训费、劳务费、</w:t>
      </w:r>
      <w:r>
        <w:rPr>
          <w:rFonts w:hint="eastAsia" w:ascii="Times New Roman" w:hAnsi="Times New Roman" w:eastAsia="仿宋_GB2312" w:cs="仿宋_GB2312"/>
          <w:kern w:val="0"/>
          <w:sz w:val="32"/>
          <w:szCs w:val="32"/>
          <w:lang w:eastAsia="zh-CN"/>
        </w:rPr>
        <w:t>委托业务费、</w:t>
      </w:r>
      <w:r>
        <w:rPr>
          <w:rFonts w:hint="eastAsia" w:ascii="Times New Roman" w:hAnsi="Times New Roman" w:eastAsia="仿宋_GB2312" w:cs="仿宋_GB2312"/>
          <w:kern w:val="0"/>
          <w:sz w:val="32"/>
          <w:szCs w:val="32"/>
        </w:rPr>
        <w:t>工会经费、其他交通费用、其他商品和服务支出。对个人和家庭的补助</w:t>
      </w:r>
      <w:r>
        <w:rPr>
          <w:rFonts w:hint="eastAsia" w:ascii="Times New Roman" w:hAnsi="Times New Roman" w:eastAsia="仿宋_GB2312" w:cs="仿宋_GB2312"/>
          <w:kern w:val="0"/>
          <w:sz w:val="32"/>
          <w:szCs w:val="32"/>
          <w:lang w:val="en-US" w:eastAsia="zh-CN"/>
        </w:rPr>
        <w:t>48.19</w:t>
      </w:r>
      <w:r>
        <w:rPr>
          <w:rFonts w:hint="eastAsia" w:ascii="Times New Roman" w:hAnsi="Times New Roman" w:eastAsia="仿宋_GB2312" w:cs="仿宋_GB2312"/>
          <w:kern w:val="0"/>
          <w:sz w:val="32"/>
          <w:szCs w:val="32"/>
        </w:rPr>
        <w:t>万元，占基本支出的</w:t>
      </w:r>
      <w:r>
        <w:rPr>
          <w:rFonts w:hint="eastAsia" w:ascii="Times New Roman" w:hAnsi="Times New Roman" w:eastAsia="仿宋_GB2312" w:cs="仿宋_GB2312"/>
          <w:kern w:val="0"/>
          <w:sz w:val="32"/>
          <w:szCs w:val="32"/>
          <w:lang w:val="en-US" w:eastAsia="zh-CN"/>
        </w:rPr>
        <w:t>3.31</w:t>
      </w:r>
      <w:r>
        <w:rPr>
          <w:rFonts w:hint="eastAsia" w:ascii="Times New Roman" w:hAnsi="Times New Roman" w:eastAsia="仿宋_GB2312" w:cs="仿宋_GB2312"/>
          <w:kern w:val="0"/>
          <w:sz w:val="32"/>
          <w:szCs w:val="32"/>
        </w:rPr>
        <w:t>%。主要包括</w:t>
      </w:r>
      <w:r>
        <w:rPr>
          <w:rFonts w:hint="eastAsia" w:ascii="Times New Roman" w:hAnsi="Times New Roman" w:eastAsia="仿宋_GB2312" w:cs="仿宋_GB2312"/>
          <w:kern w:val="0"/>
          <w:sz w:val="32"/>
          <w:szCs w:val="32"/>
          <w:lang w:eastAsia="zh-CN"/>
        </w:rPr>
        <w:t>退休费</w:t>
      </w:r>
      <w:r>
        <w:rPr>
          <w:rFonts w:hint="eastAsia" w:ascii="Times New Roman" w:hAnsi="Times New Roman" w:eastAsia="仿宋_GB2312" w:cs="仿宋_GB2312"/>
          <w:kern w:val="0"/>
          <w:sz w:val="32"/>
          <w:szCs w:val="32"/>
          <w:lang w:val="zh-CN"/>
        </w:rPr>
        <w:t>、生活补助、救济费、其他对个人和家庭的补助</w:t>
      </w:r>
      <w:r>
        <w:rPr>
          <w:rFonts w:hint="eastAsia" w:ascii="Times New Roman" w:hAnsi="Times New Roman" w:eastAsia="仿宋_GB2312" w:cs="仿宋_GB2312"/>
          <w:kern w:val="0"/>
          <w:sz w:val="32"/>
          <w:szCs w:val="32"/>
        </w:rPr>
        <w:t>。</w:t>
      </w:r>
    </w:p>
    <w:p w14:paraId="2A7B1AD7">
      <w:pPr>
        <w:widowControl w:val="0"/>
        <w:numPr>
          <w:ilvl w:val="0"/>
          <w:numId w:val="2"/>
        </w:numPr>
        <w:ind w:left="1363" w:hanging="720" w:firstLineChars="0"/>
        <w:jc w:val="left"/>
        <w:rPr>
          <w:rFonts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项目支出情况</w:t>
      </w:r>
    </w:p>
    <w:p w14:paraId="57B6B2C9">
      <w:pPr>
        <w:tabs>
          <w:tab w:val="left" w:pos="426"/>
          <w:tab w:val="center" w:pos="4153"/>
        </w:tabs>
        <w:spacing w:line="600" w:lineRule="exact"/>
        <w:ind w:firstLine="562" w:firstLineChars="200"/>
        <w:rPr>
          <w:rFonts w:ascii="Times New Roman" w:hAnsi="Times New Roman" w:eastAsia="仿宋_GB2312" w:cs="仿宋_GB2312"/>
          <w:kern w:val="0"/>
          <w:sz w:val="32"/>
          <w:szCs w:val="32"/>
        </w:rPr>
      </w:pPr>
      <w:r>
        <w:rPr>
          <w:rFonts w:hint="eastAsia" w:ascii="宋体" w:hAnsi="宋体" w:eastAsia="宋体" w:cs="宋体"/>
          <w:b/>
          <w:bCs/>
          <w:sz w:val="28"/>
          <w:szCs w:val="28"/>
          <w:shd w:val="clear" w:color="auto" w:fill="FFFFFF"/>
        </w:rPr>
        <w:t>1、</w:t>
      </w:r>
      <w:r>
        <w:rPr>
          <w:rFonts w:hint="eastAsia" w:ascii="楷体_GB2312" w:hAnsi="楷体_GB2312" w:eastAsia="楷体_GB2312" w:cs="楷体_GB2312"/>
          <w:b/>
          <w:bCs/>
          <w:color w:val="000000"/>
          <w:sz w:val="32"/>
          <w:szCs w:val="32"/>
        </w:rPr>
        <w:t>项目资金拨入情况分析</w:t>
      </w:r>
      <w:r>
        <w:rPr>
          <w:rFonts w:hint="eastAsia" w:ascii="宋体" w:hAnsi="宋体" w:eastAsia="宋体" w:cs="宋体"/>
          <w:b/>
          <w:bCs/>
          <w:sz w:val="28"/>
          <w:szCs w:val="28"/>
          <w:shd w:val="clear" w:color="auto" w:fill="FFFFFF"/>
        </w:rPr>
        <w:t xml:space="preserve">  </w:t>
      </w:r>
      <w:r>
        <w:rPr>
          <w:rFonts w:hint="eastAsia"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年岳阳楼区五里牌街道办事处项目资金到位率100％。</w:t>
      </w:r>
    </w:p>
    <w:p w14:paraId="62EBF60E">
      <w:pPr>
        <w:widowControl w:val="0"/>
        <w:spacing w:before="120" w:after="200" w:line="276" w:lineRule="auto"/>
        <w:ind w:firstLine="643" w:firstLineChars="200"/>
        <w:jc w:val="both"/>
        <w:rPr>
          <w:rFonts w:ascii="Times New Roman" w:hAnsi="Times New Roman" w:eastAsia="仿宋_GB2312" w:cs="仿宋_GB2312"/>
          <w:kern w:val="0"/>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 xml:space="preserve">2、项目资金使用情况分析  </w:t>
      </w:r>
      <w:r>
        <w:rPr>
          <w:rFonts w:hint="eastAsia" w:ascii="Times New Roman" w:hAnsi="Times New Roman" w:eastAsia="仿宋_GB2312" w:cs="仿宋_GB2312"/>
          <w:kern w:val="0"/>
          <w:sz w:val="32"/>
          <w:szCs w:val="32"/>
          <w:lang w:val="en-US" w:eastAsia="zh-CN" w:bidi="ar-SA"/>
        </w:rPr>
        <w:t>2024年度项目支出887.07万元，其中超30万元的项目支出共计755.56万元，占总项目支出85.17%。其中环卫工人工资及社保经费618.03万元，用于2024年环卫工人发放工资及社会保险费缴纳；其他城管环卫资金30.06万元，用于除了环卫工人工资及社保以外的其他环卫支出；老旧小区改造专项107.47万元，用于老旧小区改造工程劳务费。</w:t>
      </w:r>
    </w:p>
    <w:p w14:paraId="7B631A7E">
      <w:pPr>
        <w:widowControl w:val="0"/>
        <w:ind w:left="1363" w:firstLine="0" w:firstLineChars="0"/>
        <w:jc w:val="left"/>
        <w:rPr>
          <w:rFonts w:hint="eastAsia" w:ascii="楷体_GB2312" w:hAnsi="楷体_GB2312" w:eastAsia="楷体_GB2312" w:cs="楷体_GB2312"/>
          <w:b/>
          <w:bCs/>
          <w:color w:val="000000"/>
          <w:kern w:val="2"/>
          <w:sz w:val="32"/>
          <w:szCs w:val="32"/>
          <w:lang w:val="en-US" w:eastAsia="zh-CN" w:bidi="ar-SA"/>
        </w:rPr>
      </w:pPr>
    </w:p>
    <w:p w14:paraId="728B4C43">
      <w:pPr>
        <w:widowControl w:val="0"/>
        <w:numPr>
          <w:ilvl w:val="0"/>
          <w:numId w:val="1"/>
        </w:numPr>
        <w:ind w:left="1360" w:hanging="720" w:firstLineChars="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政府性基金预算支出情况</w:t>
      </w:r>
    </w:p>
    <w:p w14:paraId="3F4CB87F">
      <w:pPr>
        <w:ind w:firstLine="640" w:firstLineChars="200"/>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年度本单位无政府性基金预算支出。</w:t>
      </w:r>
    </w:p>
    <w:p w14:paraId="1DCFD707">
      <w:pPr>
        <w:ind w:firstLine="640" w:firstLineChars="200"/>
        <w:jc w:val="left"/>
        <w:rPr>
          <w:rFonts w:hint="eastAsia" w:ascii="黑体" w:hAnsi="黑体" w:eastAsia="黑体" w:cs="黑体"/>
          <w:color w:val="000000"/>
          <w:sz w:val="32"/>
          <w:szCs w:val="32"/>
        </w:rPr>
      </w:pPr>
    </w:p>
    <w:p w14:paraId="2FD71CDF">
      <w:pPr>
        <w:widowControl w:val="0"/>
        <w:numPr>
          <w:ilvl w:val="0"/>
          <w:numId w:val="1"/>
        </w:numPr>
        <w:ind w:left="1360" w:hanging="720" w:firstLineChars="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国有资本经营预算支出情况</w:t>
      </w:r>
    </w:p>
    <w:p w14:paraId="4E930058">
      <w:pPr>
        <w:ind w:left="640"/>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年度本单位无国有资本经营预算支出。</w:t>
      </w:r>
    </w:p>
    <w:p w14:paraId="5AB46BF9">
      <w:pPr>
        <w:ind w:left="640"/>
        <w:jc w:val="left"/>
        <w:rPr>
          <w:rFonts w:hint="eastAsia" w:ascii="黑体" w:hAnsi="黑体" w:eastAsia="黑体" w:cs="黑体"/>
          <w:color w:val="000000"/>
          <w:sz w:val="32"/>
          <w:szCs w:val="32"/>
        </w:rPr>
      </w:pPr>
    </w:p>
    <w:p w14:paraId="32B936FE">
      <w:pPr>
        <w:widowControl w:val="0"/>
        <w:numPr>
          <w:ilvl w:val="0"/>
          <w:numId w:val="1"/>
        </w:numPr>
        <w:ind w:left="1360" w:hanging="720" w:firstLineChars="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社会保险基金预算支出情况</w:t>
      </w:r>
    </w:p>
    <w:p w14:paraId="2BD92C4F">
      <w:pPr>
        <w:ind w:left="640"/>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年度本单位无社会保险基金预算支出。</w:t>
      </w:r>
    </w:p>
    <w:p w14:paraId="0FF4BF85">
      <w:pPr>
        <w:ind w:left="640"/>
        <w:jc w:val="left"/>
        <w:rPr>
          <w:rFonts w:hint="eastAsia" w:ascii="黑体" w:hAnsi="黑体" w:eastAsia="黑体" w:cs="黑体"/>
          <w:color w:val="000000"/>
          <w:sz w:val="32"/>
          <w:szCs w:val="32"/>
        </w:rPr>
      </w:pPr>
    </w:p>
    <w:p w14:paraId="737B88CA">
      <w:pPr>
        <w:widowControl w:val="0"/>
        <w:numPr>
          <w:ilvl w:val="0"/>
          <w:numId w:val="1"/>
        </w:numPr>
        <w:ind w:left="1360" w:hanging="720" w:firstLineChars="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部门整体支出绩效情况</w:t>
      </w:r>
    </w:p>
    <w:p w14:paraId="44D77EED">
      <w:pPr>
        <w:ind w:firstLine="321" w:firstLineChars="1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（一）年度工作履职目标及履职情况</w:t>
      </w:r>
    </w:p>
    <w:p w14:paraId="0AB343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在区委、区政府的坚强领导下，五里牌街道始终坚持以习近平新时代中国特色社会主义思想为指导，锚定“三高四新”美好蓝图，紧扣“七个岳阳”发展主线，围绕“1376”总体思路，戮力同心，担当作为，扎实推动街道各项事业高质量发展。现将2024年工作开展情况汇报如下：</w:t>
      </w:r>
    </w:p>
    <w:p w14:paraId="27DE0D54">
      <w:pPr>
        <w:numPr>
          <w:ilvl w:val="0"/>
          <w:numId w:val="0"/>
        </w:numPr>
        <w:spacing w:line="578" w:lineRule="exact"/>
        <w:ind w:firstLine="643" w:firstLineChars="200"/>
        <w:rPr>
          <w:rFonts w:hint="eastAsia" w:ascii="宋体" w:hAnsi="宋体" w:eastAsia="宋体" w:cs="黑体"/>
          <w:b/>
          <w:bCs/>
          <w:sz w:val="32"/>
          <w:szCs w:val="32"/>
          <w:lang w:bidi="ar"/>
        </w:rPr>
      </w:pPr>
      <w:r>
        <w:rPr>
          <w:rFonts w:hint="eastAsia" w:ascii="宋体" w:hAnsi="宋体" w:eastAsia="宋体" w:cs="黑体"/>
          <w:b/>
          <w:bCs/>
          <w:sz w:val="32"/>
          <w:szCs w:val="32"/>
          <w:lang w:val="en-US" w:eastAsia="zh-CN" w:bidi="ar"/>
        </w:rPr>
        <w:t>1、</w:t>
      </w:r>
      <w:r>
        <w:rPr>
          <w:rFonts w:hint="eastAsia" w:ascii="宋体" w:hAnsi="宋体" w:eastAsia="宋体" w:cs="黑体"/>
          <w:b/>
          <w:bCs/>
          <w:sz w:val="32"/>
          <w:szCs w:val="32"/>
          <w:lang w:bidi="ar"/>
        </w:rPr>
        <w:t>主要工作完成情况</w:t>
      </w:r>
    </w:p>
    <w:p w14:paraId="36A4AA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（一）精耕细作强党建，思想引领不断深化</w:t>
      </w:r>
    </w:p>
    <w:p w14:paraId="5ED01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sz w:val="32"/>
          <w:szCs w:val="32"/>
          <w:lang w:val="en-US" w:eastAsia="zh-CN"/>
        </w:rPr>
        <w:t>一是忠诚底色更加鲜明。</w:t>
      </w:r>
      <w:r>
        <w:rPr>
          <w:rFonts w:hint="eastAsia" w:ascii="仿宋_GB2312" w:hAnsi="仿宋_GB2312" w:eastAsia="仿宋_GB2312" w:cs="仿宋_GB2312"/>
          <w:sz w:val="32"/>
          <w:szCs w:val="32"/>
          <w:lang w:val="en-US" w:eastAsia="zh-CN"/>
        </w:rPr>
        <w:t>落实“第一议题”制度，及时跟进深入学习贯彻党的二十届三中全会精神及习近平总书记考察湖南重要讲话和指示精神，开展理论学习中心组学习12次，集中学习讨论5次。扎实开展“一月一课一片一实践”主题党日活动，94个基层党组织集中学习研讨，83名基层党组织书记上台讲党课，靶向教育党员2000人，主题党日活动经验被省委组织部在红星网上书面推介。严守意识形态阵地，全年召开意识形态工作会议4次，研判风险2次，在各级官媒上发布正面宣传报道180余篇，开展精神文明建设活动近千次，回应网络舆情20篇，</w:t>
      </w:r>
      <w:r>
        <w:rPr>
          <w:rFonts w:hint="eastAsia" w:ascii="仿宋_GB2312" w:hAnsi="仿宋_GB2312" w:eastAsia="仿宋_GB2312" w:cs="仿宋_GB2312"/>
          <w:b w:val="0"/>
          <w:bCs/>
          <w:color w:val="auto"/>
          <w:sz w:val="32"/>
          <w:szCs w:val="32"/>
          <w:lang w:val="en-US" w:eastAsia="zh-CN"/>
        </w:rPr>
        <w:t>新城社区成功创建湖南省网信普法教育特色基地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二是队伍建设更显成效。</w:t>
      </w:r>
      <w:r>
        <w:rPr>
          <w:rFonts w:hint="eastAsia" w:ascii="仿宋_GB2312" w:hAnsi="仿宋_GB2312" w:eastAsia="仿宋_GB2312" w:cs="仿宋_GB2312"/>
          <w:sz w:val="32"/>
          <w:szCs w:val="32"/>
          <w:lang w:val="en-US" w:eastAsia="zh-CN"/>
        </w:rPr>
        <w:t>机构改革迸发活力，6月，严格按照上级机构改革方案，调整街道机关结构为5个内设股室、5个事业机构，激发干事创业热情，每季度开展五星干部评比，结果运用至年终考核，1名社区书记通过比选解决事业编制，职级调动4人。加强基层党员队伍建设，全年培养入党积极分子33名，新发展党员5人，为党组织注入新鲜血液。强化党风党纪，除名违纪党员1人、严重警告2人、警告10人，新城社区党委、祥源城市之光党支部荣获岳阳楼区先进基层党组织。</w:t>
      </w:r>
      <w:r>
        <w:rPr>
          <w:rFonts w:hint="eastAsia" w:ascii="仿宋_GB2312" w:hAnsi="仿宋_GB2312" w:eastAsia="仿宋_GB2312" w:cs="仿宋_GB2312"/>
          <w:b/>
          <w:bCs/>
          <w:sz w:val="32"/>
          <w:szCs w:val="32"/>
          <w:lang w:val="en-US" w:eastAsia="zh-CN"/>
        </w:rPr>
        <w:t>三是监督执纪更加有力。</w:t>
      </w:r>
      <w:r>
        <w:rPr>
          <w:rFonts w:hint="eastAsia" w:ascii="仿宋_GB2312" w:hAnsi="仿宋_GB2312" w:eastAsia="仿宋_GB2312" w:cs="仿宋_GB2312"/>
          <w:sz w:val="32"/>
          <w:szCs w:val="32"/>
          <w:lang w:val="en-US" w:eastAsia="zh-CN"/>
        </w:rPr>
        <w:t>始终把作风建设工作放在突出位置，3月，对标对表制定《五里牌街道2024年党风廉政建设责任制任务分解实施意见》。全年</w:t>
      </w:r>
      <w:r>
        <w:rPr>
          <w:rFonts w:hint="eastAsia" w:ascii="仿宋_GB2312" w:hAnsi="仿宋_GB2312" w:eastAsia="仿宋_GB2312" w:cs="仿宋_GB2312"/>
          <w:color w:val="000000"/>
          <w:sz w:val="32"/>
          <w:szCs w:val="32"/>
          <w:lang w:eastAsia="zh-CN"/>
        </w:rPr>
        <w:t>日常作风督查</w:t>
      </w:r>
      <w:r>
        <w:rPr>
          <w:rFonts w:hint="eastAsia" w:ascii="仿宋_GB2312" w:hAnsi="仿宋_GB2312" w:eastAsia="仿宋_GB2312" w:cs="仿宋_GB2312"/>
          <w:color w:val="000000"/>
          <w:sz w:val="32"/>
          <w:szCs w:val="32"/>
          <w:lang w:val="en-US" w:eastAsia="zh-CN"/>
        </w:rPr>
        <w:t>11次</w:t>
      </w:r>
      <w:r>
        <w:rPr>
          <w:rFonts w:hint="eastAsia" w:ascii="仿宋_GB2312" w:hAnsi="仿宋_GB2312" w:eastAsia="仿宋_GB2312" w:cs="仿宋_GB2312"/>
          <w:color w:val="000000"/>
          <w:sz w:val="32"/>
          <w:szCs w:val="32"/>
          <w:lang w:eastAsia="zh-CN"/>
        </w:rPr>
        <w:t>，发布</w:t>
      </w:r>
      <w:r>
        <w:rPr>
          <w:rFonts w:hint="eastAsia" w:ascii="仿宋_GB2312" w:hAnsi="仿宋_GB2312" w:eastAsia="仿宋_GB2312" w:cs="仿宋_GB2312"/>
          <w:color w:val="000000"/>
          <w:sz w:val="32"/>
          <w:szCs w:val="32"/>
        </w:rPr>
        <w:t>督查通报</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期，通报批评</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提醒</w:t>
      </w:r>
      <w:r>
        <w:rPr>
          <w:rFonts w:hint="eastAsia" w:ascii="仿宋_GB2312" w:hAnsi="仿宋_GB2312" w:eastAsia="仿宋_GB2312" w:cs="仿宋_GB2312"/>
          <w:color w:val="000000"/>
          <w:sz w:val="32"/>
          <w:szCs w:val="32"/>
          <w:lang w:val="en-US" w:eastAsia="zh-CN"/>
        </w:rPr>
        <w:t>5人</w:t>
      </w:r>
      <w:r>
        <w:rPr>
          <w:rFonts w:hint="eastAsia" w:ascii="仿宋_GB2312" w:hAnsi="仿宋_GB2312" w:eastAsia="仿宋_GB2312" w:cs="仿宋_GB2312"/>
          <w:color w:val="000000"/>
          <w:sz w:val="32"/>
          <w:szCs w:val="32"/>
        </w:rPr>
        <w:t xml:space="preserve">，约谈 </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全力</w:t>
      </w:r>
      <w:r>
        <w:rPr>
          <w:rFonts w:hint="eastAsia" w:ascii="仿宋_GB2312" w:hAnsi="仿宋_GB2312" w:eastAsia="仿宋_GB2312" w:cs="仿宋_GB2312"/>
          <w:color w:val="000000"/>
          <w:sz w:val="32"/>
          <w:szCs w:val="32"/>
          <w:lang w:val="en-US" w:eastAsia="zh-CN"/>
        </w:rPr>
        <w:t>推进群众身边不正之风和腐败问题专项整治，</w:t>
      </w:r>
      <w:r>
        <w:rPr>
          <w:rFonts w:hint="eastAsia" w:ascii="仿宋_GB2312" w:hAnsi="仿宋_GB2312" w:eastAsia="仿宋_GB2312" w:cs="仿宋_GB2312"/>
          <w:sz w:val="32"/>
          <w:szCs w:val="32"/>
          <w:lang w:val="en-US" w:eastAsia="zh-CN"/>
        </w:rPr>
        <w:t>召开专项整治工作会</w:t>
      </w:r>
      <w:r>
        <w:rPr>
          <w:rFonts w:hint="eastAsia" w:ascii="仿宋_GB2312" w:hAnsi="仿宋_GB2312" w:eastAsia="仿宋_GB2312" w:cs="仿宋_GB2312"/>
          <w:color w:val="000000"/>
          <w:sz w:val="32"/>
          <w:szCs w:val="32"/>
          <w:lang w:val="en-US" w:eastAsia="zh-CN"/>
        </w:rPr>
        <w:t>3次</w:t>
      </w:r>
      <w:r>
        <w:rPr>
          <w:rFonts w:hint="eastAsia" w:ascii="仿宋_GB2312" w:hAnsi="仿宋_GB2312" w:eastAsia="仿宋_GB2312" w:cs="仿宋_GB2312"/>
          <w:sz w:val="32"/>
          <w:szCs w:val="32"/>
          <w:lang w:val="en-US" w:eastAsia="zh-CN"/>
        </w:rPr>
        <w:t>，排查问题36个，整改33个，立案处理</w:t>
      </w:r>
      <w:r>
        <w:rPr>
          <w:rFonts w:hint="eastAsia" w:ascii="仿宋_GB2312" w:hAnsi="仿宋_GB2312" w:eastAsia="仿宋_GB2312" w:cs="仿宋_GB2312"/>
          <w:sz w:val="32"/>
          <w:szCs w:val="32"/>
          <w:lang w:val="en" w:eastAsia="zh-CN"/>
        </w:rPr>
        <w:t>1</w:t>
      </w:r>
      <w:r>
        <w:rPr>
          <w:rFonts w:hint="eastAsia" w:ascii="仿宋_GB2312" w:hAnsi="仿宋_GB2312" w:eastAsia="仿宋_GB2312" w:cs="仿宋_GB2312"/>
          <w:sz w:val="32"/>
          <w:szCs w:val="32"/>
          <w:lang w:val="en-US" w:eastAsia="zh-CN"/>
        </w:rPr>
        <w:t>5人。</w:t>
      </w:r>
    </w:p>
    <w:p w14:paraId="5839A0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lang w:val="en-US" w:eastAsia="zh-CN"/>
        </w:rPr>
        <w:t>坚定不移谋发展，主要指标稳步提升</w:t>
      </w:r>
    </w:p>
    <w:p w14:paraId="2E1F53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一是经济发展稳进提质。</w:t>
      </w:r>
      <w:r>
        <w:rPr>
          <w:rFonts w:hint="eastAsia" w:ascii="仿宋_GB2312" w:hAnsi="仿宋_GB2312" w:eastAsia="仿宋_GB2312" w:cs="仿宋_GB2312"/>
          <w:b w:val="0"/>
          <w:bCs w:val="0"/>
          <w:sz w:val="32"/>
          <w:szCs w:val="32"/>
          <w:lang w:val="en-US" w:eastAsia="zh-CN"/>
        </w:rPr>
        <w:t>1-11月，</w:t>
      </w:r>
      <w:r>
        <w:rPr>
          <w:rFonts w:hint="eastAsia" w:ascii="仿宋_GB2312" w:hAnsi="仿宋_GB2312" w:eastAsia="仿宋_GB2312" w:cs="仿宋_GB2312"/>
          <w:color w:val="auto"/>
          <w:sz w:val="32"/>
          <w:szCs w:val="32"/>
          <w:lang w:val="en-US" w:eastAsia="zh-CN"/>
        </w:rPr>
        <w:t>完成固定资产投资11.8214亿元，同比增长11.52%，湘商回归投资新注册企业1家，新引进项目2个，培育规上企业2家，</w:t>
      </w:r>
      <w:r>
        <w:rPr>
          <w:rFonts w:hint="eastAsia" w:ascii="仿宋_GB2312" w:hAnsi="仿宋_GB2312" w:eastAsia="仿宋_GB2312" w:cs="仿宋_GB2312"/>
          <w:sz w:val="32"/>
          <w:szCs w:val="32"/>
          <w:lang w:val="en-US" w:eastAsia="zh-CN"/>
        </w:rPr>
        <w:t>四化建社区荣获市“产业发展”工作先进集体。</w:t>
      </w:r>
      <w:r>
        <w:rPr>
          <w:rFonts w:hint="eastAsia" w:ascii="仿宋_GB2312" w:hAnsi="仿宋_GB2312" w:eastAsia="仿宋_GB2312" w:cs="仿宋_GB2312"/>
          <w:b/>
          <w:bCs/>
          <w:sz w:val="32"/>
          <w:szCs w:val="32"/>
          <w:lang w:val="en-US" w:eastAsia="zh-CN"/>
        </w:rPr>
        <w:t>二是项目建设态势良好。</w:t>
      </w:r>
      <w:r>
        <w:rPr>
          <w:rFonts w:hint="eastAsia" w:ascii="仿宋_GB2312" w:hAnsi="仿宋_GB2312" w:eastAsia="仿宋_GB2312" w:cs="仿宋_GB2312"/>
          <w:color w:val="auto"/>
          <w:sz w:val="32"/>
          <w:szCs w:val="32"/>
          <w:lang w:val="en-US" w:eastAsia="zh-CN"/>
        </w:rPr>
        <w:t>完成花板桥农贸市场项目、杨树塘片区棚改项目、四化建南片区项目结算工作，全力推进市七中项目结算，天伦中心顺利竣工，已进入招商阶段。完成63个旧改项目和7个配套设施项目。</w:t>
      </w:r>
      <w:r>
        <w:rPr>
          <w:rFonts w:hint="eastAsia" w:ascii="仿宋_GB2312" w:hAnsi="仿宋_GB2312" w:eastAsia="仿宋_GB2312" w:cs="仿宋_GB2312"/>
          <w:b/>
          <w:bCs/>
          <w:sz w:val="32"/>
          <w:szCs w:val="32"/>
          <w:lang w:val="en-US" w:eastAsia="zh-CN"/>
        </w:rPr>
        <w:t>三是企业服务做精做优。</w:t>
      </w:r>
      <w:r>
        <w:rPr>
          <w:rFonts w:hint="eastAsia" w:ascii="仿宋_GB2312" w:hAnsi="仿宋_GB2312" w:eastAsia="仿宋_GB2312" w:cs="仿宋_GB2312"/>
          <w:sz w:val="32"/>
          <w:szCs w:val="32"/>
          <w:lang w:val="en-US" w:eastAsia="zh-CN"/>
        </w:rPr>
        <w:t>走访帮扶重点企业20次，接待投资意向选址3起，全面落实助企纾困政策。联合区金融办、区市场监督局、派出所开展排查清扫行动2起，严厉打击破坏市场等违法行为。开展防范非法集资集中宣传2起，发放资料7000余份，让经营主体安心投资、放心发展，年底进行湖南省</w:t>
      </w:r>
      <w:r>
        <w:rPr>
          <w:rFonts w:hint="eastAsia" w:ascii="仿宋_GB2312" w:hAnsi="仿宋_GB2312" w:eastAsia="仿宋_GB2312" w:cs="仿宋_GB2312"/>
          <w:color w:val="auto"/>
          <w:sz w:val="32"/>
          <w:szCs w:val="32"/>
          <w:lang w:val="en-US" w:eastAsia="zh-CN"/>
        </w:rPr>
        <w:t xml:space="preserve">营商环境测评，满分问卷522份。 </w:t>
      </w:r>
    </w:p>
    <w:p w14:paraId="438191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（三）</w:t>
      </w:r>
      <w:r>
        <w:rPr>
          <w:rFonts w:hint="eastAsia" w:ascii="楷体_GB2312" w:hAnsi="楷体_GB2312" w:eastAsia="楷体_GB2312" w:cs="楷体_GB2312"/>
          <w:sz w:val="32"/>
          <w:szCs w:val="32"/>
          <w:lang w:val="en-US" w:eastAsia="zh-CN"/>
        </w:rPr>
        <w:t>持之以恒强基础，城市建设日新月异</w:t>
      </w:r>
    </w:p>
    <w:p w14:paraId="51E4FF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一是市容市貌不断提升。</w:t>
      </w:r>
      <w:r>
        <w:rPr>
          <w:rFonts w:hint="eastAsia" w:ascii="仿宋_GB2312" w:hAnsi="仿宋_GB2312" w:eastAsia="仿宋_GB2312" w:cs="仿宋_GB2312"/>
          <w:color w:val="auto"/>
          <w:sz w:val="32"/>
          <w:szCs w:val="32"/>
          <w:lang w:val="en-US" w:eastAsia="zh-CN"/>
        </w:rPr>
        <w:t>拆除四化建小区等违法建设479处，共26366.54平方米，</w:t>
      </w:r>
      <w:r>
        <w:rPr>
          <w:rFonts w:hint="eastAsia" w:ascii="仿宋_GB2312" w:hAnsi="仿宋_GB2312" w:eastAsia="仿宋_GB2312" w:cs="仿宋_GB2312"/>
          <w:b w:val="0"/>
          <w:bCs/>
          <w:color w:val="auto"/>
          <w:sz w:val="32"/>
          <w:szCs w:val="32"/>
          <w:lang w:val="en-US" w:eastAsia="zh-CN"/>
        </w:rPr>
        <w:t>依照省巡视组指令，迅速拆除九盛家居和一棵树餐馆违法建设，对违法建设保持零容忍态度。</w:t>
      </w:r>
      <w:r>
        <w:rPr>
          <w:rFonts w:hint="eastAsia" w:ascii="仿宋_GB2312" w:hAnsi="仿宋_GB2312" w:eastAsia="仿宋_GB2312" w:cs="仿宋_GB2312"/>
          <w:color w:val="auto"/>
          <w:sz w:val="32"/>
          <w:szCs w:val="32"/>
          <w:lang w:val="en-US" w:eastAsia="zh-CN"/>
        </w:rPr>
        <w:t>联合职能部门不定期包保督查辖区五小门店、三小门店30余次，严厉打击出店经营等违规行为。</w:t>
      </w:r>
      <w:r>
        <w:rPr>
          <w:rFonts w:hint="eastAsia" w:ascii="仿宋_GB2312" w:hAnsi="仿宋_GB2312" w:eastAsia="仿宋_GB2312" w:cs="仿宋_GB2312"/>
          <w:b/>
          <w:bCs/>
          <w:sz w:val="32"/>
          <w:szCs w:val="32"/>
          <w:lang w:val="en-US" w:eastAsia="zh-CN"/>
        </w:rPr>
        <w:t>二是人居环境不断优化。</w:t>
      </w:r>
      <w:r>
        <w:rPr>
          <w:rFonts w:hint="eastAsia" w:ascii="仿宋_GB2312" w:hAnsi="仿宋_GB2312" w:eastAsia="仿宋_GB2312" w:cs="仿宋_GB2312"/>
          <w:b w:val="0"/>
          <w:bCs w:val="0"/>
          <w:sz w:val="32"/>
          <w:szCs w:val="32"/>
          <w:lang w:val="en-US" w:eastAsia="zh-CN"/>
        </w:rPr>
        <w:t>以花板桥菜市场、五里牌菜市场环境整治为重点，囊括辖区背街小巷、无物业小区，</w:t>
      </w:r>
      <w:r>
        <w:rPr>
          <w:rFonts w:hint="eastAsia" w:ascii="仿宋_GB2312" w:hAnsi="仿宋_GB2312" w:eastAsia="仿宋_GB2312" w:cs="仿宋_GB2312"/>
          <w:b w:val="0"/>
          <w:bCs/>
          <w:color w:val="auto"/>
          <w:sz w:val="32"/>
          <w:szCs w:val="32"/>
          <w:lang w:val="en-US" w:eastAsia="zh-CN"/>
        </w:rPr>
        <w:t>由点到面，标本兼治，全面提升人居环境。全年开展清洁家园活动470余次，清理卫生死角6000余处，牛皮癣17500余处，清除菜地200余处、清运垃圾2000余车，更新分类垃圾桶200余个，升级改造11座老式垃圾分类亭，新增多功能垃圾分类亭2个、投放点47个。</w:t>
      </w:r>
      <w:r>
        <w:rPr>
          <w:rFonts w:hint="eastAsia" w:ascii="仿宋_GB2312" w:hAnsi="仿宋_GB2312" w:eastAsia="仿宋_GB2312" w:cs="仿宋_GB2312"/>
          <w:b/>
          <w:bCs/>
          <w:color w:val="auto"/>
          <w:sz w:val="32"/>
          <w:szCs w:val="32"/>
          <w:lang w:val="en-US" w:eastAsia="zh-CN"/>
        </w:rPr>
        <w:t>三是城市管理不断精细。</w:t>
      </w:r>
      <w:r>
        <w:rPr>
          <w:rFonts w:hint="eastAsia" w:ascii="仿宋_GB2312" w:hAnsi="仿宋_GB2312" w:eastAsia="仿宋_GB2312" w:cs="仿宋_GB2312"/>
          <w:color w:val="auto"/>
          <w:sz w:val="32"/>
          <w:szCs w:val="32"/>
          <w:lang w:val="en-US" w:eastAsia="zh-CN"/>
        </w:rPr>
        <w:t>智慧城管工单日单日清，全年处置工单7100余件、交办函130余件，工单回复准确率达100%，3月，在区环卫工作讲评会上被评为典型向全区推广。完善网格信息，夯实辖区管理的数字基石，全年录入人口信息74964条，楼栋信息2236条，房屋信息49536条，单位内容信息5452条。</w:t>
      </w:r>
    </w:p>
    <w:p w14:paraId="61EBDE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（四）</w:t>
      </w:r>
      <w:r>
        <w:rPr>
          <w:rFonts w:hint="eastAsia" w:ascii="楷体_GB2312" w:hAnsi="楷体_GB2312" w:eastAsia="楷体_GB2312" w:cs="楷体_GB2312"/>
          <w:sz w:val="32"/>
          <w:szCs w:val="32"/>
          <w:lang w:val="en-US" w:eastAsia="zh-CN"/>
        </w:rPr>
        <w:t>千方百计惠民生，幸福指数持续攀升</w:t>
      </w:r>
    </w:p>
    <w:p w14:paraId="3A5695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bCs/>
          <w:sz w:val="32"/>
          <w:szCs w:val="32"/>
          <w:lang w:val="en-US" w:eastAsia="zh-CN"/>
        </w:rPr>
        <w:t>一是利民惠民持续升温。</w:t>
      </w:r>
      <w:r>
        <w:rPr>
          <w:rFonts w:hint="eastAsia" w:ascii="仿宋_GB2312" w:hAnsi="仿宋_GB2312" w:eastAsia="仿宋_GB2312" w:cs="仿宋_GB2312"/>
          <w:b w:val="0"/>
          <w:bCs w:val="0"/>
          <w:sz w:val="32"/>
          <w:szCs w:val="32"/>
          <w:lang w:val="en-US" w:eastAsia="zh-CN"/>
        </w:rPr>
        <w:t>街道集中力量全面推进，</w:t>
      </w:r>
      <w:r>
        <w:rPr>
          <w:rFonts w:hint="eastAsia" w:ascii="仿宋_GB2312" w:hAnsi="仿宋_GB2312" w:eastAsia="仿宋_GB2312" w:cs="仿宋_GB2312"/>
          <w:b w:val="0"/>
          <w:bCs w:val="0"/>
          <w:color w:val="auto"/>
          <w:sz w:val="32"/>
          <w:szCs w:val="32"/>
          <w:lang w:val="en-US" w:eastAsia="zh-CN"/>
        </w:rPr>
        <w:t>医保工作顺利收官，全年缴费25470人，</w:t>
      </w:r>
      <w:r>
        <w:rPr>
          <w:rFonts w:hint="eastAsia" w:ascii="仿宋_GB2312" w:hAnsi="仿宋_GB2312" w:eastAsia="仿宋_GB2312" w:cs="仿宋_GB2312"/>
          <w:color w:val="auto"/>
          <w:sz w:val="32"/>
          <w:szCs w:val="32"/>
          <w:lang w:val="en-US" w:eastAsia="zh-CN"/>
        </w:rPr>
        <w:t>考核基数完成比达到100.18%。发挥好公共就业服务作用，助力高质量就业，2024年开展</w:t>
      </w:r>
      <w:r>
        <w:rPr>
          <w:rFonts w:hint="eastAsia" w:ascii="仿宋_GB2312" w:hAnsi="仿宋_GB2312" w:eastAsia="仿宋_GB2312" w:cs="仿宋_GB2312"/>
          <w:color w:val="auto"/>
          <w:sz w:val="32"/>
          <w:szCs w:val="32"/>
        </w:rPr>
        <w:t>专场招聘会</w:t>
      </w:r>
      <w:r>
        <w:rPr>
          <w:rFonts w:hint="eastAsia" w:ascii="仿宋_GB2312" w:hAnsi="仿宋_GB2312" w:eastAsia="仿宋_GB2312" w:cs="仿宋_GB2312"/>
          <w:color w:val="auto"/>
          <w:sz w:val="32"/>
          <w:szCs w:val="32"/>
          <w:lang w:val="en-US" w:eastAsia="zh-CN"/>
        </w:rPr>
        <w:t>2次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新增就业837人，失业再就业、困难再就业任务完成率100%。</w:t>
      </w:r>
      <w:r>
        <w:rPr>
          <w:rFonts w:hint="eastAsia" w:ascii="仿宋_GB2312" w:hAnsi="仿宋_GB2312" w:eastAsia="仿宋_GB2312" w:cs="仿宋_GB2312"/>
          <w:b/>
          <w:bCs/>
          <w:sz w:val="32"/>
          <w:szCs w:val="32"/>
          <w:lang w:val="en-US" w:eastAsia="zh-CN"/>
        </w:rPr>
        <w:t>二是社会保障坚实有力。</w:t>
      </w:r>
      <w:r>
        <w:rPr>
          <w:rFonts w:hint="eastAsia" w:ascii="仿宋_GB2312" w:hAnsi="仿宋_GB2312" w:eastAsia="仿宋_GB2312" w:cs="仿宋_GB2312"/>
          <w:b w:val="0"/>
          <w:bCs/>
          <w:color w:val="auto"/>
          <w:sz w:val="32"/>
          <w:szCs w:val="32"/>
          <w:lang w:val="en-US" w:eastAsia="zh-CN"/>
        </w:rPr>
        <w:t>完成原市属国有改制企业退休干部的春节慰问和帮扶帮困工作，帮扶解困301人，新增15人。低保新增26户43人，提高低保保障线普提573户，降标27户10人，停发79户，临时救助13户，医疗救助28户，困难残疾人家庭无障碍改造68户。</w:t>
      </w:r>
      <w:r>
        <w:rPr>
          <w:rFonts w:hint="eastAsia" w:ascii="仿宋_GB2312" w:hAnsi="仿宋_GB2312" w:eastAsia="仿宋_GB2312" w:cs="仿宋_GB2312"/>
          <w:b/>
          <w:bCs/>
          <w:sz w:val="32"/>
          <w:szCs w:val="32"/>
          <w:lang w:val="en-US" w:eastAsia="zh-CN"/>
        </w:rPr>
        <w:t>三是矛盾纠纷高效化解。</w:t>
      </w:r>
      <w:r>
        <w:rPr>
          <w:rFonts w:hint="eastAsia" w:ascii="仿宋_GB2312" w:hAnsi="仿宋_GB2312" w:eastAsia="仿宋_GB2312" w:cs="仿宋_GB2312"/>
          <w:color w:val="auto"/>
          <w:sz w:val="32"/>
          <w:szCs w:val="32"/>
          <w:lang w:val="en-US" w:eastAsia="zh-CN"/>
        </w:rPr>
        <w:t>全年办理网上信访件48件，承办案件19件，省委第十一巡视组交办件6件，</w:t>
      </w:r>
      <w:r>
        <w:rPr>
          <w:rFonts w:hint="eastAsia" w:ascii="仿宋_GB2312" w:hAnsi="仿宋_GB2312" w:eastAsia="仿宋_GB2312" w:cs="仿宋_GB2312"/>
          <w:b w:val="0"/>
          <w:bCs/>
          <w:color w:val="auto"/>
          <w:sz w:val="32"/>
          <w:szCs w:val="32"/>
          <w:lang w:val="en-US" w:eastAsia="zh-CN"/>
        </w:rPr>
        <w:t>受理12345市民热线工单1768件、省长信箱1件、市长信箱106件，办结率100%，</w:t>
      </w:r>
      <w:r>
        <w:rPr>
          <w:rFonts w:hint="eastAsia" w:ascii="仿宋_GB2312" w:hAnsi="仿宋_GB2312" w:eastAsia="仿宋_GB2312" w:cs="仿宋_GB2312"/>
          <w:b w:val="0"/>
          <w:bCs w:val="0"/>
          <w:color w:val="auto"/>
          <w:sz w:val="32"/>
          <w:szCs w:val="32"/>
          <w:lang w:val="en-US" w:eastAsia="zh-CN"/>
        </w:rPr>
        <w:t>切实解决群众急难愁盼问题。</w:t>
      </w:r>
      <w:r>
        <w:rPr>
          <w:rFonts w:hint="eastAsia" w:ascii="仿宋_GB2312" w:hAnsi="仿宋_GB2312" w:eastAsia="仿宋_GB2312" w:cs="仿宋_GB2312"/>
          <w:b w:val="0"/>
          <w:bCs/>
          <w:color w:val="auto"/>
          <w:sz w:val="32"/>
          <w:szCs w:val="32"/>
          <w:lang w:val="en-US" w:eastAsia="zh-CN"/>
        </w:rPr>
        <w:t>依托社区网格，积极上报处理各类民生网格事件1458件，通过一门式及一体化公共服务平台共为居民办理各类业务3360件，实打实的地为居民的幸福生活保驾护航。</w:t>
      </w:r>
    </w:p>
    <w:p w14:paraId="73F7BC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（五）</w:t>
      </w:r>
      <w:r>
        <w:rPr>
          <w:rFonts w:hint="eastAsia" w:ascii="楷体_GB2312" w:hAnsi="楷体_GB2312" w:eastAsia="楷体_GB2312" w:cs="楷体_GB2312"/>
          <w:sz w:val="32"/>
          <w:szCs w:val="32"/>
          <w:lang w:val="en-US" w:eastAsia="zh-CN"/>
        </w:rPr>
        <w:t>全力以赴保稳定，社会大局和谐安宁</w:t>
      </w:r>
    </w:p>
    <w:p w14:paraId="0ACED9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一是安全生产常抓不懈。</w:t>
      </w:r>
      <w:r>
        <w:rPr>
          <w:rFonts w:hint="eastAsia" w:ascii="仿宋_GB2312" w:hAnsi="仿宋_GB2312" w:eastAsia="仿宋_GB2312" w:cs="仿宋_GB2312"/>
          <w:b w:val="0"/>
          <w:bCs/>
          <w:color w:val="auto"/>
          <w:sz w:val="32"/>
          <w:szCs w:val="32"/>
          <w:lang w:val="en-US" w:eastAsia="zh-CN"/>
        </w:rPr>
        <w:t>压实安全防范责任，</w:t>
      </w:r>
      <w:r>
        <w:rPr>
          <w:rFonts w:hint="eastAsia" w:ascii="仿宋_GB2312" w:hAnsi="仿宋_GB2312" w:eastAsia="仿宋_GB2312" w:cs="仿宋_GB2312"/>
          <w:color w:val="auto"/>
          <w:sz w:val="32"/>
          <w:szCs w:val="32"/>
          <w:lang w:val="en-US" w:eastAsia="zh-CN"/>
        </w:rPr>
        <w:t>检查辖区企业门店2376家，开展冬春“五进五看五嘱托”敲门行动入户6020家。</w:t>
      </w:r>
      <w:r>
        <w:rPr>
          <w:rFonts w:hint="eastAsia" w:ascii="仿宋_GB2312" w:hAnsi="仿宋_GB2312" w:eastAsia="仿宋_GB2312" w:cs="仿宋_GB2312"/>
          <w:b w:val="0"/>
          <w:bCs/>
          <w:color w:val="auto"/>
          <w:sz w:val="32"/>
          <w:szCs w:val="32"/>
          <w:lang w:val="en-US" w:eastAsia="zh-CN"/>
        </w:rPr>
        <w:t>聚焦消防安全领域，</w:t>
      </w:r>
      <w:r>
        <w:rPr>
          <w:rFonts w:hint="eastAsia" w:ascii="仿宋_GB2312" w:hAnsi="仿宋_GB2312" w:eastAsia="仿宋_GB2312" w:cs="仿宋_GB2312"/>
          <w:color w:val="auto"/>
          <w:sz w:val="32"/>
          <w:szCs w:val="32"/>
          <w:lang w:val="en-US" w:eastAsia="zh-CN"/>
        </w:rPr>
        <w:t>排查火灾隐患127处，</w:t>
      </w:r>
      <w:r>
        <w:rPr>
          <w:rFonts w:hint="eastAsia" w:ascii="仿宋_GB2312" w:hAnsi="仿宋_GB2312" w:eastAsia="仿宋_GB2312" w:cs="仿宋_GB2312"/>
          <w:color w:val="auto"/>
          <w:sz w:val="32"/>
          <w:szCs w:val="32"/>
        </w:rPr>
        <w:t>开展烟花爆竹清缴行动</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，电动自行车“两电”专项</w:t>
      </w:r>
      <w:r>
        <w:rPr>
          <w:rFonts w:hint="eastAsia" w:ascii="仿宋_GB2312" w:hAnsi="仿宋_GB2312" w:eastAsia="仿宋_GB2312" w:cs="仿宋_GB2312"/>
          <w:color w:val="auto"/>
          <w:sz w:val="32"/>
          <w:szCs w:val="32"/>
          <w:lang w:val="en-US" w:eastAsia="zh-CN"/>
        </w:rPr>
        <w:t>整治行动，整改违规充电等涉消防问题300余次。紧抓自建房安全不放松，</w:t>
      </w:r>
      <w:r>
        <w:rPr>
          <w:rFonts w:hint="eastAsia" w:ascii="仿宋_GB2312" w:hAnsi="仿宋_GB2312" w:eastAsia="仿宋_GB2312" w:cs="仿宋_GB2312"/>
          <w:b w:val="0"/>
          <w:bCs/>
          <w:color w:val="auto"/>
          <w:sz w:val="32"/>
          <w:szCs w:val="32"/>
          <w:lang w:val="en-US" w:eastAsia="zh-CN"/>
        </w:rPr>
        <w:t>完成自建房重点区域“回头看”工作，检查893栋居民自建房，C、D级自建房7栋整治完毕均已消号，1月13日，顺利迎接省自建房专项整治领导小组的检查。</w:t>
      </w:r>
      <w:r>
        <w:rPr>
          <w:rFonts w:hint="eastAsia" w:ascii="仿宋_GB2312" w:hAnsi="仿宋_GB2312" w:eastAsia="仿宋_GB2312" w:cs="仿宋_GB2312"/>
          <w:b/>
          <w:bCs/>
          <w:sz w:val="32"/>
          <w:szCs w:val="32"/>
          <w:lang w:val="en-US" w:eastAsia="zh-CN"/>
        </w:rPr>
        <w:t>二是公共管理扎实有效。</w:t>
      </w:r>
      <w:r>
        <w:rPr>
          <w:rFonts w:hint="eastAsia" w:ascii="仿宋_GB2312" w:hAnsi="仿宋_GB2312" w:eastAsia="仿宋_GB2312" w:cs="仿宋_GB2312"/>
          <w:color w:val="auto"/>
          <w:sz w:val="32"/>
          <w:szCs w:val="32"/>
          <w:lang w:val="en-US" w:eastAsia="zh-CN"/>
        </w:rPr>
        <w:t>认真开展“利剑护蕾”行动，开展联合集中扫楼行动12次，查处涉及未成年人管控重点场所8处，24名涉案人员均已移交职能部门处理。严厉打击非法传销等违法行为，配合市场监督部门查处传销窝点6处，遣散传销人员118人，解救云南籍误入传销组织人员4人，3月22日，省规范直销打击传销工作现场会在街道顺利召开。</w:t>
      </w:r>
      <w:r>
        <w:rPr>
          <w:rFonts w:hint="eastAsia" w:ascii="仿宋_GB2312" w:hAnsi="仿宋_GB2312" w:eastAsia="仿宋_GB2312" w:cs="仿宋_GB2312"/>
          <w:b/>
          <w:bCs/>
          <w:sz w:val="32"/>
          <w:szCs w:val="32"/>
          <w:lang w:val="en-US" w:eastAsia="zh-CN"/>
        </w:rPr>
        <w:t>三是校园食安持续深入。</w:t>
      </w:r>
      <w:r>
        <w:rPr>
          <w:rFonts w:hint="eastAsia" w:ascii="仿宋_GB2312" w:hAnsi="仿宋_GB2312" w:eastAsia="仿宋_GB2312" w:cs="仿宋_GB2312"/>
          <w:sz w:val="32"/>
          <w:szCs w:val="32"/>
          <w:lang w:val="en-US" w:eastAsia="zh-CN"/>
        </w:rPr>
        <w:t>全力守护校园食品安全。运用校园食安智慧监管平台，推进校内食堂和校外供餐单位“互联网+明厨亮灶”管理提质，联合五里牌市监所开展春季校园食品安全覆盖检查3次。</w:t>
      </w:r>
    </w:p>
    <w:p w14:paraId="1039A0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2、</w:t>
      </w:r>
      <w:r>
        <w:rPr>
          <w:rFonts w:hint="eastAsia" w:ascii="黑体" w:hAnsi="黑体" w:eastAsia="黑体" w:cs="黑体"/>
          <w:sz w:val="32"/>
          <w:szCs w:val="32"/>
          <w:lang w:val="en-US" w:eastAsia="zh-CN"/>
        </w:rPr>
        <w:t>特色亮点工作</w:t>
      </w:r>
    </w:p>
    <w:p w14:paraId="6651D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（一）经济普查可圈可点。</w:t>
      </w:r>
      <w:r>
        <w:rPr>
          <w:rFonts w:hint="eastAsia" w:ascii="仿宋_GB2312" w:hAnsi="仿宋_GB2312" w:eastAsia="仿宋_GB2312" w:cs="仿宋_GB2312"/>
          <w:color w:val="auto"/>
          <w:sz w:val="32"/>
          <w:szCs w:val="32"/>
          <w:lang w:val="en-US" w:eastAsia="zh-CN"/>
        </w:rPr>
        <w:t>1月1日，承办岳阳市第五次全国经济普查入户首登日活动</w:t>
      </w:r>
      <w:r>
        <w:rPr>
          <w:rFonts w:hint="eastAsia" w:ascii="仿宋_GB2312" w:hAnsi="仿宋_GB2312" w:eastAsia="仿宋_GB2312" w:cs="仿宋_GB2312"/>
          <w:b w:val="0"/>
          <w:bCs w:val="0"/>
          <w:color w:val="auto"/>
          <w:sz w:val="32"/>
          <w:szCs w:val="32"/>
          <w:lang w:val="en-US" w:eastAsia="zh-CN"/>
        </w:rPr>
        <w:t>，获得市政府领导高度评价。2024年完成普查主体企业5350家，有证个体8083家，无证个体4547家，</w:t>
      </w:r>
      <w:r>
        <w:rPr>
          <w:rFonts w:hint="eastAsia" w:ascii="仿宋_GB2312" w:hAnsi="仿宋_GB2312" w:eastAsia="仿宋_GB2312" w:cs="仿宋_GB2312"/>
          <w:color w:val="auto"/>
          <w:sz w:val="32"/>
          <w:szCs w:val="32"/>
          <w:lang w:val="en-US" w:eastAsia="zh-CN"/>
        </w:rPr>
        <w:t>占全区总量23%。7月代表楼区迎接国家五经普专项检查，获得充分肯定。</w:t>
      </w:r>
    </w:p>
    <w:p w14:paraId="6D5D13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b w:val="0"/>
          <w:bCs w:val="0"/>
          <w:i w:val="0"/>
          <w:iCs w:val="0"/>
          <w:color w:val="auto"/>
          <w:sz w:val="32"/>
          <w:szCs w:val="32"/>
          <w:lang w:val="en-US" w:eastAsia="zh-CN"/>
        </w:rPr>
        <w:t>应急处置</w:t>
      </w:r>
      <w:r>
        <w:rPr>
          <w:rFonts w:hint="eastAsia" w:ascii="楷体_GB2312" w:hAnsi="楷体_GB2312" w:eastAsia="楷体_GB2312" w:cs="楷体_GB2312"/>
          <w:sz w:val="32"/>
          <w:szCs w:val="32"/>
          <w:lang w:val="en-US" w:eastAsia="zh-CN"/>
        </w:rPr>
        <w:t>有力</w:t>
      </w:r>
      <w:r>
        <w:rPr>
          <w:rFonts w:hint="eastAsia" w:ascii="楷体_GB2312" w:hAnsi="楷体_GB2312" w:eastAsia="楷体_GB2312" w:cs="楷体_GB2312"/>
          <w:b w:val="0"/>
          <w:bCs w:val="0"/>
          <w:i w:val="0"/>
          <w:iCs w:val="0"/>
          <w:color w:val="auto"/>
          <w:sz w:val="32"/>
          <w:szCs w:val="32"/>
          <w:lang w:val="en-US" w:eastAsia="zh-CN"/>
        </w:rPr>
        <w:t>有序。</w:t>
      </w:r>
      <w:r>
        <w:rPr>
          <w:rFonts w:hint="eastAsia" w:ascii="仿宋_GB2312" w:hAnsi="仿宋_GB2312" w:eastAsia="仿宋_GB2312" w:cs="仿宋_GB2312"/>
          <w:b w:val="0"/>
          <w:bCs w:val="0"/>
          <w:color w:val="auto"/>
          <w:sz w:val="32"/>
          <w:szCs w:val="32"/>
          <w:lang w:val="en-US" w:eastAsia="zh-CN"/>
        </w:rPr>
        <w:t>年初，积极应对冰冻雨雪恶劣天气，调动工程运输车辆600台次，发动社区干部、热心居民、志愿者300人次，完成辖区内主次干道、背街小巷、居民小区铲冰除雪工作，受到省委常委、市委谢卫江书记慰问，并受市委、市政府表彰</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6月，按照区</w:t>
      </w:r>
      <w:r>
        <w:rPr>
          <w:rFonts w:hint="eastAsia" w:ascii="仿宋_GB2312" w:hAnsi="仿宋_GB2312" w:eastAsia="仿宋_GB2312" w:cs="仿宋_GB2312"/>
          <w:color w:val="auto"/>
          <w:sz w:val="32"/>
          <w:szCs w:val="32"/>
          <w:lang w:val="en-US" w:eastAsia="zh-CN"/>
        </w:rPr>
        <w:t>委部署，转移疏散杨树塘箱涵坍塌处周边居民56户，完成2栋居民楼房屋安全鉴定工作，协助四化建公司开挖修复箱涵，有力保障居民群众生命财产安全，得到省委督查室、市区政府高度肯定。</w:t>
      </w:r>
    </w:p>
    <w:p w14:paraId="42E849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b w:val="0"/>
          <w:bCs/>
          <w:color w:val="auto"/>
          <w:sz w:val="32"/>
          <w:szCs w:val="32"/>
          <w:lang w:val="en-US" w:eastAsia="zh-CN"/>
        </w:rPr>
      </w:pPr>
      <w:r>
        <w:rPr>
          <w:rFonts w:hint="eastAsia" w:ascii="楷体_GB2312" w:hAnsi="楷体_GB2312" w:eastAsia="楷体_GB2312" w:cs="楷体_GB2312"/>
          <w:b w:val="0"/>
          <w:bCs/>
          <w:color w:val="auto"/>
          <w:kern w:val="2"/>
          <w:sz w:val="32"/>
          <w:szCs w:val="32"/>
          <w:lang w:val="en-US" w:eastAsia="zh-CN" w:bidi="ar-SA"/>
        </w:rPr>
        <w:t>（三）</w:t>
      </w:r>
      <w:r>
        <w:rPr>
          <w:rFonts w:hint="eastAsia" w:ascii="楷体_GB2312" w:hAnsi="楷体_GB2312" w:eastAsia="楷体_GB2312" w:cs="楷体_GB2312"/>
          <w:sz w:val="32"/>
          <w:szCs w:val="32"/>
          <w:lang w:val="en-US" w:eastAsia="zh-CN"/>
        </w:rPr>
        <w:t>便民服务绘声绘色。</w:t>
      </w:r>
      <w:r>
        <w:rPr>
          <w:rFonts w:hint="eastAsia" w:ascii="仿宋_GB2312" w:hAnsi="仿宋_GB2312" w:eastAsia="仿宋_GB2312" w:cs="仿宋_GB2312"/>
          <w:sz w:val="32"/>
          <w:szCs w:val="32"/>
          <w:lang w:val="en-US" w:eastAsia="zh-CN"/>
        </w:rPr>
        <w:t>围绕功能完善、服务优质、智慧高效、快捷便利的目标，全力推进辖区社区一刻钟便民生活圈建设，</w:t>
      </w:r>
      <w:r>
        <w:rPr>
          <w:rFonts w:hint="eastAsia" w:ascii="仿宋_GB2312" w:hAnsi="仿宋_GB2312" w:eastAsia="仿宋_GB2312" w:cs="仿宋_GB2312"/>
          <w:b w:val="0"/>
          <w:bCs/>
          <w:color w:val="auto"/>
          <w:sz w:val="32"/>
          <w:szCs w:val="32"/>
          <w:lang w:val="en-US" w:eastAsia="zh-CN"/>
        </w:rPr>
        <w:t>5月，高山坡社区成功入选</w:t>
      </w:r>
      <w:r>
        <w:rPr>
          <w:rFonts w:hint="eastAsia" w:ascii="仿宋_GB2312" w:hAnsi="仿宋_GB2312" w:eastAsia="仿宋_GB2312" w:cs="仿宋_GB2312"/>
          <w:sz w:val="32"/>
          <w:szCs w:val="32"/>
          <w:lang w:val="en-US" w:eastAsia="zh-CN"/>
        </w:rPr>
        <w:t>湖南省第二批基础性一刻钟便民服务圈社区</w:t>
      </w:r>
      <w:r>
        <w:rPr>
          <w:rFonts w:hint="eastAsia" w:ascii="仿宋_GB2312" w:hAnsi="仿宋_GB2312" w:eastAsia="仿宋_GB2312" w:cs="仿宋_GB2312"/>
          <w:b w:val="0"/>
          <w:bCs/>
          <w:color w:val="auto"/>
          <w:sz w:val="32"/>
          <w:szCs w:val="32"/>
          <w:lang w:val="en-US" w:eastAsia="zh-CN"/>
        </w:rPr>
        <w:t>。以居家养老为基础，社区服务为依托，专业机构为补充，医养康养相结合，四化建社区成立楼区首家试点“社区居家养老服务中心”，全面护航银发群体。</w:t>
      </w:r>
    </w:p>
    <w:p w14:paraId="09F60C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楷体_GB2312" w:hAnsi="楷体_GB2312" w:eastAsia="楷体_GB2312" w:cs="楷体_GB2312"/>
          <w:sz w:val="32"/>
          <w:szCs w:val="32"/>
          <w:lang w:val="en-US" w:eastAsia="zh-CN"/>
        </w:rPr>
        <w:t>（四）小区治理出圈出彩。</w:t>
      </w:r>
      <w:r>
        <w:rPr>
          <w:rFonts w:hint="eastAsia" w:ascii="仿宋_GB2312" w:hAnsi="仿宋_GB2312" w:eastAsia="仿宋_GB2312" w:cs="仿宋_GB2312"/>
          <w:sz w:val="32"/>
          <w:szCs w:val="32"/>
          <w:lang w:val="en-US" w:eastAsia="zh-CN"/>
        </w:rPr>
        <w:t>广泛运用群英断是非工作法，</w:t>
      </w:r>
      <w:r>
        <w:rPr>
          <w:rFonts w:hint="eastAsia" w:ascii="仿宋_GB2312" w:hAnsi="仿宋_GB2312" w:eastAsia="仿宋_GB2312" w:cs="仿宋_GB2312"/>
          <w:color w:val="auto"/>
          <w:sz w:val="32"/>
          <w:szCs w:val="32"/>
          <w:lang w:val="en-US" w:eastAsia="zh-CN"/>
        </w:rPr>
        <w:t>开辟小区管理新模式，将群英断是非应用于物业管理并首创“群英物管会”，在全市基层党建工作重点任务推进会上，被市委组织部作为典型案例书面推介。</w:t>
      </w:r>
    </w:p>
    <w:p w14:paraId="3F8FBE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color w:val="auto"/>
          <w:sz w:val="32"/>
          <w:szCs w:val="32"/>
          <w:lang w:val="en-US" w:eastAsia="zh-CN"/>
        </w:rPr>
      </w:pPr>
      <w:r>
        <w:rPr>
          <w:rFonts w:hint="eastAsia" w:ascii="楷体_GB2312" w:hAnsi="楷体_GB2312" w:eastAsia="楷体_GB2312" w:cs="楷体_GB2312"/>
          <w:sz w:val="32"/>
          <w:szCs w:val="32"/>
          <w:lang w:val="en-US" w:eastAsia="zh-CN"/>
        </w:rPr>
        <w:t>（五）活动承办有声有色。</w:t>
      </w:r>
      <w:r>
        <w:rPr>
          <w:rFonts w:hint="eastAsia" w:ascii="仿宋_GB2312" w:hAnsi="仿宋_GB2312" w:eastAsia="仿宋_GB2312" w:cs="仿宋_GB2312"/>
          <w:color w:val="auto"/>
          <w:sz w:val="32"/>
          <w:szCs w:val="32"/>
          <w:lang w:val="en-US" w:eastAsia="zh-CN"/>
        </w:rPr>
        <w:t>聚焦党建、应急等多领域，全方位完美承办市、区级大型活动，5月，承办全区“5·12”防灾减灾活动，发放资料21000余份。6月18日，联合承办全区安全生产咨询日活动，辐射整个中心城区。10月11日，杨树塘社区作为市人大基层立法联系点，承办《岳阳市居家养老服务条例》落实情况民意采集座谈会，为服务银发群体建言献策。</w:t>
      </w:r>
      <w:r>
        <w:rPr>
          <w:rFonts w:hint="eastAsia" w:ascii="仿宋_GB2312" w:hAnsi="仿宋_GB2312" w:eastAsia="仿宋_GB2312" w:cs="仿宋_GB2312"/>
          <w:sz w:val="32"/>
          <w:szCs w:val="32"/>
          <w:lang w:val="en-US" w:eastAsia="zh-CN"/>
        </w:rPr>
        <w:t>11月14日，</w:t>
      </w:r>
      <w:r>
        <w:rPr>
          <w:rFonts w:hint="eastAsia" w:ascii="仿宋_GB2312" w:hAnsi="仿宋_GB2312" w:eastAsia="仿宋_GB2312" w:cs="仿宋_GB2312"/>
          <w:sz w:val="32"/>
          <w:szCs w:val="32"/>
        </w:rPr>
        <w:t>举办全市城市社区党组织书记培训班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助力党的二十届三中全会精神入心入脑。</w:t>
      </w:r>
    </w:p>
    <w:p w14:paraId="774C7A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3、</w:t>
      </w:r>
      <w:r>
        <w:rPr>
          <w:rFonts w:hint="eastAsia" w:ascii="黑体" w:hAnsi="黑体" w:eastAsia="黑体" w:cs="黑体"/>
          <w:sz w:val="32"/>
          <w:szCs w:val="32"/>
          <w:lang w:val="en-US" w:eastAsia="zh-CN"/>
        </w:rPr>
        <w:t>存在的问题及建议</w:t>
      </w:r>
    </w:p>
    <w:p w14:paraId="7BEE66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（一）辖区经济发展存在瓶颈</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color w:val="auto"/>
          <w:sz w:val="32"/>
          <w:szCs w:val="32"/>
          <w:lang w:val="en-US" w:eastAsia="zh-CN"/>
        </w:rPr>
        <w:t>受大环境影响，原支撑辖区经济的建安领域企业不景气，加之没有优质大型项目进驻，固投、税收逐年减少。针对楼宇经济，一方面是由于运营成本过高，扶持政策相对较少等客观因素，初创公司、小微公司入驻意愿不强。另一方面楼宇内企业多是金融领域，尽管街道联合相关部门多次开展扫楼行动，但仍有少数不法企业躲避监管，非法集资等风险隐患大。建议针对性出台促进楼宇经济发展的政策举措，加大对初创、小微企业的扶持力度，激发企业内生动力。加强与市、区两级的联动，街道将在招商引资与打击非法集资等行动上全力以赴。</w:t>
      </w:r>
    </w:p>
    <w:p w14:paraId="3FDFEE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kern w:val="2"/>
          <w:sz w:val="32"/>
          <w:szCs w:val="32"/>
          <w:lang w:val="en-US" w:eastAsia="zh-CN" w:bidi="ar-SA"/>
        </w:rPr>
        <w:t>（二）爱卫成果</w:t>
      </w:r>
      <w:r>
        <w:rPr>
          <w:rFonts w:hint="eastAsia" w:ascii="楷体_GB2312" w:hAnsi="楷体_GB2312" w:eastAsia="楷体_GB2312" w:cs="楷体_GB2312"/>
          <w:b w:val="0"/>
          <w:bCs w:val="0"/>
          <w:color w:val="auto"/>
          <w:sz w:val="32"/>
          <w:szCs w:val="32"/>
          <w:lang w:val="en-US" w:eastAsia="zh-CN"/>
        </w:rPr>
        <w:t>有待进一步巩固。</w:t>
      </w:r>
      <w:r>
        <w:rPr>
          <w:rFonts w:hint="eastAsia" w:ascii="仿宋_GB2312" w:hAnsi="仿宋_GB2312" w:eastAsia="仿宋_GB2312" w:cs="仿宋_GB2312"/>
          <w:color w:val="auto"/>
          <w:sz w:val="32"/>
          <w:szCs w:val="32"/>
          <w:lang w:val="en-US" w:eastAsia="zh-CN"/>
        </w:rPr>
        <w:t>因楼栋布局不合理等历史原因，辖区背街小巷众多，老旧无物业小区林立，环境脏污、楼道牛皮癣等问题仍然突出，居民环保意识不强，环境卫生问题极易反弹回潮。建议上级部门给予人力、物力的支持，加大联合执法力度，逐步形成多管齐下的监管制度，加大宣传力度，增强居民环保意识。</w:t>
      </w:r>
    </w:p>
    <w:p w14:paraId="002AC7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color w:val="auto"/>
          <w:sz w:val="32"/>
          <w:szCs w:val="32"/>
          <w:lang w:val="en-US" w:eastAsia="zh-CN"/>
        </w:rPr>
        <w:t>（三）信访缠访问题有待进一步解决。</w:t>
      </w:r>
      <w:r>
        <w:rPr>
          <w:rFonts w:hint="eastAsia" w:ascii="仿宋_GB2312" w:hAnsi="仿宋_GB2312" w:eastAsia="仿宋_GB2312" w:cs="仿宋_GB2312"/>
          <w:color w:val="auto"/>
          <w:sz w:val="32"/>
          <w:szCs w:val="32"/>
          <w:lang w:val="en-US" w:eastAsia="zh-CN"/>
        </w:rPr>
        <w:t>由于历史遗留问题，部分信访人问题得不到解决，反复投诉上访，街道思想疏导工作难度大，耗费大量人力物力财力但效果甚微。建议区信访部门加强协调，将部门职责与属地原则有机结合，充分发挥“群英”作用，共同解决信访缠访问题。</w:t>
      </w:r>
    </w:p>
    <w:p w14:paraId="4F4177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4、</w:t>
      </w:r>
      <w:r>
        <w:rPr>
          <w:rFonts w:hint="eastAsia" w:ascii="黑体" w:hAnsi="黑体" w:eastAsia="黑体" w:cs="黑体"/>
          <w:sz w:val="32"/>
          <w:szCs w:val="32"/>
          <w:lang w:val="en-US" w:eastAsia="zh-CN"/>
        </w:rPr>
        <w:t>下一步打算</w:t>
      </w:r>
    </w:p>
    <w:p w14:paraId="7FFD81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一是以“谋发展”为中心，全力推动经济平稳增长。</w:t>
      </w:r>
      <w:r>
        <w:rPr>
          <w:rFonts w:hint="eastAsia" w:ascii="仿宋_GB2312" w:hAnsi="仿宋_GB2312" w:eastAsia="仿宋_GB2312" w:cs="仿宋_GB2312"/>
          <w:sz w:val="32"/>
          <w:szCs w:val="32"/>
          <w:lang w:val="en-US" w:eastAsia="zh-CN"/>
        </w:rPr>
        <w:t>牢牢把握“一主一特”发展脉络，全面贯彻新发展理念，着力推动高质量发展。一</w:t>
      </w:r>
      <w:r>
        <w:rPr>
          <w:rFonts w:hint="eastAsia" w:ascii="仿宋_GB2312" w:hAnsi="仿宋_GB2312" w:eastAsia="仿宋_GB2312" w:cs="仿宋_GB2312"/>
          <w:b/>
          <w:bCs/>
          <w:sz w:val="32"/>
          <w:szCs w:val="32"/>
          <w:lang w:val="en-US" w:eastAsia="zh-CN"/>
        </w:rPr>
        <w:t>是高标准推动项目开展。</w:t>
      </w:r>
      <w:r>
        <w:rPr>
          <w:rFonts w:hint="eastAsia" w:ascii="仿宋_GB2312" w:hAnsi="仿宋_GB2312" w:eastAsia="仿宋_GB2312" w:cs="仿宋_GB2312"/>
          <w:sz w:val="32"/>
          <w:szCs w:val="32"/>
          <w:lang w:val="en-US" w:eastAsia="zh-CN"/>
        </w:rPr>
        <w:t>全力配合九禧府商住建设项目建成投产，积极筹划祥源城市之光三期、巴陵星城二期、北控岳州府二期、花板桥市场等重点项目工程。</w:t>
      </w:r>
      <w:r>
        <w:rPr>
          <w:rFonts w:hint="eastAsia" w:ascii="仿宋_GB2312" w:hAnsi="仿宋_GB2312" w:eastAsia="仿宋_GB2312" w:cs="仿宋_GB2312"/>
          <w:b/>
          <w:bCs/>
          <w:sz w:val="32"/>
          <w:szCs w:val="32"/>
          <w:lang w:val="en-US" w:eastAsia="zh-CN"/>
        </w:rPr>
        <w:t>二是高水平开展招商引资。</w:t>
      </w:r>
      <w:r>
        <w:rPr>
          <w:rFonts w:hint="eastAsia" w:ascii="仿宋_GB2312" w:hAnsi="仿宋_GB2312" w:eastAsia="仿宋_GB2312" w:cs="仿宋_GB2312"/>
          <w:sz w:val="32"/>
          <w:szCs w:val="32"/>
          <w:lang w:val="en-US" w:eastAsia="zh-CN"/>
        </w:rPr>
        <w:t>牢牢抓住“两重”“两新”等政策机遇，用好用活精准招商、以商招商等手段，全力引进优质项目入驻辖区。</w:t>
      </w:r>
      <w:r>
        <w:rPr>
          <w:rFonts w:hint="eastAsia" w:ascii="仿宋_GB2312" w:hAnsi="仿宋_GB2312" w:eastAsia="仿宋_GB2312" w:cs="仿宋_GB2312"/>
          <w:b/>
          <w:bCs/>
          <w:sz w:val="32"/>
          <w:szCs w:val="32"/>
          <w:lang w:val="en-US" w:eastAsia="zh-CN"/>
        </w:rPr>
        <w:t>三是高质量发展楼宇经济。</w:t>
      </w:r>
      <w:r>
        <w:rPr>
          <w:rFonts w:hint="eastAsia" w:ascii="仿宋_GB2312" w:hAnsi="仿宋_GB2312" w:eastAsia="仿宋_GB2312" w:cs="仿宋_GB2312"/>
          <w:sz w:val="32"/>
          <w:szCs w:val="32"/>
          <w:lang w:val="en-US" w:eastAsia="zh-CN"/>
        </w:rPr>
        <w:t>盘活楼宇闲置资源，联动区贸促会、五里牌商会等，引导企业应驻尽驻；按照“一楼一产业”思路，引导同质企业进驻天伦中心，产生规模效应，致力打造成第二个银都金融中心。</w:t>
      </w:r>
    </w:p>
    <w:p w14:paraId="73EF78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二是</w:t>
      </w:r>
      <w:r>
        <w:rPr>
          <w:rFonts w:hint="eastAsia" w:ascii="楷体_GB2312" w:hAnsi="楷体_GB2312" w:eastAsia="楷体_GB2312" w:cs="楷体_GB2312"/>
          <w:sz w:val="32"/>
          <w:szCs w:val="32"/>
          <w:lang w:val="en-US" w:eastAsia="zh-CN"/>
        </w:rPr>
        <w:t>以“惠民生”为导向，致力提升群众幸福指数。</w:t>
      </w:r>
      <w:r>
        <w:rPr>
          <w:rFonts w:hint="eastAsia" w:ascii="仿宋_GB2312" w:hAnsi="仿宋_GB2312" w:eastAsia="仿宋_GB2312" w:cs="仿宋_GB2312"/>
          <w:b/>
          <w:bCs/>
          <w:sz w:val="32"/>
          <w:szCs w:val="32"/>
          <w:lang w:val="en-US" w:eastAsia="zh-CN"/>
        </w:rPr>
        <w:t>一是办好民生实事。</w:t>
      </w:r>
      <w:r>
        <w:rPr>
          <w:rFonts w:hint="eastAsia" w:ascii="仿宋_GB2312" w:hAnsi="仿宋_GB2312" w:eastAsia="仿宋_GB2312" w:cs="仿宋_GB2312"/>
          <w:sz w:val="32"/>
          <w:szCs w:val="32"/>
          <w:lang w:val="en-US" w:eastAsia="zh-CN"/>
        </w:rPr>
        <w:t>加强医保参保宣传，发挥兜底救助作用，推动困难群众参保，做到辖区居民应保尽保。对接区人社局等单位，加强待就业人群技能培训，开展大型专项招聘会，分行业、分人群提供政策指导。</w:t>
      </w:r>
      <w:r>
        <w:rPr>
          <w:rFonts w:hint="eastAsia" w:ascii="仿宋_GB2312" w:hAnsi="仿宋_GB2312" w:eastAsia="仿宋_GB2312" w:cs="仿宋_GB2312"/>
          <w:b/>
          <w:bCs/>
          <w:sz w:val="32"/>
          <w:szCs w:val="32"/>
          <w:lang w:val="en-US" w:eastAsia="zh-CN"/>
        </w:rPr>
        <w:t>二是优化城市品质。</w:t>
      </w:r>
      <w:r>
        <w:rPr>
          <w:rFonts w:hint="eastAsia" w:ascii="仿宋_GB2312" w:hAnsi="仿宋_GB2312" w:eastAsia="仿宋_GB2312" w:cs="仿宋_GB2312"/>
          <w:sz w:val="32"/>
          <w:szCs w:val="32"/>
          <w:lang w:val="en-US" w:eastAsia="zh-CN"/>
        </w:rPr>
        <w:t>深化城市“六治”，持续推进老旧小区改造，逐步提升城市品质。</w:t>
      </w:r>
      <w:r>
        <w:rPr>
          <w:rFonts w:hint="eastAsia" w:ascii="仿宋_GB2312" w:hAnsi="仿宋_GB2312" w:eastAsia="仿宋_GB2312" w:cs="仿宋_GB2312"/>
          <w:b/>
          <w:bCs/>
          <w:sz w:val="32"/>
          <w:szCs w:val="32"/>
          <w:lang w:val="en-US" w:eastAsia="zh-CN"/>
        </w:rPr>
        <w:t>三是做好无物业小区治理。</w:t>
      </w:r>
      <w:r>
        <w:rPr>
          <w:rFonts w:hint="eastAsia" w:ascii="仿宋_GB2312" w:hAnsi="仿宋_GB2312" w:eastAsia="仿宋_GB2312" w:cs="仿宋_GB2312"/>
          <w:sz w:val="32"/>
          <w:szCs w:val="32"/>
          <w:lang w:val="en-US" w:eastAsia="zh-CN"/>
        </w:rPr>
        <w:t>推广“群英物管会”模式，加强无物业小区治理，提高居民生活品质。</w:t>
      </w:r>
    </w:p>
    <w:p w14:paraId="76EF95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三是以“优治理”为抓手，助力赋能楼区平安建设。</w:t>
      </w:r>
      <w:r>
        <w:rPr>
          <w:rFonts w:hint="eastAsia" w:ascii="仿宋_GB2312" w:hAnsi="仿宋_GB2312" w:eastAsia="仿宋_GB2312" w:cs="仿宋_GB2312"/>
          <w:b/>
          <w:bCs/>
          <w:sz w:val="32"/>
          <w:szCs w:val="32"/>
          <w:lang w:val="en-US" w:eastAsia="zh-CN"/>
        </w:rPr>
        <w:t>一是推进信访法治化建设，</w:t>
      </w:r>
      <w:r>
        <w:rPr>
          <w:rFonts w:hint="default" w:ascii="仿宋_GB2312" w:hAnsi="仿宋_GB2312" w:eastAsia="仿宋_GB2312" w:cs="仿宋_GB2312"/>
          <w:sz w:val="32"/>
          <w:szCs w:val="32"/>
          <w:lang w:val="en-US" w:eastAsia="zh-CN"/>
        </w:rPr>
        <w:t>抓好房地产、劳资纠纷、征地拆迁等重点领域风险防范。筑牢安全稳定屏障。</w:t>
      </w:r>
      <w:r>
        <w:rPr>
          <w:rFonts w:hint="eastAsia" w:ascii="仿宋_GB2312" w:hAnsi="仿宋_GB2312" w:eastAsia="仿宋_GB2312" w:cs="仿宋_GB2312"/>
          <w:b/>
          <w:bCs/>
          <w:sz w:val="32"/>
          <w:szCs w:val="32"/>
          <w:lang w:val="en-US" w:eastAsia="zh-CN"/>
        </w:rPr>
        <w:t>二是全面落实安全生产责任，</w:t>
      </w:r>
      <w:r>
        <w:rPr>
          <w:rFonts w:hint="default" w:ascii="仿宋_GB2312" w:hAnsi="仿宋_GB2312" w:eastAsia="仿宋_GB2312" w:cs="仿宋_GB2312"/>
          <w:sz w:val="32"/>
          <w:szCs w:val="32"/>
          <w:lang w:val="en-US" w:eastAsia="zh-CN"/>
        </w:rPr>
        <w:t>全面抓好重大事故隐患专项排查整治，强化</w:t>
      </w:r>
      <w:r>
        <w:rPr>
          <w:rFonts w:hint="eastAsia" w:ascii="仿宋_GB2312" w:hAnsi="仿宋_GB2312" w:eastAsia="仿宋_GB2312" w:cs="仿宋_GB2312"/>
          <w:sz w:val="32"/>
          <w:szCs w:val="32"/>
          <w:lang w:val="en-US" w:eastAsia="zh-CN"/>
        </w:rPr>
        <w:t>消防、</w:t>
      </w:r>
      <w:r>
        <w:rPr>
          <w:rFonts w:hint="default" w:ascii="仿宋_GB2312" w:hAnsi="仿宋_GB2312" w:eastAsia="仿宋_GB2312" w:cs="仿宋_GB2312"/>
          <w:sz w:val="32"/>
          <w:szCs w:val="32"/>
          <w:lang w:val="en-US" w:eastAsia="zh-CN"/>
        </w:rPr>
        <w:t>燃气、</w:t>
      </w:r>
      <w:r>
        <w:rPr>
          <w:rFonts w:hint="eastAsia" w:ascii="仿宋_GB2312" w:hAnsi="仿宋_GB2312" w:eastAsia="仿宋_GB2312" w:cs="仿宋_GB2312"/>
          <w:sz w:val="32"/>
          <w:szCs w:val="32"/>
          <w:lang w:val="en-US" w:eastAsia="zh-CN"/>
        </w:rPr>
        <w:t>自建房</w:t>
      </w:r>
      <w:r>
        <w:rPr>
          <w:rFonts w:hint="default" w:ascii="仿宋_GB2312" w:hAnsi="仿宋_GB2312" w:eastAsia="仿宋_GB2312" w:cs="仿宋_GB2312"/>
          <w:sz w:val="32"/>
          <w:szCs w:val="32"/>
          <w:lang w:val="en-US" w:eastAsia="zh-CN"/>
        </w:rPr>
        <w:t>等重点领域监管，不断提升辖区本质安全水平。</w:t>
      </w:r>
      <w:r>
        <w:rPr>
          <w:rFonts w:hint="default" w:ascii="仿宋_GB2312" w:hAnsi="仿宋_GB2312" w:eastAsia="仿宋_GB2312" w:cs="仿宋_GB2312"/>
          <w:b/>
          <w:bCs/>
          <w:sz w:val="32"/>
          <w:szCs w:val="32"/>
          <w:lang w:val="en-US" w:eastAsia="zh-CN"/>
        </w:rPr>
        <w:t>三是</w:t>
      </w:r>
      <w:r>
        <w:rPr>
          <w:rFonts w:hint="eastAsia" w:ascii="仿宋_GB2312" w:hAnsi="仿宋_GB2312" w:eastAsia="仿宋_GB2312" w:cs="仿宋_GB2312"/>
          <w:b/>
          <w:bCs/>
          <w:sz w:val="32"/>
          <w:szCs w:val="32"/>
          <w:lang w:val="en-US" w:eastAsia="zh-CN"/>
        </w:rPr>
        <w:t>巩固</w:t>
      </w:r>
      <w:r>
        <w:rPr>
          <w:rFonts w:hint="default" w:ascii="仿宋_GB2312" w:hAnsi="仿宋_GB2312" w:eastAsia="仿宋_GB2312" w:cs="仿宋_GB2312"/>
          <w:b/>
          <w:bCs/>
          <w:sz w:val="32"/>
          <w:szCs w:val="32"/>
          <w:lang w:val="en-US" w:eastAsia="zh-CN"/>
        </w:rPr>
        <w:t>平安</w:t>
      </w:r>
      <w:r>
        <w:rPr>
          <w:rFonts w:hint="eastAsia" w:ascii="仿宋_GB2312" w:hAnsi="仿宋_GB2312" w:eastAsia="仿宋_GB2312" w:cs="仿宋_GB2312"/>
          <w:b/>
          <w:bCs/>
          <w:sz w:val="32"/>
          <w:szCs w:val="32"/>
          <w:lang w:val="en-US" w:eastAsia="zh-CN"/>
        </w:rPr>
        <w:t>氛围</w:t>
      </w:r>
      <w:r>
        <w:rPr>
          <w:rFonts w:hint="default" w:ascii="仿宋_GB2312" w:hAnsi="仿宋_GB2312" w:eastAsia="仿宋_GB2312" w:cs="仿宋_GB2312"/>
          <w:b/>
          <w:bCs/>
          <w:sz w:val="32"/>
          <w:szCs w:val="32"/>
          <w:lang w:val="en-US" w:eastAsia="zh-CN"/>
        </w:rPr>
        <w:t>。</w:t>
      </w:r>
      <w:r>
        <w:rPr>
          <w:rFonts w:hint="default" w:ascii="仿宋_GB2312" w:hAnsi="仿宋_GB2312" w:eastAsia="仿宋_GB2312" w:cs="仿宋_GB2312"/>
          <w:sz w:val="32"/>
          <w:szCs w:val="32"/>
          <w:lang w:val="en-US" w:eastAsia="zh-CN"/>
        </w:rPr>
        <w:t>强化重点场所的治安管理，积极组织开展联合扫楼行动，严厉打击电诈、非法传销等违法行为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推介先进案例，扩大平安建设工作宣传面，形成群治工作合力，提升居民的安全感、幸福感。</w:t>
      </w:r>
    </w:p>
    <w:p w14:paraId="6F156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3292235D">
      <w:pPr>
        <w:widowControl w:val="0"/>
        <w:numPr>
          <w:ilvl w:val="0"/>
          <w:numId w:val="0"/>
        </w:numPr>
        <w:ind w:left="640" w:leftChars="0" w:firstLine="640" w:firstLineChars="20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七、存在的问题及原因分析</w:t>
      </w:r>
    </w:p>
    <w:p w14:paraId="4EBEF194">
      <w:pPr>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（一）年度工作计划未量化，绩效管理有待提高</w:t>
      </w:r>
    </w:p>
    <w:p w14:paraId="5ED847C5">
      <w:pPr>
        <w:widowControl w:val="0"/>
        <w:spacing w:before="120" w:after="200" w:line="276"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依据《五里牌街道办事处2024年工作总结和2025年工作计划》，单位年度工作计划多以定性阐述为主，没有明确反应计划工作数量内容，定量化内容较少，计划的可衡量性不强，因此，对清晰、明确地设置年度预算绩效目标的指导性意义不大，对部门整体预算绩效指标设置的完整性、相关性和关键指标的选取等有较大的影响，街道目前还未制定相关的预算绩效管理制度或办法，以及相关的配套工作流程、工作实施计划</w:t>
      </w:r>
      <w:r>
        <w:rPr>
          <w:rFonts w:ascii="Calibri" w:hAnsi="Calibri" w:eastAsia="仿宋_GB2312" w:cs="Calibri"/>
          <w:kern w:val="2"/>
          <w:sz w:val="32"/>
          <w:szCs w:val="32"/>
          <w:lang w:val="en-US" w:eastAsia="zh-CN" w:bidi="ar-SA"/>
        </w:rPr>
        <w:t> </w:t>
      </w:r>
      <w:r>
        <w:rPr>
          <w:rFonts w:hint="eastAsia" w:ascii="仿宋_GB2312" w:hAnsi="仿宋_GB2312" w:eastAsia="仿宋_GB2312" w:cs="仿宋_GB2312"/>
          <w:kern w:val="2"/>
          <w:sz w:val="32"/>
          <w:szCs w:val="32"/>
          <w:lang w:val="en-US" w:eastAsia="zh-CN" w:bidi="ar-SA"/>
        </w:rPr>
        <w:t>，预算绩效管理制度有待健全。</w:t>
      </w:r>
    </w:p>
    <w:p w14:paraId="55883C10">
      <w:pPr>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（二）资产管理执行不到位，管理制度有待进一步健全</w:t>
      </w:r>
    </w:p>
    <w:p w14:paraId="2E26D633">
      <w:pPr>
        <w:widowControl w:val="0"/>
        <w:spacing w:before="120" w:after="200" w:line="276" w:lineRule="auto"/>
        <w:ind w:firstLine="640" w:firstLineChars="200"/>
        <w:jc w:val="both"/>
        <w:rPr>
          <w:rFonts w:hint="eastAsia" w:ascii="仿宋_GB2312" w:hAnsi="仿宋_GB2312" w:eastAsia="仿宋_GB2312" w:cs="仿宋_GB2312"/>
          <w:kern w:val="2"/>
          <w:sz w:val="32"/>
          <w:szCs w:val="32"/>
          <w:lang w:val="en-US" w:eastAsia="zh-CN" w:bidi="ar-SA"/>
        </w:rPr>
      </w:pPr>
      <w:r>
        <w:rPr>
          <w:rFonts w:ascii="仿宋_GB2312" w:hAnsi="仿宋_GB2312" w:eastAsia="仿宋_GB2312" w:cs="仿宋_GB2312"/>
          <w:kern w:val="2"/>
          <w:sz w:val="32"/>
          <w:szCs w:val="32"/>
          <w:lang w:val="en-US" w:eastAsia="zh-CN" w:bidi="ar-SA"/>
        </w:rPr>
        <w:t>相关科室未按资产管理要求对固定资产开展定期盘点工作，未落实到具体实施责任人。</w:t>
      </w:r>
    </w:p>
    <w:p w14:paraId="776A222D">
      <w:pPr>
        <w:ind w:left="640"/>
        <w:jc w:val="left"/>
        <w:rPr>
          <w:rFonts w:hint="eastAsia" w:ascii="黑体" w:hAnsi="黑体" w:eastAsia="黑体" w:cs="黑体"/>
          <w:color w:val="000000"/>
          <w:sz w:val="32"/>
          <w:szCs w:val="32"/>
        </w:rPr>
      </w:pPr>
    </w:p>
    <w:p w14:paraId="347E8B54">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可以从预算和预算绩效管理，部门履职效能，资金分配、使用和管理，资产和财务管理、政府采购等方面归纳存在的问题；反映各种预算支出执行偏离绩效目标的情况，并分析其原因。</w:t>
      </w:r>
    </w:p>
    <w:p w14:paraId="4A50C6DF">
      <w:pPr>
        <w:widowControl w:val="0"/>
        <w:numPr>
          <w:ilvl w:val="0"/>
          <w:numId w:val="0"/>
        </w:numPr>
        <w:ind w:left="640" w:leftChars="0" w:firstLine="640" w:firstLineChars="200"/>
        <w:jc w:val="left"/>
        <w:rPr>
          <w:rFonts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八、下一步改进措施</w:t>
      </w:r>
    </w:p>
    <w:p w14:paraId="2F5F38EE">
      <w:pPr>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（一）强化绩效管理意识，合理设置年度工作计划</w:t>
      </w:r>
    </w:p>
    <w:p w14:paraId="53D71D3A">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面实施预算绩效管理，从预算支出的总体规模和支出结构出发，围绕街办职能、中长期规划和年度计划，梳理部门职能和当年度重点工作任务，设定具体可量化、可考核的部门整体绩效目标，以科学合理的目标要求，形成部门职能-中长期规划-年度工作计划-年度绩效目标的良性机制。结合街办历年目标及达成程度，结合区党委、政府的年度工作目标和方向，合理分析、设置年度计划目标，保障计划的合理性、适当性和适用性。</w:t>
      </w:r>
    </w:p>
    <w:p w14:paraId="67E90F20">
      <w:pPr>
        <w:ind w:firstLine="643" w:firstLineChars="200"/>
        <w:jc w:val="left"/>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（二）进一步健全资产管理制度，加强资产使用的管理规范性</w:t>
      </w:r>
    </w:p>
    <w:p w14:paraId="219B7859">
      <w:pPr>
        <w:ind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加强资产使用管理，</w:t>
      </w:r>
      <w:r>
        <w:rPr>
          <w:rFonts w:hint="eastAsia" w:ascii="仿宋_GB2312" w:hAnsi="仿宋_GB2312" w:eastAsia="仿宋_GB2312" w:cs="仿宋_GB2312"/>
          <w:color w:val="000000"/>
          <w:sz w:val="32"/>
          <w:szCs w:val="32"/>
        </w:rPr>
        <w:t>实行“统一领导，归口管理、分级负责、责任到人”的资产管理体制，接受上级主管部门的监管；</w:t>
      </w:r>
      <w:r>
        <w:rPr>
          <w:rFonts w:ascii="仿宋_GB2312" w:hAnsi="仿宋_GB2312" w:eastAsia="仿宋_GB2312" w:cs="仿宋_GB2312"/>
          <w:color w:val="000000"/>
          <w:sz w:val="32"/>
          <w:szCs w:val="32"/>
        </w:rPr>
        <w:t>进一步落实行政事业单位资产管理主体责任制和各项资产使用管理的规章制度，明确资产使用管理的内部流程、岗位职责和内控制度，充分依托行政事业单位资产管理信息系统的动态管理优势，加强资金和财产安全控制，定期对各项财产物资进行盘点，</w:t>
      </w:r>
      <w:r>
        <w:rPr>
          <w:rFonts w:hint="eastAsia" w:ascii="仿宋_GB2312" w:hAnsi="仿宋_GB2312" w:eastAsia="仿宋_GB2312" w:cs="仿宋_GB2312"/>
          <w:color w:val="000000"/>
          <w:sz w:val="32"/>
          <w:szCs w:val="32"/>
        </w:rPr>
        <w:t>对所占有、使用的国有资产实行定期清查盘点，</w:t>
      </w:r>
      <w:r>
        <w:rPr>
          <w:rFonts w:ascii="仿宋_GB2312" w:hAnsi="仿宋_GB2312" w:eastAsia="仿宋_GB2312" w:cs="仿宋_GB2312"/>
          <w:color w:val="000000"/>
          <w:sz w:val="32"/>
          <w:szCs w:val="32"/>
        </w:rPr>
        <w:t>做到账实相符、账账相符、账卡相符。</w:t>
      </w:r>
    </w:p>
    <w:p w14:paraId="6B0987C7">
      <w:pPr>
        <w:ind w:firstLine="640" w:firstLineChars="200"/>
        <w:jc w:val="left"/>
        <w:rPr>
          <w:rFonts w:hint="eastAsia" w:ascii="仿宋_GB2312" w:hAnsi="仿宋_GB2312" w:eastAsia="仿宋_GB2312" w:cs="仿宋_GB2312"/>
          <w:color w:val="000000"/>
          <w:sz w:val="32"/>
          <w:szCs w:val="32"/>
        </w:rPr>
      </w:pPr>
    </w:p>
    <w:p w14:paraId="68A95835">
      <w:pPr>
        <w:widowControl w:val="0"/>
        <w:numPr>
          <w:ilvl w:val="0"/>
          <w:numId w:val="0"/>
        </w:numPr>
        <w:ind w:left="640" w:leftChars="0" w:firstLine="640" w:firstLineChars="200"/>
        <w:jc w:val="left"/>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九、其他需要说明的情况</w:t>
      </w:r>
    </w:p>
    <w:p w14:paraId="311090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1200" w:firstLineChars="400"/>
        <w:textAlignment w:val="auto"/>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rPr>
        <w:t>无</w:t>
      </w:r>
    </w:p>
    <w:p w14:paraId="2FE580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1200" w:firstLineChars="400"/>
        <w:textAlignment w:val="auto"/>
        <w:rPr>
          <w:rFonts w:hint="eastAsia" w:ascii="仿宋" w:hAnsi="仿宋" w:eastAsia="仿宋" w:cs="仿宋"/>
          <w:kern w:val="2"/>
          <w:sz w:val="30"/>
          <w:szCs w:val="30"/>
          <w:lang w:val="en-US" w:eastAsia="zh-CN"/>
        </w:rPr>
      </w:pPr>
    </w:p>
    <w:p w14:paraId="47C4305A">
      <w:pPr>
        <w:pStyle w:val="3"/>
        <w:ind w:firstLine="664" w:firstLineChars="200"/>
        <w:jc w:val="left"/>
        <w:rPr>
          <w:rFonts w:hint="eastAsia" w:ascii="仿宋_GB2312" w:eastAsia="仿宋_GB2312"/>
          <w:spacing w:val="6"/>
          <w:sz w:val="32"/>
          <w:szCs w:val="32"/>
          <w:lang w:eastAsia="zh-CN"/>
        </w:rPr>
      </w:pPr>
    </w:p>
    <w:p w14:paraId="7C4D31B3">
      <w:pPr>
        <w:pStyle w:val="3"/>
        <w:ind w:firstLine="664" w:firstLineChars="200"/>
        <w:jc w:val="left"/>
        <w:rPr>
          <w:rFonts w:hint="eastAsia" w:ascii="仿宋_GB2312" w:eastAsia="仿宋_GB2312"/>
          <w:sz w:val="32"/>
          <w:szCs w:val="32"/>
          <w:lang w:eastAsia="zh-CN"/>
        </w:rPr>
      </w:pPr>
      <w:r>
        <w:rPr>
          <w:rFonts w:hint="eastAsia" w:ascii="仿宋_GB2312" w:eastAsia="仿宋_GB2312"/>
          <w:spacing w:val="6"/>
          <w:sz w:val="32"/>
          <w:szCs w:val="32"/>
          <w:lang w:eastAsia="zh-CN"/>
        </w:rPr>
        <w:t>附件：</w:t>
      </w:r>
      <w:r>
        <w:rPr>
          <w:rFonts w:hint="eastAsia" w:ascii="仿宋_GB2312" w:hAnsi="Times New Roman" w:eastAsia="仿宋_GB2312" w:cs="Times New Roman"/>
          <w:spacing w:val="6"/>
          <w:sz w:val="32"/>
          <w:szCs w:val="32"/>
          <w:lang w:eastAsia="zh-CN"/>
        </w:rPr>
        <w:t>1</w:t>
      </w:r>
      <w:r>
        <w:rPr>
          <w:rFonts w:hint="eastAsia" w:ascii="仿宋_GB2312" w:eastAsia="仿宋_GB2312"/>
          <w:spacing w:val="6"/>
          <w:sz w:val="32"/>
          <w:szCs w:val="32"/>
          <w:lang w:eastAsia="zh-CN"/>
        </w:rPr>
        <w:t>.单位整体支出绩效评价基础数据表</w:t>
      </w:r>
    </w:p>
    <w:p w14:paraId="38789D62">
      <w:pPr>
        <w:pStyle w:val="3"/>
        <w:ind w:firstLine="168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8"/>
          <w:sz w:val="32"/>
          <w:szCs w:val="32"/>
          <w:lang w:eastAsia="zh-CN"/>
        </w:rPr>
        <w:t>2</w:t>
      </w:r>
      <w:r>
        <w:rPr>
          <w:rFonts w:hint="eastAsia" w:ascii="仿宋_GB2312" w:eastAsia="仿宋_GB2312"/>
          <w:spacing w:val="8"/>
          <w:sz w:val="32"/>
          <w:szCs w:val="32"/>
          <w:lang w:eastAsia="zh-CN"/>
        </w:rPr>
        <w:t>.单位整体支出绩效自评表</w:t>
      </w:r>
    </w:p>
    <w:p w14:paraId="063A8E19">
      <w:pPr>
        <w:pStyle w:val="3"/>
        <w:ind w:firstLine="169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9"/>
          <w:position w:val="21"/>
          <w:sz w:val="32"/>
          <w:szCs w:val="32"/>
          <w:lang w:eastAsia="zh-CN"/>
        </w:rPr>
        <w:t>3</w:t>
      </w:r>
      <w:r>
        <w:rPr>
          <w:rFonts w:hint="eastAsia" w:ascii="仿宋_GB2312" w:eastAsia="仿宋_GB2312"/>
          <w:spacing w:val="9"/>
          <w:position w:val="21"/>
          <w:sz w:val="32"/>
          <w:szCs w:val="32"/>
          <w:lang w:eastAsia="zh-CN"/>
        </w:rPr>
        <w:t>.项目支出绩效自评表</w:t>
      </w:r>
    </w:p>
    <w:p w14:paraId="0F6A123A">
      <w:pPr>
        <w:pStyle w:val="3"/>
        <w:ind w:firstLine="167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7"/>
          <w:sz w:val="32"/>
          <w:szCs w:val="32"/>
          <w:lang w:eastAsia="zh-CN"/>
        </w:rPr>
        <w:t>4</w:t>
      </w:r>
      <w:r>
        <w:rPr>
          <w:rFonts w:hint="eastAsia" w:ascii="仿宋_GB2312" w:eastAsia="仿宋_GB2312"/>
          <w:spacing w:val="7"/>
          <w:sz w:val="32"/>
          <w:szCs w:val="32"/>
          <w:lang w:eastAsia="zh-CN"/>
        </w:rPr>
        <w:t>.政府性基金预算支出情况表</w:t>
      </w:r>
    </w:p>
    <w:p w14:paraId="7349F6EF">
      <w:pPr>
        <w:pStyle w:val="3"/>
        <w:ind w:firstLine="167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7"/>
          <w:position w:val="21"/>
          <w:sz w:val="32"/>
          <w:szCs w:val="32"/>
          <w:lang w:eastAsia="zh-CN"/>
        </w:rPr>
        <w:t>5</w:t>
      </w:r>
      <w:r>
        <w:rPr>
          <w:rFonts w:hint="eastAsia" w:ascii="仿宋_GB2312" w:eastAsia="仿宋_GB2312"/>
          <w:spacing w:val="7"/>
          <w:position w:val="21"/>
          <w:sz w:val="32"/>
          <w:szCs w:val="32"/>
          <w:lang w:eastAsia="zh-CN"/>
        </w:rPr>
        <w:t>.国有资本经营预算支出情况表</w:t>
      </w:r>
    </w:p>
    <w:p w14:paraId="7793340B">
      <w:pPr>
        <w:pStyle w:val="3"/>
        <w:ind w:firstLine="1670" w:firstLineChars="500"/>
        <w:jc w:val="left"/>
        <w:rPr>
          <w:rFonts w:hint="eastAsia" w:ascii="仿宋_GB2312" w:eastAsia="仿宋_GB2312"/>
          <w:spacing w:val="7"/>
          <w:sz w:val="32"/>
          <w:szCs w:val="32"/>
          <w:lang w:eastAsia="zh-CN"/>
        </w:rPr>
      </w:pPr>
      <w:r>
        <w:rPr>
          <w:rFonts w:hint="eastAsia" w:ascii="仿宋_GB2312" w:hAnsi="Times New Roman" w:eastAsia="仿宋_GB2312" w:cs="Times New Roman"/>
          <w:spacing w:val="7"/>
          <w:sz w:val="32"/>
          <w:szCs w:val="32"/>
          <w:lang w:eastAsia="zh-CN"/>
        </w:rPr>
        <w:t>6</w:t>
      </w:r>
      <w:r>
        <w:rPr>
          <w:rFonts w:hint="eastAsia" w:ascii="仿宋_GB2312" w:eastAsia="仿宋_GB2312"/>
          <w:spacing w:val="7"/>
          <w:sz w:val="32"/>
          <w:szCs w:val="32"/>
          <w:lang w:eastAsia="zh-CN"/>
        </w:rPr>
        <w:t>.社会保险基金预算支出情况</w:t>
      </w:r>
    </w:p>
    <w:p w14:paraId="654088B3">
      <w:pPr>
        <w:pStyle w:val="3"/>
        <w:jc w:val="left"/>
        <w:rPr>
          <w:rFonts w:hint="eastAsia" w:ascii="仿宋_GB2312" w:hAnsi="仿宋_GB2312" w:eastAsia="仿宋_GB2312" w:cs="仿宋_GB2312"/>
          <w:sz w:val="32"/>
          <w:szCs w:val="32"/>
          <w:lang w:eastAsia="zh-CN"/>
        </w:rPr>
      </w:pPr>
    </w:p>
    <w:p w14:paraId="557E359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B91C32C-6E0B-484B-99B8-2EE50F195661}"/>
  </w:font>
  <w:font w:name="黑体">
    <w:panose1 w:val="02010609060101010101"/>
    <w:charset w:val="86"/>
    <w:family w:val="auto"/>
    <w:pitch w:val="default"/>
    <w:sig w:usb0="800002BF" w:usb1="38CF7CFA" w:usb2="00000016" w:usb3="00000000" w:csb0="00040001" w:csb1="00000000"/>
    <w:embedRegular r:id="rId2" w:fontKey="{EA0E179E-8017-4A6B-9E04-4800E84B82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3D39857-D182-4404-BE73-175E9F08DECF}"/>
  </w:font>
  <w:font w:name="仿宋">
    <w:panose1 w:val="02010609060101010101"/>
    <w:charset w:val="86"/>
    <w:family w:val="auto"/>
    <w:pitch w:val="default"/>
    <w:sig w:usb0="800002BF" w:usb1="38CF7CFA" w:usb2="00000016" w:usb3="00000000" w:csb0="00040001" w:csb1="00000000"/>
    <w:embedRegular r:id="rId4" w:fontKey="{796C5761-C9CA-4CDF-9C9A-D8758E9F4959}"/>
  </w:font>
  <w:font w:name="方正小标宋简体">
    <w:panose1 w:val="02010600010101010101"/>
    <w:charset w:val="86"/>
    <w:family w:val="auto"/>
    <w:pitch w:val="default"/>
    <w:sig w:usb0="00000001" w:usb1="080E0000" w:usb2="00000000" w:usb3="00000000" w:csb0="00040000" w:csb1="00000000"/>
    <w:embedRegular r:id="rId5" w:fontKey="{FD211F39-185D-4C79-A0E1-CFCD5F440B48}"/>
  </w:font>
  <w:font w:name="新宋体">
    <w:panose1 w:val="02010609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embedRegular r:id="rId6" w:fontKey="{B1F1FE8E-F191-4E78-A27C-62CB927ADE48}"/>
  </w:font>
  <w:font w:name="楷体_GB2312">
    <w:altName w:val="楷体"/>
    <w:panose1 w:val="02010609030101010101"/>
    <w:charset w:val="86"/>
    <w:family w:val="modern"/>
    <w:pitch w:val="default"/>
    <w:sig w:usb0="00000000" w:usb1="00000000" w:usb2="00000000" w:usb3="00000000" w:csb0="00040000" w:csb1="00000000"/>
    <w:embedRegular r:id="rId7" w:fontKey="{13C4BA41-6F22-43D3-BF9E-5FC925ED2018}"/>
  </w:font>
  <w:font w:name="仿宋_GB2312">
    <w:altName w:val="仿宋"/>
    <w:panose1 w:val="02010609030101010101"/>
    <w:charset w:val="86"/>
    <w:family w:val="auto"/>
    <w:pitch w:val="default"/>
    <w:sig w:usb0="00000000" w:usb1="00000000" w:usb2="00000000" w:usb3="00000000" w:csb0="00040000" w:csb1="00000000"/>
    <w:embedRegular r:id="rId8" w:fontKey="{CD789048-4323-49EF-892F-2CF06AD20B87}"/>
  </w:font>
  <w:font w:name="WPSEMBED4">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embedRegular r:id="rId9" w:fontKey="{4A96D456-B85B-4C62-9307-43CA0E7B36A3}"/>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3"/>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3"/>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97A63"/>
    <w:multiLevelType w:val="multilevel"/>
    <w:tmpl w:val="03697A63"/>
    <w:lvl w:ilvl="0" w:tentative="0">
      <w:start w:val="1"/>
      <w:numFmt w:val="japaneseCounting"/>
      <w:lvlText w:val="%1、"/>
      <w:lvlJc w:val="left"/>
      <w:pPr>
        <w:ind w:left="1360" w:hanging="720"/>
      </w:pPr>
      <w:rPr>
        <w:rFonts w:hint="default"/>
      </w:rPr>
    </w:lvl>
    <w:lvl w:ilvl="1" w:tentative="0">
      <w:start w:val="1"/>
      <w:numFmt w:val="japaneseCounting"/>
      <w:lvlText w:val="（%2）"/>
      <w:lvlJc w:val="left"/>
      <w:pPr>
        <w:ind w:left="2160" w:hanging="1080"/>
      </w:pPr>
      <w:rPr>
        <w:rFonts w:hint="default" w:ascii="仿宋_GB2312" w:hAnsi="仿宋_GB2312" w:eastAsia="仿宋_GB2312" w:cs="仿宋_GB2312"/>
        <w:b/>
      </w:r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
    <w:nsid w:val="3A574935"/>
    <w:multiLevelType w:val="multilevel"/>
    <w:tmpl w:val="3A574935"/>
    <w:lvl w:ilvl="0" w:tentative="0">
      <w:start w:val="1"/>
      <w:numFmt w:val="japaneseCounting"/>
      <w:lvlText w:val="(%1)"/>
      <w:lvlJc w:val="left"/>
      <w:pPr>
        <w:ind w:left="1363" w:hanging="72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3398B"/>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09C9"/>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BE63FD"/>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65B4D"/>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673C9E"/>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641F8"/>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4FB512B"/>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164DB5"/>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AA3232"/>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3C690C"/>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EE2DE0"/>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03938"/>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92AC7"/>
    <w:rsid w:val="4C2A719A"/>
    <w:rsid w:val="4C2E39BF"/>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6A2277"/>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966FD1"/>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AD6168"/>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3467C8"/>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6820</Words>
  <Characters>7790</Characters>
  <Lines>0</Lines>
  <Paragraphs>0</Paragraphs>
  <TotalTime>0</TotalTime>
  <ScaleCrop>false</ScaleCrop>
  <LinksUpToDate>false</LinksUpToDate>
  <CharactersWithSpaces>7873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2026-07-23T02:07:01Z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