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05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10152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689E6ED1">
      <w:pPr>
        <w:spacing w:line="115" w:lineRule="exact"/>
        <w:rPr>
          <w:color w:val="000000"/>
        </w:rPr>
      </w:pPr>
    </w:p>
    <w:tbl>
      <w:tblPr>
        <w:tblStyle w:val="7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0490D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46C39937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7EC88D14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</w:pPr>
            <w:r>
              <w:rPr>
                <w:rFonts w:hint="eastAsia" w:ascii="Arial"/>
                <w:color w:val="000000"/>
                <w:sz w:val="21"/>
                <w:lang w:val="en-US" w:eastAsia="zh-CN"/>
              </w:rPr>
              <w:t>岳阳楼区禁违拆违治违督查办公室</w:t>
            </w:r>
          </w:p>
        </w:tc>
      </w:tr>
      <w:tr w14:paraId="41F74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1FA3BF05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98B84AB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96575F9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A949BD4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16D48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512AFEE0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0D60B5E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AAF6C28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1881554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86%</w:t>
            </w:r>
          </w:p>
        </w:tc>
      </w:tr>
      <w:tr w14:paraId="6BA45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09383A51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0509D10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pacing w:val="-4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AF8C9E9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CBF5F66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pacing w:val="-4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49A4B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noWrap w:val="0"/>
            <w:vAlign w:val="top"/>
          </w:tcPr>
          <w:p w14:paraId="64C2BC28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E73B65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6.99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EDFABD2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D2D7AF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10.62</w:t>
            </w:r>
          </w:p>
        </w:tc>
      </w:tr>
      <w:tr w14:paraId="420AD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noWrap w:val="0"/>
            <w:vAlign w:val="top"/>
          </w:tcPr>
          <w:p w14:paraId="29CBB586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283B648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6.99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9674979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9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3A4618F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10.62</w:t>
            </w:r>
          </w:p>
        </w:tc>
      </w:tr>
      <w:tr w14:paraId="0BE39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noWrap w:val="0"/>
            <w:vAlign w:val="top"/>
          </w:tcPr>
          <w:p w14:paraId="483BF124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B50FE6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E3F617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4FB69C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76285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noWrap w:val="0"/>
            <w:vAlign w:val="top"/>
          </w:tcPr>
          <w:p w14:paraId="1611FAF8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AE27DBB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6.99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C0F8619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9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AE24686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10.62</w:t>
            </w:r>
          </w:p>
        </w:tc>
      </w:tr>
      <w:tr w14:paraId="43DED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noWrap w:val="0"/>
            <w:vAlign w:val="top"/>
          </w:tcPr>
          <w:p w14:paraId="177586E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E57A0D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F04D5B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9D1784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244C43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noWrap w:val="0"/>
            <w:vAlign w:val="top"/>
          </w:tcPr>
          <w:p w14:paraId="369DD76A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18DC1A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E040E9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4AF9B43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3EE83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noWrap w:val="0"/>
            <w:vAlign w:val="top"/>
          </w:tcPr>
          <w:p w14:paraId="4294B831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E0022A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197.38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9841F62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252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6A5A199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  <w:t>104.58</w:t>
            </w:r>
          </w:p>
        </w:tc>
      </w:tr>
      <w:tr w14:paraId="2610D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noWrap w:val="0"/>
            <w:vAlign w:val="top"/>
          </w:tcPr>
          <w:p w14:paraId="6A9B2A5F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7A85B4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C0CB4AC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9B8D4C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B960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noWrap w:val="0"/>
            <w:vAlign w:val="top"/>
          </w:tcPr>
          <w:p w14:paraId="0A26328A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D3E0BB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A36063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954463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F979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noWrap w:val="0"/>
            <w:vAlign w:val="top"/>
          </w:tcPr>
          <w:p w14:paraId="2C8F0FAB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级专项资金(一个专项一行)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0247419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C4BC9E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B46B7E1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7E3B3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noWrap w:val="0"/>
            <w:vAlign w:val="top"/>
          </w:tcPr>
          <w:p w14:paraId="3D7E08EB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9EFEF9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72.53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9EE6F37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77.4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85791D7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  <w:t>113.23</w:t>
            </w:r>
          </w:p>
        </w:tc>
      </w:tr>
      <w:tr w14:paraId="24C06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noWrap w:val="0"/>
            <w:vAlign w:val="top"/>
          </w:tcPr>
          <w:p w14:paraId="2F3FAA17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D1480D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E1E91D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9FDF3E2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7DEB1B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noWrap w:val="0"/>
            <w:vAlign w:val="top"/>
          </w:tcPr>
          <w:p w14:paraId="1467C4B1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BB49F6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6C9BB3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0B6CC8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50915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noWrap w:val="0"/>
            <w:vAlign w:val="top"/>
          </w:tcPr>
          <w:p w14:paraId="27DF3745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8785CB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01E16F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2EEC3C3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0.2</w:t>
            </w:r>
          </w:p>
        </w:tc>
      </w:tr>
      <w:tr w14:paraId="38493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noWrap w:val="0"/>
            <w:vAlign w:val="top"/>
          </w:tcPr>
          <w:p w14:paraId="7B30CAE7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BDC2E5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386.77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FA5887B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238.88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4BE537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195.66</w:t>
            </w:r>
          </w:p>
        </w:tc>
      </w:tr>
      <w:tr w14:paraId="4773F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noWrap w:val="0"/>
            <w:vAlign w:val="top"/>
          </w:tcPr>
          <w:p w14:paraId="0F09F1A7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56E7B3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C12413F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8BA2D7F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74D9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2C9E4476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5F78FC90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(202</w:t>
            </w:r>
            <w:r>
              <w:rPr>
                <w:rFonts w:hint="eastAsia" w:ascii="宋体" w:hAnsi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55DB6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33389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70E43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2DB01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034D2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00134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7EB96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4CD55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4C40C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53D91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14C6E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3AD3B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74CAC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7B9D3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E09C330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 w14:paraId="6E2834AC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990" w:type="dxa"/>
            <w:noWrap w:val="0"/>
            <w:vAlign w:val="top"/>
          </w:tcPr>
          <w:p w14:paraId="16C10CE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40" w:type="dxa"/>
            <w:noWrap w:val="0"/>
            <w:vAlign w:val="top"/>
          </w:tcPr>
          <w:p w14:paraId="49AE2074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85" w:type="dxa"/>
            <w:noWrap w:val="0"/>
            <w:vAlign w:val="top"/>
          </w:tcPr>
          <w:p w14:paraId="2ECF5C26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7EAA6597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69" w:type="dxa"/>
            <w:noWrap w:val="0"/>
            <w:vAlign w:val="top"/>
          </w:tcPr>
          <w:p w14:paraId="731A92C5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35281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850" w:type="dxa"/>
            <w:noWrap w:val="0"/>
            <w:vAlign w:val="top"/>
          </w:tcPr>
          <w:p w14:paraId="75263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159D5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</w:tbl>
    <w:p w14:paraId="236AD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1DC3341A">
      <w:pPr>
        <w:rPr>
          <w:rFonts w:ascii="黑体" w:hAnsi="黑体" w:eastAsia="黑体" w:cs="黑体"/>
          <w:spacing w:val="-4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br w:type="page"/>
      </w:r>
    </w:p>
    <w:p w14:paraId="46D9BD5D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72EBA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年度预算单位整体支出绩效自评表</w:t>
      </w:r>
    </w:p>
    <w:p w14:paraId="549B9594">
      <w:pPr>
        <w:spacing w:line="132" w:lineRule="exact"/>
      </w:pPr>
    </w:p>
    <w:tbl>
      <w:tblPr>
        <w:tblStyle w:val="7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091BC2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7" w:type="dxa"/>
            <w:gridSpan w:val="3"/>
            <w:noWrap w:val="0"/>
            <w:vAlign w:val="top"/>
          </w:tcPr>
          <w:p w14:paraId="584C75ED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76871884">
            <w:pPr>
              <w:pStyle w:val="8"/>
              <w:spacing w:line="239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Arial"/>
                <w:color w:val="000000"/>
                <w:sz w:val="21"/>
                <w:lang w:val="en-US" w:eastAsia="zh-CN"/>
              </w:rPr>
              <w:t>岳阳楼区禁违拆违治违督查办公室</w:t>
            </w:r>
          </w:p>
        </w:tc>
      </w:tr>
      <w:tr w14:paraId="6707C1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145F683">
            <w:pPr>
              <w:pStyle w:val="8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0462EA95">
            <w:pPr>
              <w:spacing w:before="62" w:line="232" w:lineRule="auto"/>
              <w:ind w:right="14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41613B91">
            <w:pPr>
              <w:pStyle w:val="8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69" w:type="dxa"/>
            <w:noWrap w:val="0"/>
            <w:vAlign w:val="top"/>
          </w:tcPr>
          <w:p w14:paraId="17606093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08781E7E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73A17059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36F7EA8C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121A0A4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5B2ABF90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108378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F87C2F4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7A5B8EF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69" w:type="dxa"/>
            <w:noWrap w:val="0"/>
            <w:vAlign w:val="top"/>
          </w:tcPr>
          <w:p w14:paraId="77D147F6">
            <w:pPr>
              <w:pStyle w:val="8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867.17</w:t>
            </w:r>
          </w:p>
        </w:tc>
        <w:tc>
          <w:tcPr>
            <w:tcW w:w="1310" w:type="dxa"/>
            <w:noWrap w:val="0"/>
            <w:vAlign w:val="top"/>
          </w:tcPr>
          <w:p w14:paraId="56965BF2">
            <w:pPr>
              <w:pStyle w:val="8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840.47</w:t>
            </w:r>
          </w:p>
        </w:tc>
        <w:tc>
          <w:tcPr>
            <w:tcW w:w="1268" w:type="dxa"/>
            <w:noWrap w:val="0"/>
            <w:vAlign w:val="top"/>
          </w:tcPr>
          <w:p w14:paraId="07F6101C">
            <w:pPr>
              <w:pStyle w:val="8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840.47</w:t>
            </w:r>
          </w:p>
        </w:tc>
        <w:tc>
          <w:tcPr>
            <w:tcW w:w="716" w:type="dxa"/>
            <w:noWrap w:val="0"/>
            <w:vAlign w:val="top"/>
          </w:tcPr>
          <w:p w14:paraId="55317EA2">
            <w:pPr>
              <w:pStyle w:val="8"/>
              <w:spacing w:before="54" w:line="194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0"/>
                <w:sz w:val="19"/>
                <w:szCs w:val="19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4D6185C0">
            <w:pPr>
              <w:pStyle w:val="8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100%</w:t>
            </w:r>
          </w:p>
        </w:tc>
        <w:tc>
          <w:tcPr>
            <w:tcW w:w="1450" w:type="dxa"/>
            <w:noWrap w:val="0"/>
            <w:vAlign w:val="top"/>
          </w:tcPr>
          <w:p w14:paraId="27DE4AC5">
            <w:pPr>
              <w:pStyle w:val="8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</w:t>
            </w:r>
          </w:p>
        </w:tc>
      </w:tr>
      <w:tr w14:paraId="05698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9F82B1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2147D0DF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0D72CCB5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3B174D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C362F39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36C9E3FF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val="en-US" w:eastAsia="zh-CN"/>
              </w:rPr>
              <w:t>839.69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65DACF5D">
            <w:pPr>
              <w:spacing w:before="21" w:line="207" w:lineRule="auto"/>
              <w:ind w:left="115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735.89</w:t>
            </w:r>
          </w:p>
        </w:tc>
      </w:tr>
      <w:tr w14:paraId="5495B4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38F4A20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66144A73">
            <w:pPr>
              <w:spacing w:before="21" w:line="207" w:lineRule="auto"/>
              <w:ind w:left="9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9CA6CC6">
            <w:pPr>
              <w:spacing w:before="21" w:line="207" w:lineRule="auto"/>
              <w:ind w:left="717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lang w:val="en-US" w:eastAsia="zh-CN"/>
              </w:rPr>
              <w:t>104.58</w:t>
            </w:r>
          </w:p>
        </w:tc>
      </w:tr>
      <w:tr w14:paraId="621700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02EE2F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6A777AC0">
            <w:pPr>
              <w:spacing w:before="20" w:line="208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47EC79D3">
            <w:pPr>
              <w:pStyle w:val="8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63708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A0633CB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51DD9B33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  <w:lang w:val="en-US" w:eastAsia="zh-CN"/>
              </w:rPr>
              <w:t>0.78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117D7A6A">
            <w:pPr>
              <w:pStyle w:val="8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</w:p>
        </w:tc>
      </w:tr>
      <w:tr w14:paraId="7E6032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CA060E8">
            <w:pPr>
              <w:pStyle w:val="8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4E851DBD">
            <w:pPr>
              <w:pStyle w:val="8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173F17E6">
            <w:pPr>
              <w:spacing w:before="62" w:line="230" w:lineRule="auto"/>
              <w:ind w:right="1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44730D8A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17F61B9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3528B0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12D51A4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4554E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position w:val="0"/>
                <w:sz w:val="24"/>
                <w:szCs w:val="22"/>
                <w:shd w:val="clear" w:fill="auto"/>
              </w:rPr>
              <w:t>目标1：区禁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违办，各乡办通过加大巡查和拆违力度，实现新增违法建设零增长，存量违法建设负增长工作目标。</w:t>
            </w:r>
          </w:p>
          <w:p w14:paraId="12187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目标2：重点村、社区加强禁违宣传、巡查、协助开展拆违行动，降低违法建设发生率、提升违法建设发现率。</w:t>
            </w:r>
          </w:p>
          <w:p w14:paraId="3F21278D">
            <w:pPr>
              <w:pStyle w:val="8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目标3：通过加大民生建房管理和服务力度，有效疏导村居民合法合理建房需求</w:t>
            </w:r>
          </w:p>
        </w:tc>
        <w:tc>
          <w:tcPr>
            <w:tcW w:w="4307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327205F7">
            <w:pPr>
              <w:pStyle w:val="8"/>
              <w:rPr>
                <w:rFonts w:hint="eastAsia" w:ascii="宋体" w:hAnsi="宋体" w:eastAsia="宋体" w:cs="宋体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今年以来在区委、区政府的坚强领导下，区禁违办上下齐心协力、攻坚克难，以“服务旧改、拆违先行”为突破口，开展违建治理安全隐患大排查大管控大整治专项和房屋楼顶“扫雷”整治行动，重点围绕居民自建房安全隐患排查整治工作，全面推进违法建设常态化治理工作。</w:t>
            </w:r>
          </w:p>
        </w:tc>
      </w:tr>
      <w:tr w14:paraId="6977FA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2C087CC">
            <w:pPr>
              <w:pStyle w:val="8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3AC11CAD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5393DB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7DB219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989B8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3B56E2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0A2517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D63E71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225212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9CDDDE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37BF2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8B1B1C4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3EE894">
            <w:pPr>
              <w:pStyle w:val="8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78730343">
            <w:pPr>
              <w:pStyle w:val="8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7195921D">
            <w:pPr>
              <w:pStyle w:val="8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79C5ED02">
            <w:pPr>
              <w:pStyle w:val="8"/>
              <w:spacing w:line="273" w:lineRule="auto"/>
              <w:rPr>
                <w:rFonts w:hint="eastAsia" w:ascii="宋体" w:hAnsi="宋体" w:eastAsia="宋体" w:cs="宋体"/>
              </w:rPr>
            </w:pPr>
          </w:p>
          <w:p w14:paraId="1B44E7D6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9"/>
                <w:szCs w:val="19"/>
              </w:rPr>
              <w:t>产出指标</w:t>
            </w:r>
          </w:p>
          <w:p w14:paraId="3CFB1BC9">
            <w:pPr>
              <w:spacing w:line="261" w:lineRule="exact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DA7236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DB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position w:val="0"/>
                <w:sz w:val="24"/>
                <w:shd w:val="clear" w:fill="auto"/>
              </w:rPr>
              <w:t>加大拆违行动力度频次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position w:val="0"/>
                <w:sz w:val="24"/>
                <w:shd w:val="clear" w:fill="auto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position w:val="0"/>
                <w:sz w:val="24"/>
                <w:shd w:val="clear" w:fill="auto"/>
              </w:rPr>
              <w:t>加强禁违宣传，业务培训，建立禁违手机信息平台</w:t>
            </w:r>
          </w:p>
        </w:tc>
        <w:tc>
          <w:tcPr>
            <w:tcW w:w="13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E0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开展拆违300次,宣传报道100次</w:t>
            </w:r>
          </w:p>
        </w:tc>
        <w:tc>
          <w:tcPr>
            <w:tcW w:w="1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13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开展拆违行动358次湖南日报、岳阳新闻等省市区级媒体专题报道117次,</w:t>
            </w:r>
          </w:p>
        </w:tc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0F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64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F48658">
            <w:pPr>
              <w:pStyle w:val="8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816BC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4F229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1AF4B1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408F4D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E9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position w:val="0"/>
                <w:sz w:val="24"/>
                <w:szCs w:val="22"/>
                <w:shd w:val="clear" w:fill="auto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position w:val="0"/>
                <w:sz w:val="24"/>
                <w:szCs w:val="22"/>
                <w:shd w:val="clear" w:fill="auto"/>
              </w:rPr>
              <w:t>新增违建彻底拆除</w:t>
            </w:r>
          </w:p>
          <w:p w14:paraId="21719C22">
            <w:pPr>
              <w:keepNext w:val="0"/>
              <w:keepLines w:val="0"/>
              <w:pageBreakBefore w:val="0"/>
              <w:widowControl w:val="0"/>
              <w:tabs>
                <w:tab w:val="left" w:pos="3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position w:val="0"/>
                <w:sz w:val="24"/>
                <w:szCs w:val="22"/>
                <w:shd w:val="clear" w:fill="auto"/>
              </w:rPr>
              <w:t>存量违建逐步消减</w:t>
            </w:r>
          </w:p>
        </w:tc>
        <w:tc>
          <w:tcPr>
            <w:tcW w:w="13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40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2000处10万平方米</w:t>
            </w:r>
          </w:p>
        </w:tc>
        <w:tc>
          <w:tcPr>
            <w:tcW w:w="1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93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拆除违法建设3186处18.6万平方米</w:t>
            </w:r>
          </w:p>
        </w:tc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4E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47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B9AF74">
            <w:pPr>
              <w:pStyle w:val="8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F618D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7E7442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F8C980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AD2701">
            <w:pPr>
              <w:spacing w:before="274" w:line="226" w:lineRule="auto"/>
              <w:ind w:left="1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6988A">
            <w:pPr>
              <w:keepNext w:val="0"/>
              <w:keepLines w:val="0"/>
              <w:pageBreakBefore w:val="0"/>
              <w:widowControl w:val="0"/>
              <w:tabs>
                <w:tab w:val="left" w:pos="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20"/>
                <w:position w:val="0"/>
                <w:sz w:val="24"/>
                <w:shd w:val="clear" w:fill="auto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position w:val="0"/>
                <w:sz w:val="24"/>
                <w:shd w:val="clear" w:fill="auto"/>
              </w:rPr>
              <w:t>按时完成市区拆违任务</w:t>
            </w:r>
          </w:p>
          <w:p w14:paraId="4B61E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2"/>
                <w:position w:val="0"/>
                <w:sz w:val="24"/>
                <w:szCs w:val="24"/>
                <w:shd w:val="clear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position w:val="0"/>
                <w:sz w:val="24"/>
                <w:szCs w:val="22"/>
                <w:shd w:val="clear" w:fill="auto"/>
              </w:rPr>
              <w:t>按时完成业务培训任务</w:t>
            </w:r>
          </w:p>
        </w:tc>
        <w:tc>
          <w:tcPr>
            <w:tcW w:w="13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10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0C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F9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31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A13FB7">
            <w:pPr>
              <w:pStyle w:val="8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A8223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96FE5E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E5E439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F55E2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3C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position w:val="0"/>
                <w:sz w:val="24"/>
                <w:shd w:val="clear" w:fill="auto"/>
              </w:rPr>
              <w:t>宣传、巡查、装备成本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position w:val="0"/>
                <w:sz w:val="24"/>
                <w:shd w:val="clear" w:fill="auto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position w:val="0"/>
                <w:sz w:val="24"/>
                <w:shd w:val="clear" w:fill="auto"/>
              </w:rPr>
              <w:t>执法行动成本控制</w:t>
            </w:r>
          </w:p>
        </w:tc>
        <w:tc>
          <w:tcPr>
            <w:tcW w:w="13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06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00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7F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0A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20C1A2">
            <w:pPr>
              <w:pStyle w:val="8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46DA7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B3CEA3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D755BF">
            <w:pPr>
              <w:pStyle w:val="8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73B278D">
            <w:pPr>
              <w:pStyle w:val="8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D73CAB4">
            <w:pPr>
              <w:pStyle w:val="8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1DEABD6D">
            <w:pPr>
              <w:pStyle w:val="8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1B74909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1E152710">
            <w:pPr>
              <w:spacing w:line="227" w:lineRule="auto"/>
              <w:ind w:left="10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3F7909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0FF31FDE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10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position w:val="0"/>
                <w:sz w:val="24"/>
                <w:shd w:val="clear" w:fill="auto"/>
              </w:rPr>
              <w:t>.控制违建数量，强化土地供应2. 拆除存量违建，为城市建设节约成本</w:t>
            </w:r>
          </w:p>
        </w:tc>
        <w:tc>
          <w:tcPr>
            <w:tcW w:w="13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AF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降低</w:t>
            </w:r>
          </w:p>
        </w:tc>
        <w:tc>
          <w:tcPr>
            <w:tcW w:w="1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F5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FD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B4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69144C">
            <w:pPr>
              <w:pStyle w:val="8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FEDF9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69D464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3FC81B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228DC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46FBC4F0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00384">
            <w:pPr>
              <w:keepNext w:val="0"/>
              <w:keepLines w:val="0"/>
              <w:pageBreakBefore w:val="0"/>
              <w:widowControl w:val="0"/>
              <w:tabs>
                <w:tab w:val="left" w:pos="46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position w:val="0"/>
                <w:sz w:val="24"/>
                <w:shd w:val="clear" w:fill="auto"/>
              </w:rPr>
              <w:t>1.形成有违必查、违建必究高压氛围2.形成依法报建、有序建设的良好社会效益</w:t>
            </w:r>
          </w:p>
        </w:tc>
        <w:tc>
          <w:tcPr>
            <w:tcW w:w="13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B2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C1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9F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17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7D7165">
            <w:pPr>
              <w:pStyle w:val="8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C1A70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36BC9E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D39EFB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4BFC7F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56FD32A6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62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position w:val="0"/>
                <w:sz w:val="24"/>
                <w:shd w:val="clear" w:fill="auto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position w:val="0"/>
                <w:sz w:val="24"/>
                <w:shd w:val="clear" w:fill="auto"/>
              </w:rPr>
              <w:t>.保护农田、山林、水面不被新的违建侵占</w:t>
            </w:r>
          </w:p>
        </w:tc>
        <w:tc>
          <w:tcPr>
            <w:tcW w:w="13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68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A5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04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FE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FA3198">
            <w:pPr>
              <w:pStyle w:val="8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FA4E9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E2DDFAE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DC2CBA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8AB258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EE345">
            <w:pPr>
              <w:keepNext w:val="0"/>
              <w:keepLines w:val="0"/>
              <w:pageBreakBefore w:val="0"/>
              <w:widowControl w:val="0"/>
              <w:tabs>
                <w:tab w:val="left" w:pos="5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position w:val="0"/>
                <w:sz w:val="24"/>
                <w:shd w:val="clear" w:fill="auto"/>
              </w:rPr>
              <w:t>拆除存量违建，拆除一处，美化一处，优化环境</w:t>
            </w:r>
          </w:p>
        </w:tc>
        <w:tc>
          <w:tcPr>
            <w:tcW w:w="13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17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2B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5B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3F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F7ACB3">
            <w:pPr>
              <w:pStyle w:val="8"/>
              <w:rPr>
                <w:rFonts w:hint="eastAsia" w:ascii="宋体" w:hAnsi="宋体" w:eastAsia="宋体" w:cs="宋体"/>
              </w:rPr>
            </w:pPr>
          </w:p>
        </w:tc>
      </w:tr>
      <w:tr w14:paraId="70AD0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A76558D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F4104D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04D4BCA4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6B9D9A5B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25F47A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2884DFBF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68E45711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50220">
            <w:pPr>
              <w:keepNext w:val="0"/>
              <w:keepLines w:val="0"/>
              <w:pageBreakBefore w:val="0"/>
              <w:widowControl w:val="0"/>
              <w:tabs>
                <w:tab w:val="left" w:pos="5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position w:val="0"/>
                <w:sz w:val="24"/>
                <w:shd w:val="clear" w:fill="auto"/>
              </w:rPr>
              <w:t>违建侵害自身权益的居民满意度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3C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70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3D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7D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C60D94">
            <w:pPr>
              <w:pStyle w:val="8"/>
              <w:rPr>
                <w:rFonts w:hint="eastAsia" w:ascii="宋体" w:hAnsi="宋体" w:eastAsia="宋体" w:cs="宋体"/>
              </w:rPr>
            </w:pPr>
          </w:p>
        </w:tc>
      </w:tr>
      <w:tr w14:paraId="2AE132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044" w:type="dxa"/>
            <w:gridSpan w:val="6"/>
            <w:noWrap w:val="0"/>
            <w:vAlign w:val="top"/>
          </w:tcPr>
          <w:p w14:paraId="170BA19B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716" w:type="dxa"/>
            <w:noWrap w:val="0"/>
            <w:vAlign w:val="top"/>
          </w:tcPr>
          <w:p w14:paraId="281F634F">
            <w:pPr>
              <w:spacing w:before="75" w:line="195" w:lineRule="auto"/>
              <w:ind w:left="2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873" w:type="dxa"/>
            <w:noWrap w:val="0"/>
            <w:vAlign w:val="top"/>
          </w:tcPr>
          <w:p w14:paraId="680A9BE5">
            <w:pPr>
              <w:pStyle w:val="8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94</w:t>
            </w:r>
          </w:p>
        </w:tc>
        <w:tc>
          <w:tcPr>
            <w:tcW w:w="1450" w:type="dxa"/>
            <w:noWrap w:val="0"/>
            <w:vAlign w:val="top"/>
          </w:tcPr>
          <w:p w14:paraId="5EB7C44D">
            <w:pPr>
              <w:pStyle w:val="8"/>
              <w:rPr>
                <w:rFonts w:hint="eastAsia" w:ascii="宋体" w:hAnsi="宋体" w:eastAsia="宋体" w:cs="宋体"/>
              </w:rPr>
            </w:pPr>
          </w:p>
        </w:tc>
      </w:tr>
    </w:tbl>
    <w:p w14:paraId="580CA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3EDC1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7F0CB36B">
      <w:pPr>
        <w:rPr>
          <w:rFonts w:ascii="黑体" w:hAnsi="黑体" w:eastAsia="黑体" w:cs="黑体"/>
          <w:spacing w:val="-4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br w:type="page"/>
      </w:r>
    </w:p>
    <w:p w14:paraId="2239A488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33B7E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年度项目支出绩效自评表</w:t>
      </w:r>
    </w:p>
    <w:tbl>
      <w:tblPr>
        <w:tblStyle w:val="7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0EF07B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vAlign w:val="top"/>
          </w:tcPr>
          <w:p w14:paraId="31E230B7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vAlign w:val="top"/>
          </w:tcPr>
          <w:p w14:paraId="5491673E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4B53D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Align w:val="top"/>
          </w:tcPr>
          <w:p w14:paraId="7ECEC9AD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vAlign w:val="top"/>
          </w:tcPr>
          <w:p w14:paraId="7BB208D4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vAlign w:val="top"/>
          </w:tcPr>
          <w:p w14:paraId="27D62055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vAlign w:val="top"/>
          </w:tcPr>
          <w:p w14:paraId="7A57E674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3CEE7F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76A10F63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3C8849D5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vAlign w:val="top"/>
          </w:tcPr>
          <w:p w14:paraId="5BB79AD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0B55A164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vAlign w:val="top"/>
          </w:tcPr>
          <w:p w14:paraId="7C98FDA4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vAlign w:val="top"/>
          </w:tcPr>
          <w:p w14:paraId="738A4A96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vAlign w:val="top"/>
          </w:tcPr>
          <w:p w14:paraId="3D584AFB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3A91ABC7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vAlign w:val="top"/>
          </w:tcPr>
          <w:p w14:paraId="09730C5F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32122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12BB49C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1961070E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vAlign w:val="top"/>
          </w:tcPr>
          <w:p w14:paraId="33A072F6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vAlign w:val="top"/>
          </w:tcPr>
          <w:p w14:paraId="127FE77D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vAlign w:val="top"/>
          </w:tcPr>
          <w:p w14:paraId="0A7D30FD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vAlign w:val="top"/>
          </w:tcPr>
          <w:p w14:paraId="48ED08E8">
            <w:pPr>
              <w:spacing w:before="64" w:line="195" w:lineRule="auto"/>
              <w:ind w:left="33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vAlign w:val="top"/>
          </w:tcPr>
          <w:p w14:paraId="5C211E40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vAlign w:val="top"/>
          </w:tcPr>
          <w:p w14:paraId="396B5D3C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304FC3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6E17B77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3A12AE5D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vAlign w:val="top"/>
          </w:tcPr>
          <w:p w14:paraId="64E78779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03439224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4381A9BD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47C6F8E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297386A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104708F6">
            <w:pPr>
              <w:pStyle w:val="8"/>
              <w:rPr>
                <w:rFonts w:hint="eastAsia" w:ascii="宋体" w:hAnsi="宋体" w:eastAsia="宋体" w:cs="宋体"/>
              </w:rPr>
            </w:pPr>
          </w:p>
        </w:tc>
      </w:tr>
      <w:tr w14:paraId="784C6A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D5C133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646BBC59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vAlign w:val="top"/>
          </w:tcPr>
          <w:p w14:paraId="375DE767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46EE1AD1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756E5E7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1F9B036A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0A72949A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5ECE096B">
            <w:pPr>
              <w:pStyle w:val="8"/>
              <w:rPr>
                <w:rFonts w:hint="eastAsia" w:ascii="宋体" w:hAnsi="宋体" w:eastAsia="宋体" w:cs="宋体"/>
              </w:rPr>
            </w:pPr>
          </w:p>
        </w:tc>
      </w:tr>
      <w:tr w14:paraId="44FAD0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59D1ED6B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7143F68C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vAlign w:val="top"/>
          </w:tcPr>
          <w:p w14:paraId="43569D67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05A2BEB9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78C8F7D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6EEC730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6C9BE358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666B0CDF">
            <w:pPr>
              <w:pStyle w:val="8"/>
              <w:rPr>
                <w:rFonts w:hint="eastAsia" w:ascii="宋体" w:hAnsi="宋体" w:eastAsia="宋体" w:cs="宋体"/>
              </w:rPr>
            </w:pPr>
          </w:p>
        </w:tc>
      </w:tr>
      <w:tr w14:paraId="7F1F4B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4C40E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07096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6F371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vAlign w:val="top"/>
          </w:tcPr>
          <w:p w14:paraId="71E5D04D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vAlign w:val="top"/>
          </w:tcPr>
          <w:p w14:paraId="636B33E8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1208C2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6A0224C1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vAlign w:val="top"/>
          </w:tcPr>
          <w:p w14:paraId="72223BA9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vAlign w:val="top"/>
          </w:tcPr>
          <w:p w14:paraId="058E4203">
            <w:pPr>
              <w:pStyle w:val="8"/>
              <w:rPr>
                <w:rFonts w:hint="eastAsia" w:ascii="宋体" w:hAnsi="宋体" w:eastAsia="宋体" w:cs="宋体"/>
              </w:rPr>
            </w:pPr>
          </w:p>
        </w:tc>
      </w:tr>
      <w:tr w14:paraId="0CEB0E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top"/>
          </w:tcPr>
          <w:p w14:paraId="0FB8FC70">
            <w:pPr>
              <w:pStyle w:val="8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311A278B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vAlign w:val="top"/>
          </w:tcPr>
          <w:p w14:paraId="0A901637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vAlign w:val="top"/>
          </w:tcPr>
          <w:p w14:paraId="2153AFB2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vAlign w:val="top"/>
          </w:tcPr>
          <w:p w14:paraId="00804442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vAlign w:val="top"/>
          </w:tcPr>
          <w:p w14:paraId="6134794E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548ED79F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vAlign w:val="top"/>
          </w:tcPr>
          <w:p w14:paraId="19963E7A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3BE53566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vAlign w:val="top"/>
          </w:tcPr>
          <w:p w14:paraId="0C3865E0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58E89B7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vAlign w:val="top"/>
          </w:tcPr>
          <w:p w14:paraId="0DD3FC65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5D9180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DEE20A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 w14:paraId="277DB571">
            <w:pPr>
              <w:pStyle w:val="8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586F3A6">
            <w:pPr>
              <w:pStyle w:val="8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339DC94">
            <w:pPr>
              <w:pStyle w:val="8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3139393">
            <w:pPr>
              <w:pStyle w:val="8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7A65479B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3CE64511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10963EA9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64AD4342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67D54BCB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2D24BC1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361A8AB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291A3A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C51F32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7A88DDF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8ACB1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3BA3AA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4A46AD8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2D8B0B63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1125602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12D3E78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38A2572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A2A85EF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62E490B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54CB93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0957A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7CFE3F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09F112F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6332FE1D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3144346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5D825C8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3F47106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1449B07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7E1BCE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09658E8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3A6C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416278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7D4881A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42FCEC57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13E32DF4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579FED7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767F6DB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8B469A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709EE5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1A52AE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A2238A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A0C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833D7A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1CBF5F3E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45AF63B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611B9BC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811FBAA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19FAE9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75CCE4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FF3DED1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88BC99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C80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5D8308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490BAA9D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6D7637D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BAC1CA0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21BE9329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213023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738DA2F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7EB89AB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EDFB25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E4477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1BA64C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0ADB4760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28D10EA5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47EE0C6D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78A5F43E">
            <w:pPr>
              <w:pStyle w:val="8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4A3FF72">
            <w:pPr>
              <w:pStyle w:val="8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CD24DB1">
            <w:pPr>
              <w:pStyle w:val="8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71040C2">
            <w:pPr>
              <w:pStyle w:val="8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781C444">
            <w:pPr>
              <w:pStyle w:val="8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243929F5">
            <w:pPr>
              <w:pStyle w:val="8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9888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D0F90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522EEBA1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1B048D81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191B7894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253310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590743EB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072218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D18F154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23C3FC2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6076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094FE4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1C803F8E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311EC70B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542EDD39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758B909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59048B1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AC70C3A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00192C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5A7014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2E16C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47EADDB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62C05399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5057020B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547BC95E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3469560A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CE9CCFB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AC9ED4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9881EAF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B3A1E79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7350422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32ECA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E7E8CA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0E61CEC3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3EC7ED3E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57FB256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0DF1C32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CF0D644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6F4D94F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8122BF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F59FAF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517C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8C7F76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24A24ACB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7B3205E9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CDD46E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0F5A6012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A3655D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452BD4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0E3D0CC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69772D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E508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1698FC9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vAlign w:val="top"/>
          </w:tcPr>
          <w:p w14:paraId="2E1BF446">
            <w:pPr>
              <w:pStyle w:val="8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C0DE66B">
            <w:pPr>
              <w:pStyle w:val="8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AF23F5C">
            <w:pPr>
              <w:pStyle w:val="8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2D374B8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12340A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vAlign w:val="top"/>
          </w:tcPr>
          <w:p w14:paraId="685BCD2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70DC05A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20C5635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27C1D3F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15870B31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7DBE7A6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553738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F26294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201BC39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ADDA8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10692D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2B630460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4A0B6F91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0B7926BF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8D275E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7B07F07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E4DF10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E0EEB5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21FC69C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CA37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7090C26B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7502B69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119CD8F3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5EBD247B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07B199A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8D158B4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789629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EECFBD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64647D3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EC10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5A3588F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3AB3C8F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vAlign w:val="top"/>
          </w:tcPr>
          <w:p w14:paraId="176B6179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7DF1894C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C6217DA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42FE218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366312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5BEDAE1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A950A3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30F08D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712F810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737B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4C84EE17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06CD56A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612A8AC1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3404D04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1C923C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B4B4042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093EFEEA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2CB9E1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3B0AD6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F6BA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9DF4951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34C342C3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51EC0611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15AD3149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17C4326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C6BDAE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1B38036B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F3E639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DE420F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7F699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433DF6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0487E54E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vAlign w:val="top"/>
          </w:tcPr>
          <w:p w14:paraId="0B552FC5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36E6A875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238090C7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1DA6D43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1D8CAEE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8FBDA42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07CE95A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A1C662F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819947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6040C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7AF9179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5835B5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72BDDDCE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10215FA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9740D4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085118A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037EAEE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3B2891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8ABAE55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F063D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74B93A7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022D4012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039BF093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4F4C8A9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13ECA342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53D287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17CE913A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B49F13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3C82B8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9A73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27207CD3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D35692D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vAlign w:val="top"/>
          </w:tcPr>
          <w:p w14:paraId="2B0C5E72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07658DF9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22B1F84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EA30A91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06E748E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EF24B21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9BBE856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D80A7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86223BF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vAlign w:val="top"/>
          </w:tcPr>
          <w:p w14:paraId="208D5173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49962410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6A44DBC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2C43FF02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A6BEB69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605D6439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A5375FF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FC84480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175BD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1B23BA5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1D6AEB2B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871DC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209E911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06BE0C0B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768ACD7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1C4784C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9CBE7E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595C0E2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BF0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FEE69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208368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3B0E184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0E0AEE32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8E3BEF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79EA4442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3F53B901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vAlign w:val="top"/>
          </w:tcPr>
          <w:p w14:paraId="58842E2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244B854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C091D7F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CFD3C1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31253FF4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F978E51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D272A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495404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2B7F8EA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8D4DD4E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13673A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299DEF43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DAEAF7C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A296A9D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364C95E8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22E2A5E">
            <w:pPr>
              <w:pStyle w:val="8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2B71C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textDirection w:val="tbRlV"/>
            <w:vAlign w:val="top"/>
          </w:tcPr>
          <w:p w14:paraId="76ADA55E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8B2418D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E9487B6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4E94E2A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1531794D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634A8CFC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0FCBC2C0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36B7B363">
            <w:pPr>
              <w:pStyle w:val="8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2A6D29A3">
            <w:pPr>
              <w:pStyle w:val="8"/>
              <w:rPr>
                <w:rFonts w:hint="eastAsia" w:ascii="宋体" w:hAnsi="宋体" w:eastAsia="宋体" w:cs="宋体"/>
              </w:rPr>
            </w:pPr>
          </w:p>
        </w:tc>
      </w:tr>
      <w:tr w14:paraId="045FF2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vAlign w:val="top"/>
          </w:tcPr>
          <w:p w14:paraId="16E2250D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vAlign w:val="top"/>
          </w:tcPr>
          <w:p w14:paraId="21CC18B2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vAlign w:val="top"/>
          </w:tcPr>
          <w:p w14:paraId="517FE756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vAlign w:val="top"/>
          </w:tcPr>
          <w:p w14:paraId="0E10417D">
            <w:pPr>
              <w:pStyle w:val="8"/>
              <w:rPr>
                <w:rFonts w:hint="eastAsia" w:ascii="宋体" w:hAnsi="宋体" w:eastAsia="宋体" w:cs="宋体"/>
              </w:rPr>
            </w:pPr>
          </w:p>
        </w:tc>
      </w:tr>
    </w:tbl>
    <w:p w14:paraId="73D8BBEA">
      <w:pPr>
        <w:spacing w:line="217" w:lineRule="auto"/>
        <w:rPr>
          <w:sz w:val="22"/>
          <w:szCs w:val="22"/>
        </w:rPr>
      </w:pPr>
    </w:p>
    <w:p w14:paraId="497A9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  <w:sectPr>
          <w:footerReference r:id="rId3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</w:p>
    <w:p w14:paraId="6042194D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4</w:t>
      </w:r>
    </w:p>
    <w:p w14:paraId="375FF1AF">
      <w:pPr>
        <w:spacing w:line="250" w:lineRule="auto"/>
        <w:rPr>
          <w:rFonts w:ascii="Arial"/>
          <w:sz w:val="21"/>
        </w:rPr>
      </w:pPr>
    </w:p>
    <w:p w14:paraId="706EE31A">
      <w:pPr>
        <w:spacing w:line="250" w:lineRule="auto"/>
        <w:rPr>
          <w:rFonts w:ascii="Arial"/>
          <w:sz w:val="21"/>
        </w:rPr>
      </w:pPr>
    </w:p>
    <w:p w14:paraId="0BDE4B3C">
      <w:pPr>
        <w:spacing w:line="250" w:lineRule="auto"/>
        <w:rPr>
          <w:rFonts w:ascii="Arial"/>
          <w:sz w:val="21"/>
        </w:rPr>
      </w:pPr>
    </w:p>
    <w:p w14:paraId="1705AC12">
      <w:pPr>
        <w:spacing w:line="250" w:lineRule="auto"/>
        <w:rPr>
          <w:rFonts w:ascii="Arial"/>
          <w:sz w:val="21"/>
        </w:rPr>
      </w:pPr>
    </w:p>
    <w:p w14:paraId="18FBDD4B">
      <w:pPr>
        <w:spacing w:line="251" w:lineRule="auto"/>
        <w:rPr>
          <w:rFonts w:ascii="Arial"/>
          <w:sz w:val="21"/>
        </w:rPr>
      </w:pPr>
    </w:p>
    <w:p w14:paraId="70B02DD1">
      <w:pPr>
        <w:spacing w:line="251" w:lineRule="auto"/>
        <w:rPr>
          <w:rFonts w:ascii="Arial"/>
          <w:sz w:val="21"/>
        </w:rPr>
      </w:pPr>
    </w:p>
    <w:p w14:paraId="2FB87583">
      <w:pPr>
        <w:spacing w:line="251" w:lineRule="auto"/>
        <w:rPr>
          <w:rFonts w:ascii="Arial"/>
          <w:sz w:val="21"/>
        </w:rPr>
      </w:pPr>
    </w:p>
    <w:p w14:paraId="267E0314">
      <w:pPr>
        <w:spacing w:line="251" w:lineRule="auto"/>
        <w:rPr>
          <w:rFonts w:ascii="Arial"/>
          <w:sz w:val="21"/>
        </w:rPr>
      </w:pPr>
    </w:p>
    <w:p w14:paraId="74361549">
      <w:pPr>
        <w:spacing w:line="251" w:lineRule="auto"/>
        <w:rPr>
          <w:rFonts w:ascii="Arial"/>
          <w:sz w:val="21"/>
        </w:rPr>
      </w:pPr>
    </w:p>
    <w:p w14:paraId="361C6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  <w:lang w:val="en-US" w:eastAsia="zh-CN"/>
        </w:rPr>
        <w:t>岳阳楼区禁违拆违治违督查办公室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  <w:lang w:val="en-US" w:eastAsia="zh-CN"/>
        </w:rPr>
        <w:t>单位整体支出绩效自评报告</w:t>
      </w:r>
    </w:p>
    <w:p w14:paraId="533A6F25">
      <w:pPr>
        <w:spacing w:line="243" w:lineRule="auto"/>
        <w:rPr>
          <w:rFonts w:ascii="Arial"/>
          <w:sz w:val="21"/>
        </w:rPr>
      </w:pPr>
    </w:p>
    <w:p w14:paraId="5A587822">
      <w:pPr>
        <w:spacing w:line="243" w:lineRule="auto"/>
        <w:rPr>
          <w:rFonts w:ascii="Arial"/>
          <w:sz w:val="21"/>
        </w:rPr>
      </w:pPr>
    </w:p>
    <w:p w14:paraId="5BEBF3D9">
      <w:pPr>
        <w:spacing w:line="243" w:lineRule="auto"/>
        <w:rPr>
          <w:rFonts w:ascii="Arial"/>
          <w:sz w:val="21"/>
        </w:rPr>
      </w:pPr>
    </w:p>
    <w:p w14:paraId="5A4C1344">
      <w:pPr>
        <w:spacing w:line="243" w:lineRule="auto"/>
        <w:rPr>
          <w:rFonts w:ascii="Arial"/>
          <w:sz w:val="21"/>
        </w:rPr>
      </w:pPr>
    </w:p>
    <w:p w14:paraId="7F0FFFA2">
      <w:pPr>
        <w:spacing w:line="243" w:lineRule="auto"/>
        <w:rPr>
          <w:rFonts w:ascii="Arial"/>
          <w:sz w:val="21"/>
        </w:rPr>
      </w:pPr>
    </w:p>
    <w:p w14:paraId="3885ADF9">
      <w:pPr>
        <w:spacing w:line="243" w:lineRule="auto"/>
        <w:rPr>
          <w:rFonts w:ascii="Arial"/>
          <w:sz w:val="21"/>
        </w:rPr>
      </w:pPr>
    </w:p>
    <w:p w14:paraId="33EF08BC">
      <w:pPr>
        <w:spacing w:line="243" w:lineRule="auto"/>
        <w:rPr>
          <w:rFonts w:ascii="Arial"/>
          <w:sz w:val="21"/>
        </w:rPr>
      </w:pPr>
    </w:p>
    <w:p w14:paraId="6BA6402F">
      <w:pPr>
        <w:spacing w:line="243" w:lineRule="auto"/>
        <w:rPr>
          <w:rFonts w:ascii="Arial"/>
          <w:sz w:val="21"/>
        </w:rPr>
      </w:pPr>
    </w:p>
    <w:p w14:paraId="41A4E20C">
      <w:pPr>
        <w:spacing w:line="243" w:lineRule="auto"/>
        <w:rPr>
          <w:rFonts w:ascii="Arial"/>
          <w:sz w:val="21"/>
        </w:rPr>
      </w:pPr>
    </w:p>
    <w:p w14:paraId="3B4E4216">
      <w:pPr>
        <w:spacing w:line="243" w:lineRule="auto"/>
        <w:rPr>
          <w:rFonts w:ascii="Arial"/>
          <w:sz w:val="21"/>
        </w:rPr>
      </w:pPr>
    </w:p>
    <w:p w14:paraId="0DC74792">
      <w:pPr>
        <w:spacing w:line="243" w:lineRule="auto"/>
        <w:rPr>
          <w:rFonts w:ascii="Arial"/>
          <w:sz w:val="21"/>
        </w:rPr>
      </w:pPr>
    </w:p>
    <w:p w14:paraId="13073093">
      <w:pPr>
        <w:spacing w:line="243" w:lineRule="auto"/>
        <w:rPr>
          <w:rFonts w:ascii="Arial"/>
          <w:sz w:val="21"/>
        </w:rPr>
      </w:pPr>
    </w:p>
    <w:p w14:paraId="31B3B9C4">
      <w:pPr>
        <w:spacing w:line="243" w:lineRule="auto"/>
        <w:rPr>
          <w:rFonts w:ascii="Arial"/>
          <w:sz w:val="21"/>
        </w:rPr>
      </w:pPr>
    </w:p>
    <w:p w14:paraId="42EF7B6D">
      <w:pPr>
        <w:spacing w:line="243" w:lineRule="auto"/>
        <w:rPr>
          <w:rFonts w:ascii="Arial"/>
          <w:sz w:val="21"/>
        </w:rPr>
      </w:pPr>
    </w:p>
    <w:p w14:paraId="1177376E">
      <w:pPr>
        <w:spacing w:line="243" w:lineRule="auto"/>
        <w:rPr>
          <w:rFonts w:ascii="Arial"/>
          <w:sz w:val="21"/>
        </w:rPr>
      </w:pPr>
    </w:p>
    <w:p w14:paraId="358E734B">
      <w:pPr>
        <w:spacing w:line="243" w:lineRule="auto"/>
        <w:rPr>
          <w:rFonts w:ascii="Arial"/>
          <w:sz w:val="21"/>
        </w:rPr>
      </w:pPr>
    </w:p>
    <w:p w14:paraId="390ECB56">
      <w:pPr>
        <w:spacing w:line="243" w:lineRule="auto"/>
        <w:rPr>
          <w:rFonts w:ascii="Arial"/>
          <w:sz w:val="21"/>
        </w:rPr>
      </w:pPr>
    </w:p>
    <w:p w14:paraId="020EC29F">
      <w:pPr>
        <w:spacing w:line="243" w:lineRule="auto"/>
        <w:rPr>
          <w:rFonts w:ascii="Arial"/>
          <w:sz w:val="21"/>
        </w:rPr>
      </w:pPr>
    </w:p>
    <w:p w14:paraId="469198E0">
      <w:pPr>
        <w:spacing w:line="243" w:lineRule="auto"/>
        <w:rPr>
          <w:rFonts w:ascii="Arial"/>
          <w:sz w:val="21"/>
        </w:rPr>
      </w:pPr>
    </w:p>
    <w:p w14:paraId="3B5B5FEC">
      <w:pPr>
        <w:spacing w:line="243" w:lineRule="auto"/>
        <w:rPr>
          <w:rFonts w:ascii="Arial"/>
          <w:sz w:val="21"/>
        </w:rPr>
      </w:pPr>
    </w:p>
    <w:p w14:paraId="568B8BAA">
      <w:pPr>
        <w:spacing w:line="243" w:lineRule="auto"/>
        <w:rPr>
          <w:rFonts w:ascii="Arial"/>
          <w:sz w:val="21"/>
        </w:rPr>
      </w:pPr>
    </w:p>
    <w:p w14:paraId="535FE4A2">
      <w:pPr>
        <w:spacing w:line="243" w:lineRule="auto"/>
        <w:rPr>
          <w:rFonts w:ascii="Arial"/>
          <w:sz w:val="21"/>
        </w:rPr>
      </w:pPr>
    </w:p>
    <w:p w14:paraId="14882882">
      <w:pPr>
        <w:spacing w:line="243" w:lineRule="auto"/>
        <w:rPr>
          <w:rFonts w:ascii="Arial"/>
          <w:sz w:val="21"/>
        </w:rPr>
      </w:pPr>
    </w:p>
    <w:p w14:paraId="7DFF5630">
      <w:pPr>
        <w:spacing w:line="243" w:lineRule="auto"/>
        <w:rPr>
          <w:rFonts w:ascii="Arial"/>
          <w:sz w:val="21"/>
        </w:rPr>
      </w:pPr>
    </w:p>
    <w:p w14:paraId="5458C0A4">
      <w:pPr>
        <w:spacing w:line="243" w:lineRule="auto"/>
        <w:rPr>
          <w:rFonts w:ascii="Arial"/>
          <w:sz w:val="21"/>
        </w:rPr>
      </w:pPr>
    </w:p>
    <w:p w14:paraId="42B60679">
      <w:pPr>
        <w:spacing w:line="244" w:lineRule="auto"/>
        <w:rPr>
          <w:rFonts w:ascii="Arial"/>
          <w:sz w:val="21"/>
        </w:rPr>
      </w:pPr>
    </w:p>
    <w:p w14:paraId="5E783F15">
      <w:pPr>
        <w:spacing w:line="244" w:lineRule="auto"/>
        <w:rPr>
          <w:rFonts w:ascii="Arial"/>
          <w:sz w:val="21"/>
        </w:rPr>
      </w:pPr>
    </w:p>
    <w:p w14:paraId="31BCE7D9">
      <w:pPr>
        <w:pStyle w:val="2"/>
        <w:spacing w:before="100" w:line="221" w:lineRule="auto"/>
        <w:ind w:left="1902"/>
      </w:pPr>
      <w:r>
        <w:rPr>
          <w:spacing w:val="-10"/>
        </w:rPr>
        <w:t>部门（单位）名称</w:t>
      </w:r>
      <w:r>
        <w:rPr>
          <w:spacing w:val="4"/>
        </w:rPr>
        <w:t>：</w:t>
      </w:r>
      <w:r>
        <w:rPr>
          <w:spacing w:val="-118"/>
        </w:rPr>
        <w:t xml:space="preserve"> </w:t>
      </w:r>
      <w:r>
        <w:rPr>
          <w:spacing w:val="-75"/>
          <w:u w:val="single" w:color="auto"/>
        </w:rPr>
        <w:t xml:space="preserve"> </w:t>
      </w:r>
      <w:r>
        <w:rPr>
          <w:rFonts w:hint="eastAsia"/>
          <w:spacing w:val="-75"/>
          <w:u w:val="single" w:color="auto"/>
          <w:lang w:val="en-US" w:eastAsia="zh-CN"/>
        </w:rPr>
        <w:t xml:space="preserve">                </w:t>
      </w:r>
      <w:r>
        <w:rPr>
          <w:spacing w:val="4"/>
          <w:u w:val="single" w:color="auto"/>
        </w:rPr>
        <w:t>（</w:t>
      </w:r>
      <w:r>
        <w:rPr>
          <w:spacing w:val="-10"/>
          <w:u w:val="single" w:color="auto"/>
        </w:rPr>
        <w:t>盖章）</w:t>
      </w:r>
      <w:r>
        <w:rPr>
          <w:u w:val="single" w:color="auto"/>
        </w:rPr>
        <w:t xml:space="preserve">   </w:t>
      </w:r>
    </w:p>
    <w:p w14:paraId="5C302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年   月   日</w:t>
      </w:r>
    </w:p>
    <w:p w14:paraId="544CA44E">
      <w:pPr>
        <w:spacing w:line="335" w:lineRule="auto"/>
        <w:rPr>
          <w:rFonts w:ascii="Arial"/>
          <w:sz w:val="21"/>
        </w:rPr>
      </w:pPr>
    </w:p>
    <w:p w14:paraId="678F8DC5">
      <w:pPr>
        <w:pStyle w:val="2"/>
        <w:spacing w:before="102" w:line="224" w:lineRule="auto"/>
        <w:ind w:left="3216"/>
        <w:sectPr>
          <w:footerReference r:id="rId4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</w:p>
    <w:p w14:paraId="6312E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000000"/>
          <w:spacing w:val="0"/>
          <w:positio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position w:val="0"/>
          <w:sz w:val="44"/>
          <w:szCs w:val="44"/>
          <w:lang w:val="en-US" w:eastAsia="zh-CN"/>
        </w:rPr>
        <w:t>岳阳楼区禁违拆违治违督查办公室</w:t>
      </w:r>
    </w:p>
    <w:p w14:paraId="4C23B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positio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position w:val="0"/>
          <w:sz w:val="44"/>
          <w:szCs w:val="44"/>
          <w:lang w:val="en-US" w:eastAsia="zh-CN"/>
        </w:rPr>
        <w:t>单位整体支出绩效自评报告</w:t>
      </w:r>
    </w:p>
    <w:p w14:paraId="4917F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E6B8204">
      <w:pPr>
        <w:spacing w:line="283" w:lineRule="auto"/>
        <w:rPr>
          <w:rFonts w:ascii="Arial"/>
          <w:sz w:val="21"/>
        </w:rPr>
      </w:pPr>
    </w:p>
    <w:p w14:paraId="44CC8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5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一、</w:t>
      </w: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61C9E0A2">
      <w:pPr>
        <w:spacing w:before="0" w:after="0" w:line="300" w:lineRule="auto"/>
        <w:ind w:left="0" w:right="0" w:firstLine="548"/>
        <w:jc w:val="both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（一）主要负责全区禁违拆违治违工作的业务指导、日常督查、考核督办等工作。2024年干部职工人数43人，其中：在职全额编制43人。</w:t>
      </w:r>
    </w:p>
    <w:p w14:paraId="7C02E217">
      <w:pPr>
        <w:spacing w:before="0" w:after="0" w:line="300" w:lineRule="auto"/>
        <w:ind w:left="0" w:right="0" w:firstLine="548"/>
        <w:jc w:val="both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（二）2024年区禁违办整体支出为840.47万元，主要用于工资福利支出、一般商品和服务支出、专项支出、对个人和家庭的补助、其他资本性支出。</w:t>
      </w:r>
    </w:p>
    <w:p w14:paraId="66872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5"/>
          <w:sz w:val="31"/>
          <w:szCs w:val="31"/>
        </w:rPr>
      </w:pPr>
    </w:p>
    <w:p w14:paraId="3DB53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一般公共预算支出情况</w:t>
      </w:r>
    </w:p>
    <w:p w14:paraId="3BEEF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011E5AD2">
      <w:pPr>
        <w:spacing w:before="0" w:after="0" w:line="300" w:lineRule="auto"/>
        <w:ind w:left="0" w:right="0" w:firstLine="548"/>
        <w:jc w:val="both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1.工资福利支出605.49万元，占总支出的82.37%。主要用于基本工资、津补贴、13个月工资、绩效考核奖金、医保社保、工伤生育失业保险、职工医疗互助等方面。</w:t>
      </w:r>
    </w:p>
    <w:p w14:paraId="29E47B63">
      <w:pPr>
        <w:spacing w:before="0" w:after="0" w:line="300" w:lineRule="auto"/>
        <w:ind w:left="0" w:right="0" w:firstLine="548"/>
        <w:jc w:val="both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2.一般商品和服务支出113.23万元，占总支出的15.40%。其中办公费9.02万元，印刷费9.02万元，邮电费0.96万元，维护费0.08万元，租赁费3.08万元，培训费0.20万元，劳务费2.48万元，工会经费21.66万元，公务用车运行维护费1.63万元，其他交通费用31.89万元，其他商品和服务支出支出32.98万元，办公设备购置0.23万元。</w:t>
      </w:r>
    </w:p>
    <w:p w14:paraId="410D0E06">
      <w:pPr>
        <w:spacing w:before="0" w:after="0" w:line="300" w:lineRule="auto"/>
        <w:ind w:left="0" w:right="0" w:firstLine="548"/>
        <w:jc w:val="both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3.对个人和家庭的补助16.39万元，占总支出的2.23%。</w:t>
      </w:r>
    </w:p>
    <w:p w14:paraId="69585A6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项目支出情况</w:t>
      </w:r>
    </w:p>
    <w:p w14:paraId="40F86679">
      <w:pPr>
        <w:spacing w:before="0" w:after="0" w:line="300" w:lineRule="auto"/>
        <w:ind w:left="0" w:right="0" w:firstLine="548"/>
        <w:jc w:val="both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2024年我单位项目支出总数为104.58万元。</w:t>
      </w:r>
    </w:p>
    <w:p w14:paraId="548935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楷体" w:hAnsi="楷体" w:eastAsia="楷体" w:cs="楷体"/>
          <w:spacing w:val="9"/>
          <w:sz w:val="31"/>
          <w:szCs w:val="31"/>
        </w:rPr>
      </w:pPr>
    </w:p>
    <w:p w14:paraId="4A1762D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政府性基金预算支出情况</w:t>
      </w:r>
    </w:p>
    <w:p w14:paraId="6A2E57B8">
      <w:pPr>
        <w:spacing w:before="0" w:after="0" w:line="300" w:lineRule="auto"/>
        <w:ind w:left="0" w:right="0" w:firstLine="548"/>
        <w:jc w:val="both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本单位无政府性基金预算支出情况</w:t>
      </w:r>
    </w:p>
    <w:p w14:paraId="38384AD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国有资本经营预算支出情况</w:t>
      </w:r>
    </w:p>
    <w:p w14:paraId="02BADDA9">
      <w:pPr>
        <w:spacing w:before="0" w:after="0" w:line="300" w:lineRule="auto"/>
        <w:ind w:left="0" w:right="0" w:firstLine="548"/>
        <w:jc w:val="both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本单位无国有资本经营预算支出情况</w:t>
      </w:r>
    </w:p>
    <w:p w14:paraId="303C770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社会保险基金预算支出情况</w:t>
      </w:r>
    </w:p>
    <w:p w14:paraId="679DFAF4">
      <w:pPr>
        <w:spacing w:before="0" w:after="0" w:line="300" w:lineRule="auto"/>
        <w:ind w:left="0" w:right="0" w:firstLine="548"/>
        <w:jc w:val="both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本单位无社会保险基金预算支出情况</w:t>
      </w:r>
    </w:p>
    <w:p w14:paraId="398CA39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22EF2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今年以来，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积极响应“新增违法建设即查即拆，存量违法建设动态清零”的工作目标，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全面推进违法建设常态化治理工作。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以“服务城市更新、拆违先行”为突破口，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坚持问题导向、目标导向、结果导向，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多措并举推进违法建设整治工作。</w:t>
      </w:r>
    </w:p>
    <w:p w14:paraId="5CDDEB2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从“宣”谋划，全力营造创建氛围</w:t>
      </w:r>
    </w:p>
    <w:p w14:paraId="1B5D8C6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通过组建流动车队、制作知识手册、张贴公开信、张贴宣传横幅和海报、发放宣传单的形式，做到禁违横幅标语进入每个住宅小区（居民点），辖区单位门店电子显示屏滚动播放禁违宣传标语，街道（乡）、社区（村）宣传栏刊登禁违工作动态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利用黑板报、宣传栏等宣传阵地，加强对居民</w:t>
      </w:r>
      <w:r>
        <w:rPr>
          <w:rFonts w:hint="eastAsia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eastAsia="zh-CN"/>
        </w:rPr>
        <w:t>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日常教育，</w:t>
      </w:r>
      <w:r>
        <w:rPr>
          <w:rFonts w:hint="eastAsia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val="en-US" w:eastAsia="zh-CN"/>
        </w:rPr>
        <w:t>增强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居民的违建防范和安全意识</w:t>
      </w:r>
      <w:r>
        <w:rPr>
          <w:rFonts w:hint="eastAsia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采用线下固定宣传为主，线上全媒体融合的方式，进行全方位、深层次、高质量</w:t>
      </w:r>
      <w:r>
        <w:rPr>
          <w:rFonts w:hint="eastAsia" w:cs="仿宋_GB2312"/>
          <w:color w:val="auto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宣传；积极推广“自拆+助拆”模式，党员带头，率先垂范，掀起违法建设“自拆风”，引导群众“自查自拆”，坚持正确的舆论导向。</w:t>
      </w:r>
    </w:p>
    <w:p w14:paraId="57029EB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从“严”管控，全力推进禁违拆违</w:t>
      </w:r>
    </w:p>
    <w:p w14:paraId="0AC1D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一是围绕“旧改”抓拆违。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Hans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服务城市更新，拆违先行”的要求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，打响老旧小区“焕新颜”先行炮，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实现城市颜值、气质“双提升”。并持续推进城镇老旧小区改造，及时准确报送改造进展情况，避免漏统、漏报，以营造良好社会氛围。</w:t>
      </w:r>
    </w:p>
    <w:p w14:paraId="50C14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</w:rPr>
        <w:t>二是围绕城市“六治”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抓拆违</w:t>
      </w: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坚持“人民城市为人民”理念，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持续进行“六治”工作，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把拆除存量违法建设与项目征拆、城乡环境治理等工作充分结合，以改造治理带动存量违法建设拆除，对存量违法建设组织分类处置，精心做好“拆前警示、拆后治脏”等群众关心的问题，拆改并举。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进一步改善居民生活条件、消除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安全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隐患、营造宜居环境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推动市容市貌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焕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新颜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。</w:t>
      </w:r>
    </w:p>
    <w:p w14:paraId="4EF01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三是围绕</w:t>
      </w:r>
      <w:bookmarkStart w:id="0" w:name="_Hlk153747238"/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交督办</w:t>
      </w:r>
      <w:bookmarkEnd w:id="0"/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抓拆违。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按照交办函，明确自身职责，及时处理函中指出的问题，保证案件处理的时效性。坚持从严从实，提高办理质效。</w:t>
      </w:r>
    </w:p>
    <w:p w14:paraId="071FE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四是围绕涉水违建抓拆违。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扎实推进禁违与水生态保护相结合。“违建不拆，劣水难除”，针对水域岸线环境维护进行专项整治行动，重点对水域岸线环境维护进行专项整治，同时对标对表环境保护更高要求，对水域沿线违建高发区重点巡查，杜绝危害水域生态环境违建死灰复燃， 有效推进水域生态保护，还居民一个“河畅、水清、岸绿、景美”的宜居环境。</w:t>
      </w:r>
    </w:p>
    <w:p w14:paraId="27DF2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FFFFFF"/>
        </w:rPr>
        <w:t>五是围绕信访维稳、问题清单整改抓拆违。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保证信访渠道畅通、制度完善，秉持“事不在小，关键在办，关键在早”的态度，用心用情用力做好群众信访接待与后续问题解决工作。环环相扣，维护群众合法权益，做到了解民意、集中民智、维护民利。</w:t>
      </w:r>
    </w:p>
    <w:p w14:paraId="482DD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六是围绕“群英断是非”工作法抓拆违。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将“群英断是非”工作法与禁违事业深度融合，发挥禁违部门的“专业性”，回答群众心中“拆什么”“为何拆”“怎么拆”的困惑。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争取绝大多数居民的理解支持，依靠绝大多数群众去做少数群众的思想工作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，鼓励人民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更直接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途径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便捷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方式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社会治理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以更加察民情、合民意的方式解决禁违难题。</w:t>
      </w:r>
    </w:p>
    <w:p w14:paraId="415B8BF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从“新”着力，全力落实机制改革。</w:t>
      </w:r>
    </w:p>
    <w:p w14:paraId="2D887715"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一是围绕机制创新，激发新活力。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灵活运用城市网格化管理机制，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依托全区网格化平台，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对网格员和社区服务者开展专项培训、明确相关职能职责，将其与禁违系统相结合，实现</w:t>
      </w:r>
      <w:r>
        <w:rPr>
          <w:rFonts w:hint="eastAsia" w:ascii="仿宋_GB2312" w:hAnsi="仿宋_GB2312" w:eastAsia="仿宋_GB2312" w:cs="仿宋_GB2312"/>
          <w:sz w:val="32"/>
          <w:szCs w:val="32"/>
        </w:rPr>
        <w:t>对违法建设网格化监管全覆盖，实时掌握违建现状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Style w:val="10"/>
          <w:rFonts w:hint="eastAsia" w:ascii="仿宋_GB2312" w:eastAsia="仿宋_GB2312"/>
          <w:color w:val="auto"/>
          <w:sz w:val="32"/>
          <w:szCs w:val="32"/>
        </w:rPr>
        <w:t>全面压实微网格专职禁违队员、社区网格员、群众信息员巡查监管责任，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形成更加接地气、察民情、聚民智、惠民生的禁违治理机制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网格员实行“一日双巡”，对违建做到一经查出，立即上传，禁违人员做到及时拆除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实现</w:t>
      </w:r>
      <w:r>
        <w:rPr>
          <w:rStyle w:val="10"/>
          <w:rFonts w:hint="eastAsia" w:ascii="仿宋_GB2312" w:hAnsi="Times New Roman" w:eastAsia="仿宋_GB2312"/>
          <w:color w:val="auto"/>
          <w:sz w:val="32"/>
          <w:szCs w:val="32"/>
          <w:lang w:val="zh-CN"/>
        </w:rPr>
        <w:t>“以网格控源头、以常态管长效”。</w:t>
      </w:r>
    </w:p>
    <w:p w14:paraId="62E53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二是围绕旧制创新，发展赋长效。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持续推进无违建社区、无违建小区建设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在各街道辖区范围内召开社区、物业、业主一体化违建治理会议，以街道、小区物业共签《岳阳楼区小区违建常态化治理工作目标管理责任状》作为枢纽节点；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制定细化《考核细则》以区域划分、现场核实、成效鉴定为主要依据进行划分档次，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按照对新增违建防控有力、安全隐患处置到位、信访矛盾调解和谐的标准，充分调动基层党组织和群众参与禁拆治违的积极性，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进一步推动禁违工作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做细做实、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长效管理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732C8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是围绕</w:t>
      </w:r>
      <w:r>
        <w:rPr>
          <w:rFonts w:hint="eastAsia" w:ascii="楷体_GB2312" w:hAnsi="楷体_GB2312" w:eastAsia="楷体_GB2312" w:cs="楷体_GB2312"/>
          <w:sz w:val="32"/>
          <w:szCs w:val="32"/>
        </w:rPr>
        <w:t>科技创新，绘就新蓝图。</w:t>
      </w:r>
      <w:r>
        <w:rPr>
          <w:rFonts w:hint="eastAsia" w:ascii="仿宋_GB2312" w:hAnsi="仿宋_GB2312" w:eastAsia="仿宋_GB2312" w:cs="仿宋_GB2312"/>
          <w:sz w:val="32"/>
          <w:szCs w:val="32"/>
        </w:rPr>
        <w:t>擅用科技创新，采用卫星遥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感无人机图斑比对服务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进行高空监控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，实时监控全区违建情况，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针对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重点地段、高发区域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重点监控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，采用数字化手段，实行全方位、全天候、全覆盖巡查，减轻执法人力紧张难题、缓解巡查物力消耗难题、破除监管存在盲区难题，压茬推进禁违效率提升。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将违法建设发现在萌芽状态、查处在建设初期。</w:t>
      </w:r>
    </w:p>
    <w:p w14:paraId="1057D7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</w:pPr>
    </w:p>
    <w:p w14:paraId="3C497B7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主要问题</w:t>
      </w:r>
    </w:p>
    <w:p w14:paraId="45B39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国有土地事权下放，临时授权，执法前移，我区禁违系统工作量成倍增加，工作压力骤增，目前工作主要存在以下几个问题：</w:t>
      </w:r>
    </w:p>
    <w:p w14:paraId="62F5FF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其一队伍结构不优。</w:t>
      </w:r>
      <w:r>
        <w:rPr>
          <w:rFonts w:hint="eastAsia" w:ascii="仿宋_GB2312" w:hAnsi="仿宋_GB2312" w:eastAsia="仿宋_GB2312" w:cs="Times New Roman"/>
          <w:b/>
          <w:bCs/>
          <w:color w:val="000000"/>
          <w:kern w:val="0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我区禁违系统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退伍军人安置占九成，专业技术对口人才几乎为零，国有土地事权下放后导致的执法前移，没有专业技术力量和丰富的工作经历做支撑，容易出现业务素质跟不上、工作能力提不高、工作成效出不来等问题。</w:t>
      </w:r>
      <w:r>
        <w:rPr>
          <w:rFonts w:hint="eastAsia" w:ascii="仿宋_GB2312" w:hAnsi="仿宋_GB2312" w:eastAsia="仿宋_GB2312" w:cs="Times New Roman"/>
          <w:b/>
          <w:bCs/>
          <w:color w:val="000000"/>
          <w:kern w:val="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从2011年三定方案制定以来，区禁违办由于属于涉改事业单位，人事处于冻结，机构设置从未调整，轮岗换防无法实施，容易产生厌战情绪，禁违系统亟需注入新鲜血液。</w:t>
      </w:r>
    </w:p>
    <w:p w14:paraId="7639DA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/>
        </w:rPr>
        <w:t>其二执法权限不明。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2022年，事权下放后，</w:t>
      </w:r>
      <w:r>
        <w:rPr>
          <w:rFonts w:hint="default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根据规划授权，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我办</w:t>
      </w:r>
      <w:r>
        <w:rPr>
          <w:rFonts w:hint="default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禁违任务主要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由</w:t>
      </w:r>
      <w:r>
        <w:rPr>
          <w:rFonts w:hint="default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监管集体土地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转变为监管国有土地和集体土地上所有涉及的违建。拆除违建因执法程</w:t>
      </w:r>
      <w:r>
        <w:rPr>
          <w:rFonts w:hint="eastAsia" w:ascii="仿宋_GB2312" w:hAnsi="仿宋_GB2312" w:eastAsia="仿宋_GB2312" w:cs="Times New Roman"/>
          <w:color w:val="auto"/>
          <w:kern w:val="0"/>
          <w:sz w:val="32"/>
          <w:szCs w:val="32"/>
          <w:lang w:val="en-US" w:eastAsia="zh-CN"/>
        </w:rPr>
        <w:t>序上的失误承担法律责任已有先例，国有土地上的违建处置工作更是风险加剧。区禁违办作为区政府授权执法单位，</w:t>
      </w:r>
      <w:r>
        <w:rPr>
          <w:rFonts w:hint="eastAsia" w:ascii="仿宋_GB2312" w:hAnsi="仿宋_GB2312" w:eastAsia="仿宋_GB2312" w:cs="Times New Roman"/>
          <w:b/>
          <w:bCs/>
          <w:color w:val="auto"/>
          <w:kern w:val="0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Times New Roman"/>
          <w:color w:val="auto"/>
          <w:kern w:val="0"/>
          <w:sz w:val="32"/>
          <w:szCs w:val="32"/>
          <w:lang w:val="en-US" w:eastAsia="zh-CN"/>
        </w:rPr>
        <w:t>存在“法无授权不可为”的风险，有越权执法、程序违法等诸多顾虑，区禁违办工作人员原考取的行政执法证面临上收，今年考取的证书未发放。</w:t>
      </w:r>
      <w:r>
        <w:rPr>
          <w:rFonts w:hint="eastAsia" w:ascii="仿宋_GB2312" w:hAnsi="仿宋_GB2312" w:eastAsia="仿宋_GB2312" w:cs="Times New Roman"/>
          <w:b/>
          <w:bCs/>
          <w:color w:val="auto"/>
          <w:kern w:val="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Times New Roman"/>
          <w:color w:val="auto"/>
          <w:kern w:val="0"/>
          <w:sz w:val="32"/>
          <w:szCs w:val="32"/>
          <w:lang w:val="en-US" w:eastAsia="zh-CN"/>
        </w:rPr>
        <w:t>国有土地范围项目建设行为，部门对接和工作移交程序存在许多“真空”环节，“断点、断片”问题严重，从审批、备案、监管到执法等一系列工作流程，我区均不知情，难以对国有土地范围内违建行为进行认定和处置。</w:t>
      </w:r>
    </w:p>
    <w:p w14:paraId="4C7C764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下一步打算</w:t>
      </w:r>
    </w:p>
    <w:p w14:paraId="0F458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下一步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我们将构建全方位、广覆盖、网格化的违法建设监督和防控体系，巩固“三年拆存计划”阶段性成果，聚焦聚力打击新增违法建设，成批成片整治存量违法建设，重拳出击、铁腕拆违，奋力打赢违法建设常态化治理攻坚战。</w:t>
      </w:r>
    </w:p>
    <w:p w14:paraId="67547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一是抓责任落实，下好治理“先手棋”。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实行打桩定位。按照“禁违+网格微治理”要求，将禁违干部，全部下沉到片区和网格，对新增违建处置率过低，航拍图斑、挂销号、信访举报等问题高发的网格禁违人员，采取约谈、通报、问责、取消评先评优资格等方式，严肃处理。推行清单管理。全面推行清单式违建整治，通过定计划、列清单、明责任，督促各街道（乡）做好旧改、棚改等结合文章，对标对表、稳步推进。加强督查调度。充分发挥督查指导、考评考核的“指挥棒”作用，增加乡街、村社区的社会事务禁违工作考核分值，开展中央省市驻区单位“零违建”评选活动；按照“一周一调度、一月一讲评、一季一通报”方式，督促乡街、村社区全面落实责任，实现“禁新增、拆存量、化积案”的工作目标。</w:t>
      </w:r>
    </w:p>
    <w:p w14:paraId="6FC28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二是禁新增违建，出好防控“连环招”。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坚持源头治堵。加强禁违、自规、住建、城管、乡街等单位的联动，通过部门约谈、资质评定等方式，有效防止物业公司默许、纵容业主违建；加强水电气等公司的互动，提前介入，严禁水电气接入违法建筑。坚持多措并举。将中心城区危旧房改建，参照集体土地民生建房管理办法实施；在重点区域、重点路段广泛张贴违建举报电话，充分发挥群众力量，弥补巡查力量不足，填补节假日等巡查空档。坚持铁腕治理。牢牢把握“依法行政”原则，全面推进严格规范公正文明执法，严厉打击违建行为，做到“早发现、早制止、早拆除”，维护社会公平正义。</w:t>
      </w:r>
    </w:p>
    <w:p w14:paraId="712D2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三是促存量清零，打好整治“组合拳”。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深入开展重点项目整治行动。重点整治别墅区、大型市场、地下空间、违建仓棚、重点项目区域的典型违法建设，分门别类，对症下药，精准施策，做到服务重大项目的优先拆，服务民生实事的重点拆，上级督办交办的盯住拆，抢搭抢建投机倒把的依法拆，私搭乱建及时拆，历史遗留的分类拆。深入开展以拆促改行动。将违建常态化治理和老旧小区改造有机结合，按照“以拆促改，以改促管”的原则，强力整治老旧小区改造范围内挤占公共空间、压占消防通道、存在安全隐患、居民投诉集中的违法建设，做到先难后易、重点突破、梯次推进、全面整治。深入开展“涉水”违建治理行动，打好碧水保卫战，持续开展“涉水”违建整治行动，摸清底数、核实处置，靶向发力、层层推进，确保凝聚合力、系统施治，从根底拔除水污染顽疾。</w:t>
      </w:r>
    </w:p>
    <w:p w14:paraId="204647A6">
      <w:pPr>
        <w:spacing w:before="0" w:after="0" w:line="300" w:lineRule="auto"/>
        <w:ind w:left="0" w:right="0" w:firstLine="548"/>
        <w:jc w:val="both"/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</w:pPr>
    </w:p>
    <w:p w14:paraId="4A62EE7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存在的问题及原因分析</w:t>
      </w:r>
    </w:p>
    <w:p w14:paraId="40BB50BE">
      <w:pPr>
        <w:spacing w:before="0" w:after="0" w:line="300" w:lineRule="auto"/>
        <w:ind w:left="0" w:right="0" w:firstLine="548"/>
        <w:jc w:val="both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通过对我办整体支出情况的分析，反映出目前在整体支出的预算编制、执行和管理过程中，仍存在一些问题和不足：一是车辆运行和维护费用预算安排偏低，二是个别预算项目安排和开支不够合理。</w:t>
      </w:r>
    </w:p>
    <w:p w14:paraId="079907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</w:p>
    <w:p w14:paraId="0B480AC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下一步改进措施</w:t>
      </w:r>
    </w:p>
    <w:p w14:paraId="72DDD77C">
      <w:pPr>
        <w:spacing w:before="0" w:after="0" w:line="300" w:lineRule="auto"/>
        <w:ind w:left="0" w:right="0" w:firstLine="548"/>
        <w:jc w:val="both"/>
        <w:rPr>
          <w:rFonts w:ascii="仿宋_GB2312" w:hAnsi="仿宋_GB2312" w:eastAsia="仿宋_GB2312" w:cs="仿宋_GB2312"/>
          <w:color w:val="auto"/>
          <w:spacing w:val="0"/>
          <w:kern w:val="0"/>
          <w:position w:val="0"/>
          <w:sz w:val="28"/>
          <w:szCs w:val="22"/>
          <w:shd w:val="clear" w:fill="auto"/>
        </w:rPr>
      </w:pPr>
      <w:r>
        <w:rPr>
          <w:rFonts w:ascii="楷体_GB2312" w:hAnsi="楷体_GB2312" w:eastAsia="楷体_GB2312" w:cs="楷体_GB2312"/>
          <w:b/>
          <w:color w:val="auto"/>
          <w:spacing w:val="0"/>
          <w:kern w:val="0"/>
          <w:position w:val="0"/>
          <w:sz w:val="28"/>
          <w:szCs w:val="22"/>
          <w:shd w:val="clear" w:fill="auto"/>
        </w:rPr>
        <w:t>1.</w:t>
      </w:r>
      <w:r>
        <w:rPr>
          <w:rFonts w:ascii="宋体" w:hAnsi="宋体" w:eastAsia="宋体" w:cs="宋体"/>
          <w:b/>
          <w:color w:val="auto"/>
          <w:spacing w:val="0"/>
          <w:kern w:val="0"/>
          <w:position w:val="0"/>
          <w:sz w:val="28"/>
          <w:szCs w:val="22"/>
          <w:shd w:val="clear" w:fill="auto"/>
        </w:rPr>
        <w:t>细化预算编制工作。</w:t>
      </w: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进一步加强预算编制和管理意识，严格按照预算编制的相关制度和要求，本着“勤俭节约、保障运转”的原则进行预算编制；编制范围尽可能的全面、不漏项，进一步提高预算编制的科学性、合理性和可控性。</w:t>
      </w:r>
    </w:p>
    <w:p w14:paraId="2A4FD8CD">
      <w:pPr>
        <w:spacing w:before="0" w:after="0" w:line="300" w:lineRule="auto"/>
        <w:ind w:left="0" w:right="0" w:firstLine="548"/>
        <w:jc w:val="both"/>
        <w:rPr>
          <w:rFonts w:ascii="仿宋_GB2312" w:hAnsi="仿宋_GB2312" w:eastAsia="仿宋_GB2312" w:cs="仿宋_GB2312"/>
          <w:color w:val="auto"/>
          <w:spacing w:val="0"/>
          <w:kern w:val="0"/>
          <w:position w:val="0"/>
          <w:sz w:val="28"/>
          <w:szCs w:val="22"/>
          <w:shd w:val="clear" w:fill="auto"/>
        </w:rPr>
      </w:pPr>
      <w:r>
        <w:rPr>
          <w:rFonts w:ascii="楷体_GB2312" w:hAnsi="楷体_GB2312" w:eastAsia="楷体_GB2312" w:cs="楷体_GB2312"/>
          <w:b/>
          <w:color w:val="auto"/>
          <w:spacing w:val="0"/>
          <w:kern w:val="0"/>
          <w:position w:val="0"/>
          <w:sz w:val="28"/>
          <w:szCs w:val="22"/>
          <w:shd w:val="clear" w:fill="auto"/>
        </w:rPr>
        <w:t>2.</w:t>
      </w:r>
      <w:r>
        <w:rPr>
          <w:rFonts w:ascii="宋体" w:hAnsi="宋体" w:eastAsia="宋体" w:cs="宋体"/>
          <w:b/>
          <w:color w:val="auto"/>
          <w:spacing w:val="0"/>
          <w:kern w:val="0"/>
          <w:position w:val="0"/>
          <w:sz w:val="28"/>
          <w:szCs w:val="22"/>
          <w:shd w:val="clear" w:fill="auto"/>
        </w:rPr>
        <w:t>加强财务管理工作。</w:t>
      </w: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在费用报账支付时，按照预算规定的费用项目和用途进行资金的审核，严格按照费用的实际使用用途进行资金支付项目的列报，严格按照实际的费用支出内容进行财务核算，严格控制超支现象发生。</w:t>
      </w:r>
    </w:p>
    <w:p w14:paraId="02F1F7A2">
      <w:pPr>
        <w:spacing w:before="0" w:after="0" w:line="300" w:lineRule="auto"/>
        <w:ind w:left="0" w:right="0" w:firstLine="548"/>
        <w:jc w:val="both"/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</w:pPr>
      <w:r>
        <w:rPr>
          <w:rFonts w:ascii="楷体_GB2312" w:hAnsi="楷体_GB2312" w:eastAsia="楷体_GB2312" w:cs="楷体_GB2312"/>
          <w:b/>
          <w:color w:val="auto"/>
          <w:spacing w:val="0"/>
          <w:kern w:val="0"/>
          <w:position w:val="0"/>
          <w:sz w:val="28"/>
          <w:szCs w:val="22"/>
          <w:shd w:val="clear" w:fill="auto"/>
        </w:rPr>
        <w:t>3.</w:t>
      </w:r>
      <w:r>
        <w:rPr>
          <w:rFonts w:ascii="宋体" w:hAnsi="宋体" w:eastAsia="宋体" w:cs="宋体"/>
          <w:b/>
          <w:color w:val="auto"/>
          <w:spacing w:val="0"/>
          <w:kern w:val="0"/>
          <w:position w:val="0"/>
          <w:sz w:val="28"/>
          <w:szCs w:val="22"/>
          <w:shd w:val="clear" w:fill="auto"/>
        </w:rPr>
        <w:t>加强三公经费管理。</w:t>
      </w:r>
      <w:r>
        <w:rPr>
          <w:rFonts w:hint="eastAsia" w:ascii="仿宋_GB2312" w:hAnsi="仿宋_GB2312" w:eastAsia="仿宋_GB2312" w:cs="仿宋_GB2312"/>
          <w:color w:val="000000"/>
          <w:spacing w:val="0"/>
          <w:position w:val="0"/>
          <w:sz w:val="32"/>
          <w:szCs w:val="32"/>
          <w:lang w:val="en-US" w:eastAsia="zh-CN"/>
        </w:rPr>
        <w:t>进一步严控三公经费，严格控制三公经费的规模和比例，严格三公经费支出的审核流程，杜绝挪用和挤占其他预算资金行为。抓好公车的节能减排工作，进一步压缩公务用车运行和维护费用。</w:t>
      </w:r>
    </w:p>
    <w:p w14:paraId="18FB41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</w:p>
    <w:p w14:paraId="158B0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60D30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十、</w:t>
      </w:r>
      <w:r>
        <w:rPr>
          <w:rFonts w:ascii="黑体" w:hAnsi="黑体" w:eastAsia="黑体" w:cs="黑体"/>
          <w:spacing w:val="-2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0A831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Arial"/>
          <w:sz w:val="21"/>
        </w:rPr>
      </w:pPr>
    </w:p>
    <w:p w14:paraId="2BDEAF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1CD2E52-D69D-44B5-9E98-5F68CCF67CA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1289630-E09C-4C58-854C-E207B72E8D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0122F565-99CC-4C18-8FD4-E19B1FBA54D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3DF5E18-D235-42D7-A4E1-B3683885696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37306CC5-93AE-4CC3-B06C-98EF87D5B66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6" w:fontKey="{8373C15B-1B6F-42B7-91CC-197FD6DCC4F4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6D48CFB8-9712-4A0A-B8EF-EB033A667E8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1629BD98-F41D-40E7-984A-5D2F08C2302A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7C30D7">
    <w:pPr>
      <w:pStyle w:val="2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032401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032401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7E30F">
    <w:pPr>
      <w:pStyle w:val="2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21F903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21F903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CE4A72"/>
    <w:multiLevelType w:val="singleLevel"/>
    <w:tmpl w:val="9DCE4A7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922D643"/>
    <w:multiLevelType w:val="singleLevel"/>
    <w:tmpl w:val="B922D643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  <w:b w:val="0"/>
        <w:bCs w:val="0"/>
      </w:rPr>
    </w:lvl>
  </w:abstractNum>
  <w:abstractNum w:abstractNumId="2">
    <w:nsid w:val="046427FC"/>
    <w:multiLevelType w:val="singleLevel"/>
    <w:tmpl w:val="046427F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xYzM3MWU2Y2Y2MGRmNWRmY2EzZWFkMDlmODQyYWYifQ=="/>
  </w:docVars>
  <w:rsids>
    <w:rsidRoot w:val="76284CE1"/>
    <w:rsid w:val="000A3765"/>
    <w:rsid w:val="001D7282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CC1A40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355AA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D1C9E"/>
    <w:rsid w:val="09377E5E"/>
    <w:rsid w:val="09383E9F"/>
    <w:rsid w:val="093907B5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43595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45E3B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8D0341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A178E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5930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4C5B0C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2D33A94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841DAD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A20908"/>
    <w:rsid w:val="2DB45073"/>
    <w:rsid w:val="2DB713DE"/>
    <w:rsid w:val="2DC72B92"/>
    <w:rsid w:val="2DE44256"/>
    <w:rsid w:val="2DE557EB"/>
    <w:rsid w:val="2DF46EC5"/>
    <w:rsid w:val="2E0449DE"/>
    <w:rsid w:val="2E0E6D42"/>
    <w:rsid w:val="2E0F4249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EFA032F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0761B5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65B74"/>
    <w:rsid w:val="314A407E"/>
    <w:rsid w:val="314F0693"/>
    <w:rsid w:val="31664C04"/>
    <w:rsid w:val="317038BB"/>
    <w:rsid w:val="317632AC"/>
    <w:rsid w:val="317958D0"/>
    <w:rsid w:val="317D7898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9B7340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410E4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86E8D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C941A8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4E5423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93272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8E5123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45E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0176E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A7F6F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534E9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B6236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3E73E4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9196C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46816"/>
    <w:rsid w:val="6DA524EE"/>
    <w:rsid w:val="6DAE5920"/>
    <w:rsid w:val="6DB664EE"/>
    <w:rsid w:val="6DC325DE"/>
    <w:rsid w:val="6DC64BAC"/>
    <w:rsid w:val="6DC91BE5"/>
    <w:rsid w:val="6DDA4BA3"/>
    <w:rsid w:val="6DE75C6B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724FA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A1281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A44B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EF68A7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C20CCC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9">
    <w:name w:val="UserStyle_0"/>
    <w:qFormat/>
    <w:uiPriority w:val="0"/>
    <w:pPr>
      <w:widowControl w:val="0"/>
      <w:spacing w:after="120" w:line="480" w:lineRule="auto"/>
      <w:ind w:left="420" w:leftChars="200" w:firstLine="880" w:firstLineChars="200"/>
      <w:jc w:val="both"/>
      <w:textAlignment w:val="baseline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customStyle="1" w:styleId="10">
    <w:name w:val="NormalCharacter"/>
    <w:link w:val="11"/>
    <w:semiHidden/>
    <w:qFormat/>
    <w:uiPriority w:val="0"/>
    <w:rPr>
      <w:rFonts w:ascii="Calibri" w:hAnsi="Calibri" w:eastAsia="宋体" w:cs="仿宋_GB2312"/>
      <w:kern w:val="2"/>
      <w:sz w:val="32"/>
      <w:szCs w:val="32"/>
      <w:lang w:val="en-US" w:eastAsia="zh-CN" w:bidi="ar-SA"/>
    </w:rPr>
  </w:style>
  <w:style w:type="paragraph" w:customStyle="1" w:styleId="11">
    <w:name w:val="UserStyle_12"/>
    <w:link w:val="10"/>
    <w:qFormat/>
    <w:uiPriority w:val="0"/>
    <w:pPr>
      <w:widowControl w:val="0"/>
      <w:adjustRightInd/>
      <w:snapToGrid/>
      <w:spacing w:after="0" w:line="400" w:lineRule="exact"/>
      <w:ind w:firstLine="880" w:firstLineChars="200"/>
      <w:jc w:val="both"/>
      <w:textAlignment w:val="baseline"/>
    </w:pPr>
    <w:rPr>
      <w:rFonts w:ascii="Calibri" w:hAnsi="Calibri" w:eastAsia="宋体" w:cs="仿宋_GB2312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6686</Words>
  <Characters>7242</Characters>
  <Lines>0</Lines>
  <Paragraphs>0</Paragraphs>
  <TotalTime>11</TotalTime>
  <ScaleCrop>false</ScaleCrop>
  <LinksUpToDate>false</LinksUpToDate>
  <CharactersWithSpaces>7330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阿朵</cp:lastModifiedBy>
  <cp:lastPrinted>2024-05-30T01:21:00Z</cp:lastPrinted>
  <dcterms:modified xsi:type="dcterms:W3CDTF">2026-08-28T05:34:58Z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4B5FDDC259FB49A4A0EBEC5A4BB60567_11</vt:lpwstr>
  </property>
  <property fmtid="{D5CDD505-2E9C-101B-9397-08002B2CF9AE}" pid="4" name="KSOTemplateDocerSaveRecord">
    <vt:lpwstr>eyJoZGlkIjoiZjFmZWIzNDg2MmIzZjExOTIzMmViNTBmYTMwYTk0ZWYiLCJ1c2VySWQiOiI2MDE2NTg1ODEifQ==</vt:lpwstr>
  </property>
</Properties>
</file>