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岳阳市岳阳楼区枫桥湖街道办事处</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60</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60</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100.00%</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2254" w:type="dxa"/>
            <w:gridSpan w:val="2"/>
            <w:vAlign w:val="center"/>
          </w:tcPr>
          <w:p w14:paraId="4F71E9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5C7E019">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1540FBB">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750" w:type="dxa"/>
            <w:gridSpan w:val="2"/>
            <w:vAlign w:val="center"/>
          </w:tcPr>
          <w:p w14:paraId="7780B7C3">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lang w:val="en-US" w:eastAsia="zh-CN" w:bidi="ar"/>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B8B122A">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6E1F59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5853D59">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79CB86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808.66</w:t>
            </w: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701</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800.26</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134EE476">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4FC6071B">
            <w:pPr>
              <w:keepNext w:val="0"/>
              <w:keepLines w:val="0"/>
              <w:widowControl/>
              <w:suppressLineNumbers w:val="0"/>
              <w:jc w:val="center"/>
              <w:textAlignment w:val="center"/>
              <w:rPr>
                <w:rFonts w:hint="default" w:ascii="宋体" w:hAnsi="宋体" w:eastAsia="宋体" w:cs="宋体"/>
                <w:color w:val="000000"/>
                <w:sz w:val="24"/>
                <w:szCs w:val="24"/>
                <w:lang w:val="en-US"/>
              </w:rPr>
            </w:pPr>
          </w:p>
        </w:tc>
        <w:tc>
          <w:tcPr>
            <w:tcW w:w="1750" w:type="dxa"/>
            <w:gridSpan w:val="2"/>
            <w:vAlign w:val="center"/>
          </w:tcPr>
          <w:p w14:paraId="1F33F3A1">
            <w:pPr>
              <w:keepNext w:val="0"/>
              <w:keepLines w:val="0"/>
              <w:widowControl/>
              <w:suppressLineNumbers w:val="0"/>
              <w:jc w:val="both"/>
              <w:textAlignment w:val="center"/>
              <w:rPr>
                <w:rFonts w:hint="default" w:ascii="宋体" w:hAnsi="宋体" w:eastAsia="宋体" w:cs="宋体"/>
                <w:color w:val="000000"/>
                <w:sz w:val="24"/>
                <w:szCs w:val="24"/>
                <w:lang w:val="en-US" w:eastAsia="zh-CN"/>
              </w:rPr>
            </w:pP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29FB08B6">
            <w:pPr>
              <w:keepNext w:val="0"/>
              <w:keepLines w:val="0"/>
              <w:widowControl/>
              <w:suppressLineNumbers w:val="0"/>
              <w:jc w:val="both"/>
              <w:textAlignment w:val="center"/>
              <w:rPr>
                <w:rFonts w:hint="default" w:ascii="宋体" w:hAnsi="宋体" w:eastAsia="宋体" w:cs="宋体"/>
                <w:color w:val="000000"/>
                <w:sz w:val="24"/>
                <w:szCs w:val="24"/>
                <w:lang w:val="en-US" w:eastAsia="zh-CN"/>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808.66</w:t>
            </w: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800.26</w:t>
            </w: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spacing w:before="143" w:line="209" w:lineRule="auto"/>
              <w:ind w:left="384"/>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lang w:val="en-US" w:eastAsia="zh-CN"/>
              </w:rPr>
              <w:t>其他残联经费</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0.9</w:t>
            </w: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0.4</w:t>
            </w: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救济费</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18.1</w:t>
            </w: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0.07</w:t>
            </w: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独生子女奖励费</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2.98</w:t>
            </w: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2.43</w:t>
            </w:r>
          </w:p>
        </w:tc>
      </w:tr>
      <w:tr w14:paraId="43DC7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69CB9480">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文明创建</w:t>
            </w:r>
          </w:p>
        </w:tc>
        <w:tc>
          <w:tcPr>
            <w:tcW w:w="1815" w:type="dxa"/>
            <w:gridSpan w:val="2"/>
            <w:shd w:val="clear" w:color="auto" w:fill="auto"/>
            <w:vAlign w:val="center"/>
          </w:tcPr>
          <w:p w14:paraId="0F7784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20.54</w:t>
            </w:r>
          </w:p>
        </w:tc>
        <w:tc>
          <w:tcPr>
            <w:tcW w:w="2254" w:type="dxa"/>
            <w:gridSpan w:val="2"/>
            <w:vAlign w:val="center"/>
          </w:tcPr>
          <w:p w14:paraId="1E68FD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783351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A99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697CDA4D">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禁违执法经费</w:t>
            </w:r>
          </w:p>
        </w:tc>
        <w:tc>
          <w:tcPr>
            <w:tcW w:w="1815" w:type="dxa"/>
            <w:gridSpan w:val="2"/>
            <w:shd w:val="clear" w:color="auto" w:fill="auto"/>
            <w:vAlign w:val="center"/>
          </w:tcPr>
          <w:p w14:paraId="025BE1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3.89</w:t>
            </w:r>
          </w:p>
        </w:tc>
        <w:tc>
          <w:tcPr>
            <w:tcW w:w="2254" w:type="dxa"/>
            <w:gridSpan w:val="2"/>
            <w:vAlign w:val="center"/>
          </w:tcPr>
          <w:p w14:paraId="79343E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376BF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AF98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15DFE69">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防疫经费</w:t>
            </w:r>
          </w:p>
        </w:tc>
        <w:tc>
          <w:tcPr>
            <w:tcW w:w="1815" w:type="dxa"/>
            <w:gridSpan w:val="2"/>
            <w:shd w:val="clear" w:color="auto" w:fill="auto"/>
            <w:vAlign w:val="center"/>
          </w:tcPr>
          <w:p w14:paraId="2C05B4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2254" w:type="dxa"/>
            <w:gridSpan w:val="2"/>
            <w:vAlign w:val="center"/>
          </w:tcPr>
          <w:p w14:paraId="41A5CA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219B57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ACF7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99B0DEF">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其他经费支出</w:t>
            </w:r>
          </w:p>
        </w:tc>
        <w:tc>
          <w:tcPr>
            <w:tcW w:w="1815" w:type="dxa"/>
            <w:gridSpan w:val="2"/>
            <w:shd w:val="clear" w:color="auto" w:fill="auto"/>
            <w:vAlign w:val="center"/>
          </w:tcPr>
          <w:p w14:paraId="45D2F5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5.57</w:t>
            </w:r>
          </w:p>
        </w:tc>
        <w:tc>
          <w:tcPr>
            <w:tcW w:w="2254" w:type="dxa"/>
            <w:gridSpan w:val="2"/>
            <w:vAlign w:val="center"/>
          </w:tcPr>
          <w:p w14:paraId="2A4EBF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47114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31.75</w:t>
            </w:r>
          </w:p>
        </w:tc>
      </w:tr>
      <w:tr w14:paraId="40B41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88FD4C6">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机关社保及工资</w:t>
            </w:r>
          </w:p>
        </w:tc>
        <w:tc>
          <w:tcPr>
            <w:tcW w:w="1815" w:type="dxa"/>
            <w:gridSpan w:val="2"/>
            <w:shd w:val="clear" w:color="auto" w:fill="auto"/>
            <w:vAlign w:val="center"/>
          </w:tcPr>
          <w:p w14:paraId="10EAD6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31.5</w:t>
            </w:r>
          </w:p>
        </w:tc>
        <w:tc>
          <w:tcPr>
            <w:tcW w:w="2254" w:type="dxa"/>
            <w:gridSpan w:val="2"/>
            <w:vAlign w:val="center"/>
          </w:tcPr>
          <w:p w14:paraId="3346C5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60846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50.96</w:t>
            </w:r>
          </w:p>
        </w:tc>
      </w:tr>
      <w:tr w14:paraId="525CB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B50D1EA">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生育关怀</w:t>
            </w:r>
          </w:p>
        </w:tc>
        <w:tc>
          <w:tcPr>
            <w:tcW w:w="1815" w:type="dxa"/>
            <w:gridSpan w:val="2"/>
            <w:shd w:val="clear" w:color="auto" w:fill="auto"/>
            <w:vAlign w:val="center"/>
          </w:tcPr>
          <w:p w14:paraId="6FBA2B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2254" w:type="dxa"/>
            <w:gridSpan w:val="2"/>
            <w:vAlign w:val="center"/>
          </w:tcPr>
          <w:p w14:paraId="252D90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49FA65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C30F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8CE14FD">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临时救助</w:t>
            </w:r>
          </w:p>
        </w:tc>
        <w:tc>
          <w:tcPr>
            <w:tcW w:w="1815" w:type="dxa"/>
            <w:gridSpan w:val="2"/>
            <w:shd w:val="clear" w:color="auto" w:fill="auto"/>
            <w:vAlign w:val="center"/>
          </w:tcPr>
          <w:p w14:paraId="6BB6EE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7.02</w:t>
            </w:r>
          </w:p>
        </w:tc>
        <w:tc>
          <w:tcPr>
            <w:tcW w:w="2254" w:type="dxa"/>
            <w:gridSpan w:val="2"/>
            <w:vAlign w:val="center"/>
          </w:tcPr>
          <w:p w14:paraId="35797D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C77F3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2.38</w:t>
            </w:r>
          </w:p>
        </w:tc>
      </w:tr>
      <w:tr w14:paraId="5CC9D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7463C628">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退役军人事务</w:t>
            </w:r>
          </w:p>
        </w:tc>
        <w:tc>
          <w:tcPr>
            <w:tcW w:w="1815" w:type="dxa"/>
            <w:gridSpan w:val="2"/>
            <w:shd w:val="clear" w:color="auto" w:fill="auto"/>
            <w:vAlign w:val="center"/>
          </w:tcPr>
          <w:p w14:paraId="1CC739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49.8</w:t>
            </w:r>
          </w:p>
        </w:tc>
        <w:tc>
          <w:tcPr>
            <w:tcW w:w="2254" w:type="dxa"/>
            <w:gridSpan w:val="2"/>
            <w:vAlign w:val="center"/>
          </w:tcPr>
          <w:p w14:paraId="18E94A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C2D55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20.84</w:t>
            </w:r>
          </w:p>
        </w:tc>
      </w:tr>
      <w:tr w14:paraId="1BCD4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0F0DA1A8">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残联专干工资</w:t>
            </w:r>
          </w:p>
        </w:tc>
        <w:tc>
          <w:tcPr>
            <w:tcW w:w="1815" w:type="dxa"/>
            <w:gridSpan w:val="2"/>
            <w:shd w:val="clear" w:color="auto" w:fill="auto"/>
            <w:vAlign w:val="center"/>
          </w:tcPr>
          <w:p w14:paraId="127FE1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4.22</w:t>
            </w:r>
          </w:p>
        </w:tc>
        <w:tc>
          <w:tcPr>
            <w:tcW w:w="2254" w:type="dxa"/>
            <w:gridSpan w:val="2"/>
            <w:vAlign w:val="center"/>
          </w:tcPr>
          <w:p w14:paraId="7CB17B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38073F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1.02</w:t>
            </w:r>
          </w:p>
        </w:tc>
      </w:tr>
      <w:tr w14:paraId="283BA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38BC5814">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信访岗位补贴</w:t>
            </w:r>
          </w:p>
        </w:tc>
        <w:tc>
          <w:tcPr>
            <w:tcW w:w="1815" w:type="dxa"/>
            <w:gridSpan w:val="2"/>
            <w:shd w:val="clear" w:color="auto" w:fill="auto"/>
            <w:vAlign w:val="center"/>
          </w:tcPr>
          <w:p w14:paraId="339918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6.8</w:t>
            </w:r>
          </w:p>
        </w:tc>
        <w:tc>
          <w:tcPr>
            <w:tcW w:w="2254" w:type="dxa"/>
            <w:gridSpan w:val="2"/>
            <w:vAlign w:val="center"/>
          </w:tcPr>
          <w:p w14:paraId="01D3C9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10CCC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0.85</w:t>
            </w:r>
          </w:p>
        </w:tc>
      </w:tr>
      <w:tr w14:paraId="51864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05A927E">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精神病人监护人看护补助</w:t>
            </w:r>
          </w:p>
        </w:tc>
        <w:tc>
          <w:tcPr>
            <w:tcW w:w="1815" w:type="dxa"/>
            <w:gridSpan w:val="2"/>
            <w:shd w:val="clear" w:color="auto" w:fill="auto"/>
            <w:vAlign w:val="center"/>
          </w:tcPr>
          <w:p w14:paraId="6FFB2D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5.58</w:t>
            </w:r>
          </w:p>
        </w:tc>
        <w:tc>
          <w:tcPr>
            <w:tcW w:w="2254" w:type="dxa"/>
            <w:gridSpan w:val="2"/>
            <w:vAlign w:val="center"/>
          </w:tcPr>
          <w:p w14:paraId="678407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96278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3FB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4F8F9DC7">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环卫经费</w:t>
            </w:r>
          </w:p>
        </w:tc>
        <w:tc>
          <w:tcPr>
            <w:tcW w:w="1815" w:type="dxa"/>
            <w:gridSpan w:val="2"/>
            <w:shd w:val="clear" w:color="auto" w:fill="auto"/>
            <w:vAlign w:val="center"/>
          </w:tcPr>
          <w:p w14:paraId="51FC87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14.81</w:t>
            </w:r>
          </w:p>
        </w:tc>
        <w:tc>
          <w:tcPr>
            <w:tcW w:w="2254" w:type="dxa"/>
            <w:gridSpan w:val="2"/>
            <w:vAlign w:val="center"/>
          </w:tcPr>
          <w:p w14:paraId="04A378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C9591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42.23</w:t>
            </w:r>
          </w:p>
        </w:tc>
      </w:tr>
      <w:tr w14:paraId="019AD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9211C9B">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环卫工人五险一金</w:t>
            </w:r>
          </w:p>
        </w:tc>
        <w:tc>
          <w:tcPr>
            <w:tcW w:w="1815" w:type="dxa"/>
            <w:gridSpan w:val="2"/>
            <w:shd w:val="clear" w:color="auto" w:fill="auto"/>
            <w:vAlign w:val="center"/>
          </w:tcPr>
          <w:p w14:paraId="4DF3D7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124.44</w:t>
            </w:r>
          </w:p>
        </w:tc>
        <w:tc>
          <w:tcPr>
            <w:tcW w:w="2254" w:type="dxa"/>
            <w:gridSpan w:val="2"/>
            <w:vAlign w:val="center"/>
          </w:tcPr>
          <w:p w14:paraId="691439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6BA79D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119.23</w:t>
            </w:r>
          </w:p>
        </w:tc>
      </w:tr>
      <w:tr w14:paraId="3D2D4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762474DD">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环卫工人工资</w:t>
            </w:r>
          </w:p>
        </w:tc>
        <w:tc>
          <w:tcPr>
            <w:tcW w:w="1815" w:type="dxa"/>
            <w:gridSpan w:val="2"/>
            <w:shd w:val="clear" w:color="auto" w:fill="auto"/>
            <w:vAlign w:val="center"/>
          </w:tcPr>
          <w:p w14:paraId="315AC1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504.56</w:t>
            </w:r>
          </w:p>
        </w:tc>
        <w:tc>
          <w:tcPr>
            <w:tcW w:w="2254" w:type="dxa"/>
            <w:gridSpan w:val="2"/>
            <w:vAlign w:val="center"/>
          </w:tcPr>
          <w:p w14:paraId="7DA6699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750" w:type="dxa"/>
            <w:gridSpan w:val="2"/>
            <w:vAlign w:val="center"/>
          </w:tcPr>
          <w:p w14:paraId="227ABE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522.57</w:t>
            </w:r>
          </w:p>
        </w:tc>
      </w:tr>
      <w:tr w14:paraId="56F51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1A791EFD">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困难家庭春节慰问</w:t>
            </w:r>
          </w:p>
        </w:tc>
        <w:tc>
          <w:tcPr>
            <w:tcW w:w="1815" w:type="dxa"/>
            <w:gridSpan w:val="2"/>
            <w:shd w:val="clear" w:color="auto" w:fill="auto"/>
            <w:vAlign w:val="center"/>
          </w:tcPr>
          <w:p w14:paraId="0BAAF5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2.65</w:t>
            </w:r>
          </w:p>
        </w:tc>
        <w:tc>
          <w:tcPr>
            <w:tcW w:w="2254" w:type="dxa"/>
            <w:gridSpan w:val="2"/>
            <w:vAlign w:val="center"/>
          </w:tcPr>
          <w:p w14:paraId="1402ED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166F33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2AA41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060DAD66">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信访救助</w:t>
            </w:r>
          </w:p>
        </w:tc>
        <w:tc>
          <w:tcPr>
            <w:tcW w:w="1815" w:type="dxa"/>
            <w:gridSpan w:val="2"/>
            <w:shd w:val="clear" w:color="auto" w:fill="auto"/>
            <w:vAlign w:val="center"/>
          </w:tcPr>
          <w:p w14:paraId="63740C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254" w:type="dxa"/>
            <w:gridSpan w:val="2"/>
            <w:vAlign w:val="center"/>
          </w:tcPr>
          <w:p w14:paraId="04D53D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029DEF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4.33</w:t>
            </w: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3850" w:type="dxa"/>
            <w:vAlign w:val="center"/>
          </w:tcPr>
          <w:p w14:paraId="096E2463">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防汛经费</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w:t>
            </w: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341.88</w:t>
            </w:r>
          </w:p>
        </w:tc>
        <w:tc>
          <w:tcPr>
            <w:tcW w:w="2254" w:type="dxa"/>
            <w:gridSpan w:val="2"/>
            <w:vAlign w:val="center"/>
          </w:tcPr>
          <w:p w14:paraId="269A957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104.4</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365.14</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15.19</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15.82</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15.82</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13.89</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10.5</w:t>
            </w: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11.5</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0.2</w:t>
            </w: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0.68</w:t>
            </w: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801.38</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214.6</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426.83</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E549C57">
            <w:pPr>
              <w:rPr>
                <w:rFonts w:hint="eastAsia" w:ascii="宋体" w:hAnsi="宋体" w:eastAsia="宋体" w:cs="宋体"/>
                <w:color w:val="000000"/>
                <w:sz w:val="24"/>
                <w:szCs w:val="24"/>
              </w:rPr>
            </w:pPr>
          </w:p>
        </w:tc>
        <w:tc>
          <w:tcPr>
            <w:tcW w:w="2254" w:type="dxa"/>
            <w:gridSpan w:val="2"/>
            <w:vAlign w:val="top"/>
          </w:tcPr>
          <w:p w14:paraId="09E890F4">
            <w:pPr>
              <w:rPr>
                <w:rFonts w:hint="eastAsia" w:ascii="宋体" w:hAnsi="宋体" w:eastAsia="宋体" w:cs="宋体"/>
                <w:color w:val="000000"/>
                <w:sz w:val="24"/>
                <w:szCs w:val="24"/>
              </w:rPr>
            </w:pPr>
          </w:p>
        </w:tc>
        <w:tc>
          <w:tcPr>
            <w:tcW w:w="1750" w:type="dxa"/>
            <w:gridSpan w:val="2"/>
            <w:vAlign w:val="top"/>
          </w:tcPr>
          <w:p w14:paraId="1B64B7EF">
            <w:pPr>
              <w:rPr>
                <w:rFonts w:hint="eastAsia" w:ascii="宋体" w:hAnsi="宋体" w:eastAsia="宋体" w:cs="宋体"/>
                <w:color w:val="000000"/>
                <w:sz w:val="24"/>
                <w:szCs w:val="24"/>
              </w:rPr>
            </w:pP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544934D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7AC41FF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785A671">
      <w:pPr>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br w:type="page"/>
      </w: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3A51A9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9"/>
              <w:spacing w:line="239" w:lineRule="exact"/>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岳阳市岳阳楼区枫桥湖街道办事处</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9"/>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997" w:type="dxa"/>
            <w:gridSpan w:val="2"/>
            <w:vAlign w:val="top"/>
          </w:tcPr>
          <w:p w14:paraId="58EA4AAC">
            <w:pPr>
              <w:pStyle w:val="9"/>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9"/>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1762.42</w:t>
            </w:r>
          </w:p>
        </w:tc>
        <w:tc>
          <w:tcPr>
            <w:tcW w:w="1212" w:type="dxa"/>
            <w:vAlign w:val="center"/>
          </w:tcPr>
          <w:p w14:paraId="122C9419">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2440.55</w:t>
            </w:r>
          </w:p>
        </w:tc>
        <w:tc>
          <w:tcPr>
            <w:tcW w:w="1286" w:type="dxa"/>
            <w:vAlign w:val="center"/>
          </w:tcPr>
          <w:p w14:paraId="3E29C04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2363.03</w:t>
            </w:r>
          </w:p>
        </w:tc>
        <w:tc>
          <w:tcPr>
            <w:tcW w:w="735" w:type="dxa"/>
            <w:vAlign w:val="center"/>
          </w:tcPr>
          <w:p w14:paraId="7CE703A1">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10</w:t>
            </w:r>
          </w:p>
        </w:tc>
        <w:tc>
          <w:tcPr>
            <w:tcW w:w="739" w:type="dxa"/>
            <w:vAlign w:val="center"/>
          </w:tcPr>
          <w:p w14:paraId="0A3E9397">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96.82%</w:t>
            </w:r>
          </w:p>
        </w:tc>
        <w:tc>
          <w:tcPr>
            <w:tcW w:w="1450" w:type="dxa"/>
            <w:vAlign w:val="center"/>
          </w:tcPr>
          <w:p w14:paraId="6CA57E7D">
            <w:pPr>
              <w:spacing w:before="21" w:line="207" w:lineRule="auto"/>
              <w:jc w:val="center"/>
              <w:rPr>
                <w:rFonts w:hint="eastAsia" w:ascii="宋体" w:hAnsi="宋体" w:eastAsia="宋体" w:cs="宋体"/>
                <w:spacing w:val="1"/>
                <w:sz w:val="19"/>
                <w:szCs w:val="19"/>
                <w:highlight w:val="none"/>
                <w:lang w:val="en-US" w:eastAsia="zh-CN"/>
              </w:rPr>
            </w:pPr>
            <w:r>
              <w:rPr>
                <w:rFonts w:hint="default" w:ascii="宋体" w:hAnsi="宋体" w:eastAsia="宋体" w:cs="宋体"/>
                <w:spacing w:val="1"/>
                <w:sz w:val="19"/>
                <w:szCs w:val="19"/>
                <w:highlight w:val="none"/>
                <w:lang w:val="en-US" w:eastAsia="zh-CN"/>
              </w:rPr>
              <w:t>9.70</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9"/>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9"/>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highlight w:val="none"/>
                <w:lang w:val="en-US" w:eastAsia="zh-CN"/>
              </w:rPr>
              <w:t>2119.55</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1562.77</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9"/>
              <w:rPr>
                <w:rFonts w:hint="eastAsia" w:ascii="宋体" w:hAnsi="宋体" w:eastAsia="宋体" w:cs="宋体"/>
              </w:rPr>
            </w:pPr>
          </w:p>
        </w:tc>
        <w:tc>
          <w:tcPr>
            <w:tcW w:w="4789" w:type="dxa"/>
            <w:gridSpan w:val="4"/>
            <w:vAlign w:val="top"/>
          </w:tcPr>
          <w:p w14:paraId="3475A9B0">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10</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800.26</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9"/>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9"/>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9"/>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233.48</w:t>
            </w:r>
          </w:p>
        </w:tc>
        <w:tc>
          <w:tcPr>
            <w:tcW w:w="4210" w:type="dxa"/>
            <w:gridSpan w:val="4"/>
            <w:vAlign w:val="top"/>
          </w:tcPr>
          <w:p w14:paraId="492CC969">
            <w:pPr>
              <w:pStyle w:val="9"/>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577D2CE9">
            <w:pPr>
              <w:pStyle w:val="9"/>
              <w:spacing w:line="242" w:lineRule="auto"/>
              <w:rPr>
                <w:rFonts w:hint="eastAsia" w:ascii="宋体" w:hAnsi="宋体" w:eastAsia="宋体" w:cs="宋体"/>
              </w:rPr>
            </w:pPr>
          </w:p>
          <w:p w14:paraId="56827C23">
            <w:pPr>
              <w:pStyle w:val="9"/>
              <w:spacing w:line="243" w:lineRule="auto"/>
              <w:rPr>
                <w:rFonts w:hint="eastAsia" w:ascii="宋体" w:hAnsi="宋体" w:eastAsia="宋体" w:cs="宋体"/>
              </w:rPr>
            </w:pPr>
          </w:p>
          <w:p w14:paraId="551FB045">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45CAEF49">
            <w:pPr>
              <w:pStyle w:val="9"/>
              <w:rPr>
                <w:rFonts w:hint="eastAsia" w:ascii="宋体" w:hAnsi="宋体" w:eastAsia="宋体" w:cs="宋体"/>
              </w:rPr>
            </w:pPr>
          </w:p>
        </w:tc>
        <w:tc>
          <w:tcPr>
            <w:tcW w:w="4789" w:type="dxa"/>
            <w:gridSpan w:val="4"/>
            <w:vAlign w:val="center"/>
          </w:tcPr>
          <w:p w14:paraId="7BE5129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1、机关运行平稳有序，及时足额发放工资、缩减三公经费和水电开支；</w:t>
            </w:r>
          </w:p>
          <w:p w14:paraId="2E9890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2、产业项目持续向好，确保旧改等项目验收合格率100%；</w:t>
            </w:r>
          </w:p>
          <w:p w14:paraId="68676F2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3、安全防线严抓不放，每年开展4次综合信访维稳工作、3次安全生产联合执法检查、2次违法建设集中整治行动；</w:t>
            </w:r>
          </w:p>
          <w:p w14:paraId="1C9AF02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4、生态环境提质提标，全年开展10次环境卫生集中整治行动；确保管辖范围内水域环境提升；</w:t>
            </w:r>
          </w:p>
          <w:p w14:paraId="42BE52F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5、公共服务增质增效，开展网格员“一日双巡”工作，确保市长信箱、“12345”信访及时回复；</w:t>
            </w:r>
          </w:p>
          <w:p w14:paraId="7F7002B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6、国防事业常抓不懈，完成大学毕业生征兵5人，增强全民国防观念；</w:t>
            </w:r>
          </w:p>
          <w:p w14:paraId="2CA2C432">
            <w:pPr>
              <w:keepNext w:val="0"/>
              <w:keepLines w:val="0"/>
              <w:widowControl/>
              <w:suppressLineNumbers w:val="0"/>
              <w:jc w:val="left"/>
              <w:textAlignment w:val="center"/>
              <w:rPr>
                <w:rFonts w:hint="default"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7、群众满意度稳步提升，服务群众最后一公里全面打通，居民群众归属感不断增强。</w:t>
            </w:r>
          </w:p>
        </w:tc>
        <w:tc>
          <w:tcPr>
            <w:tcW w:w="4210" w:type="dxa"/>
            <w:gridSpan w:val="4"/>
            <w:vAlign w:val="center"/>
          </w:tcPr>
          <w:p w14:paraId="021A7C7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1、机关运行平稳有序，及时足额发放工资、缩减三公经费和水电开支；</w:t>
            </w:r>
          </w:p>
          <w:p w14:paraId="619C0CB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2、产业项目持续向好，确保旧改等项目验收合格率100%；</w:t>
            </w:r>
          </w:p>
          <w:p w14:paraId="5146020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3、安全防线严抓不放，每年开展4次综合信访维稳工作、3次安全生产联合执法检查、2次违法建设集中整治行动；</w:t>
            </w:r>
          </w:p>
          <w:p w14:paraId="7EBB822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4、生态环境提质提标，全年开展10次环境卫生集中整治行动；确保管辖范围内水域环境提升；</w:t>
            </w:r>
          </w:p>
          <w:p w14:paraId="3B8133A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5、公共服务增质增效，开展网格员“一日双巡”工作，确保市长信箱、“12345”信访及时回复；</w:t>
            </w:r>
          </w:p>
          <w:p w14:paraId="563E622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6、国防事业常抓不懈，完成大学毕业生征兵5人，增强全民国防观念；</w:t>
            </w:r>
          </w:p>
          <w:p w14:paraId="68748D6B">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7、群众满意度稳步提升，服务群众最后一公里全面打通，居民群众归属感不断增强。</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right w:val="single" w:color="auto" w:sz="4" w:space="0"/>
            </w:tcBorders>
            <w:vAlign w:val="center"/>
          </w:tcPr>
          <w:p w14:paraId="4B110A42">
            <w:pPr>
              <w:keepNext w:val="0"/>
              <w:keepLines w:val="0"/>
              <w:widowControl/>
              <w:suppressLineNumbers w:val="0"/>
              <w:jc w:val="left"/>
              <w:textAlignment w:val="center"/>
              <w:rPr>
                <w:rFonts w:hint="eastAsia" w:ascii="宋体" w:hAnsi="宋体" w:eastAsia="宋体" w:cs="宋体"/>
              </w:rPr>
            </w:pPr>
            <w:r>
              <w:rPr>
                <w:rFonts w:hint="eastAsia" w:ascii="宋体" w:hAnsi="宋体" w:eastAsia="宋体" w:cs="宋体"/>
                <w:i w:val="0"/>
                <w:iCs w:val="0"/>
                <w:color w:val="000000"/>
                <w:kern w:val="0"/>
                <w:sz w:val="18"/>
                <w:szCs w:val="18"/>
                <w:u w:val="none"/>
                <w:lang w:val="en-US" w:eastAsia="zh-CN" w:bidi="ar"/>
              </w:rPr>
              <w:t>绩效指标</w:t>
            </w:r>
          </w:p>
        </w:tc>
        <w:tc>
          <w:tcPr>
            <w:tcW w:w="944" w:type="dxa"/>
            <w:tcBorders>
              <w:top w:val="single" w:color="auto" w:sz="4" w:space="0"/>
              <w:left w:val="single" w:color="auto" w:sz="4" w:space="0"/>
              <w:bottom w:val="single" w:color="auto" w:sz="4" w:space="0"/>
              <w:right w:val="single" w:color="auto" w:sz="4" w:space="0"/>
            </w:tcBorders>
            <w:vAlign w:val="center"/>
          </w:tcPr>
          <w:p w14:paraId="0C414F2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一级指标</w:t>
            </w:r>
          </w:p>
        </w:tc>
        <w:tc>
          <w:tcPr>
            <w:tcW w:w="1053" w:type="dxa"/>
            <w:tcBorders>
              <w:top w:val="single" w:color="auto" w:sz="4" w:space="0"/>
              <w:left w:val="single" w:color="auto" w:sz="4" w:space="0"/>
              <w:bottom w:val="single" w:color="auto" w:sz="4" w:space="0"/>
              <w:right w:val="single" w:color="auto" w:sz="4" w:space="0"/>
            </w:tcBorders>
            <w:vAlign w:val="center"/>
          </w:tcPr>
          <w:p w14:paraId="5E32652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二级指标</w:t>
            </w:r>
          </w:p>
        </w:tc>
        <w:tc>
          <w:tcPr>
            <w:tcW w:w="1580" w:type="dxa"/>
            <w:tcBorders>
              <w:left w:val="single" w:color="auto" w:sz="4" w:space="0"/>
            </w:tcBorders>
            <w:vAlign w:val="center"/>
          </w:tcPr>
          <w:p w14:paraId="4FF8658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三级指标</w:t>
            </w:r>
          </w:p>
        </w:tc>
        <w:tc>
          <w:tcPr>
            <w:tcW w:w="1212" w:type="dxa"/>
            <w:vAlign w:val="center"/>
          </w:tcPr>
          <w:p w14:paraId="497676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年度指标值</w:t>
            </w:r>
          </w:p>
        </w:tc>
        <w:tc>
          <w:tcPr>
            <w:tcW w:w="1286" w:type="dxa"/>
            <w:vAlign w:val="center"/>
          </w:tcPr>
          <w:p w14:paraId="544294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实际完成值</w:t>
            </w:r>
          </w:p>
        </w:tc>
        <w:tc>
          <w:tcPr>
            <w:tcW w:w="735" w:type="dxa"/>
            <w:vAlign w:val="center"/>
          </w:tcPr>
          <w:p w14:paraId="36EBB5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分值</w:t>
            </w:r>
          </w:p>
        </w:tc>
        <w:tc>
          <w:tcPr>
            <w:tcW w:w="739" w:type="dxa"/>
            <w:vAlign w:val="center"/>
          </w:tcPr>
          <w:p w14:paraId="60CCFA8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18"/>
                <w:szCs w:val="18"/>
                <w:u w:val="none"/>
                <w:lang w:val="en-US" w:eastAsia="zh-CN" w:bidi="ar"/>
              </w:rPr>
              <w:t>得分</w:t>
            </w:r>
          </w:p>
        </w:tc>
        <w:tc>
          <w:tcPr>
            <w:tcW w:w="1450" w:type="dxa"/>
            <w:vAlign w:val="center"/>
          </w:tcPr>
          <w:p w14:paraId="4A7EF8E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vAlign w:val="center"/>
          </w:tcPr>
          <w:p w14:paraId="772A401E">
            <w:pPr>
              <w:keepNext w:val="0"/>
              <w:keepLines w:val="0"/>
              <w:widowControl/>
              <w:suppressLineNumbers w:val="0"/>
              <w:jc w:val="left"/>
              <w:textAlignment w:val="cente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产出指标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10C9D7C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安全生产</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44427C2">
            <w:pPr>
              <w:jc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vAlign w:val="center"/>
          </w:tcPr>
          <w:p w14:paraId="29D92466">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0F335145">
            <w:pPr>
              <w:rPr>
                <w:rFonts w:hint="eastAsia" w:ascii="宋体" w:hAnsi="宋体" w:eastAsia="宋体" w:cs="宋体"/>
                <w:sz w:val="21"/>
                <w:szCs w:val="21"/>
              </w:rPr>
            </w:pP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综治信访维稳</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5</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30B6B3C1">
            <w:pPr>
              <w:jc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vAlign w:val="center"/>
          </w:tcPr>
          <w:p w14:paraId="1CFB14D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59765037">
            <w:pP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iCs w:val="0"/>
                <w:color w:val="000000"/>
                <w:kern w:val="0"/>
                <w:sz w:val="18"/>
                <w:szCs w:val="18"/>
                <w:u w:val="none"/>
                <w:lang w:val="en-US" w:eastAsia="zh-CN" w:bidi="ar"/>
              </w:rPr>
              <w:t>控建拆违整治</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2</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5EADC4FF">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vAlign w:val="center"/>
          </w:tcPr>
          <w:p w14:paraId="20C1E07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51329DB">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质量指标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旧改项目验收合格率</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79F2C4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left w:val="single" w:color="auto" w:sz="4" w:space="0"/>
              <w:right w:val="single" w:color="auto" w:sz="4" w:space="0"/>
            </w:tcBorders>
            <w:vAlign w:val="center"/>
          </w:tcPr>
          <w:p w14:paraId="368709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4B83F7DA">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6C5D1D1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时效指标</w:t>
            </w: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工资发放及时率</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100</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4FAC28F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1D1A371D">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323E4999">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效益指标</w:t>
            </w: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18"/>
                <w:szCs w:val="18"/>
                <w:u w:val="none"/>
                <w:lang w:val="en-US" w:eastAsia="zh-CN" w:bidi="ar"/>
              </w:rPr>
              <w:t>经济效益指标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营商环境优化</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促进经济发展</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得到优化</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1450" w:type="dxa"/>
            <w:vAlign w:val="center"/>
          </w:tcPr>
          <w:p w14:paraId="2B67DDA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维持良好营商环境，加大力度打击破坏市场秩序的行为</w:t>
            </w: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6CAD2B8A">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B692CEF">
            <w:pPr>
              <w:rPr>
                <w:rFonts w:hint="eastAsia" w:ascii="宋体" w:hAnsi="宋体" w:eastAsia="宋体" w:cs="宋体"/>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社会效益指标</w:t>
            </w: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保证社会治安稳定</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286" w:type="dxa"/>
            <w:vAlign w:val="center"/>
          </w:tcPr>
          <w:p w14:paraId="6529D1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稳定</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777F1D8">
            <w:pPr>
              <w:jc w:val="center"/>
              <w:rPr>
                <w:rFonts w:hint="eastAsia" w:ascii="宋体" w:hAnsi="宋体" w:eastAsia="宋体" w:cs="宋体"/>
                <w:sz w:val="21"/>
                <w:szCs w:val="21"/>
              </w:rPr>
            </w:pPr>
          </w:p>
        </w:tc>
      </w:tr>
      <w:tr w14:paraId="4B43C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74108B25">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704D34E2">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24DB7D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生态效益指标</w:t>
            </w:r>
          </w:p>
        </w:tc>
        <w:tc>
          <w:tcPr>
            <w:tcW w:w="1580" w:type="dxa"/>
            <w:tcBorders>
              <w:left w:val="single" w:color="auto" w:sz="4" w:space="0"/>
            </w:tcBorders>
            <w:vAlign w:val="center"/>
          </w:tcPr>
          <w:p w14:paraId="582D57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改善居民居住环境</w:t>
            </w:r>
          </w:p>
        </w:tc>
        <w:tc>
          <w:tcPr>
            <w:tcW w:w="1212" w:type="dxa"/>
            <w:vAlign w:val="center"/>
          </w:tcPr>
          <w:p w14:paraId="7874D9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提高生态效益</w:t>
            </w:r>
          </w:p>
        </w:tc>
        <w:tc>
          <w:tcPr>
            <w:tcW w:w="1286" w:type="dxa"/>
            <w:vAlign w:val="center"/>
          </w:tcPr>
          <w:p w14:paraId="173FDE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人居环境得到提高</w:t>
            </w:r>
          </w:p>
        </w:tc>
        <w:tc>
          <w:tcPr>
            <w:tcW w:w="735" w:type="dxa"/>
            <w:vAlign w:val="center"/>
          </w:tcPr>
          <w:p w14:paraId="4F88AE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39" w:type="dxa"/>
            <w:vAlign w:val="center"/>
          </w:tcPr>
          <w:p w14:paraId="41945C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450" w:type="dxa"/>
            <w:vAlign w:val="center"/>
          </w:tcPr>
          <w:p w14:paraId="654E8321">
            <w:pPr>
              <w:jc w:val="center"/>
              <w:rPr>
                <w:rFonts w:hint="eastAsia" w:ascii="宋体" w:hAnsi="宋体" w:eastAsia="宋体" w:cs="宋体"/>
                <w:sz w:val="21"/>
                <w:szCs w:val="21"/>
              </w:rPr>
            </w:pPr>
          </w:p>
        </w:tc>
      </w:tr>
      <w:tr w14:paraId="54DAF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2F8AAFCE">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24CDEB68">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6C80361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可持续影响指标</w:t>
            </w:r>
          </w:p>
        </w:tc>
        <w:tc>
          <w:tcPr>
            <w:tcW w:w="1580" w:type="dxa"/>
            <w:tcBorders>
              <w:left w:val="single" w:color="auto" w:sz="4" w:space="0"/>
            </w:tcBorders>
            <w:vAlign w:val="center"/>
          </w:tcPr>
          <w:p w14:paraId="0DCFBF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推新风正气、创平安</w:t>
            </w:r>
          </w:p>
        </w:tc>
        <w:tc>
          <w:tcPr>
            <w:tcW w:w="1212" w:type="dxa"/>
            <w:vAlign w:val="center"/>
          </w:tcPr>
          <w:p w14:paraId="08C7ED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推新风正气、创平安</w:t>
            </w:r>
          </w:p>
        </w:tc>
        <w:tc>
          <w:tcPr>
            <w:tcW w:w="1286" w:type="dxa"/>
            <w:vAlign w:val="center"/>
          </w:tcPr>
          <w:p w14:paraId="403A0B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有效改善</w:t>
            </w:r>
          </w:p>
        </w:tc>
        <w:tc>
          <w:tcPr>
            <w:tcW w:w="735" w:type="dxa"/>
            <w:vAlign w:val="center"/>
          </w:tcPr>
          <w:p w14:paraId="4D4564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28BFE6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24EE39EA">
            <w:pPr>
              <w:jc w:val="center"/>
              <w:rPr>
                <w:rFonts w:hint="eastAsia" w:ascii="宋体" w:hAnsi="宋体" w:eastAsia="宋体" w:cs="宋体"/>
                <w:sz w:val="21"/>
                <w:szCs w:val="21"/>
              </w:rPr>
            </w:pPr>
          </w:p>
        </w:tc>
      </w:tr>
      <w:tr w14:paraId="70F05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47FD5F8B">
            <w:pPr>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DC3E34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5C3E130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7ADD61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群众满意度</w:t>
            </w:r>
          </w:p>
        </w:tc>
        <w:tc>
          <w:tcPr>
            <w:tcW w:w="1212" w:type="dxa"/>
            <w:vAlign w:val="center"/>
          </w:tcPr>
          <w:p w14:paraId="26DEBA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1286" w:type="dxa"/>
            <w:vAlign w:val="center"/>
          </w:tcPr>
          <w:p w14:paraId="37E454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35" w:type="dxa"/>
            <w:vAlign w:val="center"/>
          </w:tcPr>
          <w:p w14:paraId="434AD5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0C586C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4FD7402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更加提高办事效率</w:t>
            </w:r>
          </w:p>
        </w:tc>
      </w:tr>
      <w:tr w14:paraId="03562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4DC4C79F">
            <w:pPr>
              <w:rPr>
                <w:rFonts w:hint="eastAsia" w:ascii="宋体" w:hAnsi="宋体" w:eastAsia="宋体" w:cs="宋体"/>
              </w:rPr>
            </w:pPr>
          </w:p>
        </w:tc>
        <w:tc>
          <w:tcPr>
            <w:tcW w:w="944" w:type="dxa"/>
            <w:vMerge w:val="restart"/>
            <w:tcBorders>
              <w:top w:val="single" w:color="auto" w:sz="4" w:space="0"/>
              <w:left w:val="single" w:color="auto" w:sz="4" w:space="0"/>
              <w:bottom w:val="single" w:color="auto" w:sz="4" w:space="0"/>
              <w:right w:val="single" w:color="auto" w:sz="4" w:space="0"/>
            </w:tcBorders>
            <w:vAlign w:val="center"/>
          </w:tcPr>
          <w:p w14:paraId="6B5DDCB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3E8A712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1580" w:type="dxa"/>
            <w:tcBorders>
              <w:left w:val="single" w:color="auto" w:sz="4" w:space="0"/>
            </w:tcBorders>
            <w:vAlign w:val="center"/>
          </w:tcPr>
          <w:p w14:paraId="1E74C4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三公经费变动率</w:t>
            </w:r>
          </w:p>
        </w:tc>
        <w:tc>
          <w:tcPr>
            <w:tcW w:w="1212" w:type="dxa"/>
            <w:vAlign w:val="center"/>
          </w:tcPr>
          <w:p w14:paraId="6E113B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1286" w:type="dxa"/>
            <w:vAlign w:val="center"/>
          </w:tcPr>
          <w:p w14:paraId="0C7B20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无变动</w:t>
            </w:r>
          </w:p>
        </w:tc>
        <w:tc>
          <w:tcPr>
            <w:tcW w:w="735" w:type="dxa"/>
            <w:vAlign w:val="center"/>
          </w:tcPr>
          <w:p w14:paraId="58E2B8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6E4C8D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30403F73">
            <w:pPr>
              <w:jc w:val="center"/>
              <w:rPr>
                <w:rFonts w:hint="eastAsia" w:ascii="宋体" w:hAnsi="宋体" w:eastAsia="宋体" w:cs="宋体"/>
                <w:sz w:val="21"/>
                <w:szCs w:val="21"/>
              </w:rPr>
            </w:pPr>
          </w:p>
        </w:tc>
      </w:tr>
      <w:tr w14:paraId="10C21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32D7C57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1C81D07E">
            <w:pP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5F6FF45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1580" w:type="dxa"/>
            <w:tcBorders>
              <w:left w:val="single" w:color="auto" w:sz="4" w:space="0"/>
            </w:tcBorders>
            <w:vAlign w:val="center"/>
          </w:tcPr>
          <w:p w14:paraId="0E6A34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社会影响</w:t>
            </w:r>
          </w:p>
        </w:tc>
        <w:tc>
          <w:tcPr>
            <w:tcW w:w="1212" w:type="dxa"/>
            <w:vAlign w:val="center"/>
          </w:tcPr>
          <w:p w14:paraId="224271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提升政府形象</w:t>
            </w:r>
          </w:p>
        </w:tc>
        <w:tc>
          <w:tcPr>
            <w:tcW w:w="1286" w:type="dxa"/>
            <w:vAlign w:val="center"/>
          </w:tcPr>
          <w:p w14:paraId="276339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已提升</w:t>
            </w:r>
          </w:p>
        </w:tc>
        <w:tc>
          <w:tcPr>
            <w:tcW w:w="735" w:type="dxa"/>
            <w:vAlign w:val="center"/>
          </w:tcPr>
          <w:p w14:paraId="50BFE4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57938C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75E94487">
            <w:pPr>
              <w:jc w:val="center"/>
              <w:rPr>
                <w:rFonts w:hint="eastAsia" w:ascii="宋体" w:hAnsi="宋体" w:eastAsia="宋体" w:cs="宋体"/>
                <w:sz w:val="21"/>
                <w:szCs w:val="21"/>
              </w:rPr>
            </w:pPr>
          </w:p>
        </w:tc>
      </w:tr>
      <w:tr w14:paraId="3DAEC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right w:val="single" w:color="auto" w:sz="4" w:space="0"/>
            </w:tcBorders>
            <w:vAlign w:val="center"/>
          </w:tcPr>
          <w:p w14:paraId="431688CD">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52A835D7">
            <w:pPr>
              <w:rPr>
                <w:rFonts w:hint="eastAsia" w:ascii="宋体" w:hAnsi="宋体" w:eastAsia="宋体" w:cs="宋体"/>
                <w:i w:val="0"/>
                <w:iCs w:val="0"/>
                <w:color w:val="000000"/>
                <w:kern w:val="0"/>
                <w:sz w:val="21"/>
                <w:szCs w:val="21"/>
                <w:u w:val="none"/>
                <w:lang w:val="en-US" w:eastAsia="zh-CN" w:bidi="ar"/>
              </w:rPr>
            </w:pP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30D650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生态环境成本指标</w:t>
            </w:r>
          </w:p>
        </w:tc>
        <w:tc>
          <w:tcPr>
            <w:tcW w:w="1580" w:type="dxa"/>
            <w:tcBorders>
              <w:left w:val="single" w:color="auto" w:sz="4" w:space="0"/>
            </w:tcBorders>
            <w:vAlign w:val="center"/>
          </w:tcPr>
          <w:p w14:paraId="0CEDF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减少用电</w:t>
            </w:r>
          </w:p>
        </w:tc>
        <w:tc>
          <w:tcPr>
            <w:tcW w:w="1212" w:type="dxa"/>
            <w:vAlign w:val="center"/>
          </w:tcPr>
          <w:p w14:paraId="3DC67E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286" w:type="dxa"/>
            <w:vAlign w:val="center"/>
          </w:tcPr>
          <w:p w14:paraId="4A54E2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735" w:type="dxa"/>
            <w:vAlign w:val="center"/>
          </w:tcPr>
          <w:p w14:paraId="5F0F59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56CD30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450" w:type="dxa"/>
            <w:vAlign w:val="center"/>
          </w:tcPr>
          <w:p w14:paraId="6E89E60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18"/>
                <w:szCs w:val="18"/>
                <w:u w:val="none"/>
                <w:lang w:val="en-US" w:eastAsia="zh-CN" w:bidi="ar"/>
              </w:rPr>
              <w:t>没有明显减少用电，措施：加大宣传节约用电，大力监督下班关电情况。</w:t>
            </w:r>
          </w:p>
        </w:tc>
      </w:tr>
      <w:tr w14:paraId="7301E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left w:val="single" w:color="auto" w:sz="4" w:space="0"/>
              <w:bottom w:val="single" w:color="auto" w:sz="4" w:space="0"/>
              <w:right w:val="single" w:color="auto" w:sz="4" w:space="0"/>
            </w:tcBorders>
            <w:vAlign w:val="center"/>
          </w:tcPr>
          <w:p w14:paraId="1513D141">
            <w:pPr>
              <w:rPr>
                <w:rFonts w:hint="eastAsia" w:ascii="宋体" w:hAnsi="宋体" w:eastAsia="宋体" w:cs="宋体"/>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14:paraId="639F5F56">
            <w:pP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87EB26D">
            <w:pP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0D45B8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减少用水</w:t>
            </w:r>
          </w:p>
        </w:tc>
        <w:tc>
          <w:tcPr>
            <w:tcW w:w="1212" w:type="dxa"/>
            <w:vAlign w:val="center"/>
          </w:tcPr>
          <w:p w14:paraId="41ED18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286" w:type="dxa"/>
            <w:vAlign w:val="center"/>
          </w:tcPr>
          <w:p w14:paraId="36FB00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35" w:type="dxa"/>
            <w:vAlign w:val="center"/>
          </w:tcPr>
          <w:p w14:paraId="1EBB25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739" w:type="dxa"/>
            <w:vAlign w:val="center"/>
          </w:tcPr>
          <w:p w14:paraId="54E72F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450" w:type="dxa"/>
            <w:vAlign w:val="center"/>
          </w:tcPr>
          <w:p w14:paraId="476BFA80">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95.7</w:t>
            </w:r>
          </w:p>
        </w:tc>
        <w:tc>
          <w:tcPr>
            <w:tcW w:w="1450" w:type="dxa"/>
            <w:vAlign w:val="top"/>
          </w:tcPr>
          <w:p w14:paraId="433EE453">
            <w:pPr>
              <w:pStyle w:val="9"/>
              <w:rPr>
                <w:rFonts w:hint="eastAsia" w:ascii="宋体" w:hAnsi="宋体" w:eastAsia="宋体" w:cs="宋体"/>
              </w:rPr>
            </w:pPr>
          </w:p>
        </w:tc>
      </w:tr>
    </w:tbl>
    <w:p w14:paraId="1D36978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F90F665">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83AEB26">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310" w:left="1111" w:header="0" w:footer="1020" w:gutter="0"/>
          <w:pgNumType w:fmt="decimal"/>
          <w:cols w:space="0" w:num="1"/>
          <w:rtlGutter w:val="0"/>
          <w:docGrid w:linePitch="0" w:charSpace="0"/>
        </w:sectPr>
      </w:pPr>
    </w:p>
    <w:p w14:paraId="2239A488">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3-1</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128"/>
        <w:gridCol w:w="1116"/>
        <w:gridCol w:w="960"/>
        <w:gridCol w:w="980"/>
        <w:gridCol w:w="1309"/>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9"/>
              <w:jc w:val="center"/>
              <w:rPr>
                <w:rFonts w:hint="eastAsia" w:ascii="宋体" w:hAnsi="宋体" w:eastAsia="宋体" w:cs="宋体"/>
                <w:lang w:val="en-US" w:eastAsia="zh-CN"/>
              </w:rPr>
            </w:pPr>
            <w:r>
              <w:rPr>
                <w:rFonts w:hint="eastAsia" w:ascii="宋体" w:hAnsi="宋体" w:eastAsia="宋体" w:cs="宋体"/>
                <w:lang w:val="en-US" w:eastAsia="zh-CN"/>
              </w:rPr>
              <w:t>业务工作经费</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406" w:type="dxa"/>
            <w:gridSpan w:val="4"/>
            <w:vAlign w:val="top"/>
          </w:tcPr>
          <w:p w14:paraId="7BB208D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岳阳市岳阳楼区枫桥湖街道办事处</w:t>
            </w:r>
          </w:p>
        </w:tc>
        <w:tc>
          <w:tcPr>
            <w:tcW w:w="1116"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49" w:type="dxa"/>
            <w:gridSpan w:val="3"/>
            <w:vAlign w:val="top"/>
          </w:tcPr>
          <w:p w14:paraId="7A57E674">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岳阳市岳阳楼区枫桥湖街道办事处</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9"/>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28"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16"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960"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9"/>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33A072F6">
            <w:pPr>
              <w:keepNext w:val="0"/>
              <w:keepLines w:val="0"/>
              <w:widowControl/>
              <w:suppressLineNumbers w:val="0"/>
              <w:jc w:val="center"/>
              <w:textAlignment w:val="center"/>
              <w:rPr>
                <w:rFonts w:hint="default" w:ascii="宋体" w:hAnsi="宋体" w:eastAsia="宋体" w:cs="宋体"/>
                <w:sz w:val="19"/>
                <w:szCs w:val="19"/>
                <w:lang w:val="en-US" w:eastAsia="zh-CN"/>
              </w:rPr>
            </w:pPr>
          </w:p>
        </w:tc>
        <w:tc>
          <w:tcPr>
            <w:tcW w:w="1128" w:type="dxa"/>
            <w:vAlign w:val="center"/>
          </w:tcPr>
          <w:p w14:paraId="127FE77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5</w:t>
            </w:r>
          </w:p>
        </w:tc>
        <w:tc>
          <w:tcPr>
            <w:tcW w:w="1116" w:type="dxa"/>
            <w:vAlign w:val="center"/>
          </w:tcPr>
          <w:p w14:paraId="0A7D30F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5</w:t>
            </w:r>
          </w:p>
        </w:tc>
        <w:tc>
          <w:tcPr>
            <w:tcW w:w="960" w:type="dxa"/>
            <w:vAlign w:val="center"/>
          </w:tcPr>
          <w:p w14:paraId="48ED08E8">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5C211E40">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396B5D3C">
            <w:pPr>
              <w:keepNext w:val="0"/>
              <w:keepLines w:val="0"/>
              <w:widowControl/>
              <w:suppressLineNumbers w:val="0"/>
              <w:jc w:val="center"/>
              <w:textAlignment w:val="center"/>
              <w:rPr>
                <w:rFonts w:hint="default"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9"/>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4E78779">
            <w:pPr>
              <w:keepNext w:val="0"/>
              <w:keepLines w:val="0"/>
              <w:widowControl/>
              <w:suppressLineNumbers w:val="0"/>
              <w:jc w:val="center"/>
              <w:textAlignment w:val="center"/>
              <w:rPr>
                <w:rFonts w:hint="default" w:ascii="宋体" w:hAnsi="宋体" w:eastAsia="宋体" w:cs="宋体"/>
                <w:sz w:val="19"/>
                <w:szCs w:val="19"/>
                <w:lang w:val="en-US"/>
              </w:rPr>
            </w:pPr>
          </w:p>
        </w:tc>
        <w:tc>
          <w:tcPr>
            <w:tcW w:w="1128" w:type="dxa"/>
            <w:vAlign w:val="center"/>
          </w:tcPr>
          <w:p w14:paraId="0343922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1116" w:type="dxa"/>
            <w:vAlign w:val="center"/>
          </w:tcPr>
          <w:p w14:paraId="4381A9B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5</w:t>
            </w:r>
          </w:p>
        </w:tc>
        <w:tc>
          <w:tcPr>
            <w:tcW w:w="960" w:type="dxa"/>
            <w:vAlign w:val="top"/>
          </w:tcPr>
          <w:p w14:paraId="47C6F8E2">
            <w:pPr>
              <w:pStyle w:val="9"/>
              <w:rPr>
                <w:rFonts w:hint="eastAsia" w:ascii="宋体" w:hAnsi="宋体" w:eastAsia="宋体" w:cs="宋体"/>
                <w:sz w:val="19"/>
                <w:szCs w:val="19"/>
              </w:rPr>
            </w:pPr>
          </w:p>
        </w:tc>
        <w:tc>
          <w:tcPr>
            <w:tcW w:w="980" w:type="dxa"/>
            <w:vAlign w:val="top"/>
          </w:tcPr>
          <w:p w14:paraId="297386A5">
            <w:pPr>
              <w:pStyle w:val="9"/>
              <w:rPr>
                <w:rFonts w:hint="eastAsia" w:ascii="宋体" w:hAnsi="宋体" w:eastAsia="宋体" w:cs="宋体"/>
                <w:sz w:val="19"/>
                <w:szCs w:val="19"/>
              </w:rPr>
            </w:pPr>
          </w:p>
        </w:tc>
        <w:tc>
          <w:tcPr>
            <w:tcW w:w="1309" w:type="dxa"/>
            <w:vAlign w:val="top"/>
          </w:tcPr>
          <w:p w14:paraId="104708F6">
            <w:pPr>
              <w:pStyle w:val="9"/>
              <w:rPr>
                <w:rFonts w:hint="eastAsia" w:ascii="宋体" w:hAnsi="宋体" w:eastAsia="宋体" w:cs="宋体"/>
                <w:sz w:val="19"/>
                <w:szCs w:val="19"/>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9"/>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375DE767">
            <w:pPr>
              <w:keepNext w:val="0"/>
              <w:keepLines w:val="0"/>
              <w:widowControl/>
              <w:suppressLineNumbers w:val="0"/>
              <w:jc w:val="center"/>
              <w:textAlignment w:val="center"/>
              <w:rPr>
                <w:rFonts w:hint="eastAsia" w:ascii="宋体" w:hAnsi="宋体" w:eastAsia="宋体" w:cs="宋体"/>
                <w:sz w:val="19"/>
                <w:szCs w:val="19"/>
              </w:rPr>
            </w:pPr>
          </w:p>
        </w:tc>
        <w:tc>
          <w:tcPr>
            <w:tcW w:w="1128" w:type="dxa"/>
            <w:vAlign w:val="center"/>
          </w:tcPr>
          <w:p w14:paraId="46EE1AD1">
            <w:pPr>
              <w:keepNext w:val="0"/>
              <w:keepLines w:val="0"/>
              <w:widowControl/>
              <w:suppressLineNumbers w:val="0"/>
              <w:jc w:val="center"/>
              <w:textAlignment w:val="center"/>
              <w:rPr>
                <w:rFonts w:hint="eastAsia" w:ascii="宋体" w:hAnsi="宋体" w:eastAsia="宋体" w:cs="宋体"/>
                <w:sz w:val="19"/>
                <w:szCs w:val="19"/>
              </w:rPr>
            </w:pPr>
          </w:p>
        </w:tc>
        <w:tc>
          <w:tcPr>
            <w:tcW w:w="1116" w:type="dxa"/>
            <w:vAlign w:val="center"/>
          </w:tcPr>
          <w:p w14:paraId="756E5E75">
            <w:pPr>
              <w:keepNext w:val="0"/>
              <w:keepLines w:val="0"/>
              <w:widowControl/>
              <w:suppressLineNumbers w:val="0"/>
              <w:jc w:val="center"/>
              <w:textAlignment w:val="center"/>
              <w:rPr>
                <w:rFonts w:hint="eastAsia" w:ascii="宋体" w:hAnsi="宋体" w:eastAsia="宋体" w:cs="宋体"/>
                <w:sz w:val="19"/>
                <w:szCs w:val="19"/>
              </w:rPr>
            </w:pPr>
          </w:p>
        </w:tc>
        <w:tc>
          <w:tcPr>
            <w:tcW w:w="960" w:type="dxa"/>
            <w:vAlign w:val="top"/>
          </w:tcPr>
          <w:p w14:paraId="1F9B036A">
            <w:pPr>
              <w:pStyle w:val="9"/>
              <w:rPr>
                <w:rFonts w:hint="eastAsia" w:ascii="宋体" w:hAnsi="宋体" w:eastAsia="宋体" w:cs="宋体"/>
                <w:sz w:val="19"/>
                <w:szCs w:val="19"/>
              </w:rPr>
            </w:pPr>
          </w:p>
        </w:tc>
        <w:tc>
          <w:tcPr>
            <w:tcW w:w="980" w:type="dxa"/>
            <w:vAlign w:val="top"/>
          </w:tcPr>
          <w:p w14:paraId="0A72949A">
            <w:pPr>
              <w:pStyle w:val="9"/>
              <w:rPr>
                <w:rFonts w:hint="eastAsia" w:ascii="宋体" w:hAnsi="宋体" w:eastAsia="宋体" w:cs="宋体"/>
                <w:sz w:val="19"/>
                <w:szCs w:val="19"/>
              </w:rPr>
            </w:pPr>
          </w:p>
        </w:tc>
        <w:tc>
          <w:tcPr>
            <w:tcW w:w="1309" w:type="dxa"/>
            <w:vAlign w:val="top"/>
          </w:tcPr>
          <w:p w14:paraId="5ECE096B">
            <w:pPr>
              <w:pStyle w:val="9"/>
              <w:rPr>
                <w:rFonts w:hint="eastAsia" w:ascii="宋体" w:hAnsi="宋体" w:eastAsia="宋体" w:cs="宋体"/>
                <w:sz w:val="19"/>
                <w:szCs w:val="19"/>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9"/>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43569D67">
            <w:pPr>
              <w:keepNext w:val="0"/>
              <w:keepLines w:val="0"/>
              <w:widowControl/>
              <w:suppressLineNumbers w:val="0"/>
              <w:jc w:val="center"/>
              <w:textAlignment w:val="center"/>
              <w:rPr>
                <w:rFonts w:hint="eastAsia" w:ascii="宋体" w:hAnsi="宋体" w:eastAsia="宋体" w:cs="宋体"/>
                <w:sz w:val="19"/>
                <w:szCs w:val="19"/>
              </w:rPr>
            </w:pPr>
          </w:p>
        </w:tc>
        <w:tc>
          <w:tcPr>
            <w:tcW w:w="1128" w:type="dxa"/>
            <w:vAlign w:val="center"/>
          </w:tcPr>
          <w:p w14:paraId="05A2BEB9">
            <w:pPr>
              <w:keepNext w:val="0"/>
              <w:keepLines w:val="0"/>
              <w:widowControl/>
              <w:suppressLineNumbers w:val="0"/>
              <w:jc w:val="center"/>
              <w:textAlignment w:val="center"/>
              <w:rPr>
                <w:rFonts w:hint="eastAsia" w:ascii="宋体" w:hAnsi="宋体" w:eastAsia="宋体" w:cs="宋体"/>
                <w:sz w:val="19"/>
                <w:szCs w:val="19"/>
              </w:rPr>
            </w:pPr>
          </w:p>
        </w:tc>
        <w:tc>
          <w:tcPr>
            <w:tcW w:w="1116" w:type="dxa"/>
            <w:vAlign w:val="center"/>
          </w:tcPr>
          <w:p w14:paraId="78C8F7D2">
            <w:pPr>
              <w:keepNext w:val="0"/>
              <w:keepLines w:val="0"/>
              <w:widowControl/>
              <w:suppressLineNumbers w:val="0"/>
              <w:jc w:val="center"/>
              <w:textAlignment w:val="center"/>
              <w:rPr>
                <w:rFonts w:hint="eastAsia" w:ascii="宋体" w:hAnsi="宋体" w:eastAsia="宋体" w:cs="宋体"/>
                <w:sz w:val="19"/>
                <w:szCs w:val="19"/>
              </w:rPr>
            </w:pPr>
          </w:p>
        </w:tc>
        <w:tc>
          <w:tcPr>
            <w:tcW w:w="960" w:type="dxa"/>
            <w:vAlign w:val="top"/>
          </w:tcPr>
          <w:p w14:paraId="6EEC7306">
            <w:pPr>
              <w:pStyle w:val="9"/>
              <w:rPr>
                <w:rFonts w:hint="eastAsia" w:ascii="宋体" w:hAnsi="宋体" w:eastAsia="宋体" w:cs="宋体"/>
                <w:sz w:val="19"/>
                <w:szCs w:val="19"/>
              </w:rPr>
            </w:pPr>
          </w:p>
        </w:tc>
        <w:tc>
          <w:tcPr>
            <w:tcW w:w="980" w:type="dxa"/>
            <w:vAlign w:val="top"/>
          </w:tcPr>
          <w:p w14:paraId="6C9BE358">
            <w:pPr>
              <w:pStyle w:val="9"/>
              <w:rPr>
                <w:rFonts w:hint="eastAsia" w:ascii="宋体" w:hAnsi="宋体" w:eastAsia="宋体" w:cs="宋体"/>
                <w:sz w:val="19"/>
                <w:szCs w:val="19"/>
              </w:rPr>
            </w:pPr>
          </w:p>
        </w:tc>
        <w:tc>
          <w:tcPr>
            <w:tcW w:w="1309" w:type="dxa"/>
            <w:vAlign w:val="top"/>
          </w:tcPr>
          <w:p w14:paraId="666B0CDF">
            <w:pPr>
              <w:pStyle w:val="9"/>
              <w:rPr>
                <w:rFonts w:hint="eastAsia" w:ascii="宋体" w:hAnsi="宋体" w:eastAsia="宋体" w:cs="宋体"/>
                <w:sz w:val="19"/>
                <w:szCs w:val="19"/>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406"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65"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9"/>
              <w:rPr>
                <w:rFonts w:hint="eastAsia" w:ascii="宋体" w:hAnsi="宋体" w:eastAsia="宋体" w:cs="宋体"/>
              </w:rPr>
            </w:pPr>
          </w:p>
        </w:tc>
        <w:tc>
          <w:tcPr>
            <w:tcW w:w="4406" w:type="dxa"/>
            <w:gridSpan w:val="4"/>
            <w:vAlign w:val="center"/>
          </w:tcPr>
          <w:p w14:paraId="62F45D17">
            <w:pPr>
              <w:keepNext w:val="0"/>
              <w:keepLines w:val="0"/>
              <w:widowControl/>
              <w:suppressLineNumbers w:val="0"/>
              <w:jc w:val="left"/>
              <w:textAlignment w:val="center"/>
              <w:rPr>
                <w:rFonts w:hint="eastAsia" w:ascii="宋体" w:hAnsi="宋体" w:eastAsia="宋体" w:cs="宋体"/>
                <w:i w:val="0"/>
                <w:iCs w:val="0"/>
                <w:color w:val="000000"/>
                <w:kern w:val="0"/>
                <w:sz w:val="19"/>
                <w:szCs w:val="19"/>
                <w:u w:val="none"/>
                <w:lang w:val="en-US" w:eastAsia="zh-CN" w:bidi="ar"/>
              </w:rPr>
            </w:pPr>
            <w:r>
              <w:rPr>
                <w:rFonts w:hint="eastAsia" w:ascii="宋体" w:hAnsi="宋体" w:eastAsia="宋体" w:cs="宋体"/>
                <w:i w:val="0"/>
                <w:iCs w:val="0"/>
                <w:color w:val="000000"/>
                <w:kern w:val="0"/>
                <w:sz w:val="19"/>
                <w:szCs w:val="19"/>
                <w:u w:val="none"/>
                <w:lang w:val="en-US" w:eastAsia="zh-CN" w:bidi="ar"/>
              </w:rPr>
              <w:t>完成街道基层民兵队伍建设、民兵军事训练、兵役登记与征兵等工作。1、加强领导、努力提高党管武装工作水平。明确分工，量化到人。整顿组织、强化队伍。加强学教、提高战斗力。2、加强民兵建设，着力提高队伍建设质效。领导重视，认识端正，以落实上级指示为目标抓好民兵整组工作。加强宣传，营造氛围，以增强全民国防观念为目标抓好民兵整组工作。3、加大财政投入，巩固武装工作阵地。加强硬件建设，巩固民兵阵地。做好拥军优属工作，巩固国防建设。</w:t>
            </w:r>
          </w:p>
          <w:p w14:paraId="72223BA9">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完成辖区禁违控违日常巡查和专项整治工作。</w:t>
            </w:r>
          </w:p>
        </w:tc>
        <w:tc>
          <w:tcPr>
            <w:tcW w:w="4365" w:type="dxa"/>
            <w:gridSpan w:val="4"/>
            <w:vAlign w:val="center"/>
          </w:tcPr>
          <w:p w14:paraId="058E4203">
            <w:pPr>
              <w:keepNext w:val="0"/>
              <w:keepLines w:val="0"/>
              <w:widowControl/>
              <w:suppressLineNumbers w:val="0"/>
              <w:jc w:val="left"/>
              <w:textAlignment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已完成</w:t>
            </w: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vAlign w:val="center"/>
          </w:tcPr>
          <w:p w14:paraId="311A278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2"/>
                <w:szCs w:val="22"/>
                <w:u w:val="none"/>
                <w:lang w:val="en-US" w:eastAsia="zh-CN" w:bidi="ar"/>
              </w:rPr>
              <w:t>绩效指标</w:t>
            </w:r>
          </w:p>
        </w:tc>
        <w:tc>
          <w:tcPr>
            <w:tcW w:w="1079" w:type="dxa"/>
            <w:tcBorders>
              <w:bottom w:val="single" w:color="auto" w:sz="4" w:space="0"/>
            </w:tcBorders>
            <w:vAlign w:val="center"/>
          </w:tcPr>
          <w:p w14:paraId="0A901637">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一级指标</w:t>
            </w:r>
          </w:p>
        </w:tc>
        <w:tc>
          <w:tcPr>
            <w:tcW w:w="955" w:type="dxa"/>
            <w:tcBorders>
              <w:bottom w:val="single" w:color="auto" w:sz="4" w:space="0"/>
            </w:tcBorders>
            <w:vAlign w:val="center"/>
          </w:tcPr>
          <w:p w14:paraId="2153AFB2">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二级指标</w:t>
            </w:r>
          </w:p>
        </w:tc>
        <w:tc>
          <w:tcPr>
            <w:tcW w:w="1244" w:type="dxa"/>
            <w:tcBorders>
              <w:bottom w:val="single" w:color="auto" w:sz="4" w:space="0"/>
            </w:tcBorders>
            <w:vAlign w:val="center"/>
          </w:tcPr>
          <w:p w14:paraId="00804442">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三级指标</w:t>
            </w:r>
          </w:p>
        </w:tc>
        <w:tc>
          <w:tcPr>
            <w:tcW w:w="1128" w:type="dxa"/>
            <w:tcBorders>
              <w:bottom w:val="single" w:color="auto" w:sz="4" w:space="0"/>
            </w:tcBorders>
            <w:vAlign w:val="center"/>
          </w:tcPr>
          <w:p w14:paraId="548ED79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年度指标值</w:t>
            </w:r>
          </w:p>
        </w:tc>
        <w:tc>
          <w:tcPr>
            <w:tcW w:w="1116" w:type="dxa"/>
            <w:tcBorders>
              <w:bottom w:val="single" w:color="auto" w:sz="4" w:space="0"/>
            </w:tcBorders>
            <w:vAlign w:val="center"/>
          </w:tcPr>
          <w:p w14:paraId="3BE5356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实际完成值</w:t>
            </w:r>
          </w:p>
        </w:tc>
        <w:tc>
          <w:tcPr>
            <w:tcW w:w="960" w:type="dxa"/>
            <w:tcBorders>
              <w:bottom w:val="single" w:color="auto" w:sz="4" w:space="0"/>
            </w:tcBorders>
            <w:vAlign w:val="center"/>
          </w:tcPr>
          <w:p w14:paraId="0C3865E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分值</w:t>
            </w:r>
          </w:p>
        </w:tc>
        <w:tc>
          <w:tcPr>
            <w:tcW w:w="980" w:type="dxa"/>
            <w:tcBorders>
              <w:bottom w:val="single" w:color="auto" w:sz="4" w:space="0"/>
            </w:tcBorders>
            <w:vAlign w:val="center"/>
          </w:tcPr>
          <w:p w14:paraId="58E89B74">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22"/>
                <w:szCs w:val="22"/>
                <w:u w:val="none"/>
                <w:lang w:val="en-US" w:eastAsia="zh-CN" w:bidi="ar"/>
              </w:rPr>
              <w:t>得分</w:t>
            </w:r>
          </w:p>
        </w:tc>
        <w:tc>
          <w:tcPr>
            <w:tcW w:w="1309" w:type="dxa"/>
            <w:tcBorders>
              <w:bottom w:val="single" w:color="auto" w:sz="4" w:space="0"/>
            </w:tcBorders>
            <w:vAlign w:val="center"/>
          </w:tcPr>
          <w:p w14:paraId="0DD3FC6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07DEE20A">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CE6451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64AD434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67D54B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大学毕业生征兵人数</w:t>
            </w:r>
          </w:p>
        </w:tc>
        <w:tc>
          <w:tcPr>
            <w:tcW w:w="1128" w:type="dxa"/>
            <w:tcBorders>
              <w:top w:val="single" w:color="auto" w:sz="4" w:space="0"/>
              <w:left w:val="single" w:color="auto" w:sz="4" w:space="0"/>
              <w:bottom w:val="single" w:color="auto" w:sz="4" w:space="0"/>
              <w:right w:val="single" w:color="auto" w:sz="4" w:space="0"/>
            </w:tcBorders>
            <w:vAlign w:val="center"/>
          </w:tcPr>
          <w:p w14:paraId="32D24BC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1116" w:type="dxa"/>
            <w:tcBorders>
              <w:top w:val="single" w:color="auto" w:sz="4" w:space="0"/>
              <w:left w:val="single" w:color="auto" w:sz="4" w:space="0"/>
              <w:bottom w:val="single" w:color="auto" w:sz="4" w:space="0"/>
              <w:right w:val="single" w:color="auto" w:sz="4" w:space="0"/>
            </w:tcBorders>
            <w:vAlign w:val="center"/>
          </w:tcPr>
          <w:p w14:paraId="361A8AB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60" w:type="dxa"/>
            <w:tcBorders>
              <w:top w:val="single" w:color="auto" w:sz="4" w:space="0"/>
              <w:left w:val="single" w:color="auto" w:sz="4" w:space="0"/>
              <w:bottom w:val="single" w:color="auto" w:sz="4" w:space="0"/>
              <w:right w:val="single" w:color="auto" w:sz="4" w:space="0"/>
            </w:tcBorders>
            <w:vAlign w:val="center"/>
          </w:tcPr>
          <w:p w14:paraId="3291A3A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C51F32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A88DDF7">
            <w:pPr>
              <w:jc w:val="center"/>
              <w:rPr>
                <w:rFonts w:hint="eastAsia" w:ascii="宋体" w:hAnsi="宋体" w:eastAsia="宋体" w:cs="宋体"/>
                <w:sz w:val="18"/>
                <w:szCs w:val="18"/>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4E416278">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4881A5">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13E32DF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579FED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辖区国防教育效果明显</w:t>
            </w:r>
          </w:p>
        </w:tc>
        <w:tc>
          <w:tcPr>
            <w:tcW w:w="1128" w:type="dxa"/>
            <w:tcBorders>
              <w:top w:val="single" w:color="auto" w:sz="4" w:space="0"/>
              <w:left w:val="single" w:color="auto" w:sz="4" w:space="0"/>
              <w:bottom w:val="single" w:color="auto" w:sz="4" w:space="0"/>
              <w:right w:val="single" w:color="auto" w:sz="4" w:space="0"/>
            </w:tcBorders>
            <w:vAlign w:val="center"/>
          </w:tcPr>
          <w:p w14:paraId="767F6D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auto" w:sz="4" w:space="0"/>
              <w:left w:val="single" w:color="auto" w:sz="4" w:space="0"/>
              <w:bottom w:val="single" w:color="auto" w:sz="4" w:space="0"/>
              <w:right w:val="single" w:color="auto" w:sz="4" w:space="0"/>
            </w:tcBorders>
            <w:vAlign w:val="center"/>
          </w:tcPr>
          <w:p w14:paraId="28B469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vAlign w:val="center"/>
          </w:tcPr>
          <w:p w14:paraId="3709EE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1A52A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4A2238AE">
            <w:pPr>
              <w:jc w:val="center"/>
              <w:rPr>
                <w:rFonts w:hint="eastAsia" w:ascii="宋体" w:hAnsi="宋体" w:eastAsia="宋体" w:cs="宋体"/>
                <w:sz w:val="18"/>
                <w:szCs w:val="18"/>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vAlign w:val="center"/>
          </w:tcPr>
          <w:p w14:paraId="291BA64C">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DB476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7EE0C6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A5F43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工作完成时效</w:t>
            </w:r>
          </w:p>
        </w:tc>
        <w:tc>
          <w:tcPr>
            <w:tcW w:w="1128" w:type="dxa"/>
            <w:tcBorders>
              <w:top w:val="single" w:color="auto" w:sz="4" w:space="0"/>
              <w:left w:val="single" w:color="auto" w:sz="4" w:space="0"/>
              <w:bottom w:val="single" w:color="auto" w:sz="4" w:space="0"/>
              <w:right w:val="single" w:color="auto" w:sz="4" w:space="0"/>
            </w:tcBorders>
            <w:vAlign w:val="center"/>
          </w:tcPr>
          <w:p w14:paraId="34A3FF7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auto" w:sz="4" w:space="0"/>
              <w:left w:val="single" w:color="auto" w:sz="4" w:space="0"/>
              <w:bottom w:val="single" w:color="auto" w:sz="4" w:space="0"/>
              <w:right w:val="single" w:color="auto" w:sz="4" w:space="0"/>
            </w:tcBorders>
            <w:vAlign w:val="center"/>
          </w:tcPr>
          <w:p w14:paraId="2CD24D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vAlign w:val="center"/>
          </w:tcPr>
          <w:p w14:paraId="271040C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781C44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243929F5">
            <w:pPr>
              <w:jc w:val="center"/>
              <w:rPr>
                <w:rFonts w:hint="eastAsia" w:ascii="宋体" w:hAnsi="宋体" w:eastAsia="宋体" w:cs="宋体"/>
                <w:sz w:val="18"/>
                <w:szCs w:val="18"/>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1698FC92">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A12340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720C563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7C1D3F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居民收入提高、企业减负</w:t>
            </w:r>
          </w:p>
        </w:tc>
        <w:tc>
          <w:tcPr>
            <w:tcW w:w="1128" w:type="dxa"/>
            <w:tcBorders>
              <w:top w:val="single" w:color="auto" w:sz="4" w:space="0"/>
              <w:left w:val="single" w:color="auto" w:sz="4" w:space="0"/>
              <w:bottom w:val="single" w:color="auto" w:sz="4" w:space="0"/>
              <w:right w:val="single" w:color="auto" w:sz="4" w:space="0"/>
            </w:tcBorders>
            <w:vAlign w:val="center"/>
          </w:tcPr>
          <w:p w14:paraId="15870B3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16" w:type="dxa"/>
            <w:tcBorders>
              <w:top w:val="single" w:color="auto" w:sz="4" w:space="0"/>
              <w:left w:val="single" w:color="auto" w:sz="4" w:space="0"/>
              <w:bottom w:val="single" w:color="auto" w:sz="4" w:space="0"/>
              <w:right w:val="single" w:color="auto" w:sz="4" w:space="0"/>
            </w:tcBorders>
            <w:vAlign w:val="center"/>
          </w:tcPr>
          <w:p w14:paraId="7DBE7A6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达到95%</w:t>
            </w:r>
          </w:p>
        </w:tc>
        <w:tc>
          <w:tcPr>
            <w:tcW w:w="960" w:type="dxa"/>
            <w:tcBorders>
              <w:top w:val="single" w:color="auto" w:sz="4" w:space="0"/>
              <w:left w:val="single" w:color="auto" w:sz="4" w:space="0"/>
              <w:bottom w:val="single" w:color="auto" w:sz="4" w:space="0"/>
              <w:right w:val="single" w:color="auto" w:sz="4" w:space="0"/>
            </w:tcBorders>
            <w:vAlign w:val="center"/>
          </w:tcPr>
          <w:p w14:paraId="255373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1F26294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01BC398">
            <w:pPr>
              <w:jc w:val="center"/>
              <w:rPr>
                <w:rFonts w:hint="eastAsia" w:ascii="宋体" w:hAnsi="宋体" w:eastAsia="宋体" w:cs="宋体"/>
                <w:sz w:val="18"/>
                <w:szCs w:val="18"/>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5A3588F5">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AB3C8F">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C6217D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42FE2186">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社会治安、民生服务</w:t>
            </w:r>
          </w:p>
        </w:tc>
        <w:tc>
          <w:tcPr>
            <w:tcW w:w="1128" w:type="dxa"/>
            <w:tcBorders>
              <w:top w:val="single" w:color="auto" w:sz="4" w:space="0"/>
              <w:left w:val="single" w:color="auto" w:sz="4" w:space="0"/>
              <w:bottom w:val="single" w:color="auto" w:sz="4" w:space="0"/>
              <w:right w:val="single" w:color="auto" w:sz="4" w:space="0"/>
            </w:tcBorders>
            <w:vAlign w:val="center"/>
          </w:tcPr>
          <w:p w14:paraId="4366312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16" w:type="dxa"/>
            <w:tcBorders>
              <w:top w:val="single" w:color="auto" w:sz="4" w:space="0"/>
              <w:left w:val="single" w:color="auto" w:sz="4" w:space="0"/>
              <w:bottom w:val="single" w:color="auto" w:sz="4" w:space="0"/>
              <w:right w:val="single" w:color="auto" w:sz="4" w:space="0"/>
            </w:tcBorders>
            <w:vAlign w:val="center"/>
          </w:tcPr>
          <w:p w14:paraId="5BEDAE1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服务完成度达95%</w:t>
            </w:r>
          </w:p>
        </w:tc>
        <w:tc>
          <w:tcPr>
            <w:tcW w:w="960" w:type="dxa"/>
            <w:tcBorders>
              <w:top w:val="single" w:color="auto" w:sz="4" w:space="0"/>
              <w:left w:val="single" w:color="auto" w:sz="4" w:space="0"/>
              <w:bottom w:val="single" w:color="auto" w:sz="4" w:space="0"/>
              <w:right w:val="single" w:color="auto" w:sz="4" w:space="0"/>
            </w:tcBorders>
            <w:vAlign w:val="center"/>
          </w:tcPr>
          <w:p w14:paraId="4A950A3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30F08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712F8105">
            <w:pPr>
              <w:jc w:val="center"/>
              <w:rPr>
                <w:rFonts w:hint="eastAsia" w:ascii="宋体" w:hAnsi="宋体" w:eastAsia="宋体" w:cs="宋体"/>
                <w:sz w:val="18"/>
                <w:szCs w:val="18"/>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433DF62">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487E54E">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238090C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DA6D43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环境治理全覆盖</w:t>
            </w:r>
          </w:p>
        </w:tc>
        <w:tc>
          <w:tcPr>
            <w:tcW w:w="1128" w:type="dxa"/>
            <w:tcBorders>
              <w:top w:val="single" w:color="auto" w:sz="4" w:space="0"/>
              <w:left w:val="single" w:color="auto" w:sz="4" w:space="0"/>
              <w:bottom w:val="single" w:color="auto" w:sz="4" w:space="0"/>
              <w:right w:val="single" w:color="auto" w:sz="4" w:space="0"/>
            </w:tcBorders>
            <w:vAlign w:val="center"/>
          </w:tcPr>
          <w:p w14:paraId="1D8CAE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16" w:type="dxa"/>
            <w:tcBorders>
              <w:top w:val="single" w:color="auto" w:sz="4" w:space="0"/>
              <w:left w:val="single" w:color="auto" w:sz="4" w:space="0"/>
              <w:bottom w:val="single" w:color="auto" w:sz="4" w:space="0"/>
              <w:right w:val="single" w:color="auto" w:sz="4" w:space="0"/>
            </w:tcBorders>
            <w:vAlign w:val="center"/>
          </w:tcPr>
          <w:p w14:paraId="18FBDA4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覆盖率95%</w:t>
            </w:r>
          </w:p>
        </w:tc>
        <w:tc>
          <w:tcPr>
            <w:tcW w:w="960" w:type="dxa"/>
            <w:tcBorders>
              <w:top w:val="single" w:color="auto" w:sz="4" w:space="0"/>
              <w:left w:val="single" w:color="auto" w:sz="4" w:space="0"/>
              <w:bottom w:val="single" w:color="auto" w:sz="4" w:space="0"/>
              <w:right w:val="single" w:color="auto" w:sz="4" w:space="0"/>
            </w:tcBorders>
            <w:vAlign w:val="center"/>
          </w:tcPr>
          <w:p w14:paraId="07CE95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7A1C662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5819947E">
            <w:pPr>
              <w:jc w:val="center"/>
              <w:rPr>
                <w:rFonts w:hint="eastAsia" w:ascii="宋体" w:hAnsi="宋体" w:eastAsia="宋体" w:cs="宋体"/>
                <w:sz w:val="18"/>
                <w:szCs w:val="18"/>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86223BF">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8D5173">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996241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6A44DBC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提升群众国防意识</w:t>
            </w:r>
          </w:p>
        </w:tc>
        <w:tc>
          <w:tcPr>
            <w:tcW w:w="1128" w:type="dxa"/>
            <w:tcBorders>
              <w:top w:val="single" w:color="auto" w:sz="4" w:space="0"/>
              <w:left w:val="single" w:color="auto" w:sz="4" w:space="0"/>
              <w:bottom w:val="single" w:color="auto" w:sz="4" w:space="0"/>
              <w:right w:val="single" w:color="auto" w:sz="4" w:space="0"/>
            </w:tcBorders>
            <w:vAlign w:val="center"/>
          </w:tcPr>
          <w:p w14:paraId="2C43FF0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16" w:type="dxa"/>
            <w:tcBorders>
              <w:top w:val="single" w:color="auto" w:sz="4" w:space="0"/>
              <w:left w:val="single" w:color="auto" w:sz="4" w:space="0"/>
              <w:bottom w:val="single" w:color="auto" w:sz="4" w:space="0"/>
              <w:right w:val="single" w:color="auto" w:sz="4" w:space="0"/>
            </w:tcBorders>
            <w:vAlign w:val="center"/>
          </w:tcPr>
          <w:p w14:paraId="1A6BEB6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群众意识95%</w:t>
            </w:r>
          </w:p>
        </w:tc>
        <w:tc>
          <w:tcPr>
            <w:tcW w:w="960" w:type="dxa"/>
            <w:tcBorders>
              <w:top w:val="single" w:color="auto" w:sz="4" w:space="0"/>
              <w:left w:val="single" w:color="auto" w:sz="4" w:space="0"/>
              <w:bottom w:val="single" w:color="auto" w:sz="4" w:space="0"/>
              <w:right w:val="single" w:color="auto" w:sz="4" w:space="0"/>
            </w:tcBorders>
            <w:vAlign w:val="center"/>
          </w:tcPr>
          <w:p w14:paraId="605D643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A5375F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1FC84480">
            <w:pPr>
              <w:jc w:val="center"/>
              <w:rPr>
                <w:rFonts w:hint="eastAsia" w:ascii="宋体" w:hAnsi="宋体" w:eastAsia="宋体" w:cs="宋体"/>
                <w:sz w:val="18"/>
                <w:szCs w:val="18"/>
              </w:rPr>
            </w:pPr>
          </w:p>
        </w:tc>
      </w:tr>
      <w:tr w14:paraId="319AE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63FEE696">
            <w:pPr>
              <w:jc w:val="center"/>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66B4BD20">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4882917E">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E937DD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人民群众满意度</w:t>
            </w:r>
          </w:p>
        </w:tc>
        <w:tc>
          <w:tcPr>
            <w:tcW w:w="1128" w:type="dxa"/>
            <w:tcBorders>
              <w:top w:val="single" w:color="auto" w:sz="4" w:space="0"/>
              <w:left w:val="single" w:color="auto" w:sz="4" w:space="0"/>
              <w:bottom w:val="single" w:color="auto" w:sz="4" w:space="0"/>
              <w:right w:val="single" w:color="auto" w:sz="4" w:space="0"/>
            </w:tcBorders>
            <w:vAlign w:val="center"/>
          </w:tcPr>
          <w:p w14:paraId="05E307B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16" w:type="dxa"/>
            <w:tcBorders>
              <w:top w:val="single" w:color="auto" w:sz="4" w:space="0"/>
              <w:left w:val="single" w:color="auto" w:sz="4" w:space="0"/>
              <w:bottom w:val="single" w:color="auto" w:sz="4" w:space="0"/>
              <w:right w:val="single" w:color="auto" w:sz="4" w:space="0"/>
            </w:tcBorders>
            <w:vAlign w:val="center"/>
          </w:tcPr>
          <w:p w14:paraId="3D20A8F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满意度95%</w:t>
            </w:r>
          </w:p>
        </w:tc>
        <w:tc>
          <w:tcPr>
            <w:tcW w:w="960" w:type="dxa"/>
            <w:tcBorders>
              <w:top w:val="single" w:color="auto" w:sz="4" w:space="0"/>
              <w:left w:val="single" w:color="auto" w:sz="4" w:space="0"/>
              <w:bottom w:val="single" w:color="auto" w:sz="4" w:space="0"/>
              <w:right w:val="single" w:color="auto" w:sz="4" w:space="0"/>
            </w:tcBorders>
            <w:vAlign w:val="center"/>
          </w:tcPr>
          <w:p w14:paraId="0AF2B4C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642D7A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633168D">
            <w:pPr>
              <w:jc w:val="center"/>
              <w:rPr>
                <w:rFonts w:hint="eastAsia" w:ascii="宋体" w:hAnsi="宋体" w:eastAsia="宋体" w:cs="宋体"/>
                <w:sz w:val="18"/>
                <w:szCs w:val="18"/>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7788015B">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E0AEE3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F53B901">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8842E2E">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成本节约率</w:t>
            </w:r>
          </w:p>
        </w:tc>
        <w:tc>
          <w:tcPr>
            <w:tcW w:w="1128" w:type="dxa"/>
            <w:tcBorders>
              <w:top w:val="single" w:color="auto" w:sz="4" w:space="0"/>
              <w:left w:val="single" w:color="auto" w:sz="4" w:space="0"/>
              <w:bottom w:val="single" w:color="auto" w:sz="4" w:space="0"/>
              <w:right w:val="single" w:color="auto" w:sz="4" w:space="0"/>
            </w:tcBorders>
            <w:vAlign w:val="center"/>
          </w:tcPr>
          <w:p w14:paraId="244B85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0%</w:t>
            </w:r>
          </w:p>
        </w:tc>
        <w:tc>
          <w:tcPr>
            <w:tcW w:w="1116" w:type="dxa"/>
            <w:tcBorders>
              <w:top w:val="single" w:color="auto" w:sz="4" w:space="0"/>
              <w:left w:val="single" w:color="auto" w:sz="4" w:space="0"/>
              <w:bottom w:val="single" w:color="auto" w:sz="4" w:space="0"/>
              <w:right w:val="single" w:color="auto" w:sz="4" w:space="0"/>
            </w:tcBorders>
            <w:vAlign w:val="center"/>
          </w:tcPr>
          <w:p w14:paraId="4C091D7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成本节约</w:t>
            </w:r>
          </w:p>
        </w:tc>
        <w:tc>
          <w:tcPr>
            <w:tcW w:w="960" w:type="dxa"/>
            <w:tcBorders>
              <w:top w:val="single" w:color="auto" w:sz="4" w:space="0"/>
              <w:left w:val="single" w:color="auto" w:sz="4" w:space="0"/>
              <w:bottom w:val="single" w:color="auto" w:sz="4" w:space="0"/>
              <w:right w:val="single" w:color="auto" w:sz="4" w:space="0"/>
            </w:tcBorders>
            <w:vAlign w:val="center"/>
          </w:tcPr>
          <w:p w14:paraId="5CFD3C1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1253FF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1F978E51">
            <w:pPr>
              <w:jc w:val="center"/>
              <w:rPr>
                <w:rFonts w:hint="eastAsia" w:ascii="宋体" w:hAnsi="宋体" w:eastAsia="宋体" w:cs="宋体"/>
                <w:sz w:val="18"/>
                <w:szCs w:val="18"/>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41495404">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B7F8E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8D4DD4E">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13673A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零事故</w:t>
            </w:r>
          </w:p>
        </w:tc>
        <w:tc>
          <w:tcPr>
            <w:tcW w:w="1128" w:type="dxa"/>
            <w:tcBorders>
              <w:top w:val="single" w:color="auto" w:sz="4" w:space="0"/>
              <w:left w:val="single" w:color="auto" w:sz="4" w:space="0"/>
              <w:bottom w:val="single" w:color="auto" w:sz="4" w:space="0"/>
              <w:right w:val="single" w:color="auto" w:sz="4" w:space="0"/>
            </w:tcBorders>
            <w:vAlign w:val="center"/>
          </w:tcPr>
          <w:p w14:paraId="299DEF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0</w:t>
            </w:r>
          </w:p>
        </w:tc>
        <w:tc>
          <w:tcPr>
            <w:tcW w:w="1116" w:type="dxa"/>
            <w:tcBorders>
              <w:top w:val="single" w:color="auto" w:sz="4" w:space="0"/>
              <w:left w:val="single" w:color="auto" w:sz="4" w:space="0"/>
              <w:bottom w:val="single" w:color="auto" w:sz="4" w:space="0"/>
              <w:right w:val="single" w:color="auto" w:sz="4" w:space="0"/>
            </w:tcBorders>
            <w:vAlign w:val="center"/>
          </w:tcPr>
          <w:p w14:paraId="0DAEAF7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无事故</w:t>
            </w:r>
          </w:p>
        </w:tc>
        <w:tc>
          <w:tcPr>
            <w:tcW w:w="960" w:type="dxa"/>
            <w:tcBorders>
              <w:top w:val="single" w:color="auto" w:sz="4" w:space="0"/>
              <w:left w:val="single" w:color="auto" w:sz="4" w:space="0"/>
              <w:bottom w:val="single" w:color="auto" w:sz="4" w:space="0"/>
              <w:right w:val="single" w:color="auto" w:sz="4" w:space="0"/>
            </w:tcBorders>
            <w:vAlign w:val="center"/>
          </w:tcPr>
          <w:p w14:paraId="2A296A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64C95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22E2A5E">
            <w:pPr>
              <w:jc w:val="center"/>
              <w:rPr>
                <w:rFonts w:hint="eastAsia" w:ascii="宋体" w:hAnsi="宋体" w:eastAsia="宋体" w:cs="宋体"/>
                <w:sz w:val="18"/>
                <w:szCs w:val="18"/>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vAlign w:val="center"/>
          </w:tcPr>
          <w:p w14:paraId="76ADA55E">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8B2418D">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6E9487B6">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4E94E2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全覆盖</w:t>
            </w:r>
          </w:p>
        </w:tc>
        <w:tc>
          <w:tcPr>
            <w:tcW w:w="1128" w:type="dxa"/>
            <w:tcBorders>
              <w:top w:val="single" w:color="auto" w:sz="4" w:space="0"/>
              <w:left w:val="single" w:color="auto" w:sz="4" w:space="0"/>
              <w:bottom w:val="single" w:color="auto" w:sz="4" w:space="0"/>
              <w:right w:val="single" w:color="auto" w:sz="4" w:space="0"/>
            </w:tcBorders>
            <w:vAlign w:val="center"/>
          </w:tcPr>
          <w:p w14:paraId="153179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16" w:type="dxa"/>
            <w:tcBorders>
              <w:top w:val="single" w:color="auto" w:sz="4" w:space="0"/>
              <w:left w:val="single" w:color="auto" w:sz="4" w:space="0"/>
              <w:bottom w:val="single" w:color="auto" w:sz="4" w:space="0"/>
              <w:right w:val="single" w:color="auto" w:sz="4" w:space="0"/>
            </w:tcBorders>
            <w:vAlign w:val="center"/>
          </w:tcPr>
          <w:p w14:paraId="634A8CF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达到95%覆盖</w:t>
            </w:r>
          </w:p>
        </w:tc>
        <w:tc>
          <w:tcPr>
            <w:tcW w:w="960" w:type="dxa"/>
            <w:tcBorders>
              <w:top w:val="single" w:color="auto" w:sz="4" w:space="0"/>
              <w:left w:val="single" w:color="auto" w:sz="4" w:space="0"/>
              <w:bottom w:val="single" w:color="auto" w:sz="4" w:space="0"/>
              <w:right w:val="single" w:color="auto" w:sz="4" w:space="0"/>
            </w:tcBorders>
            <w:vAlign w:val="center"/>
          </w:tcPr>
          <w:p w14:paraId="0FCBC2C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w:t>
            </w:r>
          </w:p>
        </w:tc>
        <w:tc>
          <w:tcPr>
            <w:tcW w:w="980" w:type="dxa"/>
            <w:tcBorders>
              <w:top w:val="single" w:color="auto" w:sz="4" w:space="0"/>
              <w:left w:val="single" w:color="auto" w:sz="4" w:space="0"/>
              <w:bottom w:val="single" w:color="auto" w:sz="4" w:space="0"/>
              <w:right w:val="single" w:color="auto" w:sz="4" w:space="0"/>
            </w:tcBorders>
            <w:vAlign w:val="center"/>
          </w:tcPr>
          <w:p w14:paraId="36B7B36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5.00</w:t>
            </w:r>
          </w:p>
        </w:tc>
        <w:tc>
          <w:tcPr>
            <w:tcW w:w="1309" w:type="dxa"/>
            <w:tcBorders>
              <w:top w:val="single" w:color="auto" w:sz="4" w:space="0"/>
              <w:left w:val="single" w:color="auto" w:sz="4" w:space="0"/>
              <w:bottom w:val="single" w:color="auto" w:sz="4" w:space="0"/>
              <w:right w:val="single" w:color="auto" w:sz="4" w:space="0"/>
            </w:tcBorders>
            <w:vAlign w:val="center"/>
          </w:tcPr>
          <w:p w14:paraId="2A6D29A3">
            <w:pPr>
              <w:jc w:val="center"/>
              <w:rPr>
                <w:rFonts w:hint="eastAsia" w:ascii="宋体" w:hAnsi="宋体" w:eastAsia="宋体" w:cs="宋体"/>
                <w:sz w:val="18"/>
                <w:szCs w:val="18"/>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606" w:type="dxa"/>
            <w:gridSpan w:val="6"/>
            <w:vAlign w:val="top"/>
          </w:tcPr>
          <w:p w14:paraId="16E2250D">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960" w:type="dxa"/>
            <w:vAlign w:val="center"/>
          </w:tcPr>
          <w:p w14:paraId="21CC18B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8"/>
                <w:szCs w:val="18"/>
                <w:u w:val="none"/>
                <w:lang w:val="en-US" w:eastAsia="zh-CN" w:bidi="ar"/>
              </w:rPr>
              <w:t>100</w:t>
            </w:r>
          </w:p>
        </w:tc>
        <w:tc>
          <w:tcPr>
            <w:tcW w:w="980" w:type="dxa"/>
            <w:vAlign w:val="center"/>
          </w:tcPr>
          <w:p w14:paraId="517FE75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309" w:type="dxa"/>
            <w:vAlign w:val="top"/>
          </w:tcPr>
          <w:p w14:paraId="0E10417D">
            <w:pPr>
              <w:pStyle w:val="9"/>
              <w:rPr>
                <w:rFonts w:hint="eastAsia" w:ascii="宋体" w:hAnsi="宋体" w:eastAsia="宋体" w:cs="宋体"/>
                <w:sz w:val="18"/>
                <w:szCs w:val="18"/>
              </w:rPr>
            </w:pPr>
          </w:p>
        </w:tc>
      </w:tr>
    </w:tbl>
    <w:p w14:paraId="73D8BBEA">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4" w:type="default"/>
          <w:pgSz w:w="11900" w:h="16833"/>
          <w:pgMar w:top="1430" w:right="1017" w:bottom="1445" w:left="1022" w:header="0" w:footer="1169" w:gutter="0"/>
          <w:pgNumType w:fmt="decimal"/>
          <w:cols w:space="720" w:num="1"/>
        </w:sectPr>
      </w:pPr>
    </w:p>
    <w:p w14:paraId="5F124964">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3-2</w:t>
      </w:r>
    </w:p>
    <w:p w14:paraId="1DAB233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73EF2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3DC7DEE9">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0C12E1EB">
            <w:pPr>
              <w:pStyle w:val="9"/>
              <w:jc w:val="center"/>
              <w:rPr>
                <w:rFonts w:hint="eastAsia" w:ascii="宋体" w:hAnsi="宋体" w:eastAsia="宋体" w:cs="宋体"/>
                <w:lang w:val="en-US" w:eastAsia="zh-CN"/>
              </w:rPr>
            </w:pPr>
            <w:r>
              <w:rPr>
                <w:rFonts w:hint="eastAsia" w:ascii="宋体" w:hAnsi="宋体" w:eastAsia="宋体" w:cs="宋体"/>
                <w:lang w:val="en-US" w:eastAsia="zh-CN"/>
              </w:rPr>
              <w:t>乡街环卫清扫</w:t>
            </w:r>
          </w:p>
        </w:tc>
      </w:tr>
      <w:tr w14:paraId="2AC4D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4892C9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7C23F42C">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岳阳市岳阳楼区枫桥湖街道办事处</w:t>
            </w:r>
          </w:p>
        </w:tc>
        <w:tc>
          <w:tcPr>
            <w:tcW w:w="1121" w:type="dxa"/>
            <w:vAlign w:val="top"/>
          </w:tcPr>
          <w:p w14:paraId="10EF5A3A">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79C027D">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岳阳市岳阳楼区枫桥湖街道办事处</w:t>
            </w:r>
          </w:p>
        </w:tc>
      </w:tr>
      <w:tr w14:paraId="658E3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3243FDD">
            <w:pPr>
              <w:spacing w:before="61" w:line="241" w:lineRule="auto"/>
              <w:ind w:right="141"/>
              <w:jc w:val="both"/>
              <w:rPr>
                <w:rFonts w:hint="eastAsia" w:ascii="宋体" w:hAnsi="宋体" w:cs="宋体"/>
                <w:sz w:val="19"/>
                <w:szCs w:val="19"/>
                <w:lang w:eastAsia="zh-CN"/>
              </w:rPr>
            </w:pPr>
          </w:p>
          <w:p w14:paraId="45367081">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09F6FB9F">
            <w:pPr>
              <w:pStyle w:val="9"/>
              <w:rPr>
                <w:rFonts w:hint="eastAsia" w:ascii="宋体" w:hAnsi="宋体" w:eastAsia="宋体" w:cs="宋体"/>
              </w:rPr>
            </w:pPr>
          </w:p>
        </w:tc>
        <w:tc>
          <w:tcPr>
            <w:tcW w:w="1244" w:type="dxa"/>
            <w:vAlign w:val="top"/>
          </w:tcPr>
          <w:p w14:paraId="59A618C5">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15E26D69">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4B73AA7F">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048A3A92">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00A77B6F">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7A2A66EE">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CADA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5C8F571">
            <w:pPr>
              <w:pStyle w:val="9"/>
              <w:rPr>
                <w:rFonts w:hint="eastAsia" w:ascii="宋体" w:hAnsi="宋体" w:eastAsia="宋体" w:cs="宋体"/>
              </w:rPr>
            </w:pPr>
          </w:p>
        </w:tc>
        <w:tc>
          <w:tcPr>
            <w:tcW w:w="2034" w:type="dxa"/>
            <w:gridSpan w:val="2"/>
            <w:vAlign w:val="top"/>
          </w:tcPr>
          <w:p w14:paraId="158BF5D4">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11B4E2AD">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680</w:t>
            </w:r>
          </w:p>
        </w:tc>
        <w:tc>
          <w:tcPr>
            <w:tcW w:w="1404" w:type="dxa"/>
            <w:vAlign w:val="center"/>
          </w:tcPr>
          <w:p w14:paraId="3F5C2E29">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680</w:t>
            </w:r>
          </w:p>
        </w:tc>
        <w:tc>
          <w:tcPr>
            <w:tcW w:w="1121" w:type="dxa"/>
            <w:vAlign w:val="center"/>
          </w:tcPr>
          <w:p w14:paraId="22A5ED0F">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680</w:t>
            </w:r>
          </w:p>
        </w:tc>
        <w:tc>
          <w:tcPr>
            <w:tcW w:w="679" w:type="dxa"/>
            <w:vAlign w:val="center"/>
          </w:tcPr>
          <w:p w14:paraId="2D80971A">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154AB3E5">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5B632E9B">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5E588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25C89277">
            <w:pPr>
              <w:pStyle w:val="9"/>
              <w:rPr>
                <w:rFonts w:hint="eastAsia" w:ascii="宋体" w:hAnsi="宋体" w:eastAsia="宋体" w:cs="宋体"/>
              </w:rPr>
            </w:pPr>
          </w:p>
        </w:tc>
        <w:tc>
          <w:tcPr>
            <w:tcW w:w="2034" w:type="dxa"/>
            <w:gridSpan w:val="2"/>
            <w:vAlign w:val="top"/>
          </w:tcPr>
          <w:p w14:paraId="2F03870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61B5F987">
            <w:pPr>
              <w:keepNext w:val="0"/>
              <w:keepLines w:val="0"/>
              <w:widowControl/>
              <w:suppressLineNumbers w:val="0"/>
              <w:jc w:val="center"/>
              <w:textAlignment w:val="center"/>
              <w:rPr>
                <w:rFonts w:hint="default" w:ascii="宋体" w:hAnsi="宋体" w:eastAsia="宋体" w:cs="宋体"/>
                <w:sz w:val="19"/>
                <w:szCs w:val="19"/>
                <w:lang w:val="en-US"/>
              </w:rPr>
            </w:pPr>
            <w:r>
              <w:rPr>
                <w:rFonts w:hint="eastAsia" w:ascii="宋体" w:hAnsi="宋体" w:eastAsia="宋体" w:cs="宋体"/>
                <w:i w:val="0"/>
                <w:iCs w:val="0"/>
                <w:color w:val="000000"/>
                <w:kern w:val="0"/>
                <w:sz w:val="19"/>
                <w:szCs w:val="19"/>
                <w:u w:val="none"/>
                <w:lang w:val="en-US" w:eastAsia="zh-CN" w:bidi="ar"/>
              </w:rPr>
              <w:t>680</w:t>
            </w:r>
          </w:p>
        </w:tc>
        <w:tc>
          <w:tcPr>
            <w:tcW w:w="1404" w:type="dxa"/>
            <w:vAlign w:val="center"/>
          </w:tcPr>
          <w:p w14:paraId="5D8E3C4E">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680</w:t>
            </w:r>
          </w:p>
        </w:tc>
        <w:tc>
          <w:tcPr>
            <w:tcW w:w="1121" w:type="dxa"/>
            <w:vAlign w:val="center"/>
          </w:tcPr>
          <w:p w14:paraId="2FD5E90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680</w:t>
            </w:r>
          </w:p>
        </w:tc>
        <w:tc>
          <w:tcPr>
            <w:tcW w:w="679" w:type="dxa"/>
            <w:vAlign w:val="top"/>
          </w:tcPr>
          <w:p w14:paraId="6E562E5A">
            <w:pPr>
              <w:pStyle w:val="9"/>
              <w:rPr>
                <w:rFonts w:hint="eastAsia" w:ascii="宋体" w:hAnsi="宋体" w:eastAsia="宋体" w:cs="宋体"/>
                <w:sz w:val="19"/>
                <w:szCs w:val="19"/>
              </w:rPr>
            </w:pPr>
          </w:p>
        </w:tc>
        <w:tc>
          <w:tcPr>
            <w:tcW w:w="980" w:type="dxa"/>
            <w:vAlign w:val="top"/>
          </w:tcPr>
          <w:p w14:paraId="1A57D52B">
            <w:pPr>
              <w:pStyle w:val="9"/>
              <w:rPr>
                <w:rFonts w:hint="eastAsia" w:ascii="宋体" w:hAnsi="宋体" w:eastAsia="宋体" w:cs="宋体"/>
                <w:sz w:val="19"/>
                <w:szCs w:val="19"/>
              </w:rPr>
            </w:pPr>
          </w:p>
        </w:tc>
        <w:tc>
          <w:tcPr>
            <w:tcW w:w="1309" w:type="dxa"/>
            <w:vAlign w:val="top"/>
          </w:tcPr>
          <w:p w14:paraId="017EEAA1">
            <w:pPr>
              <w:pStyle w:val="9"/>
              <w:rPr>
                <w:rFonts w:hint="eastAsia" w:ascii="宋体" w:hAnsi="宋体" w:eastAsia="宋体" w:cs="宋体"/>
                <w:sz w:val="19"/>
                <w:szCs w:val="19"/>
              </w:rPr>
            </w:pPr>
          </w:p>
        </w:tc>
      </w:tr>
      <w:tr w14:paraId="351F6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15195965">
            <w:pPr>
              <w:pStyle w:val="9"/>
              <w:rPr>
                <w:rFonts w:hint="eastAsia" w:ascii="宋体" w:hAnsi="宋体" w:eastAsia="宋体" w:cs="宋体"/>
              </w:rPr>
            </w:pPr>
          </w:p>
        </w:tc>
        <w:tc>
          <w:tcPr>
            <w:tcW w:w="2034" w:type="dxa"/>
            <w:gridSpan w:val="2"/>
            <w:vAlign w:val="top"/>
          </w:tcPr>
          <w:p w14:paraId="45B5AAE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42564B6D">
            <w:pPr>
              <w:pStyle w:val="9"/>
              <w:rPr>
                <w:rFonts w:hint="eastAsia" w:ascii="宋体" w:hAnsi="宋体" w:eastAsia="宋体" w:cs="宋体"/>
                <w:sz w:val="19"/>
                <w:szCs w:val="19"/>
              </w:rPr>
            </w:pPr>
          </w:p>
        </w:tc>
        <w:tc>
          <w:tcPr>
            <w:tcW w:w="1404" w:type="dxa"/>
            <w:vAlign w:val="top"/>
          </w:tcPr>
          <w:p w14:paraId="7C3D8117">
            <w:pPr>
              <w:pStyle w:val="9"/>
              <w:rPr>
                <w:rFonts w:hint="eastAsia" w:ascii="宋体" w:hAnsi="宋体" w:eastAsia="宋体" w:cs="宋体"/>
                <w:sz w:val="19"/>
                <w:szCs w:val="19"/>
              </w:rPr>
            </w:pPr>
          </w:p>
        </w:tc>
        <w:tc>
          <w:tcPr>
            <w:tcW w:w="1121" w:type="dxa"/>
            <w:vAlign w:val="top"/>
          </w:tcPr>
          <w:p w14:paraId="4455FA70">
            <w:pPr>
              <w:pStyle w:val="9"/>
              <w:rPr>
                <w:rFonts w:hint="eastAsia" w:ascii="宋体" w:hAnsi="宋体" w:eastAsia="宋体" w:cs="宋体"/>
                <w:sz w:val="19"/>
                <w:szCs w:val="19"/>
              </w:rPr>
            </w:pPr>
          </w:p>
        </w:tc>
        <w:tc>
          <w:tcPr>
            <w:tcW w:w="679" w:type="dxa"/>
            <w:vAlign w:val="top"/>
          </w:tcPr>
          <w:p w14:paraId="0341893A">
            <w:pPr>
              <w:pStyle w:val="9"/>
              <w:rPr>
                <w:rFonts w:hint="eastAsia" w:ascii="宋体" w:hAnsi="宋体" w:eastAsia="宋体" w:cs="宋体"/>
                <w:sz w:val="19"/>
                <w:szCs w:val="19"/>
              </w:rPr>
            </w:pPr>
          </w:p>
        </w:tc>
        <w:tc>
          <w:tcPr>
            <w:tcW w:w="980" w:type="dxa"/>
            <w:vAlign w:val="top"/>
          </w:tcPr>
          <w:p w14:paraId="39EFAC58">
            <w:pPr>
              <w:pStyle w:val="9"/>
              <w:rPr>
                <w:rFonts w:hint="eastAsia" w:ascii="宋体" w:hAnsi="宋体" w:eastAsia="宋体" w:cs="宋体"/>
                <w:sz w:val="19"/>
                <w:szCs w:val="19"/>
              </w:rPr>
            </w:pPr>
          </w:p>
        </w:tc>
        <w:tc>
          <w:tcPr>
            <w:tcW w:w="1309" w:type="dxa"/>
            <w:vAlign w:val="top"/>
          </w:tcPr>
          <w:p w14:paraId="4E371544">
            <w:pPr>
              <w:pStyle w:val="9"/>
              <w:rPr>
                <w:rFonts w:hint="eastAsia" w:ascii="宋体" w:hAnsi="宋体" w:eastAsia="宋体" w:cs="宋体"/>
                <w:sz w:val="19"/>
                <w:szCs w:val="19"/>
              </w:rPr>
            </w:pPr>
          </w:p>
        </w:tc>
      </w:tr>
      <w:tr w14:paraId="1834C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6072B2B2">
            <w:pPr>
              <w:pStyle w:val="9"/>
              <w:rPr>
                <w:rFonts w:hint="eastAsia" w:ascii="宋体" w:hAnsi="宋体" w:eastAsia="宋体" w:cs="宋体"/>
              </w:rPr>
            </w:pPr>
          </w:p>
        </w:tc>
        <w:tc>
          <w:tcPr>
            <w:tcW w:w="2034" w:type="dxa"/>
            <w:gridSpan w:val="2"/>
            <w:vAlign w:val="top"/>
          </w:tcPr>
          <w:p w14:paraId="6BD334A7">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26F13238">
            <w:pPr>
              <w:pStyle w:val="9"/>
              <w:rPr>
                <w:rFonts w:hint="eastAsia" w:ascii="宋体" w:hAnsi="宋体" w:eastAsia="宋体" w:cs="宋体"/>
                <w:sz w:val="19"/>
                <w:szCs w:val="19"/>
              </w:rPr>
            </w:pPr>
          </w:p>
        </w:tc>
        <w:tc>
          <w:tcPr>
            <w:tcW w:w="1404" w:type="dxa"/>
            <w:vAlign w:val="top"/>
          </w:tcPr>
          <w:p w14:paraId="11C8F738">
            <w:pPr>
              <w:pStyle w:val="9"/>
              <w:rPr>
                <w:rFonts w:hint="eastAsia" w:ascii="宋体" w:hAnsi="宋体" w:eastAsia="宋体" w:cs="宋体"/>
                <w:sz w:val="19"/>
                <w:szCs w:val="19"/>
              </w:rPr>
            </w:pPr>
          </w:p>
        </w:tc>
        <w:tc>
          <w:tcPr>
            <w:tcW w:w="1121" w:type="dxa"/>
            <w:vAlign w:val="top"/>
          </w:tcPr>
          <w:p w14:paraId="2C34E817">
            <w:pPr>
              <w:pStyle w:val="9"/>
              <w:rPr>
                <w:rFonts w:hint="eastAsia" w:ascii="宋体" w:hAnsi="宋体" w:eastAsia="宋体" w:cs="宋体"/>
                <w:sz w:val="19"/>
                <w:szCs w:val="19"/>
              </w:rPr>
            </w:pPr>
          </w:p>
        </w:tc>
        <w:tc>
          <w:tcPr>
            <w:tcW w:w="679" w:type="dxa"/>
            <w:vAlign w:val="top"/>
          </w:tcPr>
          <w:p w14:paraId="371C105C">
            <w:pPr>
              <w:pStyle w:val="9"/>
              <w:rPr>
                <w:rFonts w:hint="eastAsia" w:ascii="宋体" w:hAnsi="宋体" w:eastAsia="宋体" w:cs="宋体"/>
                <w:sz w:val="19"/>
                <w:szCs w:val="19"/>
              </w:rPr>
            </w:pPr>
          </w:p>
        </w:tc>
        <w:tc>
          <w:tcPr>
            <w:tcW w:w="980" w:type="dxa"/>
            <w:vAlign w:val="top"/>
          </w:tcPr>
          <w:p w14:paraId="5CE881B8">
            <w:pPr>
              <w:pStyle w:val="9"/>
              <w:rPr>
                <w:rFonts w:hint="eastAsia" w:ascii="宋体" w:hAnsi="宋体" w:eastAsia="宋体" w:cs="宋体"/>
                <w:sz w:val="19"/>
                <w:szCs w:val="19"/>
              </w:rPr>
            </w:pPr>
          </w:p>
        </w:tc>
        <w:tc>
          <w:tcPr>
            <w:tcW w:w="1309" w:type="dxa"/>
            <w:vAlign w:val="top"/>
          </w:tcPr>
          <w:p w14:paraId="602B0FB1">
            <w:pPr>
              <w:pStyle w:val="9"/>
              <w:rPr>
                <w:rFonts w:hint="eastAsia" w:ascii="宋体" w:hAnsi="宋体" w:eastAsia="宋体" w:cs="宋体"/>
                <w:sz w:val="19"/>
                <w:szCs w:val="19"/>
              </w:rPr>
            </w:pPr>
          </w:p>
        </w:tc>
      </w:tr>
      <w:tr w14:paraId="03A14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CA0F06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F2B13C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50FE35B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6E183CA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39C76B0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78C1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0792EFB0">
            <w:pPr>
              <w:pStyle w:val="9"/>
              <w:rPr>
                <w:rFonts w:hint="eastAsia" w:ascii="宋体" w:hAnsi="宋体" w:eastAsia="宋体" w:cs="宋体"/>
              </w:rPr>
            </w:pPr>
          </w:p>
        </w:tc>
        <w:tc>
          <w:tcPr>
            <w:tcW w:w="4682" w:type="dxa"/>
            <w:gridSpan w:val="4"/>
            <w:vAlign w:val="center"/>
          </w:tcPr>
          <w:p w14:paraId="0E4EF0DA">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贯彻落实区委、区政府对城市提质要求，实现城市精细化管理，全面提升城市环境卫生质量，为城区广大市民营造一个干净、舒适的工作和生活环境，努力实现创文明卫工作目标；保障街道环卫工人工资福利</w:t>
            </w:r>
          </w:p>
        </w:tc>
        <w:tc>
          <w:tcPr>
            <w:tcW w:w="4089" w:type="dxa"/>
            <w:gridSpan w:val="4"/>
            <w:vAlign w:val="center"/>
          </w:tcPr>
          <w:p w14:paraId="32C27FCC">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实现提升城市环境卫生质量，为城区广大市民营造一个干净、舒适的工作和生活环境，实现创文明卫工作目标；按时足额保障街道环卫工人工资福利。</w:t>
            </w:r>
          </w:p>
        </w:tc>
      </w:tr>
      <w:tr w14:paraId="773AC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2E253155">
            <w:pPr>
              <w:pStyle w:val="9"/>
              <w:spacing w:line="366" w:lineRule="auto"/>
              <w:rPr>
                <w:rFonts w:hint="eastAsia" w:ascii="宋体" w:hAnsi="宋体" w:eastAsia="宋体" w:cs="宋体"/>
              </w:rPr>
            </w:pPr>
          </w:p>
          <w:p w14:paraId="78AD995C">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vAlign w:val="top"/>
          </w:tcPr>
          <w:p w14:paraId="486970A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vAlign w:val="top"/>
          </w:tcPr>
          <w:p w14:paraId="622725CB">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vAlign w:val="top"/>
          </w:tcPr>
          <w:p w14:paraId="10373DF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tcBorders>
              <w:bottom w:val="single" w:color="auto" w:sz="4" w:space="0"/>
            </w:tcBorders>
            <w:vAlign w:val="top"/>
          </w:tcPr>
          <w:p w14:paraId="26123B63">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207797D">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121" w:type="dxa"/>
            <w:tcBorders>
              <w:bottom w:val="single" w:color="auto" w:sz="4" w:space="0"/>
            </w:tcBorders>
            <w:vAlign w:val="top"/>
          </w:tcPr>
          <w:p w14:paraId="0DE2DA8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81910EA">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9" w:type="dxa"/>
            <w:tcBorders>
              <w:bottom w:val="single" w:color="auto" w:sz="4" w:space="0"/>
            </w:tcBorders>
            <w:vAlign w:val="top"/>
          </w:tcPr>
          <w:p w14:paraId="033E463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tcBorders>
              <w:bottom w:val="single" w:color="auto" w:sz="4" w:space="0"/>
            </w:tcBorders>
            <w:vAlign w:val="top"/>
          </w:tcPr>
          <w:p w14:paraId="7998374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309" w:type="dxa"/>
            <w:tcBorders>
              <w:bottom w:val="single" w:color="auto" w:sz="4" w:space="0"/>
            </w:tcBorders>
            <w:vAlign w:val="top"/>
          </w:tcPr>
          <w:p w14:paraId="3DAC281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51C4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1CC808D">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3636DAD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2C691AC0">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750FC720">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环卫工人人数</w:t>
            </w:r>
          </w:p>
        </w:tc>
        <w:tc>
          <w:tcPr>
            <w:tcW w:w="1404" w:type="dxa"/>
            <w:tcBorders>
              <w:top w:val="single" w:color="auto" w:sz="4" w:space="0"/>
              <w:left w:val="single" w:color="auto" w:sz="4" w:space="0"/>
              <w:bottom w:val="single" w:color="auto" w:sz="4" w:space="0"/>
              <w:right w:val="single" w:color="auto" w:sz="4" w:space="0"/>
            </w:tcBorders>
            <w:vAlign w:val="center"/>
          </w:tcPr>
          <w:p w14:paraId="387A623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206</w:t>
            </w:r>
          </w:p>
        </w:tc>
        <w:tc>
          <w:tcPr>
            <w:tcW w:w="1121" w:type="dxa"/>
            <w:tcBorders>
              <w:top w:val="single" w:color="auto" w:sz="4" w:space="0"/>
              <w:left w:val="single" w:color="auto" w:sz="4" w:space="0"/>
              <w:bottom w:val="single" w:color="auto" w:sz="4" w:space="0"/>
              <w:right w:val="single" w:color="auto" w:sz="4" w:space="0"/>
            </w:tcBorders>
            <w:vAlign w:val="center"/>
          </w:tcPr>
          <w:p w14:paraId="2216F1D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148</w:t>
            </w:r>
          </w:p>
        </w:tc>
        <w:tc>
          <w:tcPr>
            <w:tcW w:w="679" w:type="dxa"/>
            <w:tcBorders>
              <w:top w:val="single" w:color="auto" w:sz="4" w:space="0"/>
              <w:left w:val="single" w:color="auto" w:sz="4" w:space="0"/>
              <w:bottom w:val="single" w:color="auto" w:sz="4" w:space="0"/>
              <w:right w:val="single" w:color="auto" w:sz="4" w:space="0"/>
            </w:tcBorders>
            <w:vAlign w:val="center"/>
          </w:tcPr>
          <w:p w14:paraId="63F71C8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B62B7F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8.00</w:t>
            </w:r>
          </w:p>
        </w:tc>
        <w:tc>
          <w:tcPr>
            <w:tcW w:w="1309" w:type="dxa"/>
            <w:tcBorders>
              <w:top w:val="single" w:color="auto" w:sz="4" w:space="0"/>
              <w:left w:val="single" w:color="auto" w:sz="4" w:space="0"/>
              <w:bottom w:val="single" w:color="auto" w:sz="4" w:space="0"/>
              <w:right w:val="single" w:color="auto" w:sz="4" w:space="0"/>
            </w:tcBorders>
            <w:vAlign w:val="center"/>
          </w:tcPr>
          <w:p w14:paraId="64BA9EF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存在一个环卫工人上几个班的情况 措施：合理安排人数和排班情况</w:t>
            </w:r>
          </w:p>
        </w:tc>
      </w:tr>
      <w:tr w14:paraId="1C682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0AFD8B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39DD4FB">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4CB0ED5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77DA0391">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资金发放准确率</w:t>
            </w:r>
          </w:p>
        </w:tc>
        <w:tc>
          <w:tcPr>
            <w:tcW w:w="1404" w:type="dxa"/>
            <w:tcBorders>
              <w:top w:val="single" w:color="auto" w:sz="4" w:space="0"/>
              <w:left w:val="single" w:color="auto" w:sz="4" w:space="0"/>
              <w:bottom w:val="single" w:color="auto" w:sz="4" w:space="0"/>
              <w:right w:val="single" w:color="auto" w:sz="4" w:space="0"/>
            </w:tcBorders>
            <w:vAlign w:val="center"/>
          </w:tcPr>
          <w:p w14:paraId="44B18F3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47063C9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4C5A3FE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4F4127A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36347D66">
            <w:pPr>
              <w:jc w:val="center"/>
              <w:rPr>
                <w:rFonts w:hint="eastAsia" w:ascii="宋体" w:hAnsi="宋体" w:eastAsia="宋体" w:cs="宋体"/>
                <w:sz w:val="18"/>
                <w:szCs w:val="18"/>
              </w:rPr>
            </w:pPr>
          </w:p>
        </w:tc>
      </w:tr>
      <w:tr w14:paraId="1ADA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textDirection w:val="tbRlV"/>
            <w:vAlign w:val="top"/>
          </w:tcPr>
          <w:p w14:paraId="32B6111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DE1865A">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E3999C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7817767C">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资金发放及时性</w:t>
            </w:r>
          </w:p>
        </w:tc>
        <w:tc>
          <w:tcPr>
            <w:tcW w:w="1404" w:type="dxa"/>
            <w:tcBorders>
              <w:top w:val="single" w:color="auto" w:sz="4" w:space="0"/>
              <w:left w:val="single" w:color="auto" w:sz="4" w:space="0"/>
              <w:bottom w:val="single" w:color="auto" w:sz="4" w:space="0"/>
              <w:right w:val="single" w:color="auto" w:sz="4" w:space="0"/>
            </w:tcBorders>
            <w:vAlign w:val="center"/>
          </w:tcPr>
          <w:p w14:paraId="51216454">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6559B0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及时发放</w:t>
            </w:r>
          </w:p>
        </w:tc>
        <w:tc>
          <w:tcPr>
            <w:tcW w:w="679" w:type="dxa"/>
            <w:tcBorders>
              <w:top w:val="single" w:color="auto" w:sz="4" w:space="0"/>
              <w:left w:val="single" w:color="auto" w:sz="4" w:space="0"/>
              <w:bottom w:val="single" w:color="auto" w:sz="4" w:space="0"/>
              <w:right w:val="single" w:color="auto" w:sz="4" w:space="0"/>
            </w:tcBorders>
            <w:vAlign w:val="center"/>
          </w:tcPr>
          <w:p w14:paraId="64900D6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7EFEAF3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6A4345A1">
            <w:pPr>
              <w:jc w:val="center"/>
              <w:rPr>
                <w:rFonts w:hint="eastAsia" w:ascii="宋体" w:hAnsi="宋体" w:eastAsia="宋体" w:cs="宋体"/>
                <w:sz w:val="18"/>
                <w:szCs w:val="18"/>
              </w:rPr>
            </w:pPr>
          </w:p>
        </w:tc>
      </w:tr>
      <w:tr w14:paraId="27E7F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564EEA4">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47B07B2F">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2D7DAD0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C8FF36B">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6E68F50">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E9B741B">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631488E0">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407E40E7">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15CA46C">
            <w:pPr>
              <w:jc w:val="center"/>
              <w:rPr>
                <w:rFonts w:hint="eastAsia" w:ascii="宋体" w:hAnsi="宋体" w:eastAsia="宋体" w:cs="宋体"/>
                <w:sz w:val="18"/>
                <w:szCs w:val="18"/>
              </w:rPr>
            </w:pPr>
          </w:p>
        </w:tc>
      </w:tr>
      <w:tr w14:paraId="3D8D1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3FC5C7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3769899">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9CF2E5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1182CD6B">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2C44DCFE">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1ADD6F29">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2BDB876A">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4EED71E1">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338F205">
            <w:pPr>
              <w:jc w:val="center"/>
              <w:rPr>
                <w:rFonts w:hint="eastAsia" w:ascii="宋体" w:hAnsi="宋体" w:eastAsia="宋体" w:cs="宋体"/>
                <w:sz w:val="18"/>
                <w:szCs w:val="18"/>
              </w:rPr>
            </w:pPr>
          </w:p>
        </w:tc>
      </w:tr>
      <w:tr w14:paraId="510F5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3F667B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8B81516">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39C7C77">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2A4CE78">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保障城市环境卫生质量</w:t>
            </w:r>
          </w:p>
        </w:tc>
        <w:tc>
          <w:tcPr>
            <w:tcW w:w="1404" w:type="dxa"/>
            <w:tcBorders>
              <w:top w:val="single" w:color="auto" w:sz="4" w:space="0"/>
              <w:left w:val="single" w:color="auto" w:sz="4" w:space="0"/>
              <w:bottom w:val="single" w:color="auto" w:sz="4" w:space="0"/>
              <w:right w:val="single" w:color="auto" w:sz="4" w:space="0"/>
            </w:tcBorders>
            <w:vAlign w:val="center"/>
          </w:tcPr>
          <w:p w14:paraId="5D4BF41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保障</w:t>
            </w:r>
          </w:p>
        </w:tc>
        <w:tc>
          <w:tcPr>
            <w:tcW w:w="1121" w:type="dxa"/>
            <w:tcBorders>
              <w:top w:val="single" w:color="auto" w:sz="4" w:space="0"/>
              <w:left w:val="single" w:color="auto" w:sz="4" w:space="0"/>
              <w:bottom w:val="single" w:color="auto" w:sz="4" w:space="0"/>
              <w:right w:val="single" w:color="auto" w:sz="4" w:space="0"/>
            </w:tcBorders>
            <w:vAlign w:val="center"/>
          </w:tcPr>
          <w:p w14:paraId="3ABA4B8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保障</w:t>
            </w:r>
          </w:p>
        </w:tc>
        <w:tc>
          <w:tcPr>
            <w:tcW w:w="679" w:type="dxa"/>
            <w:tcBorders>
              <w:top w:val="single" w:color="auto" w:sz="4" w:space="0"/>
              <w:left w:val="single" w:color="auto" w:sz="4" w:space="0"/>
              <w:bottom w:val="single" w:color="auto" w:sz="4" w:space="0"/>
              <w:right w:val="single" w:color="auto" w:sz="4" w:space="0"/>
            </w:tcBorders>
            <w:vAlign w:val="center"/>
          </w:tcPr>
          <w:p w14:paraId="604DF55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2109987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3A088D7A">
            <w:pPr>
              <w:jc w:val="center"/>
              <w:rPr>
                <w:rFonts w:hint="eastAsia" w:ascii="宋体" w:hAnsi="宋体" w:eastAsia="宋体" w:cs="宋体"/>
                <w:sz w:val="18"/>
                <w:szCs w:val="18"/>
              </w:rPr>
            </w:pPr>
          </w:p>
        </w:tc>
      </w:tr>
      <w:tr w14:paraId="11E78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AFB713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A4B5130">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50C450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048F5D3F">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提升岳阳楼区社会稳定性</w:t>
            </w:r>
          </w:p>
        </w:tc>
        <w:tc>
          <w:tcPr>
            <w:tcW w:w="1404" w:type="dxa"/>
            <w:tcBorders>
              <w:top w:val="single" w:color="auto" w:sz="4" w:space="0"/>
              <w:left w:val="single" w:color="auto" w:sz="4" w:space="0"/>
              <w:bottom w:val="single" w:color="auto" w:sz="4" w:space="0"/>
              <w:right w:val="single" w:color="auto" w:sz="4" w:space="0"/>
            </w:tcBorders>
            <w:vAlign w:val="center"/>
          </w:tcPr>
          <w:p w14:paraId="1620B6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提升</w:t>
            </w:r>
          </w:p>
        </w:tc>
        <w:tc>
          <w:tcPr>
            <w:tcW w:w="1121" w:type="dxa"/>
            <w:tcBorders>
              <w:top w:val="single" w:color="auto" w:sz="4" w:space="0"/>
              <w:left w:val="single" w:color="auto" w:sz="4" w:space="0"/>
              <w:bottom w:val="single" w:color="auto" w:sz="4" w:space="0"/>
              <w:right w:val="single" w:color="auto" w:sz="4" w:space="0"/>
            </w:tcBorders>
            <w:vAlign w:val="center"/>
          </w:tcPr>
          <w:p w14:paraId="3F4598C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提升</w:t>
            </w:r>
          </w:p>
        </w:tc>
        <w:tc>
          <w:tcPr>
            <w:tcW w:w="679" w:type="dxa"/>
            <w:tcBorders>
              <w:top w:val="single" w:color="auto" w:sz="4" w:space="0"/>
              <w:left w:val="single" w:color="auto" w:sz="4" w:space="0"/>
              <w:bottom w:val="single" w:color="auto" w:sz="4" w:space="0"/>
              <w:right w:val="single" w:color="auto" w:sz="4" w:space="0"/>
            </w:tcBorders>
            <w:vAlign w:val="center"/>
          </w:tcPr>
          <w:p w14:paraId="69417AD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03C38DA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251B05F0">
            <w:pPr>
              <w:jc w:val="center"/>
              <w:rPr>
                <w:rFonts w:hint="eastAsia" w:ascii="宋体" w:hAnsi="宋体" w:eastAsia="宋体" w:cs="宋体"/>
                <w:sz w:val="18"/>
                <w:szCs w:val="18"/>
              </w:rPr>
            </w:pPr>
          </w:p>
        </w:tc>
      </w:tr>
      <w:tr w14:paraId="7005C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EC59DE7">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29F70B3C">
            <w:pPr>
              <w:keepNext w:val="0"/>
              <w:keepLines w:val="0"/>
              <w:widowControl/>
              <w:suppressLineNumbers w:val="0"/>
              <w:jc w:val="center"/>
              <w:textAlignment w:val="center"/>
              <w:rPr>
                <w:rFonts w:hint="eastAsia" w:ascii="宋体" w:hAnsi="宋体" w:eastAsia="宋体" w:cs="宋体"/>
                <w:spacing w:val="3"/>
                <w:sz w:val="19"/>
                <w:szCs w:val="19"/>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vMerge w:val="restart"/>
            <w:tcBorders>
              <w:top w:val="single" w:color="auto" w:sz="4" w:space="0"/>
              <w:left w:val="single" w:color="auto" w:sz="4" w:space="0"/>
              <w:bottom w:val="single" w:color="auto" w:sz="4" w:space="0"/>
              <w:right w:val="single" w:color="auto" w:sz="4" w:space="0"/>
            </w:tcBorders>
            <w:vAlign w:val="center"/>
          </w:tcPr>
          <w:p w14:paraId="4D9AFA30">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4CC6F50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环卫工人的满意度</w:t>
            </w:r>
          </w:p>
        </w:tc>
        <w:tc>
          <w:tcPr>
            <w:tcW w:w="1404" w:type="dxa"/>
            <w:tcBorders>
              <w:top w:val="single" w:color="auto" w:sz="4" w:space="0"/>
              <w:left w:val="single" w:color="auto" w:sz="4" w:space="0"/>
              <w:bottom w:val="single" w:color="auto" w:sz="4" w:space="0"/>
              <w:right w:val="single" w:color="auto" w:sz="4" w:space="0"/>
            </w:tcBorders>
            <w:vAlign w:val="center"/>
          </w:tcPr>
          <w:p w14:paraId="5CD4DC0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24B542E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满意</w:t>
            </w:r>
          </w:p>
        </w:tc>
        <w:tc>
          <w:tcPr>
            <w:tcW w:w="679" w:type="dxa"/>
            <w:tcBorders>
              <w:top w:val="single" w:color="auto" w:sz="4" w:space="0"/>
              <w:left w:val="single" w:color="auto" w:sz="4" w:space="0"/>
              <w:bottom w:val="single" w:color="auto" w:sz="4" w:space="0"/>
              <w:right w:val="single" w:color="auto" w:sz="4" w:space="0"/>
            </w:tcBorders>
            <w:vAlign w:val="center"/>
          </w:tcPr>
          <w:p w14:paraId="3B75AB0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450D04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36C52E8">
            <w:pPr>
              <w:jc w:val="center"/>
              <w:rPr>
                <w:rFonts w:hint="eastAsia" w:ascii="宋体" w:hAnsi="宋体" w:eastAsia="宋体" w:cs="宋体"/>
                <w:sz w:val="18"/>
                <w:szCs w:val="18"/>
              </w:rPr>
            </w:pPr>
          </w:p>
        </w:tc>
      </w:tr>
      <w:tr w14:paraId="06842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489BF2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AA463F0">
            <w:pPr>
              <w:jc w:val="center"/>
              <w:rPr>
                <w:rFonts w:hint="eastAsia" w:ascii="宋体" w:hAnsi="宋体" w:eastAsia="宋体" w:cs="宋体"/>
                <w:sz w:val="19"/>
                <w:szCs w:val="19"/>
              </w:rPr>
            </w:pPr>
          </w:p>
        </w:tc>
        <w:tc>
          <w:tcPr>
            <w:tcW w:w="955" w:type="dxa"/>
            <w:vMerge w:val="continue"/>
            <w:tcBorders>
              <w:top w:val="single" w:color="auto" w:sz="4" w:space="0"/>
              <w:left w:val="single" w:color="auto" w:sz="4" w:space="0"/>
              <w:bottom w:val="single" w:color="auto" w:sz="4" w:space="0"/>
              <w:right w:val="single" w:color="auto" w:sz="4" w:space="0"/>
            </w:tcBorders>
            <w:vAlign w:val="center"/>
          </w:tcPr>
          <w:p w14:paraId="1D60D511">
            <w:pPr>
              <w:jc w:val="center"/>
              <w:rPr>
                <w:rFonts w:hint="eastAsia" w:ascii="宋体" w:hAnsi="宋体" w:eastAsia="宋体" w:cs="宋体"/>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vAlign w:val="center"/>
          </w:tcPr>
          <w:p w14:paraId="5D6663CB">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居民对环卫满意度</w:t>
            </w:r>
          </w:p>
        </w:tc>
        <w:tc>
          <w:tcPr>
            <w:tcW w:w="1404" w:type="dxa"/>
            <w:tcBorders>
              <w:top w:val="single" w:color="auto" w:sz="4" w:space="0"/>
              <w:left w:val="single" w:color="auto" w:sz="4" w:space="0"/>
              <w:bottom w:val="single" w:color="auto" w:sz="4" w:space="0"/>
              <w:right w:val="single" w:color="auto" w:sz="4" w:space="0"/>
            </w:tcBorders>
            <w:vAlign w:val="center"/>
          </w:tcPr>
          <w:p w14:paraId="7A28925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57CAB79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满意</w:t>
            </w:r>
          </w:p>
        </w:tc>
        <w:tc>
          <w:tcPr>
            <w:tcW w:w="679" w:type="dxa"/>
            <w:tcBorders>
              <w:top w:val="single" w:color="auto" w:sz="4" w:space="0"/>
              <w:left w:val="single" w:color="auto" w:sz="4" w:space="0"/>
              <w:bottom w:val="single" w:color="auto" w:sz="4" w:space="0"/>
              <w:right w:val="single" w:color="auto" w:sz="4" w:space="0"/>
            </w:tcBorders>
            <w:vAlign w:val="center"/>
          </w:tcPr>
          <w:p w14:paraId="0C37AC7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15638C4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4B794881">
            <w:pPr>
              <w:jc w:val="center"/>
              <w:rPr>
                <w:rFonts w:hint="eastAsia" w:ascii="宋体" w:hAnsi="宋体" w:eastAsia="宋体" w:cs="宋体"/>
                <w:sz w:val="18"/>
                <w:szCs w:val="18"/>
              </w:rPr>
            </w:pPr>
          </w:p>
        </w:tc>
      </w:tr>
      <w:tr w14:paraId="43A18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73256D1">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3E0BD97">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12781A97">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710B0F5">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乡街环卫清扫工作经费的支出经费控制数</w:t>
            </w:r>
          </w:p>
        </w:tc>
        <w:tc>
          <w:tcPr>
            <w:tcW w:w="1404" w:type="dxa"/>
            <w:tcBorders>
              <w:top w:val="single" w:color="auto" w:sz="4" w:space="0"/>
              <w:left w:val="single" w:color="auto" w:sz="4" w:space="0"/>
              <w:bottom w:val="single" w:color="auto" w:sz="4" w:space="0"/>
              <w:right w:val="single" w:color="auto" w:sz="4" w:space="0"/>
            </w:tcBorders>
            <w:vAlign w:val="center"/>
          </w:tcPr>
          <w:p w14:paraId="68E0EF8E">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680</w:t>
            </w:r>
          </w:p>
        </w:tc>
        <w:tc>
          <w:tcPr>
            <w:tcW w:w="1121" w:type="dxa"/>
            <w:tcBorders>
              <w:top w:val="single" w:color="auto" w:sz="4" w:space="0"/>
              <w:left w:val="single" w:color="auto" w:sz="4" w:space="0"/>
              <w:bottom w:val="single" w:color="auto" w:sz="4" w:space="0"/>
              <w:right w:val="single" w:color="auto" w:sz="4" w:space="0"/>
            </w:tcBorders>
            <w:vAlign w:val="center"/>
          </w:tcPr>
          <w:p w14:paraId="07F0416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680</w:t>
            </w:r>
          </w:p>
        </w:tc>
        <w:tc>
          <w:tcPr>
            <w:tcW w:w="679" w:type="dxa"/>
            <w:tcBorders>
              <w:top w:val="single" w:color="auto" w:sz="4" w:space="0"/>
              <w:left w:val="single" w:color="auto" w:sz="4" w:space="0"/>
              <w:bottom w:val="single" w:color="auto" w:sz="4" w:space="0"/>
              <w:right w:val="single" w:color="auto" w:sz="4" w:space="0"/>
            </w:tcBorders>
            <w:vAlign w:val="center"/>
          </w:tcPr>
          <w:p w14:paraId="1384B3D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34C999D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8DB0851">
            <w:pPr>
              <w:jc w:val="center"/>
              <w:rPr>
                <w:rFonts w:hint="eastAsia" w:ascii="宋体" w:hAnsi="宋体" w:eastAsia="宋体" w:cs="宋体"/>
                <w:sz w:val="18"/>
                <w:szCs w:val="18"/>
              </w:rPr>
            </w:pPr>
          </w:p>
        </w:tc>
      </w:tr>
      <w:tr w14:paraId="5857D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right w:val="single" w:color="auto" w:sz="4" w:space="0"/>
            </w:tcBorders>
            <w:textDirection w:val="tbRlV"/>
            <w:vAlign w:val="top"/>
          </w:tcPr>
          <w:p w14:paraId="49C56E7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C175E7B">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5A024BB0">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5318B01D">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3488855B">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52A536DF">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3911C2C7">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660F4C6B">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416B49C">
            <w:pPr>
              <w:jc w:val="center"/>
              <w:rPr>
                <w:rFonts w:hint="eastAsia" w:ascii="宋体" w:hAnsi="宋体" w:eastAsia="宋体" w:cs="宋体"/>
                <w:sz w:val="18"/>
                <w:szCs w:val="18"/>
              </w:rPr>
            </w:pPr>
          </w:p>
        </w:tc>
      </w:tr>
      <w:tr w14:paraId="624E3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F68FF5F">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092221E4">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00B8CBD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top"/>
          </w:tcPr>
          <w:p w14:paraId="53DC0417">
            <w:pPr>
              <w:pStyle w:val="9"/>
              <w:rPr>
                <w:rFonts w:hint="eastAsia" w:ascii="宋体" w:hAnsi="宋体" w:eastAsia="宋体" w:cs="宋体"/>
                <w:sz w:val="18"/>
                <w:szCs w:val="18"/>
              </w:rPr>
            </w:pPr>
          </w:p>
        </w:tc>
      </w:tr>
    </w:tbl>
    <w:p w14:paraId="0BD77B82">
      <w:pPr>
        <w:spacing w:line="217" w:lineRule="auto"/>
        <w:rPr>
          <w:sz w:val="22"/>
          <w:szCs w:val="22"/>
        </w:rPr>
      </w:pPr>
    </w:p>
    <w:p w14:paraId="5E62266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p>
    <w:p w14:paraId="111177A9">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3-3</w:t>
      </w:r>
    </w:p>
    <w:p w14:paraId="54EFA72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404"/>
        <w:gridCol w:w="1121"/>
        <w:gridCol w:w="679"/>
        <w:gridCol w:w="980"/>
        <w:gridCol w:w="1309"/>
      </w:tblGrid>
      <w:tr w14:paraId="6BA23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3118" w:type="dxa"/>
            <w:gridSpan w:val="3"/>
            <w:vAlign w:val="top"/>
          </w:tcPr>
          <w:p w14:paraId="27D117B2">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711EAD38">
            <w:pPr>
              <w:pStyle w:val="9"/>
              <w:jc w:val="center"/>
              <w:rPr>
                <w:rFonts w:hint="eastAsia" w:ascii="宋体" w:hAnsi="宋体" w:eastAsia="宋体" w:cs="宋体"/>
                <w:lang w:val="en-US" w:eastAsia="zh-CN"/>
              </w:rPr>
            </w:pPr>
            <w:r>
              <w:rPr>
                <w:rFonts w:hint="eastAsia" w:ascii="宋体" w:hAnsi="宋体" w:eastAsia="宋体" w:cs="宋体"/>
                <w:lang w:val="en-US" w:eastAsia="zh-CN"/>
              </w:rPr>
              <w:t>编外用工人员经费</w:t>
            </w:r>
          </w:p>
        </w:tc>
      </w:tr>
      <w:tr w14:paraId="6A6B2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5818F6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82" w:type="dxa"/>
            <w:gridSpan w:val="4"/>
            <w:vAlign w:val="top"/>
          </w:tcPr>
          <w:p w14:paraId="5E030E0A">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岳阳市岳阳楼区枫桥湖街道办事处</w:t>
            </w:r>
          </w:p>
        </w:tc>
        <w:tc>
          <w:tcPr>
            <w:tcW w:w="1121" w:type="dxa"/>
            <w:vAlign w:val="top"/>
          </w:tcPr>
          <w:p w14:paraId="7078C2BE">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43952D12">
            <w:pPr>
              <w:pStyle w:val="9"/>
              <w:jc w:val="center"/>
              <w:rPr>
                <w:rFonts w:hint="eastAsia" w:ascii="宋体" w:hAnsi="宋体" w:eastAsia="宋体" w:cs="宋体"/>
                <w:lang w:val="en-US" w:eastAsia="zh-CN"/>
              </w:rPr>
            </w:pPr>
            <w:r>
              <w:rPr>
                <w:rFonts w:hint="eastAsia" w:ascii="宋体" w:hAnsi="宋体" w:eastAsia="宋体" w:cs="宋体"/>
                <w:lang w:val="en-US" w:eastAsia="zh-CN"/>
              </w:rPr>
              <w:t>岳阳市岳阳楼区枫桥湖街道办事处</w:t>
            </w:r>
          </w:p>
        </w:tc>
      </w:tr>
      <w:tr w14:paraId="5D618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953EF31">
            <w:pPr>
              <w:spacing w:before="61" w:line="241" w:lineRule="auto"/>
              <w:ind w:right="141"/>
              <w:jc w:val="both"/>
              <w:rPr>
                <w:rFonts w:hint="eastAsia" w:ascii="宋体" w:hAnsi="宋体" w:cs="宋体"/>
                <w:sz w:val="19"/>
                <w:szCs w:val="19"/>
                <w:lang w:eastAsia="zh-CN"/>
              </w:rPr>
            </w:pPr>
          </w:p>
          <w:p w14:paraId="47F002FE">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8ED67CF">
            <w:pPr>
              <w:pStyle w:val="9"/>
              <w:rPr>
                <w:rFonts w:hint="eastAsia" w:ascii="宋体" w:hAnsi="宋体" w:eastAsia="宋体" w:cs="宋体"/>
              </w:rPr>
            </w:pPr>
          </w:p>
        </w:tc>
        <w:tc>
          <w:tcPr>
            <w:tcW w:w="1244" w:type="dxa"/>
            <w:vAlign w:val="top"/>
          </w:tcPr>
          <w:p w14:paraId="15BD9942">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vAlign w:val="top"/>
          </w:tcPr>
          <w:p w14:paraId="1DABC92F">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121" w:type="dxa"/>
            <w:vAlign w:val="top"/>
          </w:tcPr>
          <w:p w14:paraId="470A77E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9" w:type="dxa"/>
            <w:vAlign w:val="top"/>
          </w:tcPr>
          <w:p w14:paraId="05DD97F8">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980" w:type="dxa"/>
            <w:vAlign w:val="top"/>
          </w:tcPr>
          <w:p w14:paraId="16C4734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309" w:type="dxa"/>
            <w:vAlign w:val="top"/>
          </w:tcPr>
          <w:p w14:paraId="185E0A78">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9CE8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2BB447B9">
            <w:pPr>
              <w:pStyle w:val="9"/>
              <w:rPr>
                <w:rFonts w:hint="eastAsia" w:ascii="宋体" w:hAnsi="宋体" w:eastAsia="宋体" w:cs="宋体"/>
              </w:rPr>
            </w:pPr>
          </w:p>
        </w:tc>
        <w:tc>
          <w:tcPr>
            <w:tcW w:w="2034" w:type="dxa"/>
            <w:gridSpan w:val="2"/>
            <w:vAlign w:val="top"/>
          </w:tcPr>
          <w:p w14:paraId="1009D38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7A86767C">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1404" w:type="dxa"/>
            <w:vAlign w:val="top"/>
          </w:tcPr>
          <w:p w14:paraId="690A0E08">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1121" w:type="dxa"/>
            <w:vAlign w:val="top"/>
          </w:tcPr>
          <w:p w14:paraId="2DF0B30C">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679" w:type="dxa"/>
            <w:vAlign w:val="center"/>
          </w:tcPr>
          <w:p w14:paraId="4783E041">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19"/>
                <w:szCs w:val="19"/>
                <w:u w:val="none"/>
                <w:lang w:val="en-US" w:eastAsia="zh-CN" w:bidi="ar"/>
              </w:rPr>
              <w:t>10</w:t>
            </w:r>
          </w:p>
        </w:tc>
        <w:tc>
          <w:tcPr>
            <w:tcW w:w="980" w:type="dxa"/>
            <w:vAlign w:val="center"/>
          </w:tcPr>
          <w:p w14:paraId="30D04F3C">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center"/>
          </w:tcPr>
          <w:p w14:paraId="71F1EE79">
            <w:pPr>
              <w:keepNext w:val="0"/>
              <w:keepLines w:val="0"/>
              <w:widowControl/>
              <w:suppressLineNumbers w:val="0"/>
              <w:jc w:val="center"/>
              <w:textAlignment w:val="center"/>
              <w:rPr>
                <w:rFonts w:hint="eastAsia" w:ascii="宋体" w:hAnsi="宋体" w:eastAsia="宋体" w:cs="宋体"/>
                <w:sz w:val="19"/>
                <w:szCs w:val="19"/>
                <w:lang w:val="en-US" w:eastAsia="zh-CN"/>
              </w:rPr>
            </w:pPr>
            <w:r>
              <w:rPr>
                <w:rFonts w:hint="eastAsia" w:ascii="宋体" w:hAnsi="宋体" w:eastAsia="宋体" w:cs="宋体"/>
                <w:i w:val="0"/>
                <w:iCs w:val="0"/>
                <w:color w:val="000000"/>
                <w:kern w:val="0"/>
                <w:sz w:val="19"/>
                <w:szCs w:val="19"/>
                <w:u w:val="none"/>
                <w:lang w:val="en-US" w:eastAsia="zh-CN" w:bidi="ar"/>
              </w:rPr>
              <w:t>10.00</w:t>
            </w:r>
          </w:p>
        </w:tc>
      </w:tr>
      <w:tr w14:paraId="03A43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0D75F617">
            <w:pPr>
              <w:pStyle w:val="9"/>
              <w:rPr>
                <w:rFonts w:hint="eastAsia" w:ascii="宋体" w:hAnsi="宋体" w:eastAsia="宋体" w:cs="宋体"/>
              </w:rPr>
            </w:pPr>
          </w:p>
        </w:tc>
        <w:tc>
          <w:tcPr>
            <w:tcW w:w="2034" w:type="dxa"/>
            <w:gridSpan w:val="2"/>
            <w:vAlign w:val="top"/>
          </w:tcPr>
          <w:p w14:paraId="2038160C">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F0D7D59">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1404" w:type="dxa"/>
            <w:vAlign w:val="top"/>
          </w:tcPr>
          <w:p w14:paraId="3553426D">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1121" w:type="dxa"/>
            <w:vAlign w:val="top"/>
          </w:tcPr>
          <w:p w14:paraId="658701DD">
            <w:pPr>
              <w:pStyle w:val="9"/>
              <w:jc w:val="center"/>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6</w:t>
            </w:r>
          </w:p>
        </w:tc>
        <w:tc>
          <w:tcPr>
            <w:tcW w:w="679" w:type="dxa"/>
            <w:vAlign w:val="top"/>
          </w:tcPr>
          <w:p w14:paraId="1EAA7857">
            <w:pPr>
              <w:pStyle w:val="9"/>
              <w:rPr>
                <w:rFonts w:hint="eastAsia" w:ascii="宋体" w:hAnsi="宋体" w:eastAsia="宋体" w:cs="宋体"/>
                <w:sz w:val="19"/>
                <w:szCs w:val="19"/>
              </w:rPr>
            </w:pPr>
          </w:p>
        </w:tc>
        <w:tc>
          <w:tcPr>
            <w:tcW w:w="980" w:type="dxa"/>
            <w:vAlign w:val="top"/>
          </w:tcPr>
          <w:p w14:paraId="2D463813">
            <w:pPr>
              <w:pStyle w:val="9"/>
              <w:rPr>
                <w:rFonts w:hint="eastAsia" w:ascii="宋体" w:hAnsi="宋体" w:eastAsia="宋体" w:cs="宋体"/>
                <w:sz w:val="19"/>
                <w:szCs w:val="19"/>
              </w:rPr>
            </w:pPr>
          </w:p>
        </w:tc>
        <w:tc>
          <w:tcPr>
            <w:tcW w:w="1309" w:type="dxa"/>
            <w:vAlign w:val="top"/>
          </w:tcPr>
          <w:p w14:paraId="6BB27127">
            <w:pPr>
              <w:pStyle w:val="9"/>
              <w:rPr>
                <w:rFonts w:hint="eastAsia" w:ascii="宋体" w:hAnsi="宋体" w:eastAsia="宋体" w:cs="宋体"/>
                <w:sz w:val="19"/>
                <w:szCs w:val="19"/>
              </w:rPr>
            </w:pPr>
          </w:p>
        </w:tc>
      </w:tr>
      <w:tr w14:paraId="38471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22E8284E">
            <w:pPr>
              <w:pStyle w:val="9"/>
              <w:rPr>
                <w:rFonts w:hint="eastAsia" w:ascii="宋体" w:hAnsi="宋体" w:eastAsia="宋体" w:cs="宋体"/>
              </w:rPr>
            </w:pPr>
          </w:p>
        </w:tc>
        <w:tc>
          <w:tcPr>
            <w:tcW w:w="2034" w:type="dxa"/>
            <w:gridSpan w:val="2"/>
            <w:vAlign w:val="top"/>
          </w:tcPr>
          <w:p w14:paraId="2E189A0E">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2A55366A">
            <w:pPr>
              <w:pStyle w:val="9"/>
              <w:rPr>
                <w:rFonts w:hint="eastAsia" w:ascii="宋体" w:hAnsi="宋体" w:eastAsia="宋体" w:cs="宋体"/>
                <w:sz w:val="19"/>
                <w:szCs w:val="19"/>
              </w:rPr>
            </w:pPr>
          </w:p>
        </w:tc>
        <w:tc>
          <w:tcPr>
            <w:tcW w:w="1404" w:type="dxa"/>
            <w:vAlign w:val="top"/>
          </w:tcPr>
          <w:p w14:paraId="45E59359">
            <w:pPr>
              <w:pStyle w:val="9"/>
              <w:rPr>
                <w:rFonts w:hint="eastAsia" w:ascii="宋体" w:hAnsi="宋体" w:eastAsia="宋体" w:cs="宋体"/>
                <w:sz w:val="19"/>
                <w:szCs w:val="19"/>
              </w:rPr>
            </w:pPr>
          </w:p>
        </w:tc>
        <w:tc>
          <w:tcPr>
            <w:tcW w:w="1121" w:type="dxa"/>
            <w:vAlign w:val="top"/>
          </w:tcPr>
          <w:p w14:paraId="571A0FD7">
            <w:pPr>
              <w:pStyle w:val="9"/>
              <w:rPr>
                <w:rFonts w:hint="eastAsia" w:ascii="宋体" w:hAnsi="宋体" w:eastAsia="宋体" w:cs="宋体"/>
                <w:sz w:val="19"/>
                <w:szCs w:val="19"/>
              </w:rPr>
            </w:pPr>
          </w:p>
        </w:tc>
        <w:tc>
          <w:tcPr>
            <w:tcW w:w="679" w:type="dxa"/>
            <w:vAlign w:val="top"/>
          </w:tcPr>
          <w:p w14:paraId="59469809">
            <w:pPr>
              <w:pStyle w:val="9"/>
              <w:rPr>
                <w:rFonts w:hint="eastAsia" w:ascii="宋体" w:hAnsi="宋体" w:eastAsia="宋体" w:cs="宋体"/>
                <w:sz w:val="19"/>
                <w:szCs w:val="19"/>
              </w:rPr>
            </w:pPr>
          </w:p>
        </w:tc>
        <w:tc>
          <w:tcPr>
            <w:tcW w:w="980" w:type="dxa"/>
            <w:vAlign w:val="top"/>
          </w:tcPr>
          <w:p w14:paraId="5A421807">
            <w:pPr>
              <w:pStyle w:val="9"/>
              <w:rPr>
                <w:rFonts w:hint="eastAsia" w:ascii="宋体" w:hAnsi="宋体" w:eastAsia="宋体" w:cs="宋体"/>
                <w:sz w:val="19"/>
                <w:szCs w:val="19"/>
              </w:rPr>
            </w:pPr>
          </w:p>
        </w:tc>
        <w:tc>
          <w:tcPr>
            <w:tcW w:w="1309" w:type="dxa"/>
            <w:vAlign w:val="top"/>
          </w:tcPr>
          <w:p w14:paraId="580AD7E7">
            <w:pPr>
              <w:pStyle w:val="9"/>
              <w:rPr>
                <w:rFonts w:hint="eastAsia" w:ascii="宋体" w:hAnsi="宋体" w:eastAsia="宋体" w:cs="宋体"/>
                <w:sz w:val="19"/>
                <w:szCs w:val="19"/>
              </w:rPr>
            </w:pPr>
          </w:p>
        </w:tc>
      </w:tr>
      <w:tr w14:paraId="660C7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3B445CDC">
            <w:pPr>
              <w:pStyle w:val="9"/>
              <w:rPr>
                <w:rFonts w:hint="eastAsia" w:ascii="宋体" w:hAnsi="宋体" w:eastAsia="宋体" w:cs="宋体"/>
              </w:rPr>
            </w:pPr>
          </w:p>
        </w:tc>
        <w:tc>
          <w:tcPr>
            <w:tcW w:w="2034" w:type="dxa"/>
            <w:gridSpan w:val="2"/>
            <w:vAlign w:val="top"/>
          </w:tcPr>
          <w:p w14:paraId="4794BEF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19D01B30">
            <w:pPr>
              <w:pStyle w:val="9"/>
              <w:rPr>
                <w:rFonts w:hint="eastAsia" w:ascii="宋体" w:hAnsi="宋体" w:eastAsia="宋体" w:cs="宋体"/>
                <w:sz w:val="19"/>
                <w:szCs w:val="19"/>
              </w:rPr>
            </w:pPr>
          </w:p>
        </w:tc>
        <w:tc>
          <w:tcPr>
            <w:tcW w:w="1404" w:type="dxa"/>
            <w:vAlign w:val="top"/>
          </w:tcPr>
          <w:p w14:paraId="43680C68">
            <w:pPr>
              <w:pStyle w:val="9"/>
              <w:rPr>
                <w:rFonts w:hint="eastAsia" w:ascii="宋体" w:hAnsi="宋体" w:eastAsia="宋体" w:cs="宋体"/>
                <w:sz w:val="19"/>
                <w:szCs w:val="19"/>
              </w:rPr>
            </w:pPr>
          </w:p>
        </w:tc>
        <w:tc>
          <w:tcPr>
            <w:tcW w:w="1121" w:type="dxa"/>
            <w:vAlign w:val="top"/>
          </w:tcPr>
          <w:p w14:paraId="5A118566">
            <w:pPr>
              <w:pStyle w:val="9"/>
              <w:rPr>
                <w:rFonts w:hint="eastAsia" w:ascii="宋体" w:hAnsi="宋体" w:eastAsia="宋体" w:cs="宋体"/>
                <w:sz w:val="19"/>
                <w:szCs w:val="19"/>
              </w:rPr>
            </w:pPr>
          </w:p>
        </w:tc>
        <w:tc>
          <w:tcPr>
            <w:tcW w:w="679" w:type="dxa"/>
            <w:vAlign w:val="top"/>
          </w:tcPr>
          <w:p w14:paraId="088D1E82">
            <w:pPr>
              <w:pStyle w:val="9"/>
              <w:rPr>
                <w:rFonts w:hint="eastAsia" w:ascii="宋体" w:hAnsi="宋体" w:eastAsia="宋体" w:cs="宋体"/>
                <w:sz w:val="19"/>
                <w:szCs w:val="19"/>
              </w:rPr>
            </w:pPr>
          </w:p>
        </w:tc>
        <w:tc>
          <w:tcPr>
            <w:tcW w:w="980" w:type="dxa"/>
            <w:vAlign w:val="top"/>
          </w:tcPr>
          <w:p w14:paraId="36DE8446">
            <w:pPr>
              <w:pStyle w:val="9"/>
              <w:rPr>
                <w:rFonts w:hint="eastAsia" w:ascii="宋体" w:hAnsi="宋体" w:eastAsia="宋体" w:cs="宋体"/>
                <w:sz w:val="19"/>
                <w:szCs w:val="19"/>
              </w:rPr>
            </w:pPr>
          </w:p>
        </w:tc>
        <w:tc>
          <w:tcPr>
            <w:tcW w:w="1309" w:type="dxa"/>
            <w:vAlign w:val="top"/>
          </w:tcPr>
          <w:p w14:paraId="0AF8A0CE">
            <w:pPr>
              <w:pStyle w:val="9"/>
              <w:rPr>
                <w:rFonts w:hint="eastAsia" w:ascii="宋体" w:hAnsi="宋体" w:eastAsia="宋体" w:cs="宋体"/>
                <w:sz w:val="19"/>
                <w:szCs w:val="19"/>
              </w:rPr>
            </w:pPr>
          </w:p>
        </w:tc>
      </w:tr>
      <w:tr w14:paraId="03722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6B88330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6D526A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82B2D3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82" w:type="dxa"/>
            <w:gridSpan w:val="4"/>
            <w:vAlign w:val="top"/>
          </w:tcPr>
          <w:p w14:paraId="195D743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89" w:type="dxa"/>
            <w:gridSpan w:val="4"/>
            <w:vAlign w:val="top"/>
          </w:tcPr>
          <w:p w14:paraId="75941CF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45D3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5F30D1F0">
            <w:pPr>
              <w:pStyle w:val="9"/>
              <w:rPr>
                <w:rFonts w:hint="eastAsia" w:ascii="宋体" w:hAnsi="宋体" w:eastAsia="宋体" w:cs="宋体"/>
              </w:rPr>
            </w:pPr>
          </w:p>
        </w:tc>
        <w:tc>
          <w:tcPr>
            <w:tcW w:w="4682" w:type="dxa"/>
            <w:gridSpan w:val="4"/>
            <w:vAlign w:val="center"/>
          </w:tcPr>
          <w:p w14:paraId="6C2402EE">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保障编外用工人员经费（临聘人员工资)、工资福利。</w:t>
            </w:r>
          </w:p>
        </w:tc>
        <w:tc>
          <w:tcPr>
            <w:tcW w:w="4089" w:type="dxa"/>
            <w:gridSpan w:val="4"/>
            <w:vAlign w:val="center"/>
          </w:tcPr>
          <w:p w14:paraId="5AA6563B">
            <w:pPr>
              <w:keepNext w:val="0"/>
              <w:keepLines w:val="0"/>
              <w:widowControl/>
              <w:suppressLineNumbers w:val="0"/>
              <w:jc w:val="left"/>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19"/>
                <w:szCs w:val="19"/>
                <w:u w:val="none"/>
                <w:lang w:val="en-US" w:eastAsia="zh-CN" w:bidi="ar"/>
              </w:rPr>
              <w:t>及时足额发放编外用工人员经费（临聘人员工资)、工资福利。</w:t>
            </w:r>
          </w:p>
        </w:tc>
      </w:tr>
      <w:tr w14:paraId="53602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vAlign w:val="center"/>
          </w:tcPr>
          <w:p w14:paraId="2F6A0C5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2"/>
                <w:szCs w:val="22"/>
                <w:u w:val="none"/>
                <w:lang w:val="en-US" w:eastAsia="zh-CN" w:bidi="ar"/>
              </w:rPr>
              <w:t>绩效指标</w:t>
            </w:r>
          </w:p>
        </w:tc>
        <w:tc>
          <w:tcPr>
            <w:tcW w:w="1079" w:type="dxa"/>
            <w:tcBorders>
              <w:bottom w:val="single" w:color="auto" w:sz="4" w:space="0"/>
            </w:tcBorders>
            <w:vAlign w:val="center"/>
          </w:tcPr>
          <w:p w14:paraId="14EF9784">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一级指标</w:t>
            </w:r>
          </w:p>
        </w:tc>
        <w:tc>
          <w:tcPr>
            <w:tcW w:w="955" w:type="dxa"/>
            <w:tcBorders>
              <w:bottom w:val="single" w:color="auto" w:sz="4" w:space="0"/>
            </w:tcBorders>
            <w:vAlign w:val="center"/>
          </w:tcPr>
          <w:p w14:paraId="4BDE4BFB">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二级指标</w:t>
            </w:r>
          </w:p>
        </w:tc>
        <w:tc>
          <w:tcPr>
            <w:tcW w:w="1244" w:type="dxa"/>
            <w:tcBorders>
              <w:bottom w:val="single" w:color="auto" w:sz="4" w:space="0"/>
            </w:tcBorders>
            <w:vAlign w:val="center"/>
          </w:tcPr>
          <w:p w14:paraId="3B4232A3">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b/>
                <w:bCs/>
                <w:i w:val="0"/>
                <w:iCs w:val="0"/>
                <w:color w:val="000000"/>
                <w:kern w:val="0"/>
                <w:sz w:val="22"/>
                <w:szCs w:val="22"/>
                <w:u w:val="none"/>
                <w:lang w:val="en-US" w:eastAsia="zh-CN" w:bidi="ar"/>
              </w:rPr>
              <w:t>三级指标</w:t>
            </w:r>
          </w:p>
        </w:tc>
        <w:tc>
          <w:tcPr>
            <w:tcW w:w="1404" w:type="dxa"/>
            <w:tcBorders>
              <w:bottom w:val="single" w:color="auto" w:sz="4" w:space="0"/>
            </w:tcBorders>
            <w:vAlign w:val="center"/>
          </w:tcPr>
          <w:p w14:paraId="233EBC9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年度指标值</w:t>
            </w:r>
          </w:p>
        </w:tc>
        <w:tc>
          <w:tcPr>
            <w:tcW w:w="1121" w:type="dxa"/>
            <w:tcBorders>
              <w:bottom w:val="single" w:color="auto" w:sz="4" w:space="0"/>
            </w:tcBorders>
            <w:vAlign w:val="center"/>
          </w:tcPr>
          <w:p w14:paraId="2C97AFC9">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实际完成值</w:t>
            </w:r>
          </w:p>
        </w:tc>
        <w:tc>
          <w:tcPr>
            <w:tcW w:w="679" w:type="dxa"/>
            <w:tcBorders>
              <w:bottom w:val="single" w:color="auto" w:sz="4" w:space="0"/>
            </w:tcBorders>
            <w:vAlign w:val="center"/>
          </w:tcPr>
          <w:p w14:paraId="1F677613">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分值</w:t>
            </w:r>
          </w:p>
        </w:tc>
        <w:tc>
          <w:tcPr>
            <w:tcW w:w="980" w:type="dxa"/>
            <w:tcBorders>
              <w:bottom w:val="single" w:color="auto" w:sz="4" w:space="0"/>
            </w:tcBorders>
            <w:vAlign w:val="center"/>
          </w:tcPr>
          <w:p w14:paraId="6CF4233E">
            <w:pPr>
              <w:keepNext w:val="0"/>
              <w:keepLines w:val="0"/>
              <w:widowControl/>
              <w:suppressLineNumbers w:val="0"/>
              <w:jc w:val="center"/>
              <w:textAlignment w:val="center"/>
              <w:rPr>
                <w:rFonts w:hint="eastAsia" w:ascii="宋体" w:hAnsi="宋体" w:eastAsia="宋体" w:cs="宋体"/>
                <w:sz w:val="16"/>
                <w:szCs w:val="16"/>
              </w:rPr>
            </w:pPr>
            <w:r>
              <w:rPr>
                <w:rFonts w:hint="eastAsia" w:ascii="宋体" w:hAnsi="宋体" w:eastAsia="宋体" w:cs="宋体"/>
                <w:b/>
                <w:bCs/>
                <w:i w:val="0"/>
                <w:iCs w:val="0"/>
                <w:color w:val="000000"/>
                <w:kern w:val="0"/>
                <w:sz w:val="22"/>
                <w:szCs w:val="22"/>
                <w:u w:val="none"/>
                <w:lang w:val="en-US" w:eastAsia="zh-CN" w:bidi="ar"/>
              </w:rPr>
              <w:t>得分</w:t>
            </w:r>
          </w:p>
        </w:tc>
        <w:tc>
          <w:tcPr>
            <w:tcW w:w="1309" w:type="dxa"/>
            <w:tcBorders>
              <w:bottom w:val="single" w:color="auto" w:sz="4" w:space="0"/>
            </w:tcBorders>
            <w:vAlign w:val="center"/>
          </w:tcPr>
          <w:p w14:paraId="7A63C83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b/>
                <w:bCs/>
                <w:i w:val="0"/>
                <w:iCs w:val="0"/>
                <w:color w:val="000000"/>
                <w:kern w:val="0"/>
                <w:sz w:val="22"/>
                <w:szCs w:val="22"/>
                <w:u w:val="none"/>
                <w:lang w:val="en-US" w:eastAsia="zh-CN" w:bidi="ar"/>
              </w:rPr>
              <w:t>偏差原因分析及改进措施</w:t>
            </w:r>
          </w:p>
        </w:tc>
      </w:tr>
      <w:tr w14:paraId="14493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7934AB49">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209329D2">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3611E455">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24D0F8C3">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编外人员数</w:t>
            </w:r>
          </w:p>
        </w:tc>
        <w:tc>
          <w:tcPr>
            <w:tcW w:w="1404" w:type="dxa"/>
            <w:tcBorders>
              <w:top w:val="single" w:color="auto" w:sz="4" w:space="0"/>
              <w:left w:val="single" w:color="auto" w:sz="4" w:space="0"/>
              <w:bottom w:val="single" w:color="auto" w:sz="4" w:space="0"/>
              <w:right w:val="single" w:color="auto" w:sz="4" w:space="0"/>
            </w:tcBorders>
            <w:vAlign w:val="center"/>
          </w:tcPr>
          <w:p w14:paraId="776AF6F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w:t>
            </w:r>
          </w:p>
        </w:tc>
        <w:tc>
          <w:tcPr>
            <w:tcW w:w="1121" w:type="dxa"/>
            <w:tcBorders>
              <w:top w:val="single" w:color="auto" w:sz="4" w:space="0"/>
              <w:left w:val="single" w:color="auto" w:sz="4" w:space="0"/>
              <w:bottom w:val="single" w:color="auto" w:sz="4" w:space="0"/>
              <w:right w:val="single" w:color="auto" w:sz="4" w:space="0"/>
            </w:tcBorders>
            <w:vAlign w:val="center"/>
          </w:tcPr>
          <w:p w14:paraId="75D241F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w:t>
            </w:r>
          </w:p>
        </w:tc>
        <w:tc>
          <w:tcPr>
            <w:tcW w:w="679" w:type="dxa"/>
            <w:tcBorders>
              <w:top w:val="single" w:color="auto" w:sz="4" w:space="0"/>
              <w:left w:val="single" w:color="auto" w:sz="4" w:space="0"/>
              <w:bottom w:val="single" w:color="auto" w:sz="4" w:space="0"/>
              <w:right w:val="single" w:color="auto" w:sz="4" w:space="0"/>
            </w:tcBorders>
            <w:vAlign w:val="center"/>
          </w:tcPr>
          <w:p w14:paraId="6CA151B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71C2629D">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71F396AF">
            <w:pPr>
              <w:jc w:val="center"/>
              <w:rPr>
                <w:rFonts w:hint="eastAsia" w:ascii="宋体" w:hAnsi="宋体" w:eastAsia="宋体" w:cs="宋体"/>
                <w:sz w:val="18"/>
                <w:szCs w:val="18"/>
              </w:rPr>
            </w:pPr>
          </w:p>
        </w:tc>
      </w:tr>
      <w:tr w14:paraId="4F802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24A213C8">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B4D0967">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39CEFDD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6D4F3194">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编外人员到岗率</w:t>
            </w:r>
          </w:p>
        </w:tc>
        <w:tc>
          <w:tcPr>
            <w:tcW w:w="1404" w:type="dxa"/>
            <w:tcBorders>
              <w:top w:val="single" w:color="auto" w:sz="4" w:space="0"/>
              <w:left w:val="single" w:color="auto" w:sz="4" w:space="0"/>
              <w:bottom w:val="single" w:color="auto" w:sz="4" w:space="0"/>
              <w:right w:val="single" w:color="auto" w:sz="4" w:space="0"/>
            </w:tcBorders>
            <w:vAlign w:val="center"/>
          </w:tcPr>
          <w:p w14:paraId="5AC6CB6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258B2CB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5BB6897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6E06127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737CF1B4">
            <w:pPr>
              <w:jc w:val="center"/>
              <w:rPr>
                <w:rFonts w:hint="eastAsia" w:ascii="宋体" w:hAnsi="宋体" w:eastAsia="宋体" w:cs="宋体"/>
                <w:sz w:val="18"/>
                <w:szCs w:val="18"/>
              </w:rPr>
            </w:pPr>
          </w:p>
        </w:tc>
      </w:tr>
      <w:tr w14:paraId="3B4B9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right w:val="single" w:color="auto" w:sz="4" w:space="0"/>
            </w:tcBorders>
            <w:vAlign w:val="center"/>
          </w:tcPr>
          <w:p w14:paraId="0D4665BC">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CE63574">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7CFB48DB">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601E3592">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工资发放及时率</w:t>
            </w:r>
          </w:p>
        </w:tc>
        <w:tc>
          <w:tcPr>
            <w:tcW w:w="1404" w:type="dxa"/>
            <w:tcBorders>
              <w:top w:val="single" w:color="auto" w:sz="4" w:space="0"/>
              <w:left w:val="single" w:color="auto" w:sz="4" w:space="0"/>
              <w:bottom w:val="single" w:color="auto" w:sz="4" w:space="0"/>
              <w:right w:val="single" w:color="auto" w:sz="4" w:space="0"/>
            </w:tcBorders>
            <w:vAlign w:val="center"/>
          </w:tcPr>
          <w:p w14:paraId="607F1077">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1121" w:type="dxa"/>
            <w:tcBorders>
              <w:top w:val="single" w:color="auto" w:sz="4" w:space="0"/>
              <w:left w:val="single" w:color="auto" w:sz="4" w:space="0"/>
              <w:bottom w:val="single" w:color="auto" w:sz="4" w:space="0"/>
              <w:right w:val="single" w:color="auto" w:sz="4" w:space="0"/>
            </w:tcBorders>
            <w:vAlign w:val="center"/>
          </w:tcPr>
          <w:p w14:paraId="71069A7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w:t>
            </w:r>
          </w:p>
        </w:tc>
        <w:tc>
          <w:tcPr>
            <w:tcW w:w="679" w:type="dxa"/>
            <w:tcBorders>
              <w:top w:val="single" w:color="auto" w:sz="4" w:space="0"/>
              <w:left w:val="single" w:color="auto" w:sz="4" w:space="0"/>
              <w:bottom w:val="single" w:color="auto" w:sz="4" w:space="0"/>
              <w:right w:val="single" w:color="auto" w:sz="4" w:space="0"/>
            </w:tcBorders>
            <w:vAlign w:val="center"/>
          </w:tcPr>
          <w:p w14:paraId="3679446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w:t>
            </w:r>
          </w:p>
        </w:tc>
        <w:tc>
          <w:tcPr>
            <w:tcW w:w="980" w:type="dxa"/>
            <w:tcBorders>
              <w:top w:val="single" w:color="auto" w:sz="4" w:space="0"/>
              <w:left w:val="single" w:color="auto" w:sz="4" w:space="0"/>
              <w:bottom w:val="single" w:color="auto" w:sz="4" w:space="0"/>
              <w:right w:val="single" w:color="auto" w:sz="4" w:space="0"/>
            </w:tcBorders>
            <w:vAlign w:val="center"/>
          </w:tcPr>
          <w:p w14:paraId="28E86115">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20.00</w:t>
            </w:r>
          </w:p>
        </w:tc>
        <w:tc>
          <w:tcPr>
            <w:tcW w:w="1309" w:type="dxa"/>
            <w:tcBorders>
              <w:top w:val="single" w:color="auto" w:sz="4" w:space="0"/>
              <w:left w:val="single" w:color="auto" w:sz="4" w:space="0"/>
              <w:bottom w:val="single" w:color="auto" w:sz="4" w:space="0"/>
              <w:right w:val="single" w:color="auto" w:sz="4" w:space="0"/>
            </w:tcBorders>
            <w:vAlign w:val="center"/>
          </w:tcPr>
          <w:p w14:paraId="1545FDA0">
            <w:pPr>
              <w:jc w:val="center"/>
              <w:rPr>
                <w:rFonts w:hint="eastAsia" w:ascii="宋体" w:hAnsi="宋体" w:eastAsia="宋体" w:cs="宋体"/>
                <w:sz w:val="18"/>
                <w:szCs w:val="18"/>
              </w:rPr>
            </w:pPr>
          </w:p>
        </w:tc>
      </w:tr>
      <w:tr w14:paraId="2FBAD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2D6844FE">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342D154">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43C1DDCD">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4E030A2">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1B12A913">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445D2E39">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20B61D46">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07202783">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2D2F2B84">
            <w:pPr>
              <w:jc w:val="center"/>
              <w:rPr>
                <w:rFonts w:hint="eastAsia" w:ascii="宋体" w:hAnsi="宋体" w:eastAsia="宋体" w:cs="宋体"/>
                <w:sz w:val="18"/>
                <w:szCs w:val="18"/>
              </w:rPr>
            </w:pPr>
          </w:p>
        </w:tc>
      </w:tr>
      <w:tr w14:paraId="1348E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7F71B58C">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D9B8566">
            <w:pPr>
              <w:jc w:val="center"/>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vAlign w:val="center"/>
          </w:tcPr>
          <w:p w14:paraId="0CE709AA">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27809AD">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保障编外人员经费效益</w:t>
            </w:r>
          </w:p>
        </w:tc>
        <w:tc>
          <w:tcPr>
            <w:tcW w:w="1404" w:type="dxa"/>
            <w:tcBorders>
              <w:top w:val="single" w:color="auto" w:sz="4" w:space="0"/>
              <w:left w:val="single" w:color="auto" w:sz="4" w:space="0"/>
              <w:bottom w:val="single" w:color="auto" w:sz="4" w:space="0"/>
              <w:right w:val="single" w:color="auto" w:sz="4" w:space="0"/>
            </w:tcBorders>
            <w:vAlign w:val="center"/>
          </w:tcPr>
          <w:p w14:paraId="7E58C9B2">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有效保障</w:t>
            </w:r>
          </w:p>
        </w:tc>
        <w:tc>
          <w:tcPr>
            <w:tcW w:w="1121" w:type="dxa"/>
            <w:tcBorders>
              <w:top w:val="single" w:color="auto" w:sz="4" w:space="0"/>
              <w:left w:val="single" w:color="auto" w:sz="4" w:space="0"/>
              <w:bottom w:val="single" w:color="auto" w:sz="4" w:space="0"/>
              <w:right w:val="single" w:color="auto" w:sz="4" w:space="0"/>
            </w:tcBorders>
            <w:vAlign w:val="center"/>
          </w:tcPr>
          <w:p w14:paraId="7F5EBC78">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有效保障</w:t>
            </w:r>
          </w:p>
        </w:tc>
        <w:tc>
          <w:tcPr>
            <w:tcW w:w="679" w:type="dxa"/>
            <w:tcBorders>
              <w:top w:val="single" w:color="auto" w:sz="4" w:space="0"/>
              <w:left w:val="single" w:color="auto" w:sz="4" w:space="0"/>
              <w:bottom w:val="single" w:color="auto" w:sz="4" w:space="0"/>
              <w:right w:val="single" w:color="auto" w:sz="4" w:space="0"/>
            </w:tcBorders>
            <w:vAlign w:val="center"/>
          </w:tcPr>
          <w:p w14:paraId="62645E7B">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094EFDF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6E393FFF">
            <w:pPr>
              <w:jc w:val="center"/>
              <w:rPr>
                <w:rFonts w:hint="eastAsia" w:ascii="宋体" w:hAnsi="宋体" w:eastAsia="宋体" w:cs="宋体"/>
                <w:sz w:val="18"/>
                <w:szCs w:val="18"/>
              </w:rPr>
            </w:pPr>
          </w:p>
        </w:tc>
      </w:tr>
      <w:tr w14:paraId="37101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663A5429">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30202FE">
            <w:pPr>
              <w:jc w:val="center"/>
              <w:rPr>
                <w:rFonts w:hint="eastAsia" w:ascii="宋体" w:hAnsi="宋体" w:eastAsia="宋体" w:cs="宋体"/>
                <w:spacing w:val="3"/>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1F1EAE2C">
            <w:pPr>
              <w:keepNext w:val="0"/>
              <w:keepLines w:val="0"/>
              <w:widowControl/>
              <w:suppressLineNumbers w:val="0"/>
              <w:jc w:val="center"/>
              <w:textAlignment w:val="center"/>
              <w:rPr>
                <w:rFonts w:hint="eastAsia" w:ascii="宋体" w:hAnsi="宋体" w:eastAsia="宋体" w:cs="宋体"/>
                <w:spacing w:val="2"/>
                <w:sz w:val="19"/>
                <w:szCs w:val="19"/>
              </w:rPr>
            </w:pPr>
            <w:r>
              <w:rPr>
                <w:rFonts w:hint="eastAsia" w:ascii="宋体" w:hAnsi="宋体" w:eastAsia="宋体" w:cs="宋体"/>
                <w:i w:val="0"/>
                <w:iCs w:val="0"/>
                <w:color w:val="000000"/>
                <w:kern w:val="0"/>
                <w:sz w:val="20"/>
                <w:szCs w:val="20"/>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537FB9C2">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66ED08CD">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0EB59B9F">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E0043C2">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3555A281">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743E4D66">
            <w:pPr>
              <w:jc w:val="center"/>
              <w:rPr>
                <w:rFonts w:hint="eastAsia" w:ascii="宋体" w:hAnsi="宋体" w:eastAsia="宋体" w:cs="宋体"/>
                <w:sz w:val="18"/>
                <w:szCs w:val="18"/>
              </w:rPr>
            </w:pPr>
          </w:p>
        </w:tc>
      </w:tr>
      <w:tr w14:paraId="062A5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15C9B1B5">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3D2ABB1">
            <w:pPr>
              <w:jc w:val="center"/>
              <w:rPr>
                <w:rFonts w:hint="eastAsia" w:ascii="宋体" w:hAnsi="宋体" w:eastAsia="宋体" w:cs="宋体"/>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23EA7E35">
            <w:pPr>
              <w:keepNext w:val="0"/>
              <w:keepLines w:val="0"/>
              <w:widowControl/>
              <w:suppressLineNumbers w:val="0"/>
              <w:jc w:val="center"/>
              <w:textAlignment w:val="center"/>
              <w:rPr>
                <w:rFonts w:hint="eastAsia" w:ascii="宋体" w:hAnsi="宋体" w:eastAsia="宋体" w:cs="宋体"/>
                <w:kern w:val="2"/>
                <w:sz w:val="19"/>
                <w:szCs w:val="19"/>
                <w:lang w:val="en-US" w:eastAsia="zh-CN" w:bidi="ar-SA"/>
              </w:rPr>
            </w:pPr>
            <w:r>
              <w:rPr>
                <w:rFonts w:hint="eastAsia" w:ascii="宋体" w:hAnsi="宋体" w:eastAsia="宋体" w:cs="宋体"/>
                <w:i w:val="0"/>
                <w:iCs w:val="0"/>
                <w:color w:val="000000"/>
                <w:kern w:val="0"/>
                <w:sz w:val="20"/>
                <w:szCs w:val="20"/>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31B8502C">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4B080CAC">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6646904F">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79731901">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90BFCC8">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5A7B3438">
            <w:pPr>
              <w:jc w:val="center"/>
              <w:rPr>
                <w:rFonts w:hint="eastAsia" w:ascii="宋体" w:hAnsi="宋体" w:eastAsia="宋体" w:cs="宋体"/>
                <w:sz w:val="18"/>
                <w:szCs w:val="18"/>
              </w:rPr>
            </w:pPr>
          </w:p>
        </w:tc>
      </w:tr>
      <w:tr w14:paraId="44659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B0A2395">
            <w:pPr>
              <w:jc w:val="center"/>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45A8EEB1">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6D6895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7CC1D8A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社会公众满意度</w:t>
            </w:r>
          </w:p>
        </w:tc>
        <w:tc>
          <w:tcPr>
            <w:tcW w:w="1404" w:type="dxa"/>
            <w:tcBorders>
              <w:top w:val="single" w:color="auto" w:sz="4" w:space="0"/>
              <w:left w:val="single" w:color="auto" w:sz="4" w:space="0"/>
              <w:bottom w:val="single" w:color="auto" w:sz="4" w:space="0"/>
              <w:right w:val="single" w:color="auto" w:sz="4" w:space="0"/>
            </w:tcBorders>
            <w:vAlign w:val="center"/>
          </w:tcPr>
          <w:p w14:paraId="2384325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1121" w:type="dxa"/>
            <w:tcBorders>
              <w:top w:val="single" w:color="auto" w:sz="4" w:space="0"/>
              <w:left w:val="single" w:color="auto" w:sz="4" w:space="0"/>
              <w:bottom w:val="single" w:color="auto" w:sz="4" w:space="0"/>
              <w:right w:val="single" w:color="auto" w:sz="4" w:space="0"/>
            </w:tcBorders>
            <w:vAlign w:val="center"/>
          </w:tcPr>
          <w:p w14:paraId="32DA4F2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95</w:t>
            </w:r>
          </w:p>
        </w:tc>
        <w:tc>
          <w:tcPr>
            <w:tcW w:w="679" w:type="dxa"/>
            <w:tcBorders>
              <w:top w:val="single" w:color="auto" w:sz="4" w:space="0"/>
              <w:left w:val="single" w:color="auto" w:sz="4" w:space="0"/>
              <w:bottom w:val="single" w:color="auto" w:sz="4" w:space="0"/>
              <w:right w:val="single" w:color="auto" w:sz="4" w:space="0"/>
            </w:tcBorders>
            <w:vAlign w:val="center"/>
          </w:tcPr>
          <w:p w14:paraId="127CD9F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w:t>
            </w:r>
          </w:p>
        </w:tc>
        <w:tc>
          <w:tcPr>
            <w:tcW w:w="980" w:type="dxa"/>
            <w:tcBorders>
              <w:top w:val="single" w:color="auto" w:sz="4" w:space="0"/>
              <w:left w:val="single" w:color="auto" w:sz="4" w:space="0"/>
              <w:bottom w:val="single" w:color="auto" w:sz="4" w:space="0"/>
              <w:right w:val="single" w:color="auto" w:sz="4" w:space="0"/>
            </w:tcBorders>
            <w:vAlign w:val="center"/>
          </w:tcPr>
          <w:p w14:paraId="23F0C686">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10.00</w:t>
            </w:r>
          </w:p>
        </w:tc>
        <w:tc>
          <w:tcPr>
            <w:tcW w:w="1309" w:type="dxa"/>
            <w:tcBorders>
              <w:top w:val="single" w:color="auto" w:sz="4" w:space="0"/>
              <w:left w:val="single" w:color="auto" w:sz="4" w:space="0"/>
              <w:bottom w:val="single" w:color="auto" w:sz="4" w:space="0"/>
              <w:right w:val="single" w:color="auto" w:sz="4" w:space="0"/>
            </w:tcBorders>
            <w:vAlign w:val="center"/>
          </w:tcPr>
          <w:p w14:paraId="5C7F9F60">
            <w:pPr>
              <w:jc w:val="center"/>
              <w:rPr>
                <w:rFonts w:hint="eastAsia" w:ascii="宋体" w:hAnsi="宋体" w:eastAsia="宋体" w:cs="宋体"/>
                <w:sz w:val="18"/>
                <w:szCs w:val="18"/>
              </w:rPr>
            </w:pPr>
          </w:p>
        </w:tc>
      </w:tr>
      <w:tr w14:paraId="036E0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11270DDF">
            <w:pPr>
              <w:jc w:val="center"/>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1188C476">
            <w:pPr>
              <w:keepNext w:val="0"/>
              <w:keepLines w:val="0"/>
              <w:widowControl/>
              <w:suppressLineNumbers w:val="0"/>
              <w:jc w:val="center"/>
              <w:textAlignment w:val="center"/>
              <w:rPr>
                <w:rFonts w:hint="eastAsia" w:ascii="宋体" w:hAnsi="宋体" w:eastAsia="宋体" w:cs="宋体"/>
                <w:sz w:val="19"/>
                <w:szCs w:val="19"/>
              </w:rPr>
            </w:pPr>
            <w:r>
              <w:rPr>
                <w:rFonts w:hint="eastAsia" w:ascii="宋体" w:hAnsi="宋体" w:eastAsia="宋体" w:cs="宋体"/>
                <w:i w:val="0"/>
                <w:iCs w:val="0"/>
                <w:color w:val="000000"/>
                <w:kern w:val="0"/>
                <w:sz w:val="20"/>
                <w:szCs w:val="20"/>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00537F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6AC04FAA">
            <w:pPr>
              <w:keepNext w:val="0"/>
              <w:keepLines w:val="0"/>
              <w:widowControl/>
              <w:suppressLineNumbers w:val="0"/>
              <w:jc w:val="left"/>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编外人员经费</w:t>
            </w:r>
          </w:p>
        </w:tc>
        <w:tc>
          <w:tcPr>
            <w:tcW w:w="1404" w:type="dxa"/>
            <w:tcBorders>
              <w:top w:val="single" w:color="auto" w:sz="4" w:space="0"/>
              <w:left w:val="single" w:color="auto" w:sz="4" w:space="0"/>
              <w:bottom w:val="single" w:color="auto" w:sz="4" w:space="0"/>
              <w:right w:val="single" w:color="auto" w:sz="4" w:space="0"/>
            </w:tcBorders>
            <w:vAlign w:val="center"/>
          </w:tcPr>
          <w:p w14:paraId="4879C241">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6</w:t>
            </w:r>
          </w:p>
        </w:tc>
        <w:tc>
          <w:tcPr>
            <w:tcW w:w="1121" w:type="dxa"/>
            <w:tcBorders>
              <w:top w:val="single" w:color="auto" w:sz="4" w:space="0"/>
              <w:left w:val="single" w:color="auto" w:sz="4" w:space="0"/>
              <w:bottom w:val="single" w:color="auto" w:sz="4" w:space="0"/>
              <w:right w:val="single" w:color="auto" w:sz="4" w:space="0"/>
            </w:tcBorders>
            <w:vAlign w:val="center"/>
          </w:tcPr>
          <w:p w14:paraId="662A50E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6</w:t>
            </w:r>
          </w:p>
        </w:tc>
        <w:tc>
          <w:tcPr>
            <w:tcW w:w="679" w:type="dxa"/>
            <w:tcBorders>
              <w:top w:val="single" w:color="auto" w:sz="4" w:space="0"/>
              <w:left w:val="single" w:color="auto" w:sz="4" w:space="0"/>
              <w:bottom w:val="single" w:color="auto" w:sz="4" w:space="0"/>
              <w:right w:val="single" w:color="auto" w:sz="4" w:space="0"/>
            </w:tcBorders>
            <w:vAlign w:val="center"/>
          </w:tcPr>
          <w:p w14:paraId="03CE5DB9">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w:t>
            </w:r>
          </w:p>
        </w:tc>
        <w:tc>
          <w:tcPr>
            <w:tcW w:w="980" w:type="dxa"/>
            <w:tcBorders>
              <w:top w:val="single" w:color="auto" w:sz="4" w:space="0"/>
              <w:left w:val="single" w:color="auto" w:sz="4" w:space="0"/>
              <w:bottom w:val="single" w:color="auto" w:sz="4" w:space="0"/>
              <w:right w:val="single" w:color="auto" w:sz="4" w:space="0"/>
            </w:tcBorders>
            <w:vAlign w:val="center"/>
          </w:tcPr>
          <w:p w14:paraId="2948D3A0">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20"/>
                <w:szCs w:val="20"/>
                <w:u w:val="none"/>
                <w:lang w:val="en-US" w:eastAsia="zh-CN" w:bidi="ar"/>
              </w:rPr>
              <w:t>15.00</w:t>
            </w:r>
          </w:p>
        </w:tc>
        <w:tc>
          <w:tcPr>
            <w:tcW w:w="1309" w:type="dxa"/>
            <w:tcBorders>
              <w:top w:val="single" w:color="auto" w:sz="4" w:space="0"/>
              <w:left w:val="single" w:color="auto" w:sz="4" w:space="0"/>
              <w:bottom w:val="single" w:color="auto" w:sz="4" w:space="0"/>
              <w:right w:val="single" w:color="auto" w:sz="4" w:space="0"/>
            </w:tcBorders>
            <w:vAlign w:val="center"/>
          </w:tcPr>
          <w:p w14:paraId="5A33EC9A">
            <w:pPr>
              <w:jc w:val="center"/>
              <w:rPr>
                <w:rFonts w:hint="eastAsia" w:ascii="宋体" w:hAnsi="宋体" w:eastAsia="宋体" w:cs="宋体"/>
                <w:sz w:val="18"/>
                <w:szCs w:val="18"/>
              </w:rPr>
            </w:pPr>
          </w:p>
        </w:tc>
      </w:tr>
      <w:tr w14:paraId="26D7D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3535E632">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7376C25E">
            <w:pPr>
              <w:jc w:val="center"/>
              <w:rPr>
                <w:rFonts w:hint="eastAsia" w:ascii="宋体" w:hAnsi="宋体" w:eastAsia="宋体" w:cs="宋体"/>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78FE9F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F98ECCA">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0C2F381C">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7D5894D3">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556D2B1E">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023814B6">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0DE816FB">
            <w:pPr>
              <w:jc w:val="center"/>
              <w:rPr>
                <w:rFonts w:hint="eastAsia" w:ascii="宋体" w:hAnsi="宋体" w:eastAsia="宋体" w:cs="宋体"/>
                <w:sz w:val="18"/>
                <w:szCs w:val="18"/>
              </w:rPr>
            </w:pPr>
          </w:p>
        </w:tc>
      </w:tr>
      <w:tr w14:paraId="59831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vAlign w:val="center"/>
          </w:tcPr>
          <w:p w14:paraId="7495F7D4">
            <w:pPr>
              <w:jc w:val="center"/>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FE0E11">
            <w:pPr>
              <w:jc w:val="center"/>
              <w:rPr>
                <w:rFonts w:hint="eastAsia" w:ascii="宋体" w:hAnsi="宋体" w:eastAsia="宋体" w:cs="宋体"/>
                <w:sz w:val="19"/>
                <w:szCs w:val="19"/>
              </w:rPr>
            </w:pPr>
          </w:p>
        </w:tc>
        <w:tc>
          <w:tcPr>
            <w:tcW w:w="955" w:type="dxa"/>
            <w:tcBorders>
              <w:top w:val="single" w:color="auto" w:sz="4" w:space="0"/>
              <w:left w:val="single" w:color="auto" w:sz="4" w:space="0"/>
              <w:bottom w:val="single" w:color="auto" w:sz="4" w:space="0"/>
              <w:right w:val="single" w:color="auto" w:sz="4" w:space="0"/>
            </w:tcBorders>
            <w:vAlign w:val="center"/>
          </w:tcPr>
          <w:p w14:paraId="43FE0A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23796AD">
            <w:pPr>
              <w:rPr>
                <w:rFonts w:hint="eastAsia" w:ascii="宋体" w:hAnsi="宋体" w:eastAsia="宋体" w:cs="宋体"/>
                <w:sz w:val="18"/>
                <w:szCs w:val="18"/>
              </w:rPr>
            </w:pPr>
          </w:p>
        </w:tc>
        <w:tc>
          <w:tcPr>
            <w:tcW w:w="1404" w:type="dxa"/>
            <w:tcBorders>
              <w:top w:val="single" w:color="auto" w:sz="4" w:space="0"/>
              <w:left w:val="single" w:color="auto" w:sz="4" w:space="0"/>
              <w:bottom w:val="single" w:color="auto" w:sz="4" w:space="0"/>
              <w:right w:val="single" w:color="auto" w:sz="4" w:space="0"/>
            </w:tcBorders>
            <w:vAlign w:val="center"/>
          </w:tcPr>
          <w:p w14:paraId="554FBB4A">
            <w:pPr>
              <w:jc w:val="center"/>
              <w:rPr>
                <w:rFonts w:hint="eastAsia" w:ascii="宋体" w:hAnsi="宋体" w:eastAsia="宋体" w:cs="宋体"/>
                <w:sz w:val="18"/>
                <w:szCs w:val="18"/>
              </w:rPr>
            </w:pPr>
          </w:p>
        </w:tc>
        <w:tc>
          <w:tcPr>
            <w:tcW w:w="1121" w:type="dxa"/>
            <w:tcBorders>
              <w:top w:val="single" w:color="auto" w:sz="4" w:space="0"/>
              <w:left w:val="single" w:color="auto" w:sz="4" w:space="0"/>
              <w:bottom w:val="single" w:color="auto" w:sz="4" w:space="0"/>
              <w:right w:val="single" w:color="auto" w:sz="4" w:space="0"/>
            </w:tcBorders>
            <w:vAlign w:val="center"/>
          </w:tcPr>
          <w:p w14:paraId="6050EFF3">
            <w:pPr>
              <w:jc w:val="center"/>
              <w:rPr>
                <w:rFonts w:hint="eastAsia" w:ascii="宋体" w:hAnsi="宋体" w:eastAsia="宋体" w:cs="宋体"/>
                <w:sz w:val="18"/>
                <w:szCs w:val="18"/>
              </w:rPr>
            </w:pPr>
          </w:p>
        </w:tc>
        <w:tc>
          <w:tcPr>
            <w:tcW w:w="679" w:type="dxa"/>
            <w:tcBorders>
              <w:top w:val="single" w:color="auto" w:sz="4" w:space="0"/>
              <w:left w:val="single" w:color="auto" w:sz="4" w:space="0"/>
              <w:bottom w:val="single" w:color="auto" w:sz="4" w:space="0"/>
              <w:right w:val="single" w:color="auto" w:sz="4" w:space="0"/>
            </w:tcBorders>
            <w:vAlign w:val="center"/>
          </w:tcPr>
          <w:p w14:paraId="3F2E4538">
            <w:pPr>
              <w:jc w:val="center"/>
              <w:rPr>
                <w:rFonts w:hint="eastAsia" w:ascii="宋体" w:hAnsi="宋体" w:eastAsia="宋体" w:cs="宋体"/>
                <w:sz w:val="18"/>
                <w:szCs w:val="18"/>
              </w:rPr>
            </w:pPr>
          </w:p>
        </w:tc>
        <w:tc>
          <w:tcPr>
            <w:tcW w:w="980" w:type="dxa"/>
            <w:tcBorders>
              <w:top w:val="single" w:color="auto" w:sz="4" w:space="0"/>
              <w:left w:val="single" w:color="auto" w:sz="4" w:space="0"/>
              <w:bottom w:val="single" w:color="auto" w:sz="4" w:space="0"/>
              <w:right w:val="single" w:color="auto" w:sz="4" w:space="0"/>
            </w:tcBorders>
            <w:vAlign w:val="center"/>
          </w:tcPr>
          <w:p w14:paraId="183EE1A3">
            <w:pPr>
              <w:jc w:val="center"/>
              <w:rPr>
                <w:rFonts w:hint="eastAsia" w:ascii="宋体" w:hAnsi="宋体" w:eastAsia="宋体" w:cs="宋体"/>
                <w:sz w:val="18"/>
                <w:szCs w:val="18"/>
              </w:rPr>
            </w:pPr>
          </w:p>
        </w:tc>
        <w:tc>
          <w:tcPr>
            <w:tcW w:w="1309" w:type="dxa"/>
            <w:tcBorders>
              <w:top w:val="single" w:color="auto" w:sz="4" w:space="0"/>
              <w:left w:val="single" w:color="auto" w:sz="4" w:space="0"/>
              <w:bottom w:val="single" w:color="auto" w:sz="4" w:space="0"/>
              <w:right w:val="single" w:color="auto" w:sz="4" w:space="0"/>
            </w:tcBorders>
            <w:vAlign w:val="center"/>
          </w:tcPr>
          <w:p w14:paraId="68A3F5CB">
            <w:pPr>
              <w:jc w:val="center"/>
              <w:rPr>
                <w:rFonts w:hint="eastAsia" w:ascii="宋体" w:hAnsi="宋体" w:eastAsia="宋体" w:cs="宋体"/>
                <w:sz w:val="18"/>
                <w:szCs w:val="18"/>
              </w:rPr>
            </w:pPr>
          </w:p>
        </w:tc>
      </w:tr>
      <w:tr w14:paraId="7270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531F332C">
            <w:pPr>
              <w:spacing w:before="36" w:line="216" w:lineRule="auto"/>
              <w:ind w:left="3263"/>
              <w:rPr>
                <w:rFonts w:hint="eastAsia" w:ascii="宋体" w:hAnsi="宋体" w:eastAsia="宋体" w:cs="宋体"/>
                <w:sz w:val="18"/>
                <w:szCs w:val="18"/>
              </w:rPr>
            </w:pPr>
            <w:r>
              <w:rPr>
                <w:rFonts w:hint="eastAsia" w:ascii="宋体" w:hAnsi="宋体" w:eastAsia="宋体" w:cs="宋体"/>
                <w:spacing w:val="-1"/>
                <w:sz w:val="18"/>
                <w:szCs w:val="18"/>
              </w:rPr>
              <w:t>总分</w:t>
            </w:r>
          </w:p>
        </w:tc>
        <w:tc>
          <w:tcPr>
            <w:tcW w:w="679" w:type="dxa"/>
            <w:vAlign w:val="center"/>
          </w:tcPr>
          <w:p w14:paraId="560CF082">
            <w:pPr>
              <w:keepNext w:val="0"/>
              <w:keepLines w:val="0"/>
              <w:widowControl/>
              <w:suppressLineNumbers w:val="0"/>
              <w:jc w:val="center"/>
              <w:textAlignment w:val="center"/>
              <w:rPr>
                <w:rFonts w:hint="eastAsia" w:ascii="宋体" w:hAnsi="宋体" w:eastAsia="宋体" w:cs="宋体"/>
                <w:sz w:val="18"/>
                <w:szCs w:val="18"/>
                <w:lang w:eastAsia="zh-CN"/>
              </w:rPr>
            </w:pPr>
            <w:r>
              <w:rPr>
                <w:rFonts w:hint="eastAsia" w:ascii="宋体" w:hAnsi="宋体" w:eastAsia="宋体" w:cs="宋体"/>
                <w:i w:val="0"/>
                <w:iCs w:val="0"/>
                <w:color w:val="000000"/>
                <w:kern w:val="0"/>
                <w:sz w:val="19"/>
                <w:szCs w:val="19"/>
                <w:u w:val="none"/>
                <w:lang w:val="en-US" w:eastAsia="zh-CN" w:bidi="ar"/>
              </w:rPr>
              <w:t>100</w:t>
            </w:r>
          </w:p>
        </w:tc>
        <w:tc>
          <w:tcPr>
            <w:tcW w:w="980" w:type="dxa"/>
            <w:vAlign w:val="center"/>
          </w:tcPr>
          <w:p w14:paraId="550BEC2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9"/>
                <w:szCs w:val="19"/>
                <w:u w:val="none"/>
                <w:lang w:val="en-US" w:eastAsia="zh-CN" w:bidi="ar"/>
              </w:rPr>
              <w:t>100.00</w:t>
            </w:r>
          </w:p>
        </w:tc>
        <w:tc>
          <w:tcPr>
            <w:tcW w:w="1309" w:type="dxa"/>
            <w:vAlign w:val="top"/>
          </w:tcPr>
          <w:p w14:paraId="20423126">
            <w:pPr>
              <w:pStyle w:val="9"/>
              <w:rPr>
                <w:rFonts w:hint="eastAsia" w:ascii="宋体" w:hAnsi="宋体" w:eastAsia="宋体" w:cs="宋体"/>
                <w:sz w:val="18"/>
                <w:szCs w:val="18"/>
              </w:rPr>
            </w:pPr>
          </w:p>
        </w:tc>
      </w:tr>
    </w:tbl>
    <w:p w14:paraId="22CEFB23">
      <w:pPr>
        <w:spacing w:line="217" w:lineRule="auto"/>
        <w:rPr>
          <w:sz w:val="22"/>
          <w:szCs w:val="22"/>
        </w:rPr>
      </w:pPr>
    </w:p>
    <w:p w14:paraId="3A64838F">
      <w:pPr>
        <w:keepNext w:val="0"/>
        <w:keepLines w:val="0"/>
        <w:pageBreakBefore w:val="0"/>
        <w:widowControl w:val="0"/>
        <w:tabs>
          <w:tab w:val="left" w:pos="2828"/>
        </w:tabs>
        <w:kinsoku/>
        <w:wordWrap/>
        <w:overflowPunct/>
        <w:topLinePunct w:val="0"/>
        <w:autoSpaceDE/>
        <w:autoSpaceDN/>
        <w:bidi w:val="0"/>
        <w:adjustRightInd/>
        <w:snapToGrid/>
        <w:jc w:val="left"/>
        <w:textAlignment w:val="auto"/>
        <w:rPr>
          <w:rFonts w:hint="eastAsia" w:eastAsia="宋体"/>
          <w:sz w:val="22"/>
          <w:szCs w:val="22"/>
          <w:lang w:eastAsia="zh-CN"/>
        </w:rPr>
        <w:sectPr>
          <w:footerReference r:id="rId6"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lang w:eastAsia="zh-CN"/>
        </w:rPr>
        <w:tab/>
      </w:r>
    </w:p>
    <w:p w14:paraId="3E38524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291083">
      <w:pPr>
        <w:spacing w:line="250" w:lineRule="auto"/>
        <w:rPr>
          <w:rFonts w:ascii="Arial"/>
          <w:sz w:val="21"/>
        </w:rPr>
      </w:pPr>
    </w:p>
    <w:p w14:paraId="1B730E3E">
      <w:pPr>
        <w:spacing w:line="250" w:lineRule="auto"/>
        <w:rPr>
          <w:rFonts w:ascii="Arial"/>
          <w:sz w:val="21"/>
        </w:rPr>
      </w:pPr>
    </w:p>
    <w:p w14:paraId="42E25F06">
      <w:pPr>
        <w:spacing w:line="250" w:lineRule="auto"/>
        <w:rPr>
          <w:rFonts w:ascii="Arial"/>
          <w:sz w:val="21"/>
        </w:rPr>
      </w:pPr>
    </w:p>
    <w:p w14:paraId="03B7F0DF">
      <w:pPr>
        <w:spacing w:line="250" w:lineRule="auto"/>
        <w:rPr>
          <w:rFonts w:ascii="Arial"/>
          <w:sz w:val="21"/>
        </w:rPr>
      </w:pPr>
    </w:p>
    <w:p w14:paraId="36AB23D8">
      <w:pPr>
        <w:spacing w:line="251" w:lineRule="auto"/>
        <w:rPr>
          <w:rFonts w:ascii="Arial"/>
          <w:sz w:val="21"/>
        </w:rPr>
      </w:pPr>
    </w:p>
    <w:p w14:paraId="3FA08D5F">
      <w:pPr>
        <w:spacing w:line="251" w:lineRule="auto"/>
        <w:rPr>
          <w:rFonts w:ascii="Arial"/>
          <w:sz w:val="21"/>
        </w:rPr>
      </w:pPr>
    </w:p>
    <w:p w14:paraId="767F345A">
      <w:pPr>
        <w:spacing w:line="251" w:lineRule="auto"/>
        <w:rPr>
          <w:rFonts w:ascii="Arial"/>
          <w:sz w:val="21"/>
        </w:rPr>
      </w:pPr>
    </w:p>
    <w:p w14:paraId="25B84592">
      <w:pPr>
        <w:spacing w:line="251" w:lineRule="auto"/>
        <w:rPr>
          <w:rFonts w:ascii="Arial"/>
          <w:sz w:val="21"/>
        </w:rPr>
      </w:pPr>
    </w:p>
    <w:p w14:paraId="0BFBC655">
      <w:pPr>
        <w:spacing w:line="251" w:lineRule="auto"/>
        <w:rPr>
          <w:rFonts w:ascii="Arial"/>
          <w:sz w:val="21"/>
        </w:rPr>
      </w:pPr>
    </w:p>
    <w:p w14:paraId="10C985C1">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2024年度岳阳市岳阳楼区枫桥湖街道办事处整体支出</w:t>
      </w:r>
    </w:p>
    <w:p w14:paraId="1E1D032C">
      <w:pPr>
        <w:spacing w:line="640" w:lineRule="exact"/>
        <w:jc w:val="center"/>
        <w:rPr>
          <w:rFonts w:hint="eastAsia" w:ascii="方正小标宋简体" w:hAnsi="方正小标宋简体" w:eastAsia="方正小标宋简体" w:cs="方正小标宋简体"/>
          <w:b/>
          <w:bCs/>
          <w:spacing w:val="6"/>
          <w:sz w:val="44"/>
          <w:szCs w:val="44"/>
        </w:rPr>
      </w:pPr>
      <w:r>
        <w:rPr>
          <w:rFonts w:hint="eastAsia" w:ascii="方正小标宋简体" w:hAnsi="方正小标宋简体" w:eastAsia="方正小标宋简体" w:cs="方正小标宋简体"/>
          <w:b/>
          <w:bCs/>
          <w:spacing w:val="6"/>
          <w:sz w:val="44"/>
          <w:szCs w:val="44"/>
        </w:rPr>
        <w:t>绩效自评报告</w:t>
      </w:r>
    </w:p>
    <w:p w14:paraId="5A0F8274">
      <w:pPr>
        <w:spacing w:line="243" w:lineRule="auto"/>
        <w:rPr>
          <w:rFonts w:ascii="Arial"/>
        </w:rPr>
      </w:pPr>
    </w:p>
    <w:p w14:paraId="200C8352">
      <w:pPr>
        <w:spacing w:line="243" w:lineRule="auto"/>
        <w:rPr>
          <w:rFonts w:ascii="Arial"/>
        </w:rPr>
      </w:pPr>
    </w:p>
    <w:p w14:paraId="1B1698D7">
      <w:pPr>
        <w:spacing w:line="243" w:lineRule="auto"/>
        <w:rPr>
          <w:rFonts w:ascii="Arial"/>
        </w:rPr>
      </w:pPr>
    </w:p>
    <w:p w14:paraId="4CF21E7C">
      <w:pPr>
        <w:spacing w:line="243" w:lineRule="auto"/>
        <w:rPr>
          <w:rFonts w:ascii="Arial"/>
        </w:rPr>
      </w:pPr>
    </w:p>
    <w:p w14:paraId="7F886597">
      <w:pPr>
        <w:spacing w:line="243" w:lineRule="auto"/>
        <w:rPr>
          <w:rFonts w:ascii="Arial"/>
        </w:rPr>
      </w:pPr>
    </w:p>
    <w:p w14:paraId="2EAE5D4C">
      <w:pPr>
        <w:spacing w:line="243" w:lineRule="auto"/>
        <w:rPr>
          <w:rFonts w:ascii="Arial"/>
        </w:rPr>
      </w:pPr>
    </w:p>
    <w:p w14:paraId="723E07CB">
      <w:pPr>
        <w:spacing w:line="243" w:lineRule="auto"/>
        <w:rPr>
          <w:rFonts w:ascii="Arial"/>
        </w:rPr>
      </w:pPr>
    </w:p>
    <w:p w14:paraId="50BDF91F">
      <w:pPr>
        <w:spacing w:line="243" w:lineRule="auto"/>
        <w:rPr>
          <w:rFonts w:ascii="Arial"/>
        </w:rPr>
      </w:pPr>
    </w:p>
    <w:p w14:paraId="230AF633">
      <w:pPr>
        <w:spacing w:line="243" w:lineRule="auto"/>
        <w:rPr>
          <w:rFonts w:ascii="Arial"/>
        </w:rPr>
      </w:pPr>
    </w:p>
    <w:p w14:paraId="7693D77E">
      <w:pPr>
        <w:spacing w:line="243" w:lineRule="auto"/>
        <w:rPr>
          <w:rFonts w:ascii="Arial"/>
        </w:rPr>
      </w:pPr>
    </w:p>
    <w:p w14:paraId="20BEFC3B">
      <w:pPr>
        <w:spacing w:line="243" w:lineRule="auto"/>
        <w:rPr>
          <w:rFonts w:ascii="Arial"/>
        </w:rPr>
      </w:pPr>
    </w:p>
    <w:p w14:paraId="59DF15DC">
      <w:pPr>
        <w:spacing w:line="243" w:lineRule="auto"/>
        <w:rPr>
          <w:rFonts w:ascii="Arial"/>
        </w:rPr>
      </w:pPr>
    </w:p>
    <w:p w14:paraId="5E567C20">
      <w:pPr>
        <w:spacing w:line="243" w:lineRule="auto"/>
        <w:rPr>
          <w:rFonts w:ascii="Arial"/>
        </w:rPr>
      </w:pPr>
    </w:p>
    <w:p w14:paraId="36E4C459">
      <w:pPr>
        <w:spacing w:line="243" w:lineRule="auto"/>
        <w:rPr>
          <w:rFonts w:ascii="Arial"/>
        </w:rPr>
      </w:pPr>
    </w:p>
    <w:p w14:paraId="014D5351">
      <w:pPr>
        <w:spacing w:line="243" w:lineRule="auto"/>
        <w:rPr>
          <w:rFonts w:ascii="Arial"/>
        </w:rPr>
      </w:pPr>
    </w:p>
    <w:p w14:paraId="0E81FAC2">
      <w:pPr>
        <w:spacing w:line="243" w:lineRule="auto"/>
        <w:rPr>
          <w:rFonts w:ascii="Arial"/>
        </w:rPr>
      </w:pPr>
    </w:p>
    <w:p w14:paraId="2B7D9E06">
      <w:pPr>
        <w:spacing w:line="243" w:lineRule="auto"/>
        <w:rPr>
          <w:rFonts w:ascii="Arial"/>
        </w:rPr>
      </w:pPr>
    </w:p>
    <w:p w14:paraId="0D241E58">
      <w:pPr>
        <w:spacing w:line="243" w:lineRule="auto"/>
        <w:rPr>
          <w:rFonts w:ascii="Arial"/>
        </w:rPr>
      </w:pPr>
    </w:p>
    <w:p w14:paraId="3DACBCBF">
      <w:pPr>
        <w:spacing w:line="243" w:lineRule="auto"/>
        <w:rPr>
          <w:rFonts w:ascii="Arial"/>
        </w:rPr>
      </w:pPr>
    </w:p>
    <w:p w14:paraId="26D1B202">
      <w:pPr>
        <w:spacing w:line="243" w:lineRule="auto"/>
        <w:rPr>
          <w:rFonts w:ascii="Arial"/>
        </w:rPr>
      </w:pPr>
    </w:p>
    <w:p w14:paraId="55A6C4F3">
      <w:pPr>
        <w:spacing w:line="243" w:lineRule="auto"/>
        <w:rPr>
          <w:rFonts w:ascii="Arial"/>
        </w:rPr>
      </w:pPr>
    </w:p>
    <w:p w14:paraId="79DE9064">
      <w:pPr>
        <w:spacing w:line="243" w:lineRule="auto"/>
        <w:rPr>
          <w:rFonts w:ascii="Arial"/>
        </w:rPr>
      </w:pPr>
    </w:p>
    <w:p w14:paraId="6A563EAB">
      <w:pPr>
        <w:spacing w:line="243" w:lineRule="auto"/>
        <w:rPr>
          <w:rFonts w:ascii="Arial"/>
        </w:rPr>
      </w:pPr>
    </w:p>
    <w:p w14:paraId="09AF0728">
      <w:pPr>
        <w:spacing w:line="243" w:lineRule="auto"/>
        <w:rPr>
          <w:rFonts w:ascii="Arial"/>
        </w:rPr>
      </w:pPr>
    </w:p>
    <w:p w14:paraId="1AB245A0">
      <w:pPr>
        <w:spacing w:line="243" w:lineRule="auto"/>
        <w:rPr>
          <w:rFonts w:ascii="Arial"/>
        </w:rPr>
      </w:pPr>
    </w:p>
    <w:p w14:paraId="4425D887">
      <w:pPr>
        <w:spacing w:line="244" w:lineRule="auto"/>
        <w:rPr>
          <w:rFonts w:ascii="Arial"/>
        </w:rPr>
      </w:pPr>
    </w:p>
    <w:p w14:paraId="7AF07EDE">
      <w:pPr>
        <w:spacing w:line="244" w:lineRule="auto"/>
        <w:rPr>
          <w:rFonts w:ascii="Arial"/>
        </w:rPr>
      </w:pPr>
    </w:p>
    <w:p w14:paraId="774003F4">
      <w:pPr>
        <w:pStyle w:val="2"/>
        <w:spacing w:before="100" w:line="221" w:lineRule="auto"/>
        <w:ind w:left="1902"/>
        <w:rPr>
          <w:rFonts w:hint="eastAsia"/>
          <w:lang w:eastAsia="zh-CN"/>
        </w:rPr>
      </w:pPr>
      <w:r>
        <w:rPr>
          <w:rFonts w:hint="eastAsia"/>
          <w:spacing w:val="-10"/>
          <w:lang w:eastAsia="zh-CN"/>
        </w:rPr>
        <w:t>预算单位</w:t>
      </w:r>
      <w:r>
        <w:rPr>
          <w:spacing w:val="-10"/>
          <w:lang w:eastAsia="zh-CN"/>
        </w:rPr>
        <w:t>名称</w:t>
      </w:r>
      <w:r>
        <w:rPr>
          <w:spacing w:val="4"/>
          <w:lang w:eastAsia="zh-CN"/>
        </w:rPr>
        <w:t>：</w:t>
      </w:r>
      <w:r>
        <w:rPr>
          <w:spacing w:val="-118"/>
          <w:lang w:eastAsia="zh-CN"/>
        </w:rPr>
        <w:t xml:space="preserve"> </w:t>
      </w:r>
      <w:r>
        <w:rPr>
          <w:spacing w:val="-75"/>
          <w:u w:val="single"/>
          <w:lang w:eastAsia="zh-CN"/>
        </w:rPr>
        <w:t xml:space="preserve"> </w:t>
      </w:r>
      <w:r>
        <w:rPr>
          <w:spacing w:val="4"/>
          <w:u w:val="single"/>
          <w:lang w:eastAsia="zh-CN"/>
        </w:rPr>
        <w:t>（</w:t>
      </w:r>
      <w:r>
        <w:rPr>
          <w:spacing w:val="-10"/>
          <w:u w:val="single"/>
          <w:lang w:eastAsia="zh-CN"/>
        </w:rPr>
        <w:t>盖章）</w:t>
      </w:r>
      <w:r>
        <w:rPr>
          <w:u w:val="single"/>
          <w:lang w:eastAsia="zh-CN"/>
        </w:rPr>
        <w:t xml:space="preserve">         </w:t>
      </w:r>
    </w:p>
    <w:p w14:paraId="6DE4AAD6">
      <w:pPr>
        <w:spacing w:before="228" w:line="222" w:lineRule="auto"/>
        <w:ind w:left="3179"/>
        <w:rPr>
          <w:rFonts w:hint="eastAsia" w:ascii="楷体" w:hAnsi="楷体" w:eastAsia="楷体" w:cs="楷体"/>
          <w:sz w:val="31"/>
          <w:szCs w:val="31"/>
        </w:rPr>
      </w:pPr>
      <w:r>
        <w:rPr>
          <w:rFonts w:hint="eastAsia" w:ascii="楷体" w:hAnsi="楷体" w:eastAsia="楷体" w:cs="楷体"/>
          <w:spacing w:val="-8"/>
          <w:sz w:val="31"/>
          <w:szCs w:val="31"/>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1</w:t>
      </w:r>
      <w:r>
        <w:rPr>
          <w:rFonts w:ascii="楷体" w:hAnsi="楷体" w:eastAsia="楷体" w:cs="楷体"/>
          <w:spacing w:val="-8"/>
          <w:sz w:val="31"/>
          <w:szCs w:val="31"/>
        </w:rPr>
        <w:t>日</w:t>
      </w:r>
    </w:p>
    <w:p w14:paraId="787AD60A">
      <w:pPr>
        <w:spacing w:line="335" w:lineRule="auto"/>
        <w:rPr>
          <w:rFonts w:ascii="Arial"/>
        </w:rPr>
      </w:pPr>
    </w:p>
    <w:p w14:paraId="1B72390B">
      <w:pPr>
        <w:pStyle w:val="2"/>
        <w:spacing w:before="102" w:line="224" w:lineRule="auto"/>
        <w:ind w:left="3216"/>
        <w:rPr>
          <w:rFonts w:hint="eastAsia"/>
          <w:lang w:eastAsia="zh-CN"/>
        </w:rPr>
      </w:pPr>
      <w:r>
        <w:rPr>
          <w:spacing w:val="8"/>
          <w:lang w:eastAsia="zh-CN"/>
        </w:rPr>
        <w:t>（此页为封面）</w:t>
      </w:r>
    </w:p>
    <w:p w14:paraId="080314C5">
      <w:pPr>
        <w:spacing w:line="224" w:lineRule="auto"/>
        <w:sectPr>
          <w:footerReference r:id="rId7" w:type="default"/>
          <w:pgSz w:w="11900" w:h="16833"/>
          <w:pgMar w:top="1401" w:right="1583" w:bottom="1445" w:left="1618" w:header="0" w:footer="1170" w:gutter="0"/>
          <w:cols w:space="720" w:num="1"/>
        </w:sectPr>
      </w:pPr>
    </w:p>
    <w:p w14:paraId="3A4BFDB2">
      <w:pPr>
        <w:spacing w:line="6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6"/>
          <w:sz w:val="44"/>
          <w:szCs w:val="44"/>
        </w:rPr>
        <w:t>2024年度岳阳市岳阳楼区枫桥湖街道办事处整体支出</w:t>
      </w:r>
    </w:p>
    <w:p w14:paraId="10505D13">
      <w:pPr>
        <w:spacing w:line="6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pacing w:val="7"/>
          <w:sz w:val="44"/>
          <w:szCs w:val="44"/>
        </w:rPr>
        <w:t>绩效自评报告</w:t>
      </w:r>
    </w:p>
    <w:p w14:paraId="760F5959">
      <w:pPr>
        <w:spacing w:line="283" w:lineRule="auto"/>
        <w:rPr>
          <w:rFonts w:ascii="Arial"/>
        </w:rPr>
      </w:pPr>
    </w:p>
    <w:p w14:paraId="2C08915A">
      <w:pPr>
        <w:rPr>
          <w:rFonts w:ascii="黑体" w:hAnsi="黑体" w:eastAsia="黑体" w:cs="黑体"/>
          <w:spacing w:val="7"/>
          <w:position w:val="21"/>
          <w:sz w:val="31"/>
          <w:szCs w:val="31"/>
          <w:shd w:val="clear" w:color="auto" w:fill="FFFFFF"/>
        </w:rPr>
      </w:pPr>
      <w:r>
        <w:rPr>
          <w:rFonts w:hint="eastAsia" w:ascii="黑体" w:hAnsi="黑体" w:eastAsia="黑体" w:cs="黑体"/>
          <w:spacing w:val="7"/>
          <w:position w:val="21"/>
          <w:sz w:val="31"/>
          <w:szCs w:val="31"/>
          <w:shd w:val="clear" w:color="auto" w:fill="FFFFFF"/>
        </w:rPr>
        <w:t>一、单位</w:t>
      </w:r>
      <w:r>
        <w:rPr>
          <w:rFonts w:ascii="黑体" w:hAnsi="黑体" w:eastAsia="黑体" w:cs="黑体"/>
          <w:spacing w:val="7"/>
          <w:position w:val="21"/>
          <w:sz w:val="31"/>
          <w:szCs w:val="31"/>
          <w:shd w:val="clear" w:color="auto" w:fill="FFFFFF"/>
        </w:rPr>
        <w:t>基本情况</w:t>
      </w:r>
    </w:p>
    <w:p w14:paraId="742FE836">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（一）职能职责</w:t>
      </w:r>
    </w:p>
    <w:p w14:paraId="6C240B37">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1）加强党的建设。落实基层党建工作责任制，统筹街道和社区区域化党建，指导巩固社区党组织建设，完善社区党组织负责人培养和提拔机制，优化基层党组织经费保障；扩大新兴领域党建有效覆盖面，把街道、社区、企业、学校、社会组织等基层党组织和民兵预备役预建党组织建设成为宣传党的主张、贯彻党的决定、领导基层治理、团结动员群众、推动改革发展的坚强战斗堡垒，实现党的组织和工作全覆盖。深入开展党支部“五化”建设，不断提高党的建设质量，落实管党治党责任，推动全面从严治党向基层延伸。落实党管人民武装工作主体责任，督导基层武装部履行工作职能。</w:t>
      </w:r>
    </w:p>
    <w:p w14:paraId="1CD2CEF2">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2）统筹社区发展。统筹落实市、区关于辖区发展的重大决策和建设规划，负责优化发展环境、采集企业信息、服务辖区企业、促进项目发展等工作，整合街道管理、监督职责和力量，为审批服务等工作提供支持和保障。</w:t>
      </w:r>
    </w:p>
    <w:p w14:paraId="55A5B5A8">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3）组织公共服务。组织实施各项公共服务，落实人力资源和社会保障、民政、教育、卫生健康、医疗保障、科技、文化、体育、退役军人服务保障等领域相关法规政策；在整合基层行政审批和公共服务职责基础上，加强服务机构和平台建设，充分发挥综合便民服务作用。</w:t>
      </w:r>
    </w:p>
    <w:p w14:paraId="494EB29D">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 xml:space="preserve">（4）实施综合管理。负责辖区内城市管理等综合性管理工作，承担组织领导和综合协调职能。 </w:t>
      </w:r>
    </w:p>
    <w:p w14:paraId="645EADA7">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（5）维护平安稳定。承担辖区内社会治安综合治理、维护稳定、平安建设、应急管理与处置、安全生产监督管理等有关工作，接待群众来信来访，化解矛盾纠纷等。</w:t>
      </w:r>
    </w:p>
    <w:p w14:paraId="00810E0C">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（6）监督执法管理。对辖区内各类行政执法工作进行统筹协调、监管和执法，组织开展群众监督和社会监督。</w:t>
      </w:r>
    </w:p>
    <w:p w14:paraId="7B887F98">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（7）动员社会参与。动员辖区内各类单位、社会组织、居民等社会力量参与社会治理，为街道发展服务。</w:t>
      </w:r>
    </w:p>
    <w:p w14:paraId="2206401D">
      <w:pPr>
        <w:ind w:firstLine="656" w:firstLineChars="200"/>
        <w:rPr>
          <w:rFonts w:ascii="楷体" w:hAnsi="楷体" w:eastAsia="楷体" w:cs="楷体"/>
          <w:spacing w:val="9"/>
          <w:position w:val="21"/>
          <w:sz w:val="31"/>
          <w:szCs w:val="31"/>
          <w:shd w:val="clear" w:color="auto" w:fill="auto"/>
        </w:rPr>
      </w:pPr>
      <w:r>
        <w:rPr>
          <w:rFonts w:hint="eastAsia" w:ascii="楷体" w:hAnsi="楷体" w:eastAsia="楷体" w:cs="楷体"/>
          <w:spacing w:val="9"/>
          <w:position w:val="21"/>
          <w:sz w:val="31"/>
          <w:szCs w:val="31"/>
          <w:shd w:val="clear" w:color="auto" w:fill="auto"/>
        </w:rPr>
        <w:t>（8）指导基层自治。指导居民委员会建设管理。</w:t>
      </w:r>
    </w:p>
    <w:p w14:paraId="55AC325E">
      <w:pPr>
        <w:ind w:firstLine="656" w:firstLineChars="200"/>
        <w:jc w:val="both"/>
        <w:rPr>
          <w:rFonts w:hint="eastAsia" w:ascii="楷体" w:hAnsi="楷体" w:eastAsia="楷体" w:cs="楷体"/>
          <w:spacing w:val="9"/>
          <w:position w:val="0"/>
          <w:sz w:val="31"/>
          <w:szCs w:val="31"/>
          <w:shd w:val="clear" w:color="auto" w:fill="auto"/>
          <w:lang w:val="en-US" w:eastAsia="zh-CN"/>
        </w:rPr>
      </w:pPr>
      <w:r>
        <w:rPr>
          <w:rFonts w:hint="eastAsia" w:ascii="楷体" w:hAnsi="楷体" w:eastAsia="楷体" w:cs="楷体"/>
          <w:spacing w:val="9"/>
          <w:position w:val="21"/>
          <w:sz w:val="31"/>
          <w:szCs w:val="31"/>
          <w:shd w:val="clear" w:color="auto" w:fill="auto"/>
        </w:rPr>
        <w:t>（9）履行法定职责。根据《湖南省人民政，健全社区自治平台，组织辖区单位、居民参与社区建设和府办公厅关于印发（湖南省乡镇权力清单和责任清单＞和＜湖南省赋予乡镇（街道）经济社会管理权限指导目录＞的通知》（湘政办发〔2019〕55号），负责落实街道权力清单和责任清单规定的法定职责</w:t>
      </w:r>
      <w:r>
        <w:rPr>
          <w:rFonts w:hint="eastAsia" w:ascii="楷体" w:hAnsi="楷体" w:eastAsia="楷体" w:cs="楷体"/>
          <w:spacing w:val="9"/>
          <w:position w:val="21"/>
          <w:sz w:val="31"/>
          <w:szCs w:val="31"/>
          <w:shd w:val="clear" w:color="auto" w:fill="auto"/>
          <w:lang w:eastAsia="zh-CN"/>
        </w:rPr>
        <w:t>。</w:t>
      </w:r>
    </w:p>
    <w:p w14:paraId="14B23083">
      <w:pPr>
        <w:ind w:firstLine="656" w:firstLineChars="200"/>
        <w:rPr>
          <w:rFonts w:ascii="楷体" w:hAnsi="楷体" w:eastAsia="楷体" w:cs="楷体"/>
          <w:spacing w:val="9"/>
          <w:position w:val="0"/>
          <w:sz w:val="31"/>
          <w:szCs w:val="31"/>
          <w:shd w:val="clear" w:color="auto" w:fill="auto"/>
        </w:rPr>
      </w:pPr>
      <w:r>
        <w:rPr>
          <w:rFonts w:hint="eastAsia" w:ascii="楷体" w:hAnsi="楷体" w:eastAsia="楷体" w:cs="楷体"/>
          <w:spacing w:val="9"/>
          <w:position w:val="0"/>
          <w:sz w:val="31"/>
          <w:szCs w:val="31"/>
          <w:shd w:val="clear" w:color="auto" w:fill="auto"/>
        </w:rPr>
        <w:t>（10）完成区委和区人民政府交办的其他任务。</w:t>
      </w:r>
    </w:p>
    <w:p w14:paraId="5D149904">
      <w:pPr>
        <w:ind w:firstLine="656" w:firstLineChars="200"/>
        <w:rPr>
          <w:rFonts w:ascii="楷体" w:hAnsi="楷体" w:eastAsia="楷体" w:cs="楷体"/>
          <w:spacing w:val="9"/>
          <w:position w:val="0"/>
          <w:sz w:val="31"/>
          <w:szCs w:val="31"/>
          <w:shd w:val="clear" w:color="auto" w:fill="auto"/>
        </w:rPr>
      </w:pPr>
      <w:r>
        <w:rPr>
          <w:rFonts w:hint="eastAsia" w:ascii="楷体" w:hAnsi="楷体" w:eastAsia="楷体" w:cs="楷体"/>
          <w:spacing w:val="9"/>
          <w:position w:val="0"/>
          <w:sz w:val="31"/>
          <w:szCs w:val="31"/>
          <w:shd w:val="clear" w:color="auto" w:fill="auto"/>
        </w:rPr>
        <w:t>（11）职能转变。全面加强基层党的建设，提升党建引领城市基层治理的能力；加强对辖区内城市综合管理工作的组织实施和统筹协调职责；加强辖区内与居民密切相关的行政审批和公共服务的组织实施职责；加强维护辖区公共安全职责。实行街道职责准入制度和社区事务准入制度，将街道工作重心转为优化公共服务，为经济社会发展提供良好环境。</w:t>
      </w:r>
    </w:p>
    <w:p w14:paraId="5B531BF4">
      <w:pPr>
        <w:rPr>
          <w:rFonts w:ascii="楷体" w:hAnsi="楷体" w:eastAsia="楷体" w:cs="楷体"/>
          <w:spacing w:val="9"/>
          <w:position w:val="0"/>
          <w:sz w:val="31"/>
          <w:szCs w:val="31"/>
          <w:shd w:val="clear" w:color="auto" w:fill="auto"/>
        </w:rPr>
      </w:pPr>
      <w:r>
        <w:rPr>
          <w:rFonts w:hint="eastAsia" w:ascii="楷体" w:hAnsi="楷体" w:eastAsia="楷体" w:cs="楷体"/>
          <w:spacing w:val="9"/>
          <w:position w:val="0"/>
          <w:sz w:val="31"/>
          <w:szCs w:val="31"/>
          <w:shd w:val="clear" w:color="auto" w:fill="auto"/>
        </w:rPr>
        <w:t>（二）机构设置</w:t>
      </w:r>
    </w:p>
    <w:p w14:paraId="0A4AACEE">
      <w:pPr>
        <w:ind w:firstLine="656" w:firstLineChars="200"/>
        <w:rPr>
          <w:rFonts w:ascii="楷体" w:hAnsi="楷体" w:eastAsia="楷体" w:cs="楷体"/>
          <w:spacing w:val="9"/>
          <w:position w:val="0"/>
          <w:sz w:val="31"/>
          <w:szCs w:val="31"/>
          <w:shd w:val="clear" w:color="auto" w:fill="auto"/>
        </w:rPr>
      </w:pPr>
      <w:r>
        <w:rPr>
          <w:rFonts w:hint="eastAsia" w:ascii="楷体" w:hAnsi="楷体" w:eastAsia="楷体" w:cs="楷体"/>
          <w:spacing w:val="9"/>
          <w:position w:val="0"/>
          <w:sz w:val="31"/>
          <w:szCs w:val="31"/>
          <w:shd w:val="clear" w:color="auto" w:fill="auto"/>
        </w:rPr>
        <w:t>根据编办核定，我办事处机构设置共设有5个内设股室（党政办公室、党建办公室、经济发展办公室、生态办公室、平安法治和应急管理办公室；5个事业单位：社会事务综合服务中心、便民服务中心、城镇建设事务中心、退役军人服务站、综合行政执法大队，其他机构：环境卫生服务中心、司法所、财政所。</w:t>
      </w:r>
    </w:p>
    <w:p w14:paraId="481E6E9F">
      <w:pPr>
        <w:rPr>
          <w:rFonts w:ascii="楷体" w:hAnsi="楷体" w:eastAsia="楷体" w:cs="楷体"/>
          <w:spacing w:val="9"/>
          <w:position w:val="0"/>
          <w:sz w:val="31"/>
          <w:szCs w:val="31"/>
          <w:shd w:val="clear" w:color="auto" w:fill="auto"/>
        </w:rPr>
      </w:pPr>
      <w:r>
        <w:rPr>
          <w:rFonts w:hint="eastAsia" w:ascii="楷体" w:hAnsi="楷体" w:eastAsia="楷体" w:cs="楷体"/>
          <w:spacing w:val="9"/>
          <w:position w:val="0"/>
          <w:sz w:val="31"/>
          <w:szCs w:val="31"/>
          <w:shd w:val="clear" w:color="auto" w:fill="auto"/>
        </w:rPr>
        <w:t>（三)预算单位构成</w:t>
      </w:r>
    </w:p>
    <w:p w14:paraId="028E3F0E">
      <w:pPr>
        <w:ind w:firstLine="656" w:firstLineChars="200"/>
        <w:rPr>
          <w:rFonts w:ascii="宋体" w:hAnsi="宋体" w:eastAsia="宋体" w:cs="宋体"/>
          <w:spacing w:val="7"/>
          <w:position w:val="21"/>
          <w:sz w:val="31"/>
          <w:szCs w:val="31"/>
          <w:shd w:val="clear" w:color="auto" w:fill="FFFFFF"/>
        </w:rPr>
      </w:pPr>
      <w:r>
        <w:rPr>
          <w:rFonts w:hint="eastAsia" w:ascii="楷体" w:hAnsi="楷体" w:eastAsia="楷体" w:cs="楷体"/>
          <w:spacing w:val="9"/>
          <w:position w:val="0"/>
          <w:sz w:val="31"/>
          <w:szCs w:val="31"/>
          <w:shd w:val="clear" w:color="auto" w:fill="auto"/>
        </w:rPr>
        <w:t>　本次2024年部门预算公开范围仅包含本单位本级，所辖8个社区未纳入本次部门预算公开范围。本单位所属5个内设股室，5个事业单位未单独进行预算编制，全部纳入部门预算编制范围。</w:t>
      </w:r>
      <w:bookmarkStart w:id="0" w:name="_GoBack"/>
      <w:bookmarkEnd w:id="0"/>
    </w:p>
    <w:p w14:paraId="16C21A28">
      <w:pPr>
        <w:rPr>
          <w:rFonts w:ascii="黑体" w:hAnsi="黑体" w:eastAsia="黑体" w:cs="黑体"/>
          <w:spacing w:val="7"/>
          <w:position w:val="21"/>
          <w:sz w:val="31"/>
          <w:szCs w:val="31"/>
          <w:shd w:val="clear" w:color="auto" w:fill="FFFFFF"/>
        </w:rPr>
      </w:pPr>
      <w:r>
        <w:rPr>
          <w:rFonts w:hint="eastAsia" w:ascii="黑体" w:hAnsi="黑体" w:eastAsia="黑体" w:cs="黑体"/>
          <w:spacing w:val="7"/>
          <w:position w:val="21"/>
          <w:sz w:val="31"/>
          <w:szCs w:val="31"/>
          <w:shd w:val="clear" w:color="auto" w:fill="FFFFFF"/>
        </w:rPr>
        <w:t>二、一般公共预算支出情况</w:t>
      </w:r>
    </w:p>
    <w:p w14:paraId="29E0C851">
      <w:pPr>
        <w:widowControl w:val="0"/>
        <w:ind w:firstLine="0" w:firstLineChars="0"/>
        <w:jc w:val="both"/>
        <w:rPr>
          <w:rFonts w:ascii="楷体" w:hAnsi="楷体" w:eastAsia="楷体" w:cs="楷体"/>
          <w:spacing w:val="7"/>
          <w:kern w:val="2"/>
          <w:position w:val="21"/>
          <w:sz w:val="31"/>
          <w:szCs w:val="31"/>
          <w:shd w:val="clear" w:color="auto" w:fill="FFFFFF"/>
          <w:lang w:val="en-US" w:eastAsia="zh-CN" w:bidi="ar-SA"/>
        </w:rPr>
      </w:pPr>
      <w:r>
        <w:rPr>
          <w:rFonts w:hint="eastAsia" w:ascii="楷体" w:hAnsi="楷体" w:eastAsia="楷体" w:cs="楷体"/>
          <w:spacing w:val="7"/>
          <w:kern w:val="2"/>
          <w:position w:val="21"/>
          <w:sz w:val="31"/>
          <w:szCs w:val="31"/>
          <w:shd w:val="clear" w:color="auto" w:fill="FFFFFF"/>
          <w:lang w:val="en-US" w:eastAsia="zh-CN" w:bidi="ar-SA"/>
        </w:rPr>
        <w:t>（一）基本支出情况</w:t>
      </w:r>
    </w:p>
    <w:p w14:paraId="4F2D9562">
      <w:pPr>
        <w:widowControl w:val="0"/>
        <w:ind w:firstLine="648" w:firstLineChars="200"/>
        <w:jc w:val="both"/>
        <w:rPr>
          <w:rFonts w:ascii="楷体" w:hAnsi="楷体" w:eastAsia="楷体" w:cs="楷体"/>
          <w:spacing w:val="7"/>
          <w:kern w:val="2"/>
          <w:position w:val="21"/>
          <w:sz w:val="31"/>
          <w:szCs w:val="31"/>
          <w:shd w:val="clear" w:color="auto" w:fill="FFFFFF"/>
          <w:lang w:val="en-US" w:eastAsia="zh-CN" w:bidi="ar-SA"/>
        </w:rPr>
      </w:pPr>
      <w:r>
        <w:rPr>
          <w:rFonts w:hint="eastAsia" w:ascii="楷体" w:hAnsi="楷体" w:eastAsia="楷体" w:cs="楷体"/>
          <w:spacing w:val="7"/>
          <w:kern w:val="2"/>
          <w:position w:val="21"/>
          <w:sz w:val="31"/>
          <w:szCs w:val="31"/>
          <w:shd w:val="clear" w:color="auto" w:fill="FFFFFF"/>
          <w:lang w:val="en-US" w:eastAsia="zh-CN" w:bidi="ar-SA"/>
        </w:rPr>
        <w:t>根据岳阳楼区编制部门文件规定，岳阳楼区枫桥湖街道办事处人员编制62人，财政供养人员控制率为100%。</w:t>
      </w:r>
    </w:p>
    <w:p w14:paraId="1B3F5D66">
      <w:pPr>
        <w:widowControl w:val="0"/>
        <w:ind w:firstLine="648" w:firstLineChars="200"/>
        <w:jc w:val="both"/>
        <w:rPr>
          <w:rFonts w:hint="default" w:ascii="楷体" w:hAnsi="楷体" w:eastAsia="楷体" w:cs="楷体"/>
          <w:spacing w:val="7"/>
          <w:kern w:val="2"/>
          <w:position w:val="21"/>
          <w:sz w:val="31"/>
          <w:szCs w:val="31"/>
          <w:shd w:val="clear" w:color="auto" w:fill="FFFFFF"/>
          <w:lang w:val="en-US" w:eastAsia="zh-CN" w:bidi="ar-SA"/>
        </w:rPr>
      </w:pPr>
      <w:r>
        <w:rPr>
          <w:rFonts w:hint="eastAsia" w:ascii="楷体" w:hAnsi="楷体" w:eastAsia="楷体" w:cs="楷体"/>
          <w:spacing w:val="7"/>
          <w:kern w:val="2"/>
          <w:position w:val="21"/>
          <w:sz w:val="31"/>
          <w:szCs w:val="31"/>
          <w:shd w:val="clear" w:color="auto" w:fill="FFFFFF"/>
          <w:lang w:val="en-US" w:eastAsia="zh-CN" w:bidi="ar-SA"/>
        </w:rPr>
        <w:t>2024年度基本支出1562.77万元，其中：工资福利支出814.41万元，占基本支出的52.11%。主要包括基本工资、津贴补贴、</w:t>
      </w:r>
      <w:r>
        <w:rPr>
          <w:rFonts w:hint="eastAsia" w:ascii="楷体" w:hAnsi="楷体" w:eastAsia="楷体" w:cs="楷体"/>
          <w:spacing w:val="7"/>
          <w:kern w:val="2"/>
          <w:position w:val="21"/>
          <w:sz w:val="31"/>
          <w:szCs w:val="31"/>
          <w:shd w:val="clear" w:color="auto" w:fill="FFFFFF"/>
          <w:lang w:val="zh-CN" w:eastAsia="zh-CN" w:bidi="ar-SA"/>
        </w:rPr>
        <w:t>奖金、绩效工资、机关事业单位基本养老保险缴费、职工基本医疗保险缴费、公务员医疗补助缴费、其他社会保障缴费、住房公积金、其他工资福利支出。</w:t>
      </w:r>
      <w:r>
        <w:rPr>
          <w:rFonts w:hint="eastAsia" w:ascii="楷体" w:hAnsi="楷体" w:eastAsia="楷体" w:cs="楷体"/>
          <w:spacing w:val="7"/>
          <w:kern w:val="2"/>
          <w:position w:val="21"/>
          <w:sz w:val="31"/>
          <w:szCs w:val="31"/>
          <w:shd w:val="clear" w:color="auto" w:fill="FFFFFF"/>
          <w:lang w:val="en-US" w:eastAsia="zh-CN" w:bidi="ar-SA"/>
        </w:rPr>
        <w:t>商品和服务支出578.49万元，占基本支出的37.02%。主要包括办公费、印刷费、水费、电费、邮电费、差旅费、维修（护）费、会议费、培训费、劳务费、工会经费、其他交通费用、其他商品和服务支出。对个人和家庭的补助138.38万元，占基本支出的8.85%。主要包括</w:t>
      </w:r>
      <w:r>
        <w:rPr>
          <w:rFonts w:hint="eastAsia" w:ascii="楷体" w:hAnsi="楷体" w:eastAsia="楷体" w:cs="楷体"/>
          <w:spacing w:val="7"/>
          <w:kern w:val="2"/>
          <w:position w:val="21"/>
          <w:sz w:val="31"/>
          <w:szCs w:val="31"/>
          <w:shd w:val="clear" w:color="auto" w:fill="FFFFFF"/>
          <w:lang w:val="zh-CN" w:eastAsia="zh-CN" w:bidi="ar-SA"/>
        </w:rPr>
        <w:t>抚恤金、生活补助、医疗费补助、奖励金、其他对个人和家庭的补助</w:t>
      </w:r>
      <w:r>
        <w:rPr>
          <w:rFonts w:hint="eastAsia" w:ascii="楷体" w:hAnsi="楷体" w:eastAsia="楷体" w:cs="楷体"/>
          <w:spacing w:val="7"/>
          <w:kern w:val="2"/>
          <w:position w:val="21"/>
          <w:sz w:val="31"/>
          <w:szCs w:val="31"/>
          <w:shd w:val="clear" w:color="auto" w:fill="FFFFFF"/>
          <w:lang w:val="en-US" w:eastAsia="zh-CN" w:bidi="ar-SA"/>
        </w:rPr>
        <w:t>。资本性支出31.5万元，占基本支出2.02%。主要包括其他资本性支出。</w:t>
      </w:r>
    </w:p>
    <w:p w14:paraId="3A3613CE">
      <w:pPr>
        <w:widowControl w:val="0"/>
        <w:ind w:firstLine="0" w:firstLineChars="0"/>
        <w:jc w:val="both"/>
        <w:rPr>
          <w:rFonts w:ascii="楷体" w:hAnsi="楷体" w:eastAsia="楷体" w:cs="楷体"/>
          <w:spacing w:val="7"/>
          <w:kern w:val="2"/>
          <w:position w:val="21"/>
          <w:sz w:val="31"/>
          <w:szCs w:val="31"/>
          <w:shd w:val="clear" w:color="auto" w:fill="FFFFFF"/>
          <w:lang w:val="en-US" w:eastAsia="zh-CN" w:bidi="ar-SA"/>
        </w:rPr>
      </w:pPr>
      <w:r>
        <w:rPr>
          <w:rFonts w:hint="eastAsia" w:ascii="楷体" w:hAnsi="楷体" w:eastAsia="楷体" w:cs="楷体"/>
          <w:spacing w:val="7"/>
          <w:kern w:val="2"/>
          <w:position w:val="21"/>
          <w:sz w:val="31"/>
          <w:szCs w:val="31"/>
          <w:shd w:val="clear" w:color="auto" w:fill="FFFFFF"/>
          <w:lang w:val="en-US" w:eastAsia="zh-CN" w:bidi="ar-SA"/>
        </w:rPr>
        <w:t>(二)项目支出情况</w:t>
      </w:r>
    </w:p>
    <w:p w14:paraId="537FC8B6">
      <w:pPr>
        <w:widowControl w:val="0"/>
        <w:ind w:firstLine="648" w:firstLineChars="200"/>
        <w:jc w:val="both"/>
        <w:rPr>
          <w:rFonts w:hint="default" w:ascii="楷体" w:hAnsi="楷体" w:eastAsia="楷体" w:cs="楷体"/>
          <w:spacing w:val="7"/>
          <w:kern w:val="2"/>
          <w:position w:val="21"/>
          <w:sz w:val="31"/>
          <w:szCs w:val="31"/>
          <w:shd w:val="clear" w:color="auto" w:fill="FFFFFF"/>
          <w:lang w:val="en-US" w:eastAsia="zh-CN" w:bidi="ar-SA"/>
        </w:rPr>
      </w:pPr>
      <w:r>
        <w:rPr>
          <w:rFonts w:hint="eastAsia" w:ascii="楷体" w:hAnsi="楷体" w:eastAsia="楷体" w:cs="楷体"/>
          <w:spacing w:val="7"/>
          <w:kern w:val="2"/>
          <w:position w:val="21"/>
          <w:sz w:val="31"/>
          <w:szCs w:val="31"/>
          <w:shd w:val="clear" w:color="auto" w:fill="FFFFFF"/>
          <w:lang w:val="en-US" w:eastAsia="zh-CN" w:bidi="ar-SA"/>
        </w:rPr>
        <w:t>2024年度项目支出800.26万元，其中环卫清扫项目680万元，主要用于提升城市环境卫生质量，为城区广大市民营造一个干净、舒适的工作和生活环境，努力实现创文明卫工作目标，保障街道环卫工人工资福利；编外用工人员经费6万元，主要用于保障编外用工人员经费（临聘人员工资)、资福利；业务工作经费5万元，主要用于完成街道基层民兵队伍建设、民兵军事训练、兵役登记与征兵等工作。</w:t>
      </w:r>
    </w:p>
    <w:p w14:paraId="66AEC9AF">
      <w:pPr>
        <w:rPr>
          <w:rFonts w:ascii="黑体" w:hAnsi="黑体" w:eastAsia="黑体" w:cs="黑体"/>
          <w:spacing w:val="7"/>
          <w:position w:val="21"/>
          <w:sz w:val="31"/>
          <w:szCs w:val="31"/>
          <w:shd w:val="clear" w:color="auto" w:fill="FFFFFF"/>
        </w:rPr>
      </w:pPr>
      <w:r>
        <w:rPr>
          <w:rFonts w:hint="eastAsia" w:ascii="黑体" w:hAnsi="黑体" w:eastAsia="黑体" w:cs="黑体"/>
          <w:spacing w:val="7"/>
          <w:position w:val="21"/>
          <w:sz w:val="31"/>
          <w:szCs w:val="31"/>
          <w:shd w:val="clear" w:color="auto" w:fill="FFFFFF"/>
        </w:rPr>
        <w:t>三、政府性基金预算支出情况</w:t>
      </w:r>
    </w:p>
    <w:p w14:paraId="66378ED6">
      <w:pPr>
        <w:ind w:firstLine="648" w:firstLineChars="200"/>
        <w:rPr>
          <w:rFonts w:ascii="黑体" w:hAnsi="黑体" w:eastAsia="黑体" w:cs="黑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rPr>
        <w:t>202</w:t>
      </w:r>
      <w:r>
        <w:rPr>
          <w:rFonts w:hint="eastAsia" w:ascii="楷体" w:hAnsi="楷体" w:eastAsia="楷体" w:cs="楷体"/>
          <w:spacing w:val="7"/>
          <w:position w:val="21"/>
          <w:sz w:val="31"/>
          <w:szCs w:val="31"/>
          <w:shd w:val="clear" w:color="auto" w:fill="FFFFFF"/>
          <w:lang w:val="en-US" w:eastAsia="zh-CN"/>
        </w:rPr>
        <w:t>4</w:t>
      </w:r>
      <w:r>
        <w:rPr>
          <w:rFonts w:hint="eastAsia" w:ascii="楷体" w:hAnsi="楷体" w:eastAsia="楷体" w:cs="楷体"/>
          <w:spacing w:val="7"/>
          <w:position w:val="21"/>
          <w:sz w:val="31"/>
          <w:szCs w:val="31"/>
          <w:shd w:val="clear" w:color="auto" w:fill="FFFFFF"/>
        </w:rPr>
        <w:t>年度本单位无政府性基金安排的支出。</w:t>
      </w:r>
    </w:p>
    <w:p w14:paraId="0D32DB80">
      <w:pPr>
        <w:rPr>
          <w:rFonts w:ascii="黑体" w:hAnsi="黑体" w:eastAsia="黑体" w:cs="黑体"/>
          <w:spacing w:val="7"/>
          <w:position w:val="21"/>
          <w:sz w:val="31"/>
          <w:szCs w:val="31"/>
          <w:shd w:val="clear" w:color="auto" w:fill="FFFFFF"/>
        </w:rPr>
      </w:pPr>
      <w:r>
        <w:rPr>
          <w:rFonts w:ascii="黑体" w:hAnsi="黑体" w:eastAsia="黑体" w:cs="黑体"/>
          <w:spacing w:val="7"/>
          <w:position w:val="21"/>
          <w:sz w:val="31"/>
          <w:szCs w:val="31"/>
          <w:shd w:val="clear" w:color="auto" w:fill="FFFFFF"/>
        </w:rPr>
        <w:t>四、国有资本经营预算支出情况</w:t>
      </w:r>
    </w:p>
    <w:p w14:paraId="5BE54023">
      <w:pPr>
        <w:ind w:firstLine="648" w:firstLineChars="200"/>
        <w:rPr>
          <w:rFonts w:ascii="黑体" w:hAnsi="黑体" w:eastAsia="黑体" w:cs="黑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rPr>
        <w:t>202</w:t>
      </w:r>
      <w:r>
        <w:rPr>
          <w:rFonts w:hint="eastAsia" w:ascii="楷体" w:hAnsi="楷体" w:eastAsia="楷体" w:cs="楷体"/>
          <w:spacing w:val="7"/>
          <w:position w:val="21"/>
          <w:sz w:val="31"/>
          <w:szCs w:val="31"/>
          <w:shd w:val="clear" w:color="auto" w:fill="FFFFFF"/>
          <w:lang w:val="en-US" w:eastAsia="zh-CN"/>
        </w:rPr>
        <w:t>4</w:t>
      </w:r>
      <w:r>
        <w:rPr>
          <w:rFonts w:hint="eastAsia" w:ascii="楷体" w:hAnsi="楷体" w:eastAsia="楷体" w:cs="楷体"/>
          <w:spacing w:val="7"/>
          <w:position w:val="21"/>
          <w:sz w:val="31"/>
          <w:szCs w:val="31"/>
          <w:shd w:val="clear" w:color="auto" w:fill="FFFFFF"/>
        </w:rPr>
        <w:t>年度本单位无国有资本经营预算支出。</w:t>
      </w:r>
    </w:p>
    <w:p w14:paraId="7CB1C710">
      <w:pPr>
        <w:rPr>
          <w:rFonts w:ascii="黑体" w:hAnsi="黑体" w:eastAsia="黑体" w:cs="黑体"/>
          <w:spacing w:val="7"/>
          <w:position w:val="21"/>
          <w:sz w:val="31"/>
          <w:szCs w:val="31"/>
          <w:shd w:val="clear" w:color="auto" w:fill="FFFFFF"/>
        </w:rPr>
      </w:pPr>
      <w:r>
        <w:rPr>
          <w:rFonts w:ascii="黑体" w:hAnsi="黑体" w:eastAsia="黑体" w:cs="黑体"/>
          <w:spacing w:val="7"/>
          <w:position w:val="21"/>
          <w:sz w:val="31"/>
          <w:szCs w:val="31"/>
          <w:shd w:val="clear" w:color="auto" w:fill="FFFFFF"/>
        </w:rPr>
        <w:t>五、社会保险基金预算支出情况</w:t>
      </w:r>
    </w:p>
    <w:p w14:paraId="42C33080">
      <w:pPr>
        <w:ind w:firstLine="648" w:firstLineChars="200"/>
        <w:rPr>
          <w:rFonts w:ascii="黑体" w:hAnsi="黑体" w:eastAsia="黑体" w:cs="黑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rPr>
        <w:t>202</w:t>
      </w:r>
      <w:r>
        <w:rPr>
          <w:rFonts w:hint="eastAsia" w:ascii="楷体" w:hAnsi="楷体" w:eastAsia="楷体" w:cs="楷体"/>
          <w:spacing w:val="7"/>
          <w:position w:val="21"/>
          <w:sz w:val="31"/>
          <w:szCs w:val="31"/>
          <w:shd w:val="clear" w:color="auto" w:fill="FFFFFF"/>
          <w:lang w:val="en-US" w:eastAsia="zh-CN"/>
        </w:rPr>
        <w:t>4</w:t>
      </w:r>
      <w:r>
        <w:rPr>
          <w:rFonts w:hint="eastAsia" w:ascii="楷体" w:hAnsi="楷体" w:eastAsia="楷体" w:cs="楷体"/>
          <w:spacing w:val="7"/>
          <w:position w:val="21"/>
          <w:sz w:val="31"/>
          <w:szCs w:val="31"/>
          <w:shd w:val="clear" w:color="auto" w:fill="FFFFFF"/>
        </w:rPr>
        <w:t>年度本单位无社会保险基金预算支出。</w:t>
      </w:r>
    </w:p>
    <w:p w14:paraId="23F0F956">
      <w:pPr>
        <w:rPr>
          <w:rFonts w:ascii="黑体" w:hAnsi="黑体" w:eastAsia="黑体" w:cs="黑体"/>
          <w:spacing w:val="7"/>
          <w:position w:val="21"/>
          <w:sz w:val="31"/>
          <w:szCs w:val="31"/>
          <w:shd w:val="clear" w:color="auto" w:fill="FFFFFF"/>
        </w:rPr>
      </w:pPr>
      <w:r>
        <w:rPr>
          <w:rFonts w:ascii="黑体" w:hAnsi="黑体" w:eastAsia="黑体" w:cs="黑体"/>
          <w:spacing w:val="7"/>
          <w:position w:val="21"/>
          <w:sz w:val="31"/>
          <w:szCs w:val="31"/>
          <w:shd w:val="clear" w:color="auto" w:fill="FFFFFF"/>
        </w:rPr>
        <w:t>六、</w:t>
      </w:r>
      <w:r>
        <w:rPr>
          <w:rFonts w:hint="eastAsia" w:ascii="黑体" w:hAnsi="黑体" w:eastAsia="黑体" w:cs="黑体"/>
          <w:spacing w:val="7"/>
          <w:position w:val="21"/>
          <w:sz w:val="31"/>
          <w:szCs w:val="31"/>
          <w:shd w:val="clear" w:color="auto" w:fill="FFFFFF"/>
        </w:rPr>
        <w:t>单位</w:t>
      </w:r>
      <w:r>
        <w:rPr>
          <w:rFonts w:ascii="黑体" w:hAnsi="黑体" w:eastAsia="黑体" w:cs="黑体"/>
          <w:spacing w:val="7"/>
          <w:position w:val="21"/>
          <w:sz w:val="31"/>
          <w:szCs w:val="31"/>
          <w:shd w:val="clear" w:color="auto" w:fill="FFFFFF"/>
        </w:rPr>
        <w:t>整体支出绩效情况</w:t>
      </w:r>
    </w:p>
    <w:p w14:paraId="4FBADAAA">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rPr>
        <w:t>今年来，面对错综复杂的外部环境、超出预期的困难压力、经济下行的严峻考验，在区委区政府的坚强领导下，街道党工委团结带领广大党员干部群众克难奋进，各项事业取得新进展、新突破和新成果，开创了街道高质量发展新局面。</w:t>
      </w:r>
    </w:p>
    <w:p w14:paraId="2CCD7563">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val="en-US" w:eastAsia="zh-CN"/>
        </w:rPr>
        <w:t>1、</w:t>
      </w:r>
      <w:r>
        <w:rPr>
          <w:rFonts w:hint="eastAsia" w:ascii="楷体" w:hAnsi="楷体" w:eastAsia="楷体" w:cs="楷体"/>
          <w:spacing w:val="7"/>
          <w:position w:val="21"/>
          <w:sz w:val="31"/>
          <w:szCs w:val="31"/>
          <w:shd w:val="clear" w:color="auto" w:fill="FFFFFF"/>
          <w:lang w:eastAsia="zh-CN"/>
        </w:rPr>
        <w:t>政治学习激发新动能。一是扎实开展党纪学习教育</w:t>
      </w:r>
      <w:r>
        <w:rPr>
          <w:rFonts w:hint="eastAsia" w:ascii="仿宋_GB2312" w:hAnsi="仿宋_GB2312" w:eastAsia="仿宋_GB2312" w:cs="仿宋_GB2312"/>
          <w:b/>
          <w:bCs/>
          <w:color w:val="auto"/>
          <w:spacing w:val="7"/>
          <w:position w:val="21"/>
          <w:sz w:val="32"/>
          <w:szCs w:val="32"/>
          <w:shd w:val="clear" w:color="auto" w:fill="FFFFFF"/>
          <w:lang w:eastAsia="zh-CN"/>
        </w:rPr>
        <w:t>。</w:t>
      </w:r>
      <w:r>
        <w:rPr>
          <w:rFonts w:hint="eastAsia" w:ascii="仿宋_GB2312" w:hAnsi="仿宋_GB2312" w:eastAsia="仿宋_GB2312" w:cs="仿宋_GB2312"/>
          <w:color w:val="auto"/>
          <w:spacing w:val="7"/>
          <w:position w:val="21"/>
          <w:sz w:val="32"/>
          <w:szCs w:val="32"/>
          <w:shd w:val="clear" w:color="auto" w:fill="FFFFFF"/>
          <w:lang w:eastAsia="zh-CN"/>
        </w:rPr>
        <w:t>认真学习贯彻党的二十大和二十届三中全会精神，扎实开展党纪学习教育。第一时间制定学习方案，细化学习计划，坚持党工委班子带头学、各党组织专题学、党建活动结合学，以个人自学、集中学习研讨、邀请区纪委专家授课、实地参观粤汉铁路工人历史陈列馆和“守护好一江碧水”实践基地等多种形式，逐章逐条学《条例》、结合工作谈感悟。通过明确把党纪学习教育与巩固拓展主题教育成果紧密结合，与落实巡察整改紧密结合，与持续推进整治形式主义为基层减负紧密结合，有效推进党纪学习教育入脑入心、走深走</w:t>
      </w:r>
      <w:r>
        <w:rPr>
          <w:rFonts w:hint="eastAsia" w:ascii="楷体" w:hAnsi="楷体" w:eastAsia="楷体" w:cs="楷体"/>
          <w:spacing w:val="7"/>
          <w:position w:val="21"/>
          <w:sz w:val="31"/>
          <w:szCs w:val="31"/>
          <w:shd w:val="clear" w:color="auto" w:fill="FFFFFF"/>
          <w:lang w:eastAsia="zh-CN"/>
        </w:rPr>
        <w:t>实，切实将党纪学习教育成果转化为党员干部干事创业的强大动力。二是全面加强意识形态工作。切实贯彻落实党工委理论学习中心组学习制度和街道班子（扩大）会第一议题制度，树牢政治意识。</w:t>
      </w:r>
      <w:r>
        <w:rPr>
          <w:rFonts w:hint="eastAsia" w:ascii="楷体" w:hAnsi="楷体" w:eastAsia="楷体" w:cs="楷体"/>
          <w:spacing w:val="7"/>
          <w:position w:val="21"/>
          <w:sz w:val="31"/>
          <w:szCs w:val="31"/>
          <w:shd w:val="clear" w:color="auto" w:fill="FFFFFF"/>
        </w:rPr>
        <w:t>加强正面宣传引导，树立积极的舆论导向。正面宣传办事处亮点工作新闻报道发布400多篇，其中，中央媒体2篇，省级媒体5篇，市级媒体100余篇，处理网络舆情16条，全年未发生一起重大负面舆论舆情。</w:t>
      </w:r>
    </w:p>
    <w:p w14:paraId="35FD5509">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val="en-US" w:eastAsia="zh-CN"/>
        </w:rPr>
        <w:t>2、</w:t>
      </w:r>
      <w:r>
        <w:rPr>
          <w:rFonts w:hint="eastAsia" w:ascii="楷体" w:hAnsi="楷体" w:eastAsia="楷体" w:cs="楷体"/>
          <w:spacing w:val="7"/>
          <w:position w:val="21"/>
          <w:sz w:val="31"/>
          <w:szCs w:val="31"/>
          <w:shd w:val="clear" w:color="auto" w:fill="FFFFFF"/>
        </w:rPr>
        <w:t>项目建设</w:t>
      </w:r>
      <w:r>
        <w:rPr>
          <w:rFonts w:hint="eastAsia" w:ascii="楷体" w:hAnsi="楷体" w:eastAsia="楷体" w:cs="楷体"/>
          <w:spacing w:val="7"/>
          <w:position w:val="21"/>
          <w:sz w:val="31"/>
          <w:szCs w:val="31"/>
          <w:shd w:val="clear" w:color="auto" w:fill="FFFFFF"/>
          <w:lang w:eastAsia="zh-CN"/>
        </w:rPr>
        <w:t>实现新突破</w:t>
      </w:r>
      <w:r>
        <w:rPr>
          <w:rFonts w:hint="eastAsia" w:ascii="楷体" w:hAnsi="楷体" w:eastAsia="楷体" w:cs="楷体"/>
          <w:spacing w:val="7"/>
          <w:position w:val="21"/>
          <w:sz w:val="31"/>
          <w:szCs w:val="31"/>
          <w:shd w:val="clear" w:color="auto" w:fill="FFFFFF"/>
        </w:rPr>
        <w:t>。一是抢抓机遇，全力推进</w:t>
      </w:r>
      <w:r>
        <w:rPr>
          <w:rFonts w:hint="eastAsia" w:ascii="楷体" w:hAnsi="楷体" w:eastAsia="楷体" w:cs="楷体"/>
          <w:spacing w:val="7"/>
          <w:position w:val="21"/>
          <w:sz w:val="31"/>
          <w:szCs w:val="31"/>
          <w:shd w:val="clear" w:color="auto" w:fill="FFFFFF"/>
          <w:lang w:eastAsia="zh-CN"/>
        </w:rPr>
        <w:t>旧改项目</w:t>
      </w:r>
      <w:r>
        <w:rPr>
          <w:rFonts w:hint="eastAsia" w:ascii="楷体" w:hAnsi="楷体" w:eastAsia="楷体" w:cs="楷体"/>
          <w:spacing w:val="7"/>
          <w:position w:val="21"/>
          <w:sz w:val="31"/>
          <w:szCs w:val="31"/>
          <w:shd w:val="clear" w:color="auto" w:fill="FFFFFF"/>
        </w:rPr>
        <w:t>加速冲刺。今年旧改项目26个，其中独立小区19个，基础配套7个，已全部实施，</w:t>
      </w:r>
      <w:r>
        <w:rPr>
          <w:rFonts w:hint="eastAsia" w:ascii="楷体" w:hAnsi="楷体" w:eastAsia="楷体" w:cs="楷体"/>
          <w:spacing w:val="7"/>
          <w:position w:val="21"/>
          <w:sz w:val="31"/>
          <w:szCs w:val="31"/>
          <w:shd w:val="clear" w:color="auto" w:fill="FFFFFF"/>
          <w:lang w:eastAsia="zh-CN"/>
        </w:rPr>
        <w:t>完成</w:t>
      </w:r>
      <w:r>
        <w:rPr>
          <w:rFonts w:hint="eastAsia" w:ascii="楷体" w:hAnsi="楷体" w:eastAsia="楷体" w:cs="楷体"/>
          <w:spacing w:val="7"/>
          <w:position w:val="21"/>
          <w:sz w:val="31"/>
          <w:szCs w:val="31"/>
          <w:shd w:val="clear" w:color="auto" w:fill="FFFFFF"/>
        </w:rPr>
        <w:t>下水道及道路修复</w:t>
      </w:r>
      <w:r>
        <w:rPr>
          <w:rFonts w:hint="eastAsia" w:ascii="楷体" w:hAnsi="楷体" w:eastAsia="楷体" w:cs="楷体"/>
          <w:spacing w:val="7"/>
          <w:position w:val="21"/>
          <w:sz w:val="31"/>
          <w:szCs w:val="31"/>
          <w:shd w:val="clear" w:color="auto" w:fill="FFFFFF"/>
          <w:lang w:val="en-US" w:eastAsia="zh-CN"/>
        </w:rPr>
        <w:t>38条</w:t>
      </w:r>
      <w:r>
        <w:rPr>
          <w:rFonts w:hint="eastAsia" w:ascii="楷体" w:hAnsi="楷体" w:eastAsia="楷体" w:cs="楷体"/>
          <w:spacing w:val="7"/>
          <w:position w:val="21"/>
          <w:sz w:val="31"/>
          <w:szCs w:val="31"/>
          <w:shd w:val="clear" w:color="auto" w:fill="FFFFFF"/>
        </w:rPr>
        <w:t>，年度改造房屋88栋，</w:t>
      </w:r>
      <w:r>
        <w:rPr>
          <w:rFonts w:hint="eastAsia" w:ascii="楷体" w:hAnsi="楷体" w:eastAsia="楷体" w:cs="楷体"/>
          <w:spacing w:val="7"/>
          <w:position w:val="21"/>
          <w:sz w:val="31"/>
          <w:szCs w:val="31"/>
          <w:shd w:val="clear" w:color="auto" w:fill="FFFFFF"/>
          <w:lang w:eastAsia="zh-CN"/>
        </w:rPr>
        <w:t>受益</w:t>
      </w:r>
      <w:r>
        <w:rPr>
          <w:rFonts w:hint="eastAsia" w:ascii="楷体" w:hAnsi="楷体" w:eastAsia="楷体" w:cs="楷体"/>
          <w:spacing w:val="7"/>
          <w:position w:val="21"/>
          <w:sz w:val="31"/>
          <w:szCs w:val="31"/>
          <w:shd w:val="clear" w:color="auto" w:fill="FFFFFF"/>
        </w:rPr>
        <w:t>居民2381户，总建筑面积26.24万平方米，总投入约2230万元</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开展移民项目3个，投入资金65</w:t>
      </w:r>
      <w:r>
        <w:rPr>
          <w:rFonts w:hint="eastAsia" w:ascii="楷体" w:hAnsi="楷体" w:eastAsia="楷体" w:cs="楷体"/>
          <w:spacing w:val="7"/>
          <w:position w:val="21"/>
          <w:sz w:val="31"/>
          <w:szCs w:val="31"/>
          <w:shd w:val="clear" w:color="auto" w:fill="FFFFFF"/>
          <w:lang w:eastAsia="zh-CN"/>
        </w:rPr>
        <w:t>万元</w:t>
      </w:r>
      <w:r>
        <w:rPr>
          <w:rFonts w:hint="eastAsia" w:ascii="楷体" w:hAnsi="楷体" w:eastAsia="楷体" w:cs="楷体"/>
          <w:spacing w:val="7"/>
          <w:position w:val="21"/>
          <w:sz w:val="31"/>
          <w:szCs w:val="31"/>
          <w:shd w:val="clear" w:color="auto" w:fill="FFFFFF"/>
        </w:rPr>
        <w:t>，为辖区老旧小区的改造和基础设施进行了全面升级。二是</w:t>
      </w:r>
      <w:r>
        <w:rPr>
          <w:rFonts w:hint="eastAsia" w:ascii="楷体" w:hAnsi="楷体" w:eastAsia="楷体" w:cs="楷体"/>
          <w:spacing w:val="7"/>
          <w:position w:val="21"/>
          <w:sz w:val="31"/>
          <w:szCs w:val="31"/>
          <w:shd w:val="clear" w:color="auto" w:fill="FFFFFF"/>
          <w:lang w:eastAsia="zh-CN"/>
        </w:rPr>
        <w:t>聚力</w:t>
      </w:r>
      <w:r>
        <w:rPr>
          <w:rFonts w:hint="eastAsia" w:ascii="楷体" w:hAnsi="楷体" w:eastAsia="楷体" w:cs="楷体"/>
          <w:spacing w:val="7"/>
          <w:position w:val="21"/>
          <w:sz w:val="31"/>
          <w:szCs w:val="31"/>
          <w:shd w:val="clear" w:color="auto" w:fill="FFFFFF"/>
        </w:rPr>
        <w:t>发展，全力</w:t>
      </w:r>
      <w:r>
        <w:rPr>
          <w:rFonts w:hint="eastAsia" w:ascii="楷体" w:hAnsi="楷体" w:eastAsia="楷体" w:cs="楷体"/>
          <w:spacing w:val="7"/>
          <w:position w:val="21"/>
          <w:sz w:val="31"/>
          <w:szCs w:val="31"/>
          <w:shd w:val="clear" w:color="auto" w:fill="FFFFFF"/>
          <w:lang w:eastAsia="zh-CN"/>
        </w:rPr>
        <w:t>保障</w:t>
      </w:r>
      <w:r>
        <w:rPr>
          <w:rFonts w:hint="eastAsia" w:ascii="楷体" w:hAnsi="楷体" w:eastAsia="楷体" w:cs="楷体"/>
          <w:spacing w:val="7"/>
          <w:position w:val="21"/>
          <w:sz w:val="31"/>
          <w:szCs w:val="31"/>
          <w:shd w:val="clear" w:color="auto" w:fill="FFFFFF"/>
        </w:rPr>
        <w:t>项目建设</w:t>
      </w:r>
      <w:r>
        <w:rPr>
          <w:rFonts w:hint="eastAsia" w:ascii="楷体" w:hAnsi="楷体" w:eastAsia="楷体" w:cs="楷体"/>
          <w:spacing w:val="7"/>
          <w:position w:val="21"/>
          <w:sz w:val="31"/>
          <w:szCs w:val="31"/>
          <w:shd w:val="clear" w:color="auto" w:fill="FFFFFF"/>
          <w:lang w:eastAsia="zh-CN"/>
        </w:rPr>
        <w:t>落地落实</w:t>
      </w:r>
      <w:r>
        <w:rPr>
          <w:rFonts w:hint="eastAsia" w:ascii="楷体" w:hAnsi="楷体" w:eastAsia="楷体" w:cs="楷体"/>
          <w:spacing w:val="7"/>
          <w:position w:val="21"/>
          <w:sz w:val="31"/>
          <w:szCs w:val="31"/>
          <w:shd w:val="clear" w:color="auto" w:fill="FFFFFF"/>
        </w:rPr>
        <w:t>。</w:t>
      </w:r>
      <w:r>
        <w:rPr>
          <w:rFonts w:hint="eastAsia" w:ascii="楷体" w:hAnsi="楷体" w:eastAsia="楷体" w:cs="楷体"/>
          <w:spacing w:val="7"/>
          <w:position w:val="21"/>
          <w:sz w:val="31"/>
          <w:szCs w:val="31"/>
          <w:shd w:val="clear" w:color="auto" w:fill="FFFFFF"/>
          <w:lang w:eastAsia="zh-CN"/>
        </w:rPr>
        <w:t>辖区内“</w:t>
      </w:r>
      <w:r>
        <w:rPr>
          <w:rFonts w:hint="eastAsia" w:ascii="楷体" w:hAnsi="楷体" w:eastAsia="楷体" w:cs="楷体"/>
          <w:spacing w:val="7"/>
          <w:position w:val="21"/>
          <w:sz w:val="31"/>
          <w:szCs w:val="31"/>
          <w:shd w:val="clear" w:color="auto" w:fill="FFFFFF"/>
        </w:rPr>
        <w:t>天伦湖与树</w:t>
      </w:r>
      <w:r>
        <w:rPr>
          <w:rFonts w:hint="eastAsia" w:ascii="楷体" w:hAnsi="楷体" w:eastAsia="楷体" w:cs="楷体"/>
          <w:spacing w:val="7"/>
          <w:position w:val="21"/>
          <w:sz w:val="31"/>
          <w:szCs w:val="31"/>
          <w:shd w:val="clear" w:color="auto" w:fill="FFFFFF"/>
          <w:lang w:eastAsia="zh-CN"/>
        </w:rPr>
        <w:t>”项目当前</w:t>
      </w:r>
      <w:r>
        <w:rPr>
          <w:rFonts w:hint="eastAsia" w:ascii="楷体" w:hAnsi="楷体" w:eastAsia="楷体" w:cs="楷体"/>
          <w:spacing w:val="7"/>
          <w:position w:val="21"/>
          <w:sz w:val="31"/>
          <w:szCs w:val="31"/>
          <w:shd w:val="clear" w:color="auto" w:fill="FFFFFF"/>
        </w:rPr>
        <w:t>销量排名中心城区销售套数及面积第一</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lang w:val="en-US" w:eastAsia="zh-CN"/>
        </w:rPr>
        <w:t>并建成投用</w:t>
      </w:r>
      <w:r>
        <w:rPr>
          <w:rFonts w:hint="eastAsia" w:ascii="楷体" w:hAnsi="楷体" w:eastAsia="楷体" w:cs="楷体"/>
          <w:spacing w:val="7"/>
          <w:position w:val="21"/>
          <w:sz w:val="31"/>
          <w:szCs w:val="31"/>
          <w:shd w:val="clear" w:color="auto" w:fill="FFFFFF"/>
        </w:rPr>
        <w:t>，2024年交税3000万元，累计税收8000万元</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天伦东湖院</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项目计划总投资10亿元，总建筑面积1.6万平方米，目前单体楼栋已施工至6-10层，预计2025年初可以启动预售， 2026年12月底完成竣工验收并交付，为楼区经济注入了新的活力。</w:t>
      </w:r>
    </w:p>
    <w:p w14:paraId="3E336C05">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val="en-US" w:eastAsia="zh-CN"/>
        </w:rPr>
        <w:t>3、</w:t>
      </w:r>
      <w:r>
        <w:rPr>
          <w:rFonts w:hint="eastAsia" w:ascii="楷体" w:hAnsi="楷体" w:eastAsia="楷体" w:cs="楷体"/>
          <w:spacing w:val="7"/>
          <w:position w:val="21"/>
          <w:sz w:val="31"/>
          <w:szCs w:val="31"/>
          <w:shd w:val="clear" w:color="auto" w:fill="FFFFFF"/>
        </w:rPr>
        <w:t>社会治理取得新成效。全面推进城市六治工作，快速更新城市新面貌。环保“治污”</w:t>
      </w:r>
      <w:r>
        <w:rPr>
          <w:rFonts w:hint="eastAsia" w:ascii="楷体" w:hAnsi="楷体" w:eastAsia="楷体" w:cs="楷体"/>
          <w:spacing w:val="7"/>
          <w:position w:val="21"/>
          <w:sz w:val="31"/>
          <w:szCs w:val="31"/>
          <w:shd w:val="clear" w:color="auto" w:fill="FFFFFF"/>
          <w:lang w:eastAsia="zh-CN"/>
        </w:rPr>
        <w:t>重排查。</w:t>
      </w:r>
      <w:r>
        <w:rPr>
          <w:rFonts w:hint="eastAsia" w:ascii="楷体" w:hAnsi="楷体" w:eastAsia="楷体" w:cs="楷体"/>
          <w:spacing w:val="7"/>
          <w:position w:val="21"/>
          <w:sz w:val="31"/>
          <w:szCs w:val="31"/>
          <w:shd w:val="clear" w:color="auto" w:fill="FFFFFF"/>
        </w:rPr>
        <w:t>对公共区域裸露地面、拆违拆临建筑垃圾堆放点等进行防尘网覆盖30余次，覆盖面积5632余平方米，</w:t>
      </w:r>
      <w:r>
        <w:rPr>
          <w:rFonts w:hint="eastAsia" w:ascii="楷体" w:hAnsi="楷体" w:eastAsia="楷体" w:cs="楷体"/>
          <w:spacing w:val="7"/>
          <w:position w:val="21"/>
          <w:sz w:val="31"/>
          <w:szCs w:val="31"/>
          <w:shd w:val="clear" w:color="auto" w:fill="FFFFFF"/>
          <w:lang w:eastAsia="zh-CN"/>
        </w:rPr>
        <w:t>排查</w:t>
      </w:r>
      <w:r>
        <w:rPr>
          <w:rFonts w:hint="eastAsia" w:ascii="楷体" w:hAnsi="楷体" w:eastAsia="楷体" w:cs="楷体"/>
          <w:spacing w:val="7"/>
          <w:position w:val="21"/>
          <w:sz w:val="31"/>
          <w:szCs w:val="31"/>
          <w:shd w:val="clear" w:color="auto" w:fill="FFFFFF"/>
        </w:rPr>
        <w:t>辖区内所有企业和建筑工地，确保所有</w:t>
      </w:r>
      <w:r>
        <w:rPr>
          <w:rFonts w:hint="eastAsia" w:ascii="楷体" w:hAnsi="楷体" w:eastAsia="楷体" w:cs="楷体"/>
          <w:spacing w:val="7"/>
          <w:position w:val="21"/>
          <w:sz w:val="31"/>
          <w:szCs w:val="31"/>
          <w:shd w:val="clear" w:color="auto" w:fill="FFFFFF"/>
          <w:lang w:eastAsia="zh-CN"/>
        </w:rPr>
        <w:t>工地</w:t>
      </w:r>
      <w:r>
        <w:rPr>
          <w:rFonts w:hint="eastAsia" w:ascii="楷体" w:hAnsi="楷体" w:eastAsia="楷体" w:cs="楷体"/>
          <w:spacing w:val="7"/>
          <w:position w:val="21"/>
          <w:sz w:val="31"/>
          <w:szCs w:val="31"/>
          <w:shd w:val="clear" w:color="auto" w:fill="FFFFFF"/>
        </w:rPr>
        <w:t>裸露地面进行硬化或全覆盖</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按照厂区堆场要建立围挡</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实施覆盖、洒水、喷淋等要求，整改企业6家。对辖区内所有污染企业、作坊进行了逐一排查，共取缔散乱企业及作坊3家，取缔10吨以下燃煤锅炉1处，取缔非法散煤销售点1处。环卫“治脏”</w:t>
      </w:r>
      <w:r>
        <w:rPr>
          <w:rFonts w:hint="eastAsia" w:ascii="楷体" w:hAnsi="楷体" w:eastAsia="楷体" w:cs="楷体"/>
          <w:spacing w:val="7"/>
          <w:position w:val="21"/>
          <w:sz w:val="31"/>
          <w:szCs w:val="31"/>
          <w:shd w:val="clear" w:color="auto" w:fill="FFFFFF"/>
          <w:lang w:eastAsia="zh-CN"/>
        </w:rPr>
        <w:t>重清洁。</w:t>
      </w:r>
      <w:r>
        <w:rPr>
          <w:rFonts w:hint="eastAsia" w:ascii="楷体" w:hAnsi="楷体" w:eastAsia="楷体" w:cs="楷体"/>
          <w:spacing w:val="7"/>
          <w:position w:val="21"/>
          <w:sz w:val="31"/>
          <w:szCs w:val="31"/>
          <w:shd w:val="clear" w:color="auto" w:fill="FFFFFF"/>
        </w:rPr>
        <w:t>共清除牛皮癣18000余处，清洗环卫设施设备及油污污渍11000余处。冰雪天气期间对辖区枫桥湖路、洞庭大道等主要路段以及沿线树木倒落处、急弯、坡道、人行道等重点路段开展清扫铲雪除冰行动，共出动人员1200余人次、拖拉机12台、三轮车2台、农用大卡车6台，清运白色垃圾200余车、残枝树叶及杂物300余车，抛撒工业盐100余袋。禁违“治违”</w:t>
      </w:r>
      <w:r>
        <w:rPr>
          <w:rFonts w:hint="eastAsia" w:ascii="楷体" w:hAnsi="楷体" w:eastAsia="楷体" w:cs="楷体"/>
          <w:spacing w:val="7"/>
          <w:position w:val="21"/>
          <w:sz w:val="31"/>
          <w:szCs w:val="31"/>
          <w:shd w:val="clear" w:color="auto" w:fill="FFFFFF"/>
          <w:lang w:eastAsia="zh-CN"/>
        </w:rPr>
        <w:t>重清零。</w:t>
      </w:r>
      <w:r>
        <w:rPr>
          <w:rFonts w:hint="eastAsia" w:ascii="楷体" w:hAnsi="楷体" w:eastAsia="楷体" w:cs="楷体"/>
          <w:spacing w:val="7"/>
          <w:position w:val="21"/>
          <w:sz w:val="31"/>
          <w:szCs w:val="31"/>
          <w:shd w:val="clear" w:color="auto" w:fill="FFFFFF"/>
        </w:rPr>
        <w:t>今年以来拆除存量违建73处6320余平方米，三年拆存计划清零</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强力拆除新增违建3处35平方米</w:t>
      </w:r>
      <w:r>
        <w:rPr>
          <w:rFonts w:hint="eastAsia" w:ascii="楷体" w:hAnsi="楷体" w:eastAsia="楷体" w:cs="楷体"/>
          <w:spacing w:val="7"/>
          <w:position w:val="21"/>
          <w:sz w:val="31"/>
          <w:szCs w:val="31"/>
          <w:shd w:val="clear" w:color="auto" w:fill="FFFFFF"/>
          <w:lang w:eastAsia="zh-CN"/>
        </w:rPr>
        <w:t>。加强禁违治违法治宣传，</w:t>
      </w:r>
      <w:r>
        <w:rPr>
          <w:rFonts w:hint="eastAsia" w:ascii="楷体" w:hAnsi="楷体" w:eastAsia="楷体" w:cs="楷体"/>
          <w:spacing w:val="7"/>
          <w:position w:val="21"/>
          <w:sz w:val="31"/>
          <w:szCs w:val="31"/>
          <w:shd w:val="clear" w:color="auto" w:fill="FFFFFF"/>
        </w:rPr>
        <w:t>在东风湖公园举办的“违法建设常态化治理宣讲活动”取得了显著的效果。交通“治堵”</w:t>
      </w:r>
      <w:r>
        <w:rPr>
          <w:rFonts w:hint="eastAsia" w:ascii="楷体" w:hAnsi="楷体" w:eastAsia="楷体" w:cs="楷体"/>
          <w:spacing w:val="7"/>
          <w:position w:val="21"/>
          <w:sz w:val="31"/>
          <w:szCs w:val="31"/>
          <w:shd w:val="clear" w:color="auto" w:fill="FFFFFF"/>
          <w:lang w:eastAsia="zh-CN"/>
        </w:rPr>
        <w:t>重引导。</w:t>
      </w:r>
      <w:r>
        <w:rPr>
          <w:rFonts w:hint="eastAsia" w:ascii="楷体" w:hAnsi="楷体" w:eastAsia="楷体" w:cs="楷体"/>
          <w:spacing w:val="7"/>
          <w:position w:val="21"/>
          <w:sz w:val="31"/>
          <w:szCs w:val="31"/>
          <w:shd w:val="clear" w:color="auto" w:fill="FFFFFF"/>
        </w:rPr>
        <w:t>两站两员工作张贴交通宣传海报200余份，转发微信宣传教育小视频50余条，积极协调处理了取消东湖帝景小区门口的斑马线设置不合理问题，重点对康岳小学、枫桥湖小学学校周边道路交通安全问题，安排了工作人员和志愿者开展交通劝导，为孩子们上学路筑起安全生命线。</w:t>
      </w:r>
      <w:r>
        <w:rPr>
          <w:rFonts w:hint="eastAsia" w:ascii="楷体" w:hAnsi="楷体" w:eastAsia="楷体" w:cs="楷体"/>
          <w:spacing w:val="7"/>
          <w:position w:val="21"/>
          <w:sz w:val="31"/>
          <w:szCs w:val="31"/>
          <w:shd w:val="clear" w:color="auto" w:fill="FFFFFF"/>
          <w:lang w:eastAsia="zh-CN"/>
        </w:rPr>
        <w:t>枫桥湖路大桥北侧辅道工程即将启动建设，快速推进城市道路建设。</w:t>
      </w:r>
      <w:r>
        <w:rPr>
          <w:rFonts w:hint="eastAsia" w:ascii="楷体" w:hAnsi="楷体" w:eastAsia="楷体" w:cs="楷体"/>
          <w:spacing w:val="7"/>
          <w:position w:val="21"/>
          <w:sz w:val="31"/>
          <w:szCs w:val="31"/>
          <w:shd w:val="clear" w:color="auto" w:fill="FFFFFF"/>
        </w:rPr>
        <w:t>治安“治差”</w:t>
      </w:r>
      <w:r>
        <w:rPr>
          <w:rFonts w:hint="eastAsia" w:ascii="楷体" w:hAnsi="楷体" w:eastAsia="楷体" w:cs="楷体"/>
          <w:spacing w:val="7"/>
          <w:position w:val="21"/>
          <w:sz w:val="31"/>
          <w:szCs w:val="31"/>
          <w:shd w:val="clear" w:color="auto" w:fill="FFFFFF"/>
          <w:lang w:eastAsia="zh-CN"/>
        </w:rPr>
        <w:t>重管控。</w:t>
      </w:r>
      <w:r>
        <w:rPr>
          <w:rFonts w:hint="eastAsia" w:ascii="楷体" w:hAnsi="楷体" w:eastAsia="楷体" w:cs="楷体"/>
          <w:spacing w:val="7"/>
          <w:position w:val="21"/>
          <w:sz w:val="31"/>
          <w:szCs w:val="31"/>
          <w:shd w:val="clear" w:color="auto" w:fill="FFFFFF"/>
        </w:rPr>
        <w:t>开展治安巡逻行动共计90余次，关停麻将馆20多家，销毁麻将机升降条100余个，走访涉“全能神”疑似人员11人次，走访调查基督教人员场所9个，打击传销窝点两处，解救被骗人员5名，开展警情通报会2次，联合派出所办理卖淫嫖娼案件5件，打击卖淫嫖娼人员18人</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lang w:val="en-US" w:eastAsia="zh-CN"/>
        </w:rPr>
        <w:t>全年有效调处矛盾纠纷60余起，累计受理了信访案件52件，已办理完成49件，2件正在办理中；其中省委巡视组交办、督办案件9起，至今未发生一起赴省进京登记上访。</w:t>
      </w:r>
      <w:r>
        <w:rPr>
          <w:rFonts w:hint="eastAsia" w:ascii="楷体" w:hAnsi="楷体" w:eastAsia="楷体" w:cs="楷体"/>
          <w:spacing w:val="7"/>
          <w:position w:val="21"/>
          <w:sz w:val="31"/>
          <w:szCs w:val="31"/>
          <w:shd w:val="clear" w:color="auto" w:fill="FFFFFF"/>
        </w:rPr>
        <w:t>市容“治乱”</w:t>
      </w:r>
      <w:r>
        <w:rPr>
          <w:rFonts w:hint="eastAsia" w:ascii="楷体" w:hAnsi="楷体" w:eastAsia="楷体" w:cs="楷体"/>
          <w:spacing w:val="7"/>
          <w:position w:val="21"/>
          <w:sz w:val="31"/>
          <w:szCs w:val="31"/>
          <w:shd w:val="clear" w:color="auto" w:fill="FFFFFF"/>
          <w:lang w:eastAsia="zh-CN"/>
        </w:rPr>
        <w:t>重执法。</w:t>
      </w:r>
      <w:r>
        <w:rPr>
          <w:rFonts w:hint="eastAsia" w:ascii="楷体" w:hAnsi="楷体" w:eastAsia="楷体" w:cs="楷体"/>
          <w:spacing w:val="7"/>
          <w:position w:val="21"/>
          <w:sz w:val="31"/>
          <w:szCs w:val="31"/>
          <w:shd w:val="clear" w:color="auto" w:fill="FFFFFF"/>
        </w:rPr>
        <w:t>依法整治占道经营行为1500余起，对63家违规商户实施行政处罚，累计罚款金额达6300元，对130处门店油污问题进行了整改，开展200余次食品安全检查，为维护市容秩序提供了执法保障。</w:t>
      </w:r>
    </w:p>
    <w:p w14:paraId="7EA70C50">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val="en-US" w:eastAsia="zh-CN"/>
        </w:rPr>
        <w:t>4、</w:t>
      </w:r>
      <w:r>
        <w:rPr>
          <w:rFonts w:hint="eastAsia" w:ascii="楷体" w:hAnsi="楷体" w:eastAsia="楷体" w:cs="楷体"/>
          <w:spacing w:val="7"/>
          <w:position w:val="21"/>
          <w:sz w:val="31"/>
          <w:szCs w:val="31"/>
          <w:shd w:val="clear" w:color="auto" w:fill="FFFFFF"/>
        </w:rPr>
        <w:t>民生福祉</w:t>
      </w:r>
      <w:r>
        <w:rPr>
          <w:rFonts w:hint="eastAsia" w:ascii="楷体" w:hAnsi="楷体" w:eastAsia="楷体" w:cs="楷体"/>
          <w:spacing w:val="7"/>
          <w:position w:val="21"/>
          <w:sz w:val="31"/>
          <w:szCs w:val="31"/>
          <w:shd w:val="clear" w:color="auto" w:fill="FFFFFF"/>
          <w:lang w:eastAsia="zh-CN"/>
        </w:rPr>
        <w:t>获得</w:t>
      </w:r>
      <w:r>
        <w:rPr>
          <w:rFonts w:hint="eastAsia" w:ascii="楷体" w:hAnsi="楷体" w:eastAsia="楷体" w:cs="楷体"/>
          <w:spacing w:val="7"/>
          <w:position w:val="21"/>
          <w:sz w:val="31"/>
          <w:szCs w:val="31"/>
          <w:shd w:val="clear" w:color="auto" w:fill="FFFFFF"/>
        </w:rPr>
        <w:t>新提升。始终坚持以人民为中心的发展思想，把保障和改善民生作为工作的出发点和落脚点。落实全民参保计划，街道、社区干部职工扎根网格、加班加点，挨家挨户敲门入户、摆摊设点，全力以赴完成医保缴费2.9万人，连续3年如期超额完成任务。</w:t>
      </w:r>
      <w:r>
        <w:rPr>
          <w:rFonts w:hint="eastAsia" w:ascii="楷体" w:hAnsi="楷体" w:eastAsia="楷体" w:cs="楷体"/>
          <w:spacing w:val="7"/>
          <w:position w:val="21"/>
          <w:sz w:val="31"/>
          <w:szCs w:val="31"/>
          <w:shd w:val="clear" w:color="auto" w:fill="FFFFFF"/>
          <w:lang w:eastAsia="zh-CN"/>
        </w:rPr>
        <w:t>一是关注弱势群体，坚持扶贫帮困。</w:t>
      </w:r>
      <w:r>
        <w:rPr>
          <w:rFonts w:hint="eastAsia" w:ascii="楷体" w:hAnsi="楷体" w:eastAsia="楷体" w:cs="楷体"/>
          <w:spacing w:val="7"/>
          <w:position w:val="21"/>
          <w:sz w:val="31"/>
          <w:szCs w:val="31"/>
          <w:shd w:val="clear" w:color="auto" w:fill="FFFFFF"/>
        </w:rPr>
        <w:t>持续实施低保“阳光工程”、动态管理，新增低保对象37户，取消43户，提标33户，降标27户，现有低保对象676户，累计发放低保金422万元。在辖区积极开展扶贫帮困工作，确保困难群众基本生活得到保障，特困供养128人，累计发放残疾人护理补贴和生活补贴398人次49万元，慰问帮扶困难退役军人202人次16.35万元。</w:t>
      </w:r>
      <w:r>
        <w:rPr>
          <w:rFonts w:hint="eastAsia" w:ascii="楷体" w:hAnsi="楷体" w:eastAsia="楷体" w:cs="楷体"/>
          <w:spacing w:val="7"/>
          <w:position w:val="21"/>
          <w:sz w:val="31"/>
          <w:szCs w:val="31"/>
          <w:shd w:val="clear" w:color="auto" w:fill="FFFFFF"/>
          <w:lang w:eastAsia="zh-CN"/>
        </w:rPr>
        <w:t>二是提升网格治理，坚持为民解忧。</w:t>
      </w:r>
      <w:r>
        <w:rPr>
          <w:rFonts w:hint="eastAsia" w:ascii="楷体" w:hAnsi="楷体" w:eastAsia="楷体" w:cs="楷体"/>
          <w:spacing w:val="7"/>
          <w:position w:val="21"/>
          <w:sz w:val="31"/>
          <w:szCs w:val="31"/>
          <w:shd w:val="clear" w:color="auto" w:fill="FFFFFF"/>
        </w:rPr>
        <w:t>全力推进“党建+网格化微治理”，加强社区治理和服务体系建设，不断提升居民的幸福感和满意度。今年下达督促网格数据完成进度周通报39次，班子扩大会通报网格工作4次，处理网格事件1271条，上门服务16300人次，一门式全覆盖平台办结867条，线上居民微信群宣传100余次，处理12345公共服务热线768件，市长信箱40件，上半年获全区热线处理第二名。</w:t>
      </w:r>
      <w:r>
        <w:rPr>
          <w:rFonts w:hint="eastAsia" w:ascii="楷体" w:hAnsi="楷体" w:eastAsia="楷体" w:cs="楷体"/>
          <w:spacing w:val="7"/>
          <w:position w:val="21"/>
          <w:sz w:val="31"/>
          <w:szCs w:val="31"/>
          <w:shd w:val="clear" w:color="auto" w:fill="FFFFFF"/>
          <w:lang w:eastAsia="zh-CN"/>
        </w:rPr>
        <w:t>三</w:t>
      </w:r>
      <w:r>
        <w:rPr>
          <w:rFonts w:hint="eastAsia" w:ascii="楷体" w:hAnsi="楷体" w:eastAsia="楷体" w:cs="楷体"/>
          <w:spacing w:val="7"/>
          <w:position w:val="21"/>
          <w:sz w:val="31"/>
          <w:szCs w:val="31"/>
          <w:shd w:val="clear" w:color="auto" w:fill="FFFFFF"/>
        </w:rPr>
        <w:t>是</w:t>
      </w:r>
      <w:r>
        <w:rPr>
          <w:rFonts w:hint="eastAsia" w:ascii="楷体" w:hAnsi="楷体" w:eastAsia="楷体" w:cs="楷体"/>
          <w:spacing w:val="7"/>
          <w:position w:val="21"/>
          <w:sz w:val="31"/>
          <w:szCs w:val="31"/>
          <w:shd w:val="clear" w:color="auto" w:fill="FFFFFF"/>
          <w:lang w:eastAsia="zh-CN"/>
        </w:rPr>
        <w:t>严守安全底线，坚持</w:t>
      </w:r>
      <w:r>
        <w:rPr>
          <w:rFonts w:hint="eastAsia" w:ascii="楷体" w:hAnsi="楷体" w:eastAsia="楷体" w:cs="楷体"/>
          <w:spacing w:val="7"/>
          <w:position w:val="21"/>
          <w:sz w:val="31"/>
          <w:szCs w:val="31"/>
          <w:shd w:val="clear" w:color="auto" w:fill="FFFFFF"/>
        </w:rPr>
        <w:t>安全生产。</w:t>
      </w:r>
      <w:r>
        <w:rPr>
          <w:rFonts w:hint="eastAsia" w:ascii="楷体" w:hAnsi="楷体" w:eastAsia="楷体" w:cs="楷体"/>
          <w:spacing w:val="7"/>
          <w:position w:val="21"/>
          <w:sz w:val="31"/>
          <w:szCs w:val="31"/>
          <w:shd w:val="clear" w:color="auto" w:fill="FFFFFF"/>
          <w:lang w:eastAsia="zh-CN"/>
        </w:rPr>
        <w:t>以</w:t>
      </w:r>
      <w:r>
        <w:rPr>
          <w:rFonts w:hint="eastAsia" w:ascii="楷体" w:hAnsi="楷体" w:eastAsia="楷体" w:cs="楷体"/>
          <w:spacing w:val="7"/>
          <w:position w:val="21"/>
          <w:sz w:val="31"/>
          <w:szCs w:val="31"/>
          <w:shd w:val="clear" w:color="auto" w:fill="FFFFFF"/>
        </w:rPr>
        <w:t>“防灾减灾日”“安全生产月活动”</w:t>
      </w:r>
      <w:r>
        <w:rPr>
          <w:rFonts w:hint="eastAsia" w:ascii="楷体" w:hAnsi="楷体" w:eastAsia="楷体" w:cs="楷体"/>
          <w:spacing w:val="7"/>
          <w:position w:val="21"/>
          <w:sz w:val="31"/>
          <w:szCs w:val="31"/>
          <w:shd w:val="clear" w:color="auto" w:fill="FFFFFF"/>
          <w:lang w:eastAsia="zh-CN"/>
        </w:rPr>
        <w:t>等活动</w:t>
      </w:r>
      <w:r>
        <w:rPr>
          <w:rFonts w:hint="eastAsia" w:ascii="楷体" w:hAnsi="楷体" w:eastAsia="楷体" w:cs="楷体"/>
          <w:spacing w:val="7"/>
          <w:position w:val="21"/>
          <w:sz w:val="31"/>
          <w:szCs w:val="31"/>
          <w:shd w:val="clear" w:color="auto" w:fill="FFFFFF"/>
        </w:rPr>
        <w:t>为契机，组织下学校、进社区、入广场开展大型</w:t>
      </w:r>
      <w:r>
        <w:rPr>
          <w:rFonts w:hint="eastAsia" w:ascii="楷体" w:hAnsi="楷体" w:eastAsia="楷体" w:cs="楷体"/>
          <w:spacing w:val="7"/>
          <w:position w:val="21"/>
          <w:sz w:val="31"/>
          <w:szCs w:val="31"/>
          <w:shd w:val="clear" w:color="auto" w:fill="FFFFFF"/>
          <w:lang w:eastAsia="zh-CN"/>
        </w:rPr>
        <w:t>安全生产</w:t>
      </w:r>
      <w:r>
        <w:rPr>
          <w:rFonts w:hint="eastAsia" w:ascii="楷体" w:hAnsi="楷体" w:eastAsia="楷体" w:cs="楷体"/>
          <w:spacing w:val="7"/>
          <w:position w:val="21"/>
          <w:sz w:val="31"/>
          <w:szCs w:val="31"/>
          <w:shd w:val="clear" w:color="auto" w:fill="FFFFFF"/>
        </w:rPr>
        <w:t>宣传活动10余次</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开展电动车违规停放、飞线充电有效整治158处，全年整治隐患点10处，危树隐患修枝10棵，自建房CD级房屋整治20栋，安全鉴定25栋</w:t>
      </w:r>
      <w:r>
        <w:rPr>
          <w:rFonts w:hint="eastAsia" w:ascii="楷体" w:hAnsi="楷体" w:eastAsia="楷体" w:cs="楷体"/>
          <w:spacing w:val="7"/>
          <w:position w:val="21"/>
          <w:sz w:val="31"/>
          <w:szCs w:val="31"/>
          <w:shd w:val="clear" w:color="auto" w:fill="FFFFFF"/>
          <w:lang w:eastAsia="zh-CN"/>
        </w:rPr>
        <w:t>。四是攻坚难点重点，坚持渍水点整治。渍水点整治一直是我辖区工作难点重点，今年以来街道上下主动出击、积极协调，目前已完成</w:t>
      </w:r>
      <w:r>
        <w:rPr>
          <w:rFonts w:hint="eastAsia" w:ascii="楷体" w:hAnsi="楷体" w:eastAsia="楷体" w:cs="楷体"/>
          <w:spacing w:val="7"/>
          <w:position w:val="21"/>
          <w:sz w:val="31"/>
          <w:szCs w:val="31"/>
          <w:shd w:val="clear" w:color="auto" w:fill="FFFFFF"/>
        </w:rPr>
        <w:t>康岳社区康鑫小区、新胜社区恒同建筑公司家属区</w:t>
      </w:r>
      <w:r>
        <w:rPr>
          <w:rFonts w:hint="eastAsia" w:ascii="楷体" w:hAnsi="楷体" w:eastAsia="楷体" w:cs="楷体"/>
          <w:spacing w:val="7"/>
          <w:position w:val="21"/>
          <w:sz w:val="31"/>
          <w:szCs w:val="31"/>
          <w:shd w:val="clear" w:color="auto" w:fill="FFFFFF"/>
          <w:lang w:eastAsia="zh-CN"/>
        </w:rPr>
        <w:t>渍水点整治，完成</w:t>
      </w:r>
      <w:r>
        <w:rPr>
          <w:rFonts w:hint="eastAsia" w:ascii="楷体" w:hAnsi="楷体" w:eastAsia="楷体" w:cs="楷体"/>
          <w:spacing w:val="7"/>
          <w:position w:val="21"/>
          <w:sz w:val="31"/>
          <w:szCs w:val="31"/>
          <w:shd w:val="clear" w:color="auto" w:fill="FFFFFF"/>
        </w:rPr>
        <w:t>湘爱园</w:t>
      </w:r>
      <w:r>
        <w:rPr>
          <w:rFonts w:hint="eastAsia" w:ascii="楷体" w:hAnsi="楷体" w:eastAsia="楷体" w:cs="楷体"/>
          <w:spacing w:val="7"/>
          <w:position w:val="21"/>
          <w:sz w:val="31"/>
          <w:szCs w:val="31"/>
          <w:shd w:val="clear" w:color="auto" w:fill="FFFFFF"/>
          <w:lang w:eastAsia="zh-CN"/>
        </w:rPr>
        <w:t>社区</w:t>
      </w:r>
      <w:r>
        <w:rPr>
          <w:rFonts w:hint="eastAsia" w:ascii="楷体" w:hAnsi="楷体" w:eastAsia="楷体" w:cs="楷体"/>
          <w:spacing w:val="7"/>
          <w:position w:val="21"/>
          <w:sz w:val="31"/>
          <w:szCs w:val="31"/>
          <w:shd w:val="clear" w:color="auto" w:fill="FFFFFF"/>
        </w:rPr>
        <w:t>二网格、新胜社区陶家组</w:t>
      </w:r>
      <w:r>
        <w:rPr>
          <w:rFonts w:hint="eastAsia" w:ascii="楷体" w:hAnsi="楷体" w:eastAsia="楷体" w:cs="楷体"/>
          <w:spacing w:val="7"/>
          <w:position w:val="21"/>
          <w:sz w:val="31"/>
          <w:szCs w:val="31"/>
          <w:shd w:val="clear" w:color="auto" w:fill="FFFFFF"/>
          <w:lang w:eastAsia="zh-CN"/>
        </w:rPr>
        <w:t>渍水点改造方案，</w:t>
      </w:r>
      <w:r>
        <w:rPr>
          <w:rFonts w:hint="eastAsia" w:ascii="楷体" w:hAnsi="楷体" w:eastAsia="楷体" w:cs="楷体"/>
          <w:spacing w:val="7"/>
          <w:position w:val="21"/>
          <w:sz w:val="31"/>
          <w:szCs w:val="31"/>
          <w:shd w:val="clear" w:color="auto" w:fill="FFFFFF"/>
        </w:rPr>
        <w:t>年内有望进场施工。</w:t>
      </w:r>
      <w:r>
        <w:rPr>
          <w:rFonts w:hint="eastAsia" w:ascii="楷体" w:hAnsi="楷体" w:eastAsia="楷体" w:cs="楷体"/>
          <w:spacing w:val="7"/>
          <w:position w:val="21"/>
          <w:sz w:val="31"/>
          <w:szCs w:val="31"/>
          <w:shd w:val="clear" w:color="auto" w:fill="FFFFFF"/>
          <w:lang w:eastAsia="zh-CN"/>
        </w:rPr>
        <w:t>而渍水最严重的</w:t>
      </w:r>
      <w:r>
        <w:rPr>
          <w:rFonts w:hint="eastAsia" w:ascii="楷体" w:hAnsi="楷体" w:eastAsia="楷体" w:cs="楷体"/>
          <w:spacing w:val="7"/>
          <w:position w:val="21"/>
          <w:sz w:val="31"/>
          <w:szCs w:val="31"/>
          <w:shd w:val="clear" w:color="auto" w:fill="FFFFFF"/>
        </w:rPr>
        <w:t>大屋湾</w:t>
      </w:r>
      <w:r>
        <w:rPr>
          <w:rFonts w:hint="eastAsia" w:ascii="楷体" w:hAnsi="楷体" w:eastAsia="楷体" w:cs="楷体"/>
          <w:spacing w:val="7"/>
          <w:position w:val="21"/>
          <w:sz w:val="31"/>
          <w:szCs w:val="31"/>
          <w:shd w:val="clear" w:color="auto" w:fill="FFFFFF"/>
          <w:lang w:eastAsia="zh-CN"/>
        </w:rPr>
        <w:t>社区</w:t>
      </w:r>
      <w:r>
        <w:rPr>
          <w:rFonts w:hint="eastAsia" w:ascii="楷体" w:hAnsi="楷体" w:eastAsia="楷体" w:cs="楷体"/>
          <w:spacing w:val="7"/>
          <w:position w:val="21"/>
          <w:sz w:val="31"/>
          <w:szCs w:val="31"/>
          <w:shd w:val="clear" w:color="auto" w:fill="FFFFFF"/>
        </w:rPr>
        <w:t>枫北巷</w:t>
      </w:r>
      <w:r>
        <w:rPr>
          <w:rFonts w:hint="eastAsia" w:ascii="楷体" w:hAnsi="楷体" w:eastAsia="楷体" w:cs="楷体"/>
          <w:spacing w:val="7"/>
          <w:position w:val="21"/>
          <w:sz w:val="31"/>
          <w:szCs w:val="31"/>
          <w:shd w:val="clear" w:color="auto" w:fill="FFFFFF"/>
          <w:lang w:eastAsia="zh-CN"/>
        </w:rPr>
        <w:t>，也已通过修建应急</w:t>
      </w:r>
      <w:r>
        <w:rPr>
          <w:rFonts w:hint="eastAsia" w:ascii="楷体" w:hAnsi="楷体" w:eastAsia="楷体" w:cs="楷体"/>
          <w:spacing w:val="7"/>
          <w:position w:val="21"/>
          <w:sz w:val="31"/>
          <w:szCs w:val="31"/>
          <w:shd w:val="clear" w:color="auto" w:fill="FFFFFF"/>
        </w:rPr>
        <w:t>抽排泵站</w:t>
      </w:r>
      <w:r>
        <w:rPr>
          <w:rFonts w:hint="eastAsia" w:ascii="楷体" w:hAnsi="楷体" w:eastAsia="楷体" w:cs="楷体"/>
          <w:spacing w:val="7"/>
          <w:position w:val="21"/>
          <w:sz w:val="31"/>
          <w:szCs w:val="31"/>
          <w:shd w:val="clear" w:color="auto" w:fill="FFFFFF"/>
          <w:lang w:eastAsia="zh-CN"/>
        </w:rPr>
        <w:t>和泵站值班室，对</w:t>
      </w:r>
      <w:r>
        <w:rPr>
          <w:rFonts w:hint="eastAsia" w:ascii="楷体" w:hAnsi="楷体" w:eastAsia="楷体" w:cs="楷体"/>
          <w:spacing w:val="7"/>
          <w:position w:val="21"/>
          <w:sz w:val="31"/>
          <w:szCs w:val="31"/>
          <w:shd w:val="clear" w:color="auto" w:fill="FFFFFF"/>
        </w:rPr>
        <w:t>12号排口进行整治</w:t>
      </w:r>
      <w:r>
        <w:rPr>
          <w:rFonts w:hint="eastAsia" w:ascii="楷体" w:hAnsi="楷体" w:eastAsia="楷体" w:cs="楷体"/>
          <w:spacing w:val="7"/>
          <w:position w:val="21"/>
          <w:sz w:val="31"/>
          <w:szCs w:val="31"/>
          <w:shd w:val="clear" w:color="auto" w:fill="FFFFFF"/>
          <w:lang w:eastAsia="zh-CN"/>
        </w:rPr>
        <w:t>，在一定程度上缓解了渍水问题；并已在区水利局支持下纳入渍水点改造计划。</w:t>
      </w:r>
    </w:p>
    <w:p w14:paraId="73DDF4CA">
      <w:pPr>
        <w:ind w:firstLine="648" w:firstLineChars="200"/>
        <w:rPr>
          <w:rFonts w:hint="eastAsia" w:ascii="楷体" w:hAnsi="楷体" w:eastAsia="楷体" w:cs="楷体"/>
          <w:spacing w:val="7"/>
          <w:position w:val="21"/>
          <w:sz w:val="31"/>
          <w:szCs w:val="31"/>
          <w:shd w:val="clear" w:color="auto" w:fill="FFFFFF"/>
          <w:lang w:eastAsia="zh-CN"/>
        </w:rPr>
      </w:pPr>
      <w:r>
        <w:rPr>
          <w:rFonts w:hint="eastAsia" w:ascii="楷体" w:hAnsi="楷体" w:eastAsia="楷体" w:cs="楷体"/>
          <w:spacing w:val="7"/>
          <w:position w:val="21"/>
          <w:sz w:val="31"/>
          <w:szCs w:val="31"/>
          <w:shd w:val="clear" w:color="auto" w:fill="FFFFFF"/>
          <w:lang w:val="en-US" w:eastAsia="zh-CN"/>
        </w:rPr>
        <w:t>5、</w:t>
      </w:r>
      <w:r>
        <w:rPr>
          <w:rFonts w:hint="eastAsia" w:ascii="楷体" w:hAnsi="楷体" w:eastAsia="楷体" w:cs="楷体"/>
          <w:spacing w:val="7"/>
          <w:position w:val="21"/>
          <w:sz w:val="31"/>
          <w:szCs w:val="31"/>
          <w:shd w:val="clear" w:color="auto" w:fill="FFFFFF"/>
          <w:lang w:eastAsia="zh-CN"/>
        </w:rPr>
        <w:t>机构</w:t>
      </w:r>
      <w:r>
        <w:rPr>
          <w:rFonts w:hint="eastAsia" w:ascii="楷体" w:hAnsi="楷体" w:eastAsia="楷体" w:cs="楷体"/>
          <w:spacing w:val="7"/>
          <w:position w:val="21"/>
          <w:sz w:val="31"/>
          <w:szCs w:val="31"/>
          <w:shd w:val="clear" w:color="auto" w:fill="FFFFFF"/>
        </w:rPr>
        <w:t>改革</w:t>
      </w:r>
      <w:r>
        <w:rPr>
          <w:rFonts w:hint="eastAsia" w:ascii="楷体" w:hAnsi="楷体" w:eastAsia="楷体" w:cs="楷体"/>
          <w:spacing w:val="7"/>
          <w:position w:val="21"/>
          <w:sz w:val="31"/>
          <w:szCs w:val="31"/>
          <w:shd w:val="clear" w:color="auto" w:fill="FFFFFF"/>
          <w:lang w:eastAsia="zh-CN"/>
        </w:rPr>
        <w:t>焕发</w:t>
      </w:r>
      <w:r>
        <w:rPr>
          <w:rFonts w:hint="eastAsia" w:ascii="楷体" w:hAnsi="楷体" w:eastAsia="楷体" w:cs="楷体"/>
          <w:spacing w:val="7"/>
          <w:position w:val="21"/>
          <w:sz w:val="31"/>
          <w:szCs w:val="31"/>
          <w:shd w:val="clear" w:color="auto" w:fill="FFFFFF"/>
        </w:rPr>
        <w:t>新</w:t>
      </w:r>
      <w:r>
        <w:rPr>
          <w:rFonts w:hint="eastAsia" w:ascii="楷体" w:hAnsi="楷体" w:eastAsia="楷体" w:cs="楷体"/>
          <w:spacing w:val="7"/>
          <w:position w:val="21"/>
          <w:sz w:val="31"/>
          <w:szCs w:val="31"/>
          <w:shd w:val="clear" w:color="auto" w:fill="FFFFFF"/>
          <w:lang w:eastAsia="zh-CN"/>
        </w:rPr>
        <w:t>活力</w:t>
      </w:r>
      <w:r>
        <w:rPr>
          <w:rFonts w:hint="eastAsia" w:ascii="楷体" w:hAnsi="楷体" w:eastAsia="楷体" w:cs="楷体"/>
          <w:spacing w:val="7"/>
          <w:position w:val="21"/>
          <w:sz w:val="31"/>
          <w:szCs w:val="31"/>
          <w:shd w:val="clear" w:color="auto" w:fill="FFFFFF"/>
        </w:rPr>
        <w:t>。一是</w:t>
      </w:r>
      <w:r>
        <w:rPr>
          <w:rFonts w:hint="eastAsia" w:ascii="楷体" w:hAnsi="楷体" w:eastAsia="楷体" w:cs="楷体"/>
          <w:spacing w:val="7"/>
          <w:position w:val="21"/>
          <w:sz w:val="31"/>
          <w:szCs w:val="31"/>
          <w:shd w:val="clear" w:color="auto" w:fill="FFFFFF"/>
          <w:lang w:val="en-US" w:eastAsia="zh-CN"/>
        </w:rPr>
        <w:t>调机构。严格按照党和国家机构改革精神，将原有的6个内设股室、5个事业站所调整为5个内设股室、5个事业站所，并按要求全部挂牌完成。二是调干部。根据街道改革方案，重新调整股级干部岗位，下发干部任命文件，做好干部思想工作，确保干部“能上能下”和稳定团结。</w:t>
      </w:r>
      <w:r>
        <w:rPr>
          <w:rFonts w:hint="eastAsia" w:ascii="楷体" w:hAnsi="楷体" w:eastAsia="楷体" w:cs="楷体"/>
          <w:spacing w:val="7"/>
          <w:position w:val="21"/>
          <w:sz w:val="31"/>
          <w:szCs w:val="31"/>
          <w:shd w:val="clear" w:color="auto" w:fill="FFFFFF"/>
        </w:rPr>
        <w:t>5名干部顺利完成职级晋升，比选推荐上报一名副科级事业干部候选人，择优推选上报一名社区书记为事业编制人员候选人。</w:t>
      </w:r>
      <w:r>
        <w:rPr>
          <w:rFonts w:hint="eastAsia" w:ascii="楷体" w:hAnsi="楷体" w:eastAsia="楷体" w:cs="楷体"/>
          <w:spacing w:val="7"/>
          <w:position w:val="21"/>
          <w:sz w:val="31"/>
          <w:szCs w:val="31"/>
          <w:shd w:val="clear" w:color="auto" w:fill="FFFFFF"/>
          <w:lang w:val="en-US" w:eastAsia="zh-CN"/>
        </w:rPr>
        <w:t>三是调办公室。机构改革方案和人员任免文件下发后，办公室调整、</w:t>
      </w:r>
      <w:r>
        <w:rPr>
          <w:rFonts w:hint="eastAsia" w:ascii="楷体" w:hAnsi="楷体" w:eastAsia="楷体" w:cs="楷体"/>
          <w:spacing w:val="7"/>
          <w:position w:val="21"/>
          <w:sz w:val="31"/>
          <w:szCs w:val="31"/>
          <w:shd w:val="clear" w:color="auto" w:fill="FFFFFF"/>
          <w:lang w:eastAsia="zh-CN"/>
        </w:rPr>
        <w:t>街道班子成员分工及联点股室（站所）、社区工作安排等迅速调整下发到位，各项工作有序开展。同时，社区亦按照湖南省“小马拉大车”减负清单悬挂便民服务站等</w:t>
      </w:r>
      <w:r>
        <w:rPr>
          <w:rFonts w:hint="eastAsia" w:ascii="楷体" w:hAnsi="楷体" w:eastAsia="楷体" w:cs="楷体"/>
          <w:spacing w:val="7"/>
          <w:position w:val="21"/>
          <w:sz w:val="31"/>
          <w:szCs w:val="31"/>
          <w:shd w:val="clear" w:color="auto" w:fill="FFFFFF"/>
          <w:lang w:val="en-US" w:eastAsia="zh-CN"/>
        </w:rPr>
        <w:t>5块</w:t>
      </w:r>
      <w:r>
        <w:rPr>
          <w:rFonts w:hint="eastAsia" w:ascii="楷体" w:hAnsi="楷体" w:eastAsia="楷体" w:cs="楷体"/>
          <w:spacing w:val="7"/>
          <w:position w:val="21"/>
          <w:sz w:val="31"/>
          <w:szCs w:val="31"/>
          <w:shd w:val="clear" w:color="auto" w:fill="FFFFFF"/>
          <w:lang w:eastAsia="zh-CN"/>
        </w:rPr>
        <w:t>牌子，统一清理挂牌完成。</w:t>
      </w:r>
    </w:p>
    <w:p w14:paraId="1084512A">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val="en-US" w:eastAsia="zh-CN"/>
        </w:rPr>
        <w:t>6、</w:t>
      </w:r>
      <w:r>
        <w:rPr>
          <w:rFonts w:hint="eastAsia" w:ascii="楷体" w:hAnsi="楷体" w:eastAsia="楷体" w:cs="楷体"/>
          <w:spacing w:val="7"/>
          <w:position w:val="21"/>
          <w:sz w:val="31"/>
          <w:szCs w:val="31"/>
          <w:shd w:val="clear" w:color="auto" w:fill="FFFFFF"/>
        </w:rPr>
        <w:t>规范管理</w:t>
      </w:r>
      <w:r>
        <w:rPr>
          <w:rFonts w:hint="eastAsia" w:ascii="楷体" w:hAnsi="楷体" w:eastAsia="楷体" w:cs="楷体"/>
          <w:spacing w:val="7"/>
          <w:position w:val="21"/>
          <w:sz w:val="31"/>
          <w:szCs w:val="31"/>
          <w:shd w:val="clear" w:color="auto" w:fill="FFFFFF"/>
          <w:lang w:eastAsia="zh-CN"/>
        </w:rPr>
        <w:t>展现</w:t>
      </w:r>
      <w:r>
        <w:rPr>
          <w:rFonts w:hint="eastAsia" w:ascii="楷体" w:hAnsi="楷体" w:eastAsia="楷体" w:cs="楷体"/>
          <w:spacing w:val="7"/>
          <w:position w:val="21"/>
          <w:sz w:val="31"/>
          <w:szCs w:val="31"/>
          <w:shd w:val="clear" w:color="auto" w:fill="FFFFFF"/>
        </w:rPr>
        <w:t>新作为。一是落实规章制度，实现制度管人。提高工作效率，强化作风建设。全年下发督查通报8起，党纪处分1人，约谈1人，提醒谈话10人，通报批评6人，持续推进作风建设。二是开展债务清查，减轻财务压力。召开社区债务专题研讨会，委托会计事务所对社区债权、债务进行了全面清查与摸排，出具专业审计报告，社区债务总数核减、偿还2097.13万元。</w:t>
      </w:r>
      <w:r>
        <w:rPr>
          <w:rFonts w:hint="eastAsia" w:ascii="楷体" w:hAnsi="楷体" w:eastAsia="楷体" w:cs="楷体"/>
          <w:spacing w:val="7"/>
          <w:position w:val="21"/>
          <w:sz w:val="31"/>
          <w:szCs w:val="31"/>
          <w:shd w:val="clear" w:color="auto" w:fill="FFFFFF"/>
          <w:lang w:eastAsia="zh-CN"/>
        </w:rPr>
        <w:t>三是贯彻上级要求，配合巡视巡察。认真配合十二届省委第七轮巡视和市委、区委巡察工作，严格执行“三个严管”“八个严禁”“九个严防”工作要求，对发现的问题坚持立行立改、举一反三。</w:t>
      </w:r>
      <w:r>
        <w:rPr>
          <w:rFonts w:hint="eastAsia" w:ascii="楷体" w:hAnsi="楷体" w:eastAsia="楷体" w:cs="楷体"/>
          <w:spacing w:val="7"/>
          <w:position w:val="21"/>
          <w:sz w:val="31"/>
          <w:szCs w:val="31"/>
          <w:shd w:val="clear" w:color="auto" w:fill="FFFFFF"/>
          <w:lang w:val="en-US" w:eastAsia="zh-CN"/>
        </w:rPr>
        <w:t>全面整理</w:t>
      </w:r>
      <w:r>
        <w:rPr>
          <w:rFonts w:hint="eastAsia" w:ascii="楷体" w:hAnsi="楷体" w:eastAsia="楷体" w:cs="楷体"/>
          <w:spacing w:val="7"/>
          <w:position w:val="21"/>
          <w:sz w:val="31"/>
          <w:szCs w:val="31"/>
          <w:shd w:val="clear" w:color="auto" w:fill="FFFFFF"/>
          <w:lang w:eastAsia="zh-CN"/>
        </w:rPr>
        <w:t>街道</w:t>
      </w:r>
      <w:r>
        <w:rPr>
          <w:rFonts w:hint="eastAsia" w:ascii="楷体" w:hAnsi="楷体" w:eastAsia="楷体" w:cs="楷体"/>
          <w:spacing w:val="7"/>
          <w:position w:val="21"/>
          <w:sz w:val="31"/>
          <w:szCs w:val="31"/>
          <w:shd w:val="clear" w:color="auto" w:fill="FFFFFF"/>
          <w:lang w:val="en-US" w:eastAsia="zh-CN"/>
        </w:rPr>
        <w:t>10大棚户区旧城改造项目资料归档，及时报送棚改相关工作情况，积极完成巡视信访件办理9件。四</w:t>
      </w:r>
      <w:r>
        <w:rPr>
          <w:rFonts w:hint="eastAsia" w:ascii="楷体" w:hAnsi="楷体" w:eastAsia="楷体" w:cs="楷体"/>
          <w:spacing w:val="7"/>
          <w:position w:val="21"/>
          <w:sz w:val="31"/>
          <w:szCs w:val="31"/>
          <w:shd w:val="clear" w:color="auto" w:fill="FFFFFF"/>
        </w:rPr>
        <w:t>是</w:t>
      </w:r>
      <w:r>
        <w:rPr>
          <w:rFonts w:hint="eastAsia" w:ascii="楷体" w:hAnsi="楷体" w:eastAsia="楷体" w:cs="楷体"/>
          <w:spacing w:val="7"/>
          <w:position w:val="21"/>
          <w:sz w:val="31"/>
          <w:szCs w:val="31"/>
          <w:shd w:val="clear" w:color="auto" w:fill="FFFFFF"/>
          <w:lang w:eastAsia="zh-CN"/>
        </w:rPr>
        <w:t>规范资产管理，</w:t>
      </w:r>
      <w:r>
        <w:rPr>
          <w:rFonts w:hint="eastAsia" w:ascii="楷体" w:hAnsi="楷体" w:eastAsia="楷体" w:cs="楷体"/>
          <w:spacing w:val="7"/>
          <w:position w:val="21"/>
          <w:sz w:val="31"/>
          <w:szCs w:val="31"/>
          <w:shd w:val="clear" w:color="auto" w:fill="FFFFFF"/>
        </w:rPr>
        <w:t>开展资产清查</w:t>
      </w:r>
      <w:r>
        <w:rPr>
          <w:rFonts w:hint="eastAsia" w:ascii="楷体" w:hAnsi="楷体" w:eastAsia="楷体" w:cs="楷体"/>
          <w:spacing w:val="7"/>
          <w:position w:val="21"/>
          <w:sz w:val="31"/>
          <w:szCs w:val="31"/>
          <w:shd w:val="clear" w:color="auto" w:fill="FFFFFF"/>
          <w:lang w:eastAsia="zh-CN"/>
        </w:rPr>
        <w:t>。聘请专业资产管理公司配合开展街道固定资产清查，</w:t>
      </w:r>
      <w:r>
        <w:rPr>
          <w:rFonts w:hint="eastAsia" w:ascii="楷体" w:hAnsi="楷体" w:eastAsia="楷体" w:cs="楷体"/>
          <w:spacing w:val="7"/>
          <w:position w:val="21"/>
          <w:sz w:val="31"/>
          <w:szCs w:val="31"/>
          <w:shd w:val="clear" w:color="auto" w:fill="FFFFFF"/>
        </w:rPr>
        <w:t>实现“一物一卡一条码”，</w:t>
      </w:r>
      <w:r>
        <w:rPr>
          <w:rFonts w:hint="eastAsia" w:ascii="楷体" w:hAnsi="楷体" w:eastAsia="楷体" w:cs="楷体"/>
          <w:spacing w:val="7"/>
          <w:position w:val="21"/>
          <w:sz w:val="31"/>
          <w:szCs w:val="31"/>
          <w:shd w:val="clear" w:color="auto" w:fill="FFFFFF"/>
          <w:lang w:eastAsia="zh-CN"/>
        </w:rPr>
        <w:t>确保每一项固定资产“有迹可循”，做到实物明确、账目清晰，</w:t>
      </w:r>
      <w:r>
        <w:rPr>
          <w:rFonts w:hint="eastAsia" w:ascii="楷体" w:hAnsi="楷体" w:eastAsia="楷体" w:cs="楷体"/>
          <w:spacing w:val="7"/>
          <w:position w:val="21"/>
          <w:sz w:val="31"/>
          <w:szCs w:val="31"/>
          <w:shd w:val="clear" w:color="auto" w:fill="FFFFFF"/>
        </w:rPr>
        <w:t>进一步规范了</w:t>
      </w:r>
      <w:r>
        <w:rPr>
          <w:rFonts w:hint="eastAsia" w:ascii="楷体" w:hAnsi="楷体" w:eastAsia="楷体" w:cs="楷体"/>
          <w:spacing w:val="7"/>
          <w:position w:val="21"/>
          <w:sz w:val="31"/>
          <w:szCs w:val="31"/>
          <w:shd w:val="clear" w:color="auto" w:fill="FFFFFF"/>
          <w:lang w:eastAsia="zh-CN"/>
        </w:rPr>
        <w:t>街道</w:t>
      </w:r>
      <w:r>
        <w:rPr>
          <w:rFonts w:hint="eastAsia" w:ascii="楷体" w:hAnsi="楷体" w:eastAsia="楷体" w:cs="楷体"/>
          <w:spacing w:val="7"/>
          <w:position w:val="21"/>
          <w:sz w:val="31"/>
          <w:szCs w:val="31"/>
          <w:shd w:val="clear" w:color="auto" w:fill="FFFFFF"/>
        </w:rPr>
        <w:t>固定资产管理</w:t>
      </w:r>
      <w:r>
        <w:rPr>
          <w:rFonts w:hint="eastAsia" w:ascii="楷体" w:hAnsi="楷体" w:eastAsia="楷体" w:cs="楷体"/>
          <w:spacing w:val="7"/>
          <w:position w:val="21"/>
          <w:sz w:val="31"/>
          <w:szCs w:val="31"/>
          <w:shd w:val="clear" w:color="auto" w:fill="FFFFFF"/>
          <w:lang w:eastAsia="zh-CN"/>
        </w:rPr>
        <w:t>，提</w:t>
      </w:r>
      <w:r>
        <w:rPr>
          <w:rFonts w:hint="eastAsia" w:ascii="楷体" w:hAnsi="楷体" w:eastAsia="楷体" w:cs="楷体"/>
          <w:spacing w:val="7"/>
          <w:position w:val="21"/>
          <w:sz w:val="31"/>
          <w:szCs w:val="31"/>
          <w:shd w:val="clear" w:color="auto" w:fill="FFFFFF"/>
        </w:rPr>
        <w:t>升了固定资产管理的规范化水平。</w:t>
      </w:r>
    </w:p>
    <w:p w14:paraId="3F957644">
      <w:pPr>
        <w:rPr>
          <w:rFonts w:hint="default" w:ascii="黑体" w:hAnsi="黑体" w:eastAsia="黑体" w:cs="黑体"/>
          <w:spacing w:val="7"/>
          <w:position w:val="21"/>
          <w:sz w:val="31"/>
          <w:szCs w:val="31"/>
          <w:shd w:val="clear" w:color="auto" w:fill="FFFFFF"/>
          <w:lang w:val="en-US" w:eastAsia="zh-CN"/>
        </w:rPr>
      </w:pPr>
      <w:r>
        <w:rPr>
          <w:rFonts w:hint="eastAsia" w:ascii="黑体" w:hAnsi="黑体" w:eastAsia="黑体" w:cs="黑体"/>
          <w:spacing w:val="7"/>
          <w:position w:val="21"/>
          <w:sz w:val="31"/>
          <w:szCs w:val="31"/>
          <w:shd w:val="clear" w:color="auto" w:fill="FFFFFF"/>
          <w:lang w:val="en-US" w:eastAsia="zh-CN"/>
        </w:rPr>
        <w:t>七、</w:t>
      </w:r>
      <w:r>
        <w:rPr>
          <w:rFonts w:hint="eastAsia" w:ascii="黑体" w:hAnsi="黑体" w:eastAsia="黑体" w:cs="黑体"/>
          <w:spacing w:val="7"/>
          <w:position w:val="21"/>
          <w:sz w:val="31"/>
          <w:szCs w:val="31"/>
          <w:shd w:val="clear" w:color="auto" w:fill="FFFFFF"/>
        </w:rPr>
        <w:t>存在的问题</w:t>
      </w:r>
      <w:r>
        <w:rPr>
          <w:rFonts w:hint="eastAsia" w:ascii="黑体" w:hAnsi="黑体" w:eastAsia="黑体" w:cs="黑体"/>
          <w:spacing w:val="7"/>
          <w:position w:val="21"/>
          <w:sz w:val="31"/>
          <w:szCs w:val="31"/>
          <w:shd w:val="clear" w:color="auto" w:fill="FFFFFF"/>
          <w:lang w:val="en-US" w:eastAsia="zh-CN"/>
        </w:rPr>
        <w:t>及原因分析</w:t>
      </w:r>
    </w:p>
    <w:p w14:paraId="351E535C">
      <w:pPr>
        <w:ind w:firstLine="648" w:firstLineChars="200"/>
        <w:rPr>
          <w:rFonts w:hint="eastAsia" w:ascii="楷体" w:hAnsi="楷体" w:eastAsia="楷体" w:cs="楷体"/>
          <w:spacing w:val="7"/>
          <w:position w:val="21"/>
          <w:sz w:val="31"/>
          <w:szCs w:val="31"/>
          <w:shd w:val="clear" w:color="auto" w:fill="FFFFFF"/>
          <w:lang w:eastAsia="zh-CN"/>
        </w:rPr>
      </w:pPr>
      <w:r>
        <w:rPr>
          <w:rFonts w:hint="eastAsia" w:ascii="楷体" w:hAnsi="楷体" w:eastAsia="楷体" w:cs="楷体"/>
          <w:spacing w:val="7"/>
          <w:position w:val="21"/>
          <w:sz w:val="31"/>
          <w:szCs w:val="31"/>
          <w:shd w:val="clear" w:color="auto" w:fill="FFFFFF"/>
          <w:lang w:val="en-US" w:eastAsia="zh-CN"/>
        </w:rPr>
        <w:t>1、</w:t>
      </w:r>
      <w:r>
        <w:rPr>
          <w:rFonts w:hint="eastAsia" w:ascii="楷体" w:hAnsi="楷体" w:eastAsia="楷体" w:cs="楷体"/>
          <w:spacing w:val="7"/>
          <w:position w:val="21"/>
          <w:sz w:val="31"/>
          <w:szCs w:val="31"/>
          <w:shd w:val="clear" w:color="auto" w:fill="FFFFFF"/>
        </w:rPr>
        <w:t>旧改</w:t>
      </w:r>
      <w:r>
        <w:rPr>
          <w:rFonts w:hint="eastAsia" w:ascii="楷体" w:hAnsi="楷体" w:eastAsia="楷体" w:cs="楷体"/>
          <w:spacing w:val="7"/>
          <w:position w:val="21"/>
          <w:sz w:val="31"/>
          <w:szCs w:val="31"/>
          <w:shd w:val="clear" w:color="auto" w:fill="FFFFFF"/>
          <w:lang w:eastAsia="zh-CN"/>
        </w:rPr>
        <w:t>项目管理亟待优化。</w:t>
      </w:r>
      <w:r>
        <w:rPr>
          <w:rFonts w:hint="eastAsia" w:ascii="楷体" w:hAnsi="楷体" w:eastAsia="楷体" w:cs="楷体"/>
          <w:spacing w:val="7"/>
          <w:position w:val="21"/>
          <w:sz w:val="31"/>
          <w:szCs w:val="31"/>
          <w:shd w:val="clear" w:color="auto" w:fill="FFFFFF"/>
        </w:rPr>
        <w:t>一是在施工过程中存在设计方案与现场实际不符的情况，导致项目优化调整较多，甚至出现超优化率的问题；二是部分设计与涉改小区居民诉求有出入，导致在施工过程中出现居民上访、阻工等情况发生。</w:t>
      </w:r>
      <w:r>
        <w:rPr>
          <w:rFonts w:hint="eastAsia" w:ascii="楷体" w:hAnsi="楷体" w:eastAsia="楷体" w:cs="楷体"/>
          <w:spacing w:val="7"/>
          <w:position w:val="21"/>
          <w:sz w:val="31"/>
          <w:szCs w:val="31"/>
          <w:shd w:val="clear" w:color="auto" w:fill="FFFFFF"/>
          <w:lang w:eastAsia="zh-CN"/>
        </w:rPr>
        <w:t>三是</w:t>
      </w:r>
      <w:r>
        <w:rPr>
          <w:rFonts w:hint="eastAsia" w:ascii="楷体" w:hAnsi="楷体" w:eastAsia="楷体" w:cs="楷体"/>
          <w:spacing w:val="7"/>
          <w:position w:val="21"/>
          <w:sz w:val="31"/>
          <w:szCs w:val="31"/>
          <w:shd w:val="clear" w:color="auto" w:fill="FFFFFF"/>
        </w:rPr>
        <w:t>后续管理机制不够完善</w:t>
      </w:r>
      <w:r>
        <w:rPr>
          <w:rFonts w:hint="eastAsia" w:ascii="楷体" w:hAnsi="楷体" w:eastAsia="楷体" w:cs="楷体"/>
          <w:spacing w:val="7"/>
          <w:position w:val="21"/>
          <w:sz w:val="31"/>
          <w:szCs w:val="31"/>
          <w:shd w:val="clear" w:color="auto" w:fill="FFFFFF"/>
          <w:lang w:eastAsia="zh-CN"/>
        </w:rPr>
        <w:t>。</w:t>
      </w:r>
    </w:p>
    <w:p w14:paraId="3481F8E5">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val="en-US" w:eastAsia="zh-CN"/>
        </w:rPr>
        <w:t>2、</w:t>
      </w:r>
      <w:r>
        <w:rPr>
          <w:rFonts w:hint="eastAsia" w:ascii="楷体" w:hAnsi="楷体" w:eastAsia="楷体" w:cs="楷体"/>
          <w:spacing w:val="7"/>
          <w:position w:val="21"/>
          <w:sz w:val="31"/>
          <w:szCs w:val="31"/>
          <w:shd w:val="clear" w:color="auto" w:fill="FFFFFF"/>
          <w:lang w:eastAsia="zh-CN"/>
        </w:rPr>
        <w:t>安全隐患整治资金缺口较大。街</w:t>
      </w:r>
      <w:r>
        <w:rPr>
          <w:rFonts w:hint="eastAsia" w:ascii="楷体" w:hAnsi="楷体" w:eastAsia="楷体" w:cs="楷体"/>
          <w:spacing w:val="7"/>
          <w:position w:val="21"/>
          <w:sz w:val="31"/>
          <w:szCs w:val="31"/>
          <w:shd w:val="clear" w:color="auto" w:fill="FFFFFF"/>
        </w:rPr>
        <w:t>道部分隐患整治难度大，需求资金多。辖区多为城中村，居民点道路窄小，相邻房屋存在一定高度差，二十世纪八九十年代修建的老旧驳岸、护坡、围墙较多，如今大多出现倾斜、开裂、滑坡等情况，整治需求资金多、施工难度大，存在一定的安全隐患。</w:t>
      </w:r>
    </w:p>
    <w:p w14:paraId="1B9AB929">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val="en-US" w:eastAsia="zh-CN"/>
        </w:rPr>
        <w:t>3、</w:t>
      </w:r>
      <w:r>
        <w:rPr>
          <w:rFonts w:hint="eastAsia" w:ascii="楷体" w:hAnsi="楷体" w:eastAsia="楷体" w:cs="楷体"/>
          <w:spacing w:val="7"/>
          <w:position w:val="21"/>
          <w:sz w:val="31"/>
          <w:szCs w:val="31"/>
          <w:shd w:val="clear" w:color="auto" w:fill="FFFFFF"/>
          <w:lang w:eastAsia="zh-CN"/>
        </w:rPr>
        <w:t>渍水点整治进度稍显滞后。</w:t>
      </w:r>
      <w:r>
        <w:rPr>
          <w:rFonts w:hint="eastAsia" w:ascii="楷体" w:hAnsi="楷体" w:eastAsia="楷体" w:cs="楷体"/>
          <w:spacing w:val="7"/>
          <w:position w:val="21"/>
          <w:sz w:val="31"/>
          <w:szCs w:val="31"/>
          <w:shd w:val="clear" w:color="auto" w:fill="FFFFFF"/>
        </w:rPr>
        <w:t>辖区内五处渍水点，除有两处在旧改配套项目完成了整治外，枫北巷、湘爱园二网格、新胜社区陶家组整治进度较慢，目前枫北巷整治已开工，其他两处区水利局目前设计方案已出，但未明确施工时间和完成时间。</w:t>
      </w:r>
    </w:p>
    <w:p w14:paraId="29559365">
      <w:pPr>
        <w:rPr>
          <w:rFonts w:hint="default" w:ascii="黑体" w:hAnsi="黑体" w:eastAsia="黑体" w:cs="黑体"/>
          <w:spacing w:val="7"/>
          <w:position w:val="21"/>
          <w:sz w:val="31"/>
          <w:szCs w:val="31"/>
          <w:shd w:val="clear" w:color="auto" w:fill="FFFFFF"/>
          <w:lang w:val="en-US" w:eastAsia="zh-CN"/>
        </w:rPr>
      </w:pPr>
      <w:r>
        <w:rPr>
          <w:rFonts w:hint="eastAsia" w:ascii="黑体" w:hAnsi="黑体" w:eastAsia="黑体" w:cs="黑体"/>
          <w:spacing w:val="7"/>
          <w:position w:val="21"/>
          <w:sz w:val="31"/>
          <w:szCs w:val="31"/>
          <w:shd w:val="clear" w:color="auto" w:fill="FFFFFF"/>
          <w:lang w:val="en-US" w:eastAsia="zh-CN"/>
        </w:rPr>
        <w:t>八、下一步改进措施</w:t>
      </w:r>
    </w:p>
    <w:p w14:paraId="6A93B4B9">
      <w:pPr>
        <w:ind w:firstLine="648" w:firstLineChars="200"/>
        <w:rPr>
          <w:rFonts w:hint="eastAsia" w:ascii="楷体" w:hAnsi="楷体" w:eastAsia="楷体" w:cs="楷体"/>
          <w:spacing w:val="7"/>
          <w:position w:val="21"/>
          <w:sz w:val="31"/>
          <w:szCs w:val="31"/>
          <w:shd w:val="clear" w:color="auto" w:fill="FFFFFF"/>
          <w:lang w:eastAsia="zh-CN"/>
        </w:rPr>
      </w:pPr>
      <w:r>
        <w:rPr>
          <w:rFonts w:hint="eastAsia" w:ascii="楷体" w:hAnsi="楷体" w:eastAsia="楷体" w:cs="楷体"/>
          <w:spacing w:val="7"/>
          <w:position w:val="21"/>
          <w:sz w:val="31"/>
          <w:szCs w:val="31"/>
          <w:shd w:val="clear" w:color="auto" w:fill="FFFFFF"/>
          <w:lang w:eastAsia="zh-CN"/>
        </w:rPr>
        <w:t>一是聚焦城市更新。持续推进建设北路中段(天伦东湖苑)宗地箱涵迁改项目等重点产业项目建设，做好协调服务工作，为辖区项目建设保驾护航。积极完成</w:t>
      </w:r>
      <w:r>
        <w:rPr>
          <w:rFonts w:hint="eastAsia" w:ascii="楷体" w:hAnsi="楷体" w:eastAsia="楷体" w:cs="楷体"/>
          <w:spacing w:val="7"/>
          <w:position w:val="21"/>
          <w:sz w:val="31"/>
          <w:szCs w:val="31"/>
          <w:shd w:val="clear" w:color="auto" w:fill="FFFFFF"/>
        </w:rPr>
        <w:t>2025年城中村改造</w:t>
      </w:r>
      <w:r>
        <w:rPr>
          <w:rFonts w:hint="eastAsia" w:ascii="楷体" w:hAnsi="楷体" w:eastAsia="楷体" w:cs="楷体"/>
          <w:spacing w:val="7"/>
          <w:position w:val="21"/>
          <w:sz w:val="31"/>
          <w:szCs w:val="31"/>
          <w:shd w:val="clear" w:color="auto" w:fill="FFFFFF"/>
          <w:lang w:eastAsia="zh-CN"/>
        </w:rPr>
        <w:t>、老旧小区改造等项目建设工作，抓住良好发展契机，全面稳妥推进城市建设更新。</w:t>
      </w:r>
    </w:p>
    <w:p w14:paraId="4A11AE4F">
      <w:pPr>
        <w:ind w:firstLine="648" w:firstLineChars="200"/>
        <w:rPr>
          <w:rFonts w:hint="default" w:ascii="楷体" w:hAnsi="楷体" w:eastAsia="楷体" w:cs="楷体"/>
          <w:spacing w:val="7"/>
          <w:position w:val="21"/>
          <w:sz w:val="31"/>
          <w:szCs w:val="31"/>
          <w:shd w:val="clear" w:color="auto" w:fill="FFFFFF"/>
          <w:lang w:val="en-US" w:eastAsia="zh-CN"/>
        </w:rPr>
      </w:pPr>
      <w:r>
        <w:rPr>
          <w:rFonts w:hint="eastAsia" w:ascii="楷体" w:hAnsi="楷体" w:eastAsia="楷体" w:cs="楷体"/>
          <w:spacing w:val="7"/>
          <w:position w:val="21"/>
          <w:sz w:val="31"/>
          <w:szCs w:val="31"/>
          <w:shd w:val="clear" w:color="auto" w:fill="FFFFFF"/>
          <w:lang w:eastAsia="zh-CN"/>
        </w:rPr>
        <w:t>二是聚焦争资争项。充分利用国家利好政策，坚持把争资争项作为街道发展的“第一要务”。紧密对接上级相关政策、产业和投资导向，提升丰富招商的形式和内容，做好产业项目的对接服务。营造良好营商环境，落实好“湘商回归和返乡创业三年行动”，积极推进产业回归、资金回流。</w:t>
      </w:r>
    </w:p>
    <w:p w14:paraId="5DF099C0">
      <w:pPr>
        <w:ind w:firstLine="648" w:firstLineChars="200"/>
        <w:rPr>
          <w:rFonts w:hint="eastAsia" w:ascii="楷体" w:hAnsi="楷体" w:eastAsia="楷体" w:cs="楷体"/>
          <w:spacing w:val="7"/>
          <w:position w:val="21"/>
          <w:sz w:val="31"/>
          <w:szCs w:val="31"/>
          <w:shd w:val="clear" w:color="auto" w:fill="FFFFFF"/>
          <w:lang w:eastAsia="zh-CN"/>
        </w:rPr>
      </w:pPr>
      <w:r>
        <w:rPr>
          <w:rFonts w:hint="eastAsia" w:ascii="楷体" w:hAnsi="楷体" w:eastAsia="楷体" w:cs="楷体"/>
          <w:spacing w:val="7"/>
          <w:position w:val="21"/>
          <w:sz w:val="31"/>
          <w:szCs w:val="31"/>
          <w:shd w:val="clear" w:color="auto" w:fill="FFFFFF"/>
          <w:lang w:eastAsia="zh-CN"/>
        </w:rPr>
        <w:t>三是聚焦城市“六治”。继续从环卫治脏、市容治乱、禁违治违、环保治污、交通治堵、治安治差六方面入手，从群众反映最多、最亟需解决的问题入手，以打造宜居、美丽街道为目标，进一步优化治理方式方法，注重交办问题整改回复质量、整治实际效果和人员队伍管理情况，全方位提升城市治理水平。</w:t>
      </w:r>
    </w:p>
    <w:p w14:paraId="61C13B41">
      <w:pPr>
        <w:ind w:firstLine="648" w:firstLineChars="200"/>
        <w:rPr>
          <w:rFonts w:hint="eastAsia" w:ascii="楷体" w:hAnsi="楷体" w:eastAsia="楷体" w:cs="楷体"/>
          <w:spacing w:val="7"/>
          <w:position w:val="21"/>
          <w:sz w:val="31"/>
          <w:szCs w:val="31"/>
          <w:shd w:val="clear" w:color="auto" w:fill="FFFFFF"/>
          <w:lang w:eastAsia="zh-CN"/>
        </w:rPr>
      </w:pPr>
      <w:r>
        <w:rPr>
          <w:rFonts w:hint="eastAsia" w:ascii="楷体" w:hAnsi="楷体" w:eastAsia="楷体" w:cs="楷体"/>
          <w:spacing w:val="7"/>
          <w:position w:val="21"/>
          <w:sz w:val="31"/>
          <w:szCs w:val="31"/>
          <w:shd w:val="clear" w:color="auto" w:fill="FFFFFF"/>
          <w:lang w:eastAsia="zh-CN"/>
        </w:rPr>
        <w:t>四是聚焦民生保障。着力发展社会民生事业，坚持尽力而为、量力而行，兜住、兜准、兜牢民生底线。织密扎牢社会保障网，健全分层分类社会救助体系，关心关爱弱势群体。持续推进基础设施建设，重点做好医保征缴工作，不断为幸福“加码”，让现代化建设成果更多更公平惠及辖区居民群众。</w:t>
      </w:r>
    </w:p>
    <w:p w14:paraId="579DC1B6">
      <w:pPr>
        <w:ind w:firstLine="648" w:firstLineChars="200"/>
        <w:rPr>
          <w:rFonts w:hint="eastAsia" w:ascii="楷体" w:hAnsi="楷体" w:eastAsia="楷体" w:cs="楷体"/>
          <w:spacing w:val="7"/>
          <w:position w:val="21"/>
          <w:sz w:val="31"/>
          <w:szCs w:val="31"/>
          <w:shd w:val="clear" w:color="auto" w:fill="FFFFFF"/>
          <w:lang w:eastAsia="zh-CN"/>
        </w:rPr>
      </w:pPr>
      <w:r>
        <w:rPr>
          <w:rFonts w:hint="eastAsia" w:ascii="楷体" w:hAnsi="楷体" w:eastAsia="楷体" w:cs="楷体"/>
          <w:spacing w:val="7"/>
          <w:position w:val="21"/>
          <w:sz w:val="31"/>
          <w:szCs w:val="31"/>
          <w:shd w:val="clear" w:color="auto" w:fill="FFFFFF"/>
          <w:lang w:eastAsia="zh-CN"/>
        </w:rPr>
        <w:t>五是聚焦平安稳定。继续巩固直排式燃气热水器整治成效，全面加强对消防、建筑施工、交通、防溺水、学校、公共场所、企业生产、加油站、加气站、特种设备等领域的安全监管执法，始终牢记“安全大于天</w:t>
      </w:r>
      <w:r>
        <w:rPr>
          <w:rFonts w:hint="eastAsia" w:ascii="楷体" w:hAnsi="楷体" w:eastAsia="楷体" w:cs="楷体"/>
          <w:spacing w:val="7"/>
          <w:position w:val="21"/>
          <w:sz w:val="31"/>
          <w:szCs w:val="31"/>
          <w:shd w:val="clear" w:color="auto" w:fill="FFFFFF"/>
          <w:lang w:val="en-US" w:eastAsia="zh-CN"/>
        </w:rPr>
        <w:t xml:space="preserve"> 责任重于山</w:t>
      </w:r>
      <w:r>
        <w:rPr>
          <w:rFonts w:hint="eastAsia" w:ascii="楷体" w:hAnsi="楷体" w:eastAsia="楷体" w:cs="楷体"/>
          <w:spacing w:val="7"/>
          <w:position w:val="21"/>
          <w:sz w:val="31"/>
          <w:szCs w:val="31"/>
          <w:shd w:val="clear" w:color="auto" w:fill="FFFFFF"/>
          <w:lang w:eastAsia="zh-CN"/>
        </w:rPr>
        <w:t>”，切实保障人民群众生命财产安全。同时，严格按照“三到位一处理”要求，维护正常信访工作秩序，争取多方协调化解信访难题。</w:t>
      </w:r>
    </w:p>
    <w:p w14:paraId="2FDACFA7">
      <w:pPr>
        <w:ind w:firstLine="648" w:firstLineChars="200"/>
        <w:rPr>
          <w:rFonts w:hint="eastAsia" w:ascii="楷体" w:hAnsi="楷体" w:eastAsia="楷体" w:cs="楷体"/>
          <w:spacing w:val="7"/>
          <w:position w:val="21"/>
          <w:sz w:val="31"/>
          <w:szCs w:val="31"/>
          <w:shd w:val="clear" w:color="auto" w:fill="FFFFFF"/>
          <w:lang w:val="en-US" w:eastAsia="zh-CN"/>
        </w:rPr>
      </w:pPr>
      <w:r>
        <w:rPr>
          <w:rFonts w:hint="eastAsia" w:ascii="楷体" w:hAnsi="楷体" w:eastAsia="楷体" w:cs="楷体"/>
          <w:spacing w:val="7"/>
          <w:position w:val="21"/>
          <w:sz w:val="31"/>
          <w:szCs w:val="31"/>
          <w:shd w:val="clear" w:color="auto" w:fill="FFFFFF"/>
          <w:lang w:eastAsia="zh-CN"/>
        </w:rPr>
        <w:t>六是聚焦改革攻坚。</w:t>
      </w:r>
      <w:r>
        <w:rPr>
          <w:rFonts w:hint="eastAsia" w:ascii="楷体" w:hAnsi="楷体" w:eastAsia="楷体" w:cs="楷体"/>
          <w:spacing w:val="7"/>
          <w:position w:val="21"/>
          <w:sz w:val="31"/>
          <w:szCs w:val="31"/>
          <w:shd w:val="clear" w:color="auto" w:fill="FFFFFF"/>
          <w:lang w:val="en-US" w:eastAsia="zh-CN"/>
        </w:rPr>
        <w:t>2025年是改革攻坚年，我们将进一步学习领会改革精神，严格按照上级文件要求深化机构改革工作，充分发挥机构编制使用效益，让改革精神在基层落地落实。推进权力清单优化，重点做好街道履行职责事项清单工作，切实提升街道办事效率，更好为群众服务。</w:t>
      </w:r>
    </w:p>
    <w:p w14:paraId="3AAB2198">
      <w:pPr>
        <w:ind w:firstLine="648" w:firstLineChars="200"/>
        <w:rPr>
          <w:rFonts w:hint="eastAsia"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lang w:eastAsia="zh-CN"/>
        </w:rPr>
        <w:t>七是聚焦“三资”管理。推进社区“三资”监管和决策分析平台的创建工作，加强平台日常监管，成立枫桥湖街道“三资”监管信息平台领导小组，进一步核准社区“三资”数据。加强街道各项财政资金的规范管理和使用，严守支出关，确保财政资金的依法依规使用。</w:t>
      </w:r>
    </w:p>
    <w:p w14:paraId="097CFAFD">
      <w:pPr>
        <w:ind w:firstLine="648" w:firstLineChars="200"/>
        <w:rPr>
          <w:rFonts w:ascii="仿宋_GB2312" w:hAnsi="仿宋_GB2312" w:eastAsia="仿宋_GB2312" w:cs="仿宋_GB2312"/>
          <w:spacing w:val="7"/>
          <w:position w:val="21"/>
          <w:sz w:val="32"/>
          <w:szCs w:val="32"/>
          <w:shd w:val="clear" w:color="auto" w:fill="FFFFFF"/>
        </w:rPr>
      </w:pPr>
      <w:r>
        <w:rPr>
          <w:rFonts w:hint="eastAsia" w:ascii="楷体" w:hAnsi="楷体" w:eastAsia="楷体" w:cs="楷体"/>
          <w:spacing w:val="7"/>
          <w:position w:val="21"/>
          <w:sz w:val="31"/>
          <w:szCs w:val="31"/>
          <w:shd w:val="clear" w:color="auto" w:fill="FFFFFF"/>
          <w:lang w:val="en-US" w:eastAsia="zh-CN"/>
        </w:rPr>
        <w:t>八是聚焦</w:t>
      </w:r>
      <w:r>
        <w:rPr>
          <w:rFonts w:hint="eastAsia" w:ascii="楷体" w:hAnsi="楷体" w:eastAsia="楷体" w:cs="楷体"/>
          <w:spacing w:val="7"/>
          <w:position w:val="21"/>
          <w:sz w:val="31"/>
          <w:szCs w:val="31"/>
          <w:shd w:val="clear" w:color="auto" w:fill="FFFFFF"/>
        </w:rPr>
        <w:t>队伍</w:t>
      </w:r>
      <w:r>
        <w:rPr>
          <w:rFonts w:hint="eastAsia" w:ascii="楷体" w:hAnsi="楷体" w:eastAsia="楷体" w:cs="楷体"/>
          <w:spacing w:val="7"/>
          <w:position w:val="21"/>
          <w:sz w:val="31"/>
          <w:szCs w:val="31"/>
          <w:shd w:val="clear" w:color="auto" w:fill="FFFFFF"/>
          <w:lang w:eastAsia="zh-CN"/>
        </w:rPr>
        <w:t>优化。严格落实全面从严治党主体责任和领导干部“一岗双责”，</w:t>
      </w:r>
      <w:r>
        <w:rPr>
          <w:rFonts w:hint="eastAsia" w:ascii="楷体" w:hAnsi="楷体" w:eastAsia="楷体" w:cs="楷体"/>
          <w:spacing w:val="7"/>
          <w:position w:val="21"/>
          <w:sz w:val="31"/>
          <w:szCs w:val="31"/>
          <w:shd w:val="clear" w:color="auto" w:fill="FFFFFF"/>
        </w:rPr>
        <w:t>全面从严管班子、带队伍、抓作风</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rPr>
        <w:t>严格落实中央八项规定精神</w:t>
      </w:r>
      <w:r>
        <w:rPr>
          <w:rFonts w:hint="eastAsia" w:ascii="楷体" w:hAnsi="楷体" w:eastAsia="楷体" w:cs="楷体"/>
          <w:spacing w:val="7"/>
          <w:position w:val="21"/>
          <w:sz w:val="31"/>
          <w:szCs w:val="31"/>
          <w:shd w:val="clear" w:color="auto" w:fill="FFFFFF"/>
          <w:lang w:eastAsia="zh-CN"/>
        </w:rPr>
        <w:t>和</w:t>
      </w:r>
      <w:r>
        <w:rPr>
          <w:rFonts w:hint="eastAsia" w:ascii="楷体" w:hAnsi="楷体" w:eastAsia="楷体" w:cs="楷体"/>
          <w:spacing w:val="7"/>
          <w:position w:val="21"/>
          <w:sz w:val="31"/>
          <w:szCs w:val="31"/>
          <w:shd w:val="clear" w:color="auto" w:fill="FFFFFF"/>
        </w:rPr>
        <w:t>“八个严禁”“三个严管”“九个严防”</w:t>
      </w:r>
      <w:r>
        <w:rPr>
          <w:rFonts w:hint="eastAsia" w:ascii="楷体" w:hAnsi="楷体" w:eastAsia="楷体" w:cs="楷体"/>
          <w:spacing w:val="7"/>
          <w:position w:val="21"/>
          <w:sz w:val="31"/>
          <w:szCs w:val="31"/>
          <w:shd w:val="clear" w:color="auto" w:fill="FFFFFF"/>
          <w:lang w:eastAsia="zh-CN"/>
        </w:rPr>
        <w:t>工作要求</w:t>
      </w:r>
      <w:r>
        <w:rPr>
          <w:rFonts w:hint="eastAsia" w:ascii="楷体" w:hAnsi="楷体" w:eastAsia="楷体" w:cs="楷体"/>
          <w:spacing w:val="7"/>
          <w:position w:val="21"/>
          <w:sz w:val="31"/>
          <w:szCs w:val="31"/>
          <w:shd w:val="clear" w:color="auto" w:fill="FFFFFF"/>
        </w:rPr>
        <w:t>，</w:t>
      </w:r>
      <w:r>
        <w:rPr>
          <w:rFonts w:hint="eastAsia" w:ascii="楷体" w:hAnsi="楷体" w:eastAsia="楷体" w:cs="楷体"/>
          <w:spacing w:val="7"/>
          <w:position w:val="21"/>
          <w:sz w:val="31"/>
          <w:szCs w:val="31"/>
          <w:shd w:val="clear" w:color="auto" w:fill="FFFFFF"/>
          <w:lang w:val="en-US" w:eastAsia="zh-CN"/>
        </w:rPr>
        <w:t>推动开展</w:t>
      </w:r>
      <w:r>
        <w:rPr>
          <w:rFonts w:hint="eastAsia" w:ascii="楷体" w:hAnsi="楷体" w:eastAsia="楷体" w:cs="楷体"/>
          <w:spacing w:val="7"/>
          <w:position w:val="21"/>
          <w:sz w:val="31"/>
          <w:szCs w:val="31"/>
          <w:shd w:val="clear" w:color="auto" w:fill="FFFFFF"/>
        </w:rPr>
        <w:t>常态化</w:t>
      </w:r>
      <w:r>
        <w:rPr>
          <w:rFonts w:hint="eastAsia" w:ascii="楷体" w:hAnsi="楷体" w:eastAsia="楷体" w:cs="楷体"/>
          <w:spacing w:val="7"/>
          <w:position w:val="21"/>
          <w:sz w:val="31"/>
          <w:szCs w:val="31"/>
          <w:shd w:val="clear" w:color="auto" w:fill="FFFFFF"/>
          <w:lang w:val="en-US" w:eastAsia="zh-CN"/>
        </w:rPr>
        <w:t>干部</w:t>
      </w:r>
      <w:r>
        <w:rPr>
          <w:rFonts w:hint="eastAsia" w:ascii="楷体" w:hAnsi="楷体" w:eastAsia="楷体" w:cs="楷体"/>
          <w:spacing w:val="7"/>
          <w:position w:val="21"/>
          <w:sz w:val="31"/>
          <w:szCs w:val="31"/>
          <w:shd w:val="clear" w:color="auto" w:fill="FFFFFF"/>
        </w:rPr>
        <w:t>作风大检查、重点工作大督查</w:t>
      </w:r>
      <w:r>
        <w:rPr>
          <w:rFonts w:hint="eastAsia" w:ascii="楷体" w:hAnsi="楷体" w:eastAsia="楷体" w:cs="楷体"/>
          <w:spacing w:val="7"/>
          <w:position w:val="21"/>
          <w:sz w:val="31"/>
          <w:szCs w:val="31"/>
          <w:shd w:val="clear" w:color="auto" w:fill="FFFFFF"/>
          <w:lang w:eastAsia="zh-CN"/>
        </w:rPr>
        <w:t>、</w:t>
      </w:r>
      <w:r>
        <w:rPr>
          <w:rFonts w:hint="eastAsia" w:ascii="楷体" w:hAnsi="楷体" w:eastAsia="楷体" w:cs="楷体"/>
          <w:spacing w:val="7"/>
          <w:position w:val="21"/>
          <w:sz w:val="31"/>
          <w:szCs w:val="31"/>
          <w:shd w:val="clear" w:color="auto" w:fill="FFFFFF"/>
          <w:lang w:val="en-US" w:eastAsia="zh-CN"/>
        </w:rPr>
        <w:t>廉政风险大排查</w:t>
      </w:r>
      <w:r>
        <w:rPr>
          <w:rFonts w:hint="eastAsia" w:ascii="楷体" w:hAnsi="楷体" w:eastAsia="楷体" w:cs="楷体"/>
          <w:spacing w:val="7"/>
          <w:position w:val="21"/>
          <w:sz w:val="31"/>
          <w:szCs w:val="31"/>
          <w:shd w:val="clear" w:color="auto" w:fill="FFFFFF"/>
        </w:rPr>
        <w:t>，不断提升工作效率</w:t>
      </w:r>
      <w:r>
        <w:rPr>
          <w:rFonts w:hint="eastAsia" w:ascii="楷体" w:hAnsi="楷体" w:eastAsia="楷体" w:cs="楷体"/>
          <w:spacing w:val="7"/>
          <w:position w:val="21"/>
          <w:sz w:val="31"/>
          <w:szCs w:val="31"/>
          <w:shd w:val="clear" w:color="auto" w:fill="FFFFFF"/>
          <w:lang w:eastAsia="zh-CN"/>
        </w:rPr>
        <w:t>，切实转变干部</w:t>
      </w:r>
      <w:r>
        <w:rPr>
          <w:rFonts w:hint="eastAsia" w:ascii="楷体" w:hAnsi="楷体" w:eastAsia="楷体" w:cs="楷体"/>
          <w:spacing w:val="7"/>
          <w:position w:val="21"/>
          <w:sz w:val="31"/>
          <w:szCs w:val="31"/>
          <w:shd w:val="clear" w:color="auto" w:fill="FFFFFF"/>
        </w:rPr>
        <w:t>作风，推动街道上下营造风清气正的政治生态、高效融合的</w:t>
      </w:r>
      <w:r>
        <w:rPr>
          <w:rFonts w:hint="eastAsia" w:ascii="楷体" w:hAnsi="楷体" w:eastAsia="楷体" w:cs="楷体"/>
          <w:spacing w:val="7"/>
          <w:position w:val="21"/>
          <w:sz w:val="31"/>
          <w:szCs w:val="31"/>
          <w:shd w:val="clear" w:color="auto" w:fill="FFFFFF"/>
          <w:lang w:val="en-US" w:eastAsia="zh-CN"/>
        </w:rPr>
        <w:t>团队</w:t>
      </w:r>
      <w:r>
        <w:rPr>
          <w:rFonts w:hint="eastAsia" w:ascii="楷体" w:hAnsi="楷体" w:eastAsia="楷体" w:cs="楷体"/>
          <w:spacing w:val="7"/>
          <w:position w:val="21"/>
          <w:sz w:val="31"/>
          <w:szCs w:val="31"/>
          <w:shd w:val="clear" w:color="auto" w:fill="FFFFFF"/>
        </w:rPr>
        <w:t>氛围、务实担当的工作环境。</w:t>
      </w:r>
    </w:p>
    <w:p w14:paraId="522B06BC">
      <w:pPr>
        <w:widowControl/>
        <w:shd w:val="clear" w:color="auto" w:fill="FFFFFF"/>
        <w:spacing w:line="23" w:lineRule="atLeast"/>
        <w:jc w:val="left"/>
        <w:rPr>
          <w:rFonts w:ascii="楷体" w:hAnsi="楷体" w:eastAsia="楷体" w:cs="楷体"/>
          <w:spacing w:val="7"/>
          <w:position w:val="21"/>
          <w:sz w:val="31"/>
          <w:szCs w:val="31"/>
          <w:shd w:val="clear" w:color="auto" w:fill="FFFFFF"/>
        </w:rPr>
      </w:pPr>
    </w:p>
    <w:p w14:paraId="1DD13E9A">
      <w:pPr>
        <w:rPr>
          <w:rFonts w:ascii="黑体" w:hAnsi="黑体" w:eastAsia="黑体" w:cs="黑体"/>
          <w:spacing w:val="7"/>
          <w:position w:val="21"/>
          <w:sz w:val="31"/>
          <w:szCs w:val="31"/>
          <w:shd w:val="clear" w:color="auto" w:fill="FFFFFF"/>
        </w:rPr>
      </w:pPr>
      <w:r>
        <w:rPr>
          <w:rFonts w:hint="eastAsia" w:ascii="黑体" w:hAnsi="黑体" w:eastAsia="黑体" w:cs="黑体"/>
          <w:spacing w:val="7"/>
          <w:position w:val="21"/>
          <w:sz w:val="31"/>
          <w:szCs w:val="31"/>
          <w:shd w:val="clear" w:color="auto" w:fill="FFFFFF"/>
        </w:rPr>
        <w:t>九、单位整体支出绩效自评结果拟应用和公开情况</w:t>
      </w:r>
    </w:p>
    <w:p w14:paraId="6F2A2A45">
      <w:pPr>
        <w:widowControl/>
        <w:shd w:val="clear" w:color="auto" w:fill="FFFFFF"/>
        <w:spacing w:line="23" w:lineRule="atLeast"/>
        <w:ind w:firstLine="648" w:firstLineChars="200"/>
        <w:jc w:val="left"/>
        <w:rPr>
          <w:rFonts w:ascii="宋体" w:hAnsi="宋体" w:eastAsia="宋体" w:cs="宋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rPr>
        <w:t>我单位高度重视此项绩效自评工作，积极落实主体责任，切实加强了组织领导，按照绩效评价相关制度规定，明确了具体责任人，认真开展自评，并撰写了绩效评价报告，确保绩效自评工作顺利实施，并将按照要求进行信息公开，对存在的问题积极整改。</w:t>
      </w:r>
    </w:p>
    <w:p w14:paraId="4D0B7239">
      <w:pPr>
        <w:rPr>
          <w:rFonts w:ascii="黑体" w:hAnsi="黑体" w:eastAsia="黑体" w:cs="黑体"/>
          <w:spacing w:val="7"/>
          <w:position w:val="21"/>
          <w:sz w:val="31"/>
          <w:szCs w:val="31"/>
          <w:shd w:val="clear" w:color="auto" w:fill="FFFFFF"/>
        </w:rPr>
      </w:pPr>
      <w:r>
        <w:rPr>
          <w:rFonts w:ascii="黑体" w:hAnsi="黑体" w:eastAsia="黑体" w:cs="黑体"/>
          <w:spacing w:val="7"/>
          <w:position w:val="21"/>
          <w:sz w:val="31"/>
          <w:szCs w:val="31"/>
          <w:shd w:val="clear" w:color="auto" w:fill="FFFFFF"/>
        </w:rPr>
        <w:t>十、其他需要说明的情况</w:t>
      </w:r>
    </w:p>
    <w:p w14:paraId="7C9F9F6E">
      <w:pPr>
        <w:widowControl/>
        <w:shd w:val="clear" w:color="auto" w:fill="FFFFFF"/>
        <w:spacing w:line="23" w:lineRule="atLeast"/>
        <w:ind w:firstLine="648" w:firstLineChars="200"/>
        <w:jc w:val="left"/>
        <w:rPr>
          <w:rFonts w:ascii="楷体" w:hAnsi="楷体" w:eastAsia="楷体" w:cs="楷体"/>
          <w:spacing w:val="7"/>
          <w:position w:val="21"/>
          <w:sz w:val="31"/>
          <w:szCs w:val="31"/>
          <w:shd w:val="clear" w:color="auto" w:fill="FFFFFF"/>
        </w:rPr>
      </w:pPr>
      <w:r>
        <w:rPr>
          <w:rFonts w:hint="eastAsia" w:ascii="楷体" w:hAnsi="楷体" w:eastAsia="楷体" w:cs="楷体"/>
          <w:spacing w:val="7"/>
          <w:position w:val="21"/>
          <w:sz w:val="31"/>
          <w:szCs w:val="31"/>
          <w:shd w:val="clear" w:color="auto" w:fill="FFFFFF"/>
        </w:rPr>
        <w:t>无</w:t>
      </w:r>
    </w:p>
    <w:p w14:paraId="586CDBA7">
      <w:pPr>
        <w:widowControl w:val="0"/>
        <w:jc w:val="both"/>
        <w:rPr>
          <w:rFonts w:ascii="仿宋" w:hAnsi="仿宋" w:eastAsia="仿宋" w:cs="仿宋"/>
          <w:spacing w:val="7"/>
          <w:kern w:val="2"/>
          <w:position w:val="21"/>
          <w:sz w:val="35"/>
          <w:szCs w:val="35"/>
          <w:shd w:val="clear" w:color="auto" w:fill="FFFFFF"/>
          <w:lang w:val="en-US" w:eastAsia="zh-CN" w:bidi="ar-SA"/>
        </w:rPr>
      </w:pPr>
      <w:r>
        <w:rPr>
          <w:rFonts w:ascii="仿宋" w:hAnsi="仿宋" w:eastAsia="仿宋" w:cs="仿宋"/>
          <w:spacing w:val="7"/>
          <w:kern w:val="2"/>
          <w:position w:val="21"/>
          <w:sz w:val="35"/>
          <w:szCs w:val="35"/>
          <w:shd w:val="clear" w:color="auto" w:fill="FFFFFF"/>
          <w:lang w:val="en-US" w:eastAsia="zh-CN" w:bidi="ar-SA"/>
        </w:rPr>
        <w:t>附件：</w:t>
      </w:r>
      <w:r>
        <w:rPr>
          <w:rFonts w:ascii="Times New Roman" w:hAnsi="Times New Roman" w:eastAsia="Times New Roman" w:cs="Times New Roman"/>
          <w:spacing w:val="7"/>
          <w:kern w:val="2"/>
          <w:position w:val="21"/>
          <w:sz w:val="35"/>
          <w:szCs w:val="35"/>
          <w:shd w:val="clear" w:color="auto" w:fill="FFFFFF"/>
          <w:lang w:val="en-US" w:eastAsia="zh-CN" w:bidi="ar-SA"/>
        </w:rPr>
        <w:t>1</w:t>
      </w:r>
      <w:r>
        <w:rPr>
          <w:rFonts w:ascii="仿宋" w:hAnsi="仿宋" w:eastAsia="仿宋" w:cs="仿宋"/>
          <w:spacing w:val="7"/>
          <w:kern w:val="2"/>
          <w:position w:val="21"/>
          <w:sz w:val="35"/>
          <w:szCs w:val="35"/>
          <w:shd w:val="clear" w:color="auto" w:fill="FFFFFF"/>
          <w:lang w:val="en-US" w:eastAsia="zh-CN" w:bidi="ar-SA"/>
        </w:rPr>
        <w:t>、</w:t>
      </w:r>
      <w:r>
        <w:rPr>
          <w:rFonts w:hint="eastAsia" w:ascii="仿宋" w:hAnsi="仿宋" w:eastAsia="仿宋" w:cs="仿宋"/>
          <w:spacing w:val="7"/>
          <w:kern w:val="2"/>
          <w:position w:val="21"/>
          <w:sz w:val="35"/>
          <w:szCs w:val="35"/>
          <w:shd w:val="clear" w:color="auto" w:fill="FFFFFF"/>
          <w:lang w:val="en-US" w:eastAsia="zh-CN" w:bidi="ar-SA"/>
        </w:rPr>
        <w:t>单位</w:t>
      </w:r>
      <w:r>
        <w:rPr>
          <w:rFonts w:ascii="仿宋" w:hAnsi="仿宋" w:eastAsia="仿宋" w:cs="仿宋"/>
          <w:spacing w:val="7"/>
          <w:kern w:val="2"/>
          <w:position w:val="21"/>
          <w:sz w:val="35"/>
          <w:szCs w:val="35"/>
          <w:shd w:val="clear" w:color="auto" w:fill="FFFFFF"/>
          <w:lang w:val="en-US" w:eastAsia="zh-CN" w:bidi="ar-SA"/>
        </w:rPr>
        <w:t>整体支出绩效评价基础数据表</w:t>
      </w:r>
    </w:p>
    <w:p w14:paraId="7228856D">
      <w:pPr>
        <w:widowControl w:val="0"/>
        <w:jc w:val="both"/>
        <w:rPr>
          <w:rFonts w:ascii="仿宋" w:hAnsi="仿宋" w:eastAsia="仿宋" w:cs="仿宋"/>
          <w:spacing w:val="7"/>
          <w:kern w:val="2"/>
          <w:position w:val="21"/>
          <w:sz w:val="35"/>
          <w:szCs w:val="35"/>
          <w:shd w:val="clear" w:color="auto" w:fill="FFFFFF"/>
          <w:lang w:val="en-US" w:eastAsia="zh-CN" w:bidi="ar-SA"/>
        </w:rPr>
      </w:pPr>
      <w:r>
        <w:rPr>
          <w:rFonts w:ascii="Times New Roman" w:hAnsi="Times New Roman" w:eastAsia="Times New Roman" w:cs="Times New Roman"/>
          <w:spacing w:val="7"/>
          <w:kern w:val="2"/>
          <w:position w:val="21"/>
          <w:sz w:val="35"/>
          <w:szCs w:val="35"/>
          <w:shd w:val="clear" w:color="auto" w:fill="FFFFFF"/>
          <w:lang w:val="en-US" w:eastAsia="zh-CN" w:bidi="ar-SA"/>
        </w:rPr>
        <w:t>2</w:t>
      </w:r>
      <w:r>
        <w:rPr>
          <w:rFonts w:ascii="仿宋" w:hAnsi="仿宋" w:eastAsia="仿宋" w:cs="仿宋"/>
          <w:spacing w:val="7"/>
          <w:kern w:val="2"/>
          <w:position w:val="21"/>
          <w:sz w:val="35"/>
          <w:szCs w:val="35"/>
          <w:shd w:val="clear" w:color="auto" w:fill="FFFFFF"/>
          <w:lang w:val="en-US" w:eastAsia="zh-CN" w:bidi="ar-SA"/>
        </w:rPr>
        <w:t>、</w:t>
      </w:r>
      <w:r>
        <w:rPr>
          <w:rFonts w:hint="eastAsia" w:ascii="仿宋" w:hAnsi="仿宋" w:eastAsia="仿宋" w:cs="仿宋"/>
          <w:spacing w:val="7"/>
          <w:kern w:val="2"/>
          <w:position w:val="21"/>
          <w:sz w:val="35"/>
          <w:szCs w:val="35"/>
          <w:shd w:val="clear" w:color="auto" w:fill="FFFFFF"/>
          <w:lang w:val="en-US" w:eastAsia="zh-CN" w:bidi="ar-SA"/>
        </w:rPr>
        <w:t>单位</w:t>
      </w:r>
      <w:r>
        <w:rPr>
          <w:rFonts w:ascii="仿宋" w:hAnsi="仿宋" w:eastAsia="仿宋" w:cs="仿宋"/>
          <w:spacing w:val="7"/>
          <w:kern w:val="2"/>
          <w:position w:val="21"/>
          <w:sz w:val="35"/>
          <w:szCs w:val="35"/>
          <w:shd w:val="clear" w:color="auto" w:fill="FFFFFF"/>
          <w:lang w:val="en-US" w:eastAsia="zh-CN" w:bidi="ar-SA"/>
        </w:rPr>
        <w:t>整体支出绩效自评表</w:t>
      </w:r>
    </w:p>
    <w:p w14:paraId="33CE4524">
      <w:pPr>
        <w:widowControl w:val="0"/>
        <w:jc w:val="both"/>
        <w:rPr>
          <w:rFonts w:ascii="仿宋" w:hAnsi="仿宋" w:eastAsia="仿宋" w:cs="仿宋"/>
          <w:spacing w:val="7"/>
          <w:kern w:val="2"/>
          <w:position w:val="21"/>
          <w:sz w:val="35"/>
          <w:szCs w:val="35"/>
          <w:shd w:val="clear" w:color="auto" w:fill="FFFFFF"/>
          <w:lang w:val="en-US" w:eastAsia="zh-CN" w:bidi="ar-SA"/>
        </w:rPr>
      </w:pPr>
      <w:r>
        <w:rPr>
          <w:rFonts w:ascii="Times New Roman" w:hAnsi="Times New Roman" w:eastAsia="Times New Roman" w:cs="Times New Roman"/>
          <w:spacing w:val="7"/>
          <w:kern w:val="2"/>
          <w:position w:val="21"/>
          <w:sz w:val="35"/>
          <w:szCs w:val="35"/>
          <w:shd w:val="clear" w:color="auto" w:fill="FFFFFF"/>
          <w:lang w:val="en-US" w:eastAsia="zh-CN" w:bidi="ar-SA"/>
        </w:rPr>
        <w:t>3</w:t>
      </w:r>
      <w:r>
        <w:rPr>
          <w:rFonts w:ascii="仿宋" w:hAnsi="仿宋" w:eastAsia="仿宋" w:cs="仿宋"/>
          <w:spacing w:val="7"/>
          <w:kern w:val="2"/>
          <w:position w:val="21"/>
          <w:sz w:val="35"/>
          <w:szCs w:val="35"/>
          <w:shd w:val="clear" w:color="auto" w:fill="FFFFFF"/>
          <w:lang w:val="en-US" w:eastAsia="zh-CN" w:bidi="ar-SA"/>
        </w:rPr>
        <w:t>、项目支出绩效自评表（每个一级项目一张</w:t>
      </w:r>
      <w:r>
        <w:rPr>
          <w:rFonts w:ascii="仿宋" w:hAnsi="仿宋" w:eastAsia="仿宋" w:cs="仿宋"/>
          <w:spacing w:val="8"/>
          <w:kern w:val="2"/>
          <w:position w:val="21"/>
          <w:sz w:val="35"/>
          <w:szCs w:val="35"/>
          <w:shd w:val="clear" w:color="auto" w:fill="FFFFFF"/>
          <w:lang w:val="en-US" w:eastAsia="zh-CN" w:bidi="ar-SA"/>
        </w:rPr>
        <w:t>表）</w:t>
      </w:r>
    </w:p>
    <w:p w14:paraId="170A482C">
      <w:pPr>
        <w:widowControl w:val="0"/>
        <w:jc w:val="both"/>
        <w:rPr>
          <w:rFonts w:ascii="仿宋" w:hAnsi="仿宋" w:eastAsia="仿宋" w:cs="仿宋"/>
          <w:spacing w:val="7"/>
          <w:kern w:val="2"/>
          <w:position w:val="21"/>
          <w:sz w:val="35"/>
          <w:szCs w:val="35"/>
          <w:shd w:val="clear" w:color="auto" w:fill="FFFFFF"/>
          <w:lang w:val="en-US" w:eastAsia="zh-CN" w:bidi="ar-SA"/>
        </w:rPr>
      </w:pPr>
      <w:r>
        <w:rPr>
          <w:rFonts w:ascii="Times New Roman" w:hAnsi="Times New Roman" w:eastAsia="Times New Roman" w:cs="Times New Roman"/>
          <w:spacing w:val="7"/>
          <w:kern w:val="2"/>
          <w:position w:val="21"/>
          <w:sz w:val="35"/>
          <w:szCs w:val="35"/>
          <w:shd w:val="clear" w:color="auto" w:fill="FFFFFF"/>
          <w:lang w:val="en-US" w:eastAsia="zh-CN" w:bidi="ar-SA"/>
        </w:rPr>
        <w:t>4</w:t>
      </w:r>
      <w:r>
        <w:rPr>
          <w:rFonts w:ascii="仿宋" w:hAnsi="仿宋" w:eastAsia="仿宋" w:cs="仿宋"/>
          <w:spacing w:val="7"/>
          <w:kern w:val="2"/>
          <w:position w:val="21"/>
          <w:sz w:val="35"/>
          <w:szCs w:val="35"/>
          <w:shd w:val="clear" w:color="auto" w:fill="FFFFFF"/>
          <w:lang w:val="en-US" w:eastAsia="zh-CN" w:bidi="ar-SA"/>
        </w:rPr>
        <w:t>、政府性基金预算支出情况表</w:t>
      </w:r>
    </w:p>
    <w:p w14:paraId="45E1F7C3">
      <w:pPr>
        <w:widowControl w:val="0"/>
        <w:jc w:val="both"/>
        <w:rPr>
          <w:rFonts w:ascii="仿宋" w:hAnsi="仿宋" w:eastAsia="仿宋" w:cs="仿宋"/>
          <w:spacing w:val="7"/>
          <w:kern w:val="2"/>
          <w:position w:val="21"/>
          <w:sz w:val="35"/>
          <w:szCs w:val="35"/>
          <w:shd w:val="clear" w:color="auto" w:fill="FFFFFF"/>
          <w:lang w:val="en-US" w:eastAsia="zh-CN" w:bidi="ar-SA"/>
        </w:rPr>
      </w:pPr>
      <w:r>
        <w:rPr>
          <w:rFonts w:ascii="Times New Roman" w:hAnsi="Times New Roman" w:eastAsia="Times New Roman" w:cs="Times New Roman"/>
          <w:spacing w:val="7"/>
          <w:kern w:val="2"/>
          <w:position w:val="21"/>
          <w:sz w:val="35"/>
          <w:szCs w:val="35"/>
          <w:shd w:val="clear" w:color="auto" w:fill="FFFFFF"/>
          <w:lang w:val="en-US" w:eastAsia="zh-CN" w:bidi="ar-SA"/>
        </w:rPr>
        <w:t>5</w:t>
      </w:r>
      <w:r>
        <w:rPr>
          <w:rFonts w:ascii="仿宋" w:hAnsi="仿宋" w:eastAsia="仿宋" w:cs="仿宋"/>
          <w:spacing w:val="7"/>
          <w:kern w:val="2"/>
          <w:position w:val="21"/>
          <w:sz w:val="35"/>
          <w:szCs w:val="35"/>
          <w:shd w:val="clear" w:color="auto" w:fill="FFFFFF"/>
          <w:lang w:val="en-US" w:eastAsia="zh-CN" w:bidi="ar-SA"/>
        </w:rPr>
        <w:t>、国有资本经营预算支出情况表</w:t>
      </w:r>
    </w:p>
    <w:p w14:paraId="08C89C2D">
      <w:pPr>
        <w:widowControl w:val="0"/>
        <w:jc w:val="both"/>
        <w:rPr>
          <w:rFonts w:ascii="仿宋_GB2312" w:hAnsi="仿宋_GB2312" w:eastAsia="仿宋_GB2312" w:cs="仿宋_GB2312"/>
          <w:spacing w:val="7"/>
          <w:kern w:val="2"/>
          <w:position w:val="21"/>
          <w:sz w:val="32"/>
          <w:szCs w:val="32"/>
          <w:shd w:val="clear" w:color="auto" w:fill="FFFFFF"/>
          <w:lang w:val="en-US" w:eastAsia="zh-CN" w:bidi="ar-SA"/>
        </w:rPr>
      </w:pPr>
      <w:r>
        <w:rPr>
          <w:rFonts w:ascii="Times New Roman" w:hAnsi="Times New Roman" w:eastAsia="Times New Roman" w:cs="Times New Roman"/>
          <w:spacing w:val="7"/>
          <w:kern w:val="2"/>
          <w:position w:val="21"/>
          <w:sz w:val="35"/>
          <w:szCs w:val="35"/>
          <w:shd w:val="clear" w:color="auto" w:fill="FFFFFF"/>
          <w:lang w:val="en-US" w:eastAsia="zh-CN" w:bidi="ar-SA"/>
        </w:rPr>
        <w:t>6</w:t>
      </w:r>
      <w:r>
        <w:rPr>
          <w:rFonts w:ascii="仿宋" w:hAnsi="仿宋" w:eastAsia="仿宋" w:cs="仿宋"/>
          <w:spacing w:val="7"/>
          <w:kern w:val="2"/>
          <w:position w:val="21"/>
          <w:sz w:val="35"/>
          <w:szCs w:val="35"/>
          <w:shd w:val="clear" w:color="auto" w:fill="FFFFFF"/>
          <w:lang w:val="en-US" w:eastAsia="zh-CN" w:bidi="ar-SA"/>
        </w:rPr>
        <w:t>、社会保险基金预算支出情况</w:t>
      </w:r>
    </w:p>
    <w:p w14:paraId="654088B3">
      <w:pPr>
        <w:pStyle w:val="2"/>
        <w:jc w:val="left"/>
        <w:rPr>
          <w:rFonts w:hint="eastAsia" w:ascii="仿宋_GB2312" w:hAnsi="仿宋_GB2312" w:eastAsia="仿宋_GB2312" w:cs="仿宋_GB2312"/>
          <w:sz w:val="32"/>
          <w:szCs w:val="32"/>
          <w:lang w:eastAsia="zh-CN"/>
        </w:rPr>
      </w:pPr>
    </w:p>
    <w:p w14:paraId="3E9F850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仿宋_GB2312" w:hAnsi="仿宋_GB2312" w:eastAsia="仿宋_GB2312" w:cs="仿宋_GB2312"/>
          <w:sz w:val="32"/>
          <w:szCs w:val="32"/>
        </w:rPr>
      </w:pPr>
    </w:p>
    <w:sectPr>
      <w:footerReference r:id="rId8"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03E1316-5BE7-4F09-90F6-807ED6FFAA0D}"/>
  </w:font>
  <w:font w:name="黑体">
    <w:panose1 w:val="02010609060101010101"/>
    <w:charset w:val="86"/>
    <w:family w:val="auto"/>
    <w:pitch w:val="default"/>
    <w:sig w:usb0="800002BF" w:usb1="38CF7CFA" w:usb2="00000016" w:usb3="00000000" w:csb0="00040001" w:csb1="00000000"/>
    <w:embedRegular r:id="rId2" w:fontKey="{2858DEEE-0B5E-4638-9078-1E68DFB176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7A157084-920F-4A0E-BF80-9213900651AF}"/>
  </w:font>
  <w:font w:name="方正小标宋简体">
    <w:panose1 w:val="02010600010101010101"/>
    <w:charset w:val="86"/>
    <w:family w:val="auto"/>
    <w:pitch w:val="default"/>
    <w:sig w:usb0="00000001" w:usb1="080E0000" w:usb2="00000000" w:usb3="00000000" w:csb0="00040000" w:csb1="00000000"/>
    <w:embedRegular r:id="rId4" w:fontKey="{F7CAB94F-0ECB-480C-BBE2-21D6B912DB08}"/>
  </w:font>
  <w:font w:name="楷体">
    <w:panose1 w:val="02010609060101010101"/>
    <w:charset w:val="86"/>
    <w:family w:val="auto"/>
    <w:pitch w:val="default"/>
    <w:sig w:usb0="800002BF" w:usb1="38CF7CFA" w:usb2="00000016" w:usb3="00000000" w:csb0="00040001" w:csb1="00000000"/>
    <w:embedRegular r:id="rId5" w:fontKey="{4A341995-A861-4E3D-974E-DC4DA2F86775}"/>
  </w:font>
  <w:font w:name="仿宋_GB2312">
    <w:altName w:val="仿宋"/>
    <w:panose1 w:val="02010609030101010101"/>
    <w:charset w:val="86"/>
    <w:family w:val="auto"/>
    <w:pitch w:val="default"/>
    <w:sig w:usb0="00000000" w:usb1="00000000" w:usb2="00000000" w:usb3="00000000" w:csb0="00040000" w:csb1="00000000"/>
    <w:embedRegular r:id="rId6" w:fontKey="{A703219E-C6C9-469C-AD89-9ECF3BE9003A}"/>
  </w:font>
  <w:font w:name="WPSEMBED12">
    <w:panose1 w:val="0201060001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8FEF3">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7A2D45EE">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D5B8F">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9C4C0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B9C4C06">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ED87">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E4AD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A6E4AD2">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2FC7D">
    <w:pPr>
      <w:pStyle w:val="2"/>
      <w:spacing w:before="1" w:line="174" w:lineRule="auto"/>
      <w:jc w:val="right"/>
      <w:rPr>
        <w:rFonts w:hint="eastAsia"/>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47085A0">
                    <w:pPr>
                      <w:pStyle w:val="3"/>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0EC9">
    <w:pPr>
      <w:pStyle w:val="2"/>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5ED3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3D4B60"/>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0309B"/>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32DD"/>
    <w:rsid w:val="036D41A2"/>
    <w:rsid w:val="037B1E0D"/>
    <w:rsid w:val="037E0A06"/>
    <w:rsid w:val="037F229C"/>
    <w:rsid w:val="03911277"/>
    <w:rsid w:val="039A540B"/>
    <w:rsid w:val="03A6732C"/>
    <w:rsid w:val="03BD010E"/>
    <w:rsid w:val="03BD6500"/>
    <w:rsid w:val="03C94B16"/>
    <w:rsid w:val="03E2685C"/>
    <w:rsid w:val="03E4032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878D5"/>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B04A3"/>
    <w:rsid w:val="05E616EC"/>
    <w:rsid w:val="05EC1380"/>
    <w:rsid w:val="061439B5"/>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9D7E4F"/>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3B189A"/>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3F4318"/>
    <w:rsid w:val="08455D8D"/>
    <w:rsid w:val="084735B5"/>
    <w:rsid w:val="0848472A"/>
    <w:rsid w:val="084D20E7"/>
    <w:rsid w:val="08502EAB"/>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6776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36617C"/>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800E8"/>
    <w:rsid w:val="0BEE4F6B"/>
    <w:rsid w:val="0C03261E"/>
    <w:rsid w:val="0C0439FA"/>
    <w:rsid w:val="0C0B17DF"/>
    <w:rsid w:val="0C0F382B"/>
    <w:rsid w:val="0C1110C3"/>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C636E"/>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B7C4C"/>
    <w:rsid w:val="10FE6AB1"/>
    <w:rsid w:val="1112624E"/>
    <w:rsid w:val="11153798"/>
    <w:rsid w:val="11170F69"/>
    <w:rsid w:val="11195AAD"/>
    <w:rsid w:val="11297158"/>
    <w:rsid w:val="112C3426"/>
    <w:rsid w:val="11422B48"/>
    <w:rsid w:val="114B2C9B"/>
    <w:rsid w:val="114D3E70"/>
    <w:rsid w:val="11535CDA"/>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62D4C"/>
    <w:rsid w:val="120B6973"/>
    <w:rsid w:val="12116853"/>
    <w:rsid w:val="12155876"/>
    <w:rsid w:val="12183A1B"/>
    <w:rsid w:val="121A16F7"/>
    <w:rsid w:val="122A11A6"/>
    <w:rsid w:val="123D1BD2"/>
    <w:rsid w:val="123D55BF"/>
    <w:rsid w:val="123E3733"/>
    <w:rsid w:val="123E6D4D"/>
    <w:rsid w:val="12403BC7"/>
    <w:rsid w:val="12435B35"/>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FF3EF7"/>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90FE8"/>
    <w:rsid w:val="151C632A"/>
    <w:rsid w:val="151D053F"/>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C04AB"/>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DE4297"/>
    <w:rsid w:val="16E53AFA"/>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483398"/>
    <w:rsid w:val="19521C94"/>
    <w:rsid w:val="195657BB"/>
    <w:rsid w:val="196B19EB"/>
    <w:rsid w:val="19717C66"/>
    <w:rsid w:val="1984763E"/>
    <w:rsid w:val="198B615B"/>
    <w:rsid w:val="198E7C2B"/>
    <w:rsid w:val="199945D5"/>
    <w:rsid w:val="199B5065"/>
    <w:rsid w:val="199F0F71"/>
    <w:rsid w:val="19A81829"/>
    <w:rsid w:val="19A90CE8"/>
    <w:rsid w:val="19AA6528"/>
    <w:rsid w:val="19BD63E6"/>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1349"/>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37230"/>
    <w:rsid w:val="1C74154B"/>
    <w:rsid w:val="1C7F7983"/>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9418F"/>
    <w:rsid w:val="1D6B31E8"/>
    <w:rsid w:val="1D6B7F83"/>
    <w:rsid w:val="1D745F75"/>
    <w:rsid w:val="1D776C3D"/>
    <w:rsid w:val="1D870C08"/>
    <w:rsid w:val="1D8B7F05"/>
    <w:rsid w:val="1D90796E"/>
    <w:rsid w:val="1D95321A"/>
    <w:rsid w:val="1DA80CFE"/>
    <w:rsid w:val="1DB85E5C"/>
    <w:rsid w:val="1DBB71A4"/>
    <w:rsid w:val="1DC46662"/>
    <w:rsid w:val="1DCA5E3A"/>
    <w:rsid w:val="1DCF5405"/>
    <w:rsid w:val="1DD75183"/>
    <w:rsid w:val="1DD97409"/>
    <w:rsid w:val="1DDE2626"/>
    <w:rsid w:val="1DDF66A8"/>
    <w:rsid w:val="1DEC54EC"/>
    <w:rsid w:val="1DF4614E"/>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0BF7"/>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5C044F"/>
    <w:rsid w:val="1F692382"/>
    <w:rsid w:val="1F843502"/>
    <w:rsid w:val="1F8815CD"/>
    <w:rsid w:val="1F8D1995"/>
    <w:rsid w:val="1F935BDD"/>
    <w:rsid w:val="1F963600"/>
    <w:rsid w:val="1F9730E6"/>
    <w:rsid w:val="1FA80CFB"/>
    <w:rsid w:val="1FA87477"/>
    <w:rsid w:val="1FBC2C9C"/>
    <w:rsid w:val="1FDE0273"/>
    <w:rsid w:val="1FDE31D9"/>
    <w:rsid w:val="1FE90789"/>
    <w:rsid w:val="1FEF73C9"/>
    <w:rsid w:val="1FF26468"/>
    <w:rsid w:val="2000702C"/>
    <w:rsid w:val="20020491"/>
    <w:rsid w:val="203A2906"/>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96190"/>
    <w:rsid w:val="210C69CF"/>
    <w:rsid w:val="21107C1A"/>
    <w:rsid w:val="21127D2B"/>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750CC"/>
    <w:rsid w:val="217B2C80"/>
    <w:rsid w:val="217D2EA2"/>
    <w:rsid w:val="21851E83"/>
    <w:rsid w:val="21861507"/>
    <w:rsid w:val="218976A0"/>
    <w:rsid w:val="219020E3"/>
    <w:rsid w:val="21916EE8"/>
    <w:rsid w:val="2193486E"/>
    <w:rsid w:val="219A308D"/>
    <w:rsid w:val="219F5834"/>
    <w:rsid w:val="21A35D48"/>
    <w:rsid w:val="21A61FC4"/>
    <w:rsid w:val="21C12688"/>
    <w:rsid w:val="21C25E7D"/>
    <w:rsid w:val="21CC4855"/>
    <w:rsid w:val="21D00C81"/>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9D6FB8"/>
    <w:rsid w:val="22A94C09"/>
    <w:rsid w:val="22AB58F3"/>
    <w:rsid w:val="22AD616A"/>
    <w:rsid w:val="22BC7FA6"/>
    <w:rsid w:val="22BF1067"/>
    <w:rsid w:val="22C13FD4"/>
    <w:rsid w:val="22C24771"/>
    <w:rsid w:val="22CB0895"/>
    <w:rsid w:val="23033650"/>
    <w:rsid w:val="231527D7"/>
    <w:rsid w:val="23185AD8"/>
    <w:rsid w:val="23336451"/>
    <w:rsid w:val="23474320"/>
    <w:rsid w:val="23492735"/>
    <w:rsid w:val="235B5F37"/>
    <w:rsid w:val="235C3EA6"/>
    <w:rsid w:val="23604810"/>
    <w:rsid w:val="236C6787"/>
    <w:rsid w:val="23830488"/>
    <w:rsid w:val="23932D47"/>
    <w:rsid w:val="23A46F6A"/>
    <w:rsid w:val="23BE4330"/>
    <w:rsid w:val="23BF0A62"/>
    <w:rsid w:val="23C263BB"/>
    <w:rsid w:val="23C63733"/>
    <w:rsid w:val="23D50A64"/>
    <w:rsid w:val="23DC6F4C"/>
    <w:rsid w:val="23DD2202"/>
    <w:rsid w:val="23F70746"/>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E60DE"/>
    <w:rsid w:val="255061EE"/>
    <w:rsid w:val="2558779F"/>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B54631"/>
    <w:rsid w:val="27C02F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753F13"/>
    <w:rsid w:val="298756CC"/>
    <w:rsid w:val="29A81FA5"/>
    <w:rsid w:val="29AB297C"/>
    <w:rsid w:val="29C535D7"/>
    <w:rsid w:val="29C65905"/>
    <w:rsid w:val="29CD16A4"/>
    <w:rsid w:val="29D478FA"/>
    <w:rsid w:val="29DA5777"/>
    <w:rsid w:val="29DF2425"/>
    <w:rsid w:val="29E40890"/>
    <w:rsid w:val="29E46D67"/>
    <w:rsid w:val="29FF4754"/>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23A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8A32B4"/>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147F2"/>
    <w:rsid w:val="2D107154"/>
    <w:rsid w:val="2D143281"/>
    <w:rsid w:val="2D1C79F8"/>
    <w:rsid w:val="2D324177"/>
    <w:rsid w:val="2D4E073F"/>
    <w:rsid w:val="2D510DD6"/>
    <w:rsid w:val="2D5A7835"/>
    <w:rsid w:val="2D6578A0"/>
    <w:rsid w:val="2D6B21D3"/>
    <w:rsid w:val="2D6D2389"/>
    <w:rsid w:val="2D7343C9"/>
    <w:rsid w:val="2D9E60D7"/>
    <w:rsid w:val="2DA20908"/>
    <w:rsid w:val="2DB45073"/>
    <w:rsid w:val="2DB713DE"/>
    <w:rsid w:val="2DC72B92"/>
    <w:rsid w:val="2DE44256"/>
    <w:rsid w:val="2DE557EB"/>
    <w:rsid w:val="2DF54A22"/>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115814"/>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817EF"/>
    <w:rsid w:val="301F1E0F"/>
    <w:rsid w:val="302E6295"/>
    <w:rsid w:val="30332040"/>
    <w:rsid w:val="303329F0"/>
    <w:rsid w:val="303818E5"/>
    <w:rsid w:val="303A25F6"/>
    <w:rsid w:val="303F1851"/>
    <w:rsid w:val="303F79AD"/>
    <w:rsid w:val="30492212"/>
    <w:rsid w:val="304C3A2B"/>
    <w:rsid w:val="30596318"/>
    <w:rsid w:val="30680BB0"/>
    <w:rsid w:val="306F339C"/>
    <w:rsid w:val="30762710"/>
    <w:rsid w:val="30814CF1"/>
    <w:rsid w:val="308E2433"/>
    <w:rsid w:val="308E4163"/>
    <w:rsid w:val="309F0234"/>
    <w:rsid w:val="309F57C7"/>
    <w:rsid w:val="30A03CD3"/>
    <w:rsid w:val="30AA77AB"/>
    <w:rsid w:val="30B422FB"/>
    <w:rsid w:val="30C20BA4"/>
    <w:rsid w:val="30C478ED"/>
    <w:rsid w:val="30D103F7"/>
    <w:rsid w:val="30D31034"/>
    <w:rsid w:val="30D53AF8"/>
    <w:rsid w:val="30EC01FB"/>
    <w:rsid w:val="30ED591C"/>
    <w:rsid w:val="30F54D00"/>
    <w:rsid w:val="31026564"/>
    <w:rsid w:val="310A5122"/>
    <w:rsid w:val="31190557"/>
    <w:rsid w:val="312107CD"/>
    <w:rsid w:val="31210CA8"/>
    <w:rsid w:val="31215285"/>
    <w:rsid w:val="312D0344"/>
    <w:rsid w:val="31346C1B"/>
    <w:rsid w:val="3135421E"/>
    <w:rsid w:val="313806BA"/>
    <w:rsid w:val="314A407E"/>
    <w:rsid w:val="314F0693"/>
    <w:rsid w:val="31512995"/>
    <w:rsid w:val="31664C04"/>
    <w:rsid w:val="317038BB"/>
    <w:rsid w:val="317632AC"/>
    <w:rsid w:val="317958D0"/>
    <w:rsid w:val="317A5E86"/>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2FD73FC"/>
    <w:rsid w:val="330326BB"/>
    <w:rsid w:val="33085CC5"/>
    <w:rsid w:val="33100DE3"/>
    <w:rsid w:val="33262CBA"/>
    <w:rsid w:val="332901F1"/>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740F0"/>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23C5D"/>
    <w:rsid w:val="367851C1"/>
    <w:rsid w:val="369510BC"/>
    <w:rsid w:val="36973632"/>
    <w:rsid w:val="36A30194"/>
    <w:rsid w:val="36D21A02"/>
    <w:rsid w:val="36E85056"/>
    <w:rsid w:val="36EC7EB3"/>
    <w:rsid w:val="3708411D"/>
    <w:rsid w:val="370E0FEC"/>
    <w:rsid w:val="37104DEB"/>
    <w:rsid w:val="37166BDC"/>
    <w:rsid w:val="372C24A3"/>
    <w:rsid w:val="372D0977"/>
    <w:rsid w:val="372F66F4"/>
    <w:rsid w:val="37337382"/>
    <w:rsid w:val="373D28D9"/>
    <w:rsid w:val="374D0B4E"/>
    <w:rsid w:val="374D3C1C"/>
    <w:rsid w:val="374D5647"/>
    <w:rsid w:val="374F42A7"/>
    <w:rsid w:val="37506DBE"/>
    <w:rsid w:val="3759338C"/>
    <w:rsid w:val="375A30C5"/>
    <w:rsid w:val="37643EED"/>
    <w:rsid w:val="37654002"/>
    <w:rsid w:val="3770253F"/>
    <w:rsid w:val="377A7524"/>
    <w:rsid w:val="377C0259"/>
    <w:rsid w:val="378620B5"/>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BD566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6809"/>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EA00A2"/>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6680E"/>
    <w:rsid w:val="3ABB15C7"/>
    <w:rsid w:val="3AC62942"/>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AC5E63"/>
    <w:rsid w:val="3BB67BA7"/>
    <w:rsid w:val="3BC205BC"/>
    <w:rsid w:val="3BC61A51"/>
    <w:rsid w:val="3BC74A4B"/>
    <w:rsid w:val="3BCD08A7"/>
    <w:rsid w:val="3BDF089F"/>
    <w:rsid w:val="3BDF1D94"/>
    <w:rsid w:val="3BE14893"/>
    <w:rsid w:val="3BE63BAE"/>
    <w:rsid w:val="3BE8265C"/>
    <w:rsid w:val="3BE92A35"/>
    <w:rsid w:val="3BEB460F"/>
    <w:rsid w:val="3BEC1CB8"/>
    <w:rsid w:val="3BEF1DA2"/>
    <w:rsid w:val="3BF64635"/>
    <w:rsid w:val="3BF956C3"/>
    <w:rsid w:val="3C0E5CDB"/>
    <w:rsid w:val="3C195860"/>
    <w:rsid w:val="3C2F32D0"/>
    <w:rsid w:val="3C360DE6"/>
    <w:rsid w:val="3C361DB4"/>
    <w:rsid w:val="3C467833"/>
    <w:rsid w:val="3C4D3B02"/>
    <w:rsid w:val="3C553044"/>
    <w:rsid w:val="3C5B1D89"/>
    <w:rsid w:val="3C5C5193"/>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37D04"/>
    <w:rsid w:val="3D093C71"/>
    <w:rsid w:val="3D0F72F6"/>
    <w:rsid w:val="3D131752"/>
    <w:rsid w:val="3D1A22C0"/>
    <w:rsid w:val="3D294B1B"/>
    <w:rsid w:val="3D2B034D"/>
    <w:rsid w:val="3D2B37F6"/>
    <w:rsid w:val="3D4A6765"/>
    <w:rsid w:val="3D5A60CA"/>
    <w:rsid w:val="3D6677CE"/>
    <w:rsid w:val="3D736C38"/>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6434D"/>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3331"/>
    <w:rsid w:val="3EA64DEB"/>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2348C"/>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55C2A"/>
    <w:rsid w:val="41E659FB"/>
    <w:rsid w:val="41EA0D4C"/>
    <w:rsid w:val="41F34606"/>
    <w:rsid w:val="41F51213"/>
    <w:rsid w:val="4200399D"/>
    <w:rsid w:val="4205328D"/>
    <w:rsid w:val="420E20BD"/>
    <w:rsid w:val="421647B9"/>
    <w:rsid w:val="42214B6D"/>
    <w:rsid w:val="422425C9"/>
    <w:rsid w:val="42263E3B"/>
    <w:rsid w:val="422C70F1"/>
    <w:rsid w:val="42305330"/>
    <w:rsid w:val="42382F41"/>
    <w:rsid w:val="423C6CFA"/>
    <w:rsid w:val="42442693"/>
    <w:rsid w:val="424A7DF2"/>
    <w:rsid w:val="42616794"/>
    <w:rsid w:val="427102D5"/>
    <w:rsid w:val="4276696F"/>
    <w:rsid w:val="427B064E"/>
    <w:rsid w:val="42864D18"/>
    <w:rsid w:val="428670A3"/>
    <w:rsid w:val="428D1B97"/>
    <w:rsid w:val="42996825"/>
    <w:rsid w:val="429E0F2A"/>
    <w:rsid w:val="42A82444"/>
    <w:rsid w:val="42B5102C"/>
    <w:rsid w:val="42B608A5"/>
    <w:rsid w:val="42BC00C5"/>
    <w:rsid w:val="42BC6C8F"/>
    <w:rsid w:val="42C5446D"/>
    <w:rsid w:val="42CE5FC3"/>
    <w:rsid w:val="42E11334"/>
    <w:rsid w:val="42E94337"/>
    <w:rsid w:val="42F425C9"/>
    <w:rsid w:val="42F777C1"/>
    <w:rsid w:val="42FE6C02"/>
    <w:rsid w:val="43031943"/>
    <w:rsid w:val="431327F1"/>
    <w:rsid w:val="43182DB2"/>
    <w:rsid w:val="431E4B73"/>
    <w:rsid w:val="432D1B1D"/>
    <w:rsid w:val="43486471"/>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12351"/>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8770F"/>
    <w:rsid w:val="46A64B43"/>
    <w:rsid w:val="46A87EB8"/>
    <w:rsid w:val="46AA5A85"/>
    <w:rsid w:val="46AC6264"/>
    <w:rsid w:val="46B16BA9"/>
    <w:rsid w:val="46B441C2"/>
    <w:rsid w:val="46BF0760"/>
    <w:rsid w:val="46C01696"/>
    <w:rsid w:val="46C52BE0"/>
    <w:rsid w:val="46CB099D"/>
    <w:rsid w:val="46D01F89"/>
    <w:rsid w:val="46D118AB"/>
    <w:rsid w:val="46DC3AA0"/>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96D6E"/>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41AB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73210"/>
    <w:rsid w:val="494324F6"/>
    <w:rsid w:val="49455D20"/>
    <w:rsid w:val="49524E56"/>
    <w:rsid w:val="497B341F"/>
    <w:rsid w:val="49967AF4"/>
    <w:rsid w:val="49B415EE"/>
    <w:rsid w:val="49B63FD6"/>
    <w:rsid w:val="49BF4D00"/>
    <w:rsid w:val="49C135C1"/>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650A7"/>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D93A10"/>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04F42"/>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4F457B"/>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00881"/>
    <w:rsid w:val="50E466DC"/>
    <w:rsid w:val="50E75A57"/>
    <w:rsid w:val="50EA1869"/>
    <w:rsid w:val="50F71D3E"/>
    <w:rsid w:val="50FD00F4"/>
    <w:rsid w:val="50FF056E"/>
    <w:rsid w:val="510F2A7F"/>
    <w:rsid w:val="512746EF"/>
    <w:rsid w:val="51283E4C"/>
    <w:rsid w:val="51291D35"/>
    <w:rsid w:val="512B3A7F"/>
    <w:rsid w:val="51300C4D"/>
    <w:rsid w:val="513049B1"/>
    <w:rsid w:val="5136300E"/>
    <w:rsid w:val="513B5867"/>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1FE52B1"/>
    <w:rsid w:val="52077D46"/>
    <w:rsid w:val="520A740A"/>
    <w:rsid w:val="521255C5"/>
    <w:rsid w:val="52187D0D"/>
    <w:rsid w:val="5225687C"/>
    <w:rsid w:val="522E046E"/>
    <w:rsid w:val="523547E0"/>
    <w:rsid w:val="52361B9C"/>
    <w:rsid w:val="52362A26"/>
    <w:rsid w:val="523B0BAD"/>
    <w:rsid w:val="523B7753"/>
    <w:rsid w:val="52416EAD"/>
    <w:rsid w:val="5249154C"/>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C74BB"/>
    <w:rsid w:val="530D6AAB"/>
    <w:rsid w:val="531973FC"/>
    <w:rsid w:val="53387CD2"/>
    <w:rsid w:val="53514ECE"/>
    <w:rsid w:val="5353575F"/>
    <w:rsid w:val="535B2E70"/>
    <w:rsid w:val="535C4E8B"/>
    <w:rsid w:val="535D5E4C"/>
    <w:rsid w:val="536270DB"/>
    <w:rsid w:val="536278AA"/>
    <w:rsid w:val="53673357"/>
    <w:rsid w:val="53676B5F"/>
    <w:rsid w:val="536E21FF"/>
    <w:rsid w:val="53707438"/>
    <w:rsid w:val="5385006E"/>
    <w:rsid w:val="538A4A6D"/>
    <w:rsid w:val="538C18DC"/>
    <w:rsid w:val="53910E70"/>
    <w:rsid w:val="53921BBC"/>
    <w:rsid w:val="53A771E4"/>
    <w:rsid w:val="53B2707B"/>
    <w:rsid w:val="53B45677"/>
    <w:rsid w:val="53C0579F"/>
    <w:rsid w:val="53D23CC3"/>
    <w:rsid w:val="53DD2466"/>
    <w:rsid w:val="53DE11D6"/>
    <w:rsid w:val="53DF7CB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B2661"/>
    <w:rsid w:val="548C3C7E"/>
    <w:rsid w:val="54A656E0"/>
    <w:rsid w:val="54AC5134"/>
    <w:rsid w:val="54C505F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D63AB"/>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5B456D"/>
    <w:rsid w:val="576A3055"/>
    <w:rsid w:val="57802A35"/>
    <w:rsid w:val="57815555"/>
    <w:rsid w:val="57882730"/>
    <w:rsid w:val="578C3658"/>
    <w:rsid w:val="57947A7F"/>
    <w:rsid w:val="57AD7E3A"/>
    <w:rsid w:val="57B41ECF"/>
    <w:rsid w:val="57B66918"/>
    <w:rsid w:val="57B67E42"/>
    <w:rsid w:val="57BA5F2B"/>
    <w:rsid w:val="57BB3665"/>
    <w:rsid w:val="57BC796D"/>
    <w:rsid w:val="57BD6FCE"/>
    <w:rsid w:val="57CE5E8C"/>
    <w:rsid w:val="57D214D2"/>
    <w:rsid w:val="57DA1A42"/>
    <w:rsid w:val="57DD425E"/>
    <w:rsid w:val="57E7742D"/>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95D7C"/>
    <w:rsid w:val="58AD7359"/>
    <w:rsid w:val="58C07CA9"/>
    <w:rsid w:val="58C5235F"/>
    <w:rsid w:val="58CB35D4"/>
    <w:rsid w:val="58DE5A38"/>
    <w:rsid w:val="58ED2719"/>
    <w:rsid w:val="58FA7B16"/>
    <w:rsid w:val="58FB22A6"/>
    <w:rsid w:val="59003437"/>
    <w:rsid w:val="59035499"/>
    <w:rsid w:val="590F3861"/>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52481"/>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663CF"/>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637E3"/>
    <w:rsid w:val="5D8A240A"/>
    <w:rsid w:val="5D8A4019"/>
    <w:rsid w:val="5D9907FA"/>
    <w:rsid w:val="5DBC388C"/>
    <w:rsid w:val="5DC15F6D"/>
    <w:rsid w:val="5DC1666E"/>
    <w:rsid w:val="5DCD2A8F"/>
    <w:rsid w:val="5DCD4FAD"/>
    <w:rsid w:val="5DD45E20"/>
    <w:rsid w:val="5DD77F01"/>
    <w:rsid w:val="5DDB7AE1"/>
    <w:rsid w:val="5DF376B4"/>
    <w:rsid w:val="5DF40AE7"/>
    <w:rsid w:val="5DF974C4"/>
    <w:rsid w:val="5E150E16"/>
    <w:rsid w:val="5E156702"/>
    <w:rsid w:val="5E203BC5"/>
    <w:rsid w:val="5E284971"/>
    <w:rsid w:val="5E2C3CE8"/>
    <w:rsid w:val="5E361890"/>
    <w:rsid w:val="5E391380"/>
    <w:rsid w:val="5E480DBB"/>
    <w:rsid w:val="5E4B0589"/>
    <w:rsid w:val="5E532C32"/>
    <w:rsid w:val="5E6A778C"/>
    <w:rsid w:val="5E6B78B9"/>
    <w:rsid w:val="5E72530D"/>
    <w:rsid w:val="5E7B3471"/>
    <w:rsid w:val="5E811840"/>
    <w:rsid w:val="5E8C7925"/>
    <w:rsid w:val="5E96610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35DCF"/>
    <w:rsid w:val="5F3B5980"/>
    <w:rsid w:val="5F475DFB"/>
    <w:rsid w:val="5F4A6912"/>
    <w:rsid w:val="5F5D3310"/>
    <w:rsid w:val="5F792AFF"/>
    <w:rsid w:val="5F7A7AD4"/>
    <w:rsid w:val="5F826595"/>
    <w:rsid w:val="5F901AC8"/>
    <w:rsid w:val="5F993F7A"/>
    <w:rsid w:val="5FA342D5"/>
    <w:rsid w:val="5FA40581"/>
    <w:rsid w:val="5FBF418B"/>
    <w:rsid w:val="5FC03F1C"/>
    <w:rsid w:val="5FC128D4"/>
    <w:rsid w:val="5FC577B3"/>
    <w:rsid w:val="5FCD2B9B"/>
    <w:rsid w:val="5FD02E83"/>
    <w:rsid w:val="5FE15D7D"/>
    <w:rsid w:val="5FED681E"/>
    <w:rsid w:val="5FFB751D"/>
    <w:rsid w:val="5FFC1DCE"/>
    <w:rsid w:val="600475A4"/>
    <w:rsid w:val="600B2CBA"/>
    <w:rsid w:val="600F19CA"/>
    <w:rsid w:val="600F2399"/>
    <w:rsid w:val="602423C7"/>
    <w:rsid w:val="603F2394"/>
    <w:rsid w:val="604407B5"/>
    <w:rsid w:val="60487E62"/>
    <w:rsid w:val="605A5C34"/>
    <w:rsid w:val="60630B92"/>
    <w:rsid w:val="606E4C0D"/>
    <w:rsid w:val="60734E0E"/>
    <w:rsid w:val="60811477"/>
    <w:rsid w:val="60844109"/>
    <w:rsid w:val="608E3005"/>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8E3791"/>
    <w:rsid w:val="619952F0"/>
    <w:rsid w:val="61A33787"/>
    <w:rsid w:val="61A66AB4"/>
    <w:rsid w:val="61B103C3"/>
    <w:rsid w:val="61B94C34"/>
    <w:rsid w:val="61BC38FA"/>
    <w:rsid w:val="61BE0E4F"/>
    <w:rsid w:val="61C85E7F"/>
    <w:rsid w:val="61CD78CF"/>
    <w:rsid w:val="61D03DA9"/>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F0475"/>
    <w:rsid w:val="629105C7"/>
    <w:rsid w:val="62A975CA"/>
    <w:rsid w:val="62AB5771"/>
    <w:rsid w:val="62AE05DB"/>
    <w:rsid w:val="62B60A29"/>
    <w:rsid w:val="62BA5EE7"/>
    <w:rsid w:val="62CD209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620A31"/>
    <w:rsid w:val="63710CD7"/>
    <w:rsid w:val="637D427E"/>
    <w:rsid w:val="63861A11"/>
    <w:rsid w:val="638E7A78"/>
    <w:rsid w:val="639A0C81"/>
    <w:rsid w:val="639A36B2"/>
    <w:rsid w:val="63A00543"/>
    <w:rsid w:val="63B31BEC"/>
    <w:rsid w:val="63BE2991"/>
    <w:rsid w:val="63D62DC2"/>
    <w:rsid w:val="63D672A4"/>
    <w:rsid w:val="63DD727B"/>
    <w:rsid w:val="63E900E8"/>
    <w:rsid w:val="63F105D2"/>
    <w:rsid w:val="63F14697"/>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37FF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601AC"/>
    <w:rsid w:val="66B21902"/>
    <w:rsid w:val="66C240B5"/>
    <w:rsid w:val="66C47E13"/>
    <w:rsid w:val="66C77BCC"/>
    <w:rsid w:val="66CF58C8"/>
    <w:rsid w:val="66D00FF0"/>
    <w:rsid w:val="66DF617E"/>
    <w:rsid w:val="66E50A5C"/>
    <w:rsid w:val="66E5305A"/>
    <w:rsid w:val="66FA0A76"/>
    <w:rsid w:val="66FA2904"/>
    <w:rsid w:val="66FE00E5"/>
    <w:rsid w:val="670314C2"/>
    <w:rsid w:val="670342D9"/>
    <w:rsid w:val="670A28DD"/>
    <w:rsid w:val="670C12ED"/>
    <w:rsid w:val="671300CD"/>
    <w:rsid w:val="671F2137"/>
    <w:rsid w:val="67256725"/>
    <w:rsid w:val="672C3BD3"/>
    <w:rsid w:val="67441F0C"/>
    <w:rsid w:val="674465E9"/>
    <w:rsid w:val="67456CEF"/>
    <w:rsid w:val="67530DBD"/>
    <w:rsid w:val="67594618"/>
    <w:rsid w:val="675B3954"/>
    <w:rsid w:val="675F4E37"/>
    <w:rsid w:val="676B6466"/>
    <w:rsid w:val="6776404D"/>
    <w:rsid w:val="679406A3"/>
    <w:rsid w:val="67954429"/>
    <w:rsid w:val="67A2383F"/>
    <w:rsid w:val="67B07AFB"/>
    <w:rsid w:val="67B26E00"/>
    <w:rsid w:val="67B74A0C"/>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26A5C"/>
    <w:rsid w:val="6A0A7A54"/>
    <w:rsid w:val="6A0C706C"/>
    <w:rsid w:val="6A242290"/>
    <w:rsid w:val="6A2622A1"/>
    <w:rsid w:val="6A29523C"/>
    <w:rsid w:val="6A35577F"/>
    <w:rsid w:val="6A3A22EA"/>
    <w:rsid w:val="6A3B76D1"/>
    <w:rsid w:val="6A3F2D1D"/>
    <w:rsid w:val="6A592054"/>
    <w:rsid w:val="6A5C61DA"/>
    <w:rsid w:val="6A6F04CF"/>
    <w:rsid w:val="6A777087"/>
    <w:rsid w:val="6A807B72"/>
    <w:rsid w:val="6A820574"/>
    <w:rsid w:val="6A8D2838"/>
    <w:rsid w:val="6A9274CB"/>
    <w:rsid w:val="6A99048F"/>
    <w:rsid w:val="6AA077DB"/>
    <w:rsid w:val="6AA22738"/>
    <w:rsid w:val="6AA47C92"/>
    <w:rsid w:val="6AB909BB"/>
    <w:rsid w:val="6ABA0C51"/>
    <w:rsid w:val="6ABC136F"/>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CD3C18"/>
    <w:rsid w:val="6BD2493B"/>
    <w:rsid w:val="6BD51433"/>
    <w:rsid w:val="6BE052CE"/>
    <w:rsid w:val="6BF2692A"/>
    <w:rsid w:val="6BF358A4"/>
    <w:rsid w:val="6C051F4E"/>
    <w:rsid w:val="6C096C12"/>
    <w:rsid w:val="6C1A5960"/>
    <w:rsid w:val="6C1F1AB4"/>
    <w:rsid w:val="6C304BD6"/>
    <w:rsid w:val="6C311D32"/>
    <w:rsid w:val="6C33740F"/>
    <w:rsid w:val="6C377C16"/>
    <w:rsid w:val="6C417EB8"/>
    <w:rsid w:val="6C467142"/>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347C2"/>
    <w:rsid w:val="6DC64BAC"/>
    <w:rsid w:val="6DC91BE5"/>
    <w:rsid w:val="6DDA4BA3"/>
    <w:rsid w:val="6DF44C7C"/>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9C52CB"/>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185"/>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7134F"/>
    <w:rsid w:val="732D5C49"/>
    <w:rsid w:val="733155C8"/>
    <w:rsid w:val="73403A1F"/>
    <w:rsid w:val="73407A23"/>
    <w:rsid w:val="73422D3C"/>
    <w:rsid w:val="735171FE"/>
    <w:rsid w:val="73625723"/>
    <w:rsid w:val="73661E78"/>
    <w:rsid w:val="736E3CD9"/>
    <w:rsid w:val="737007D9"/>
    <w:rsid w:val="738526B4"/>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740F9"/>
    <w:rsid w:val="746C713B"/>
    <w:rsid w:val="747607E0"/>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7D16FB"/>
    <w:rsid w:val="758641A3"/>
    <w:rsid w:val="758A08EA"/>
    <w:rsid w:val="758B283A"/>
    <w:rsid w:val="75BD313A"/>
    <w:rsid w:val="75BF09C7"/>
    <w:rsid w:val="75BF6D3D"/>
    <w:rsid w:val="75C97F23"/>
    <w:rsid w:val="75D0419D"/>
    <w:rsid w:val="75D800EB"/>
    <w:rsid w:val="75DC1EF4"/>
    <w:rsid w:val="75DD7BCA"/>
    <w:rsid w:val="75E17EDC"/>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EC740F"/>
    <w:rsid w:val="76F229DF"/>
    <w:rsid w:val="76F73D47"/>
    <w:rsid w:val="77006E1F"/>
    <w:rsid w:val="77032A24"/>
    <w:rsid w:val="770E4D00"/>
    <w:rsid w:val="771670C1"/>
    <w:rsid w:val="772C164B"/>
    <w:rsid w:val="772C16E9"/>
    <w:rsid w:val="772E1F8C"/>
    <w:rsid w:val="77316A71"/>
    <w:rsid w:val="773736A8"/>
    <w:rsid w:val="77534E09"/>
    <w:rsid w:val="77536779"/>
    <w:rsid w:val="77683E14"/>
    <w:rsid w:val="77734EA5"/>
    <w:rsid w:val="777E537D"/>
    <w:rsid w:val="777F5BFE"/>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2C7D69"/>
    <w:rsid w:val="793E4F07"/>
    <w:rsid w:val="79455569"/>
    <w:rsid w:val="79470AE2"/>
    <w:rsid w:val="795123A8"/>
    <w:rsid w:val="79524E02"/>
    <w:rsid w:val="79535AC3"/>
    <w:rsid w:val="79620961"/>
    <w:rsid w:val="79815C5D"/>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06B1"/>
    <w:rsid w:val="7AF46C5F"/>
    <w:rsid w:val="7AF91BCC"/>
    <w:rsid w:val="7B0C5BAE"/>
    <w:rsid w:val="7B230651"/>
    <w:rsid w:val="7B2374FE"/>
    <w:rsid w:val="7B24476E"/>
    <w:rsid w:val="7B34342A"/>
    <w:rsid w:val="7B3873CB"/>
    <w:rsid w:val="7B412669"/>
    <w:rsid w:val="7B472446"/>
    <w:rsid w:val="7B4927AB"/>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CD289A"/>
    <w:rsid w:val="7CDF4250"/>
    <w:rsid w:val="7D09113D"/>
    <w:rsid w:val="7D0B1257"/>
    <w:rsid w:val="7D157A0E"/>
    <w:rsid w:val="7D1658AD"/>
    <w:rsid w:val="7D1B2E27"/>
    <w:rsid w:val="7D1D4159"/>
    <w:rsid w:val="7D243099"/>
    <w:rsid w:val="7D4071CA"/>
    <w:rsid w:val="7D4B3993"/>
    <w:rsid w:val="7D5F5E30"/>
    <w:rsid w:val="7D656BAD"/>
    <w:rsid w:val="7D680D06"/>
    <w:rsid w:val="7D6B45FB"/>
    <w:rsid w:val="7D6C208F"/>
    <w:rsid w:val="7D897D56"/>
    <w:rsid w:val="7D8F519C"/>
    <w:rsid w:val="7D9B14E5"/>
    <w:rsid w:val="7DA753B2"/>
    <w:rsid w:val="7DAA42B2"/>
    <w:rsid w:val="7DAA569A"/>
    <w:rsid w:val="7DAC0DCF"/>
    <w:rsid w:val="7DB025C3"/>
    <w:rsid w:val="7DB1501E"/>
    <w:rsid w:val="7DB31B42"/>
    <w:rsid w:val="7DB676D9"/>
    <w:rsid w:val="7DBE16CF"/>
    <w:rsid w:val="7DC37DE3"/>
    <w:rsid w:val="7DD45912"/>
    <w:rsid w:val="7DD93D26"/>
    <w:rsid w:val="7DF51E1E"/>
    <w:rsid w:val="7E01146C"/>
    <w:rsid w:val="7E0D4E8F"/>
    <w:rsid w:val="7E107D04"/>
    <w:rsid w:val="7E202441"/>
    <w:rsid w:val="7E214E29"/>
    <w:rsid w:val="7E2E0E57"/>
    <w:rsid w:val="7E304C9A"/>
    <w:rsid w:val="7E5341B1"/>
    <w:rsid w:val="7E5D785B"/>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97F59"/>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10180</Words>
  <Characters>11135</Characters>
  <Lines>0</Lines>
  <Paragraphs>0</Paragraphs>
  <TotalTime>2</TotalTime>
  <ScaleCrop>false</ScaleCrop>
  <LinksUpToDate>false</LinksUpToDate>
  <CharactersWithSpaces>11196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2026-07-24T07:28:43Z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4B5FDDC259FB49A4A0EBEC5A4BB60567_11</vt:lpwstr>
  </property>
  <property fmtid="{D5CDD505-2E9C-101B-9397-08002B2CF9AE}" pid="4" name="KSOTemplateDocerSaveRecord">
    <vt:lpwstr>eyJoZGlkIjoiM2ExM2I1Y2E5MTg1NzJhN2FkNjlmNDg5OTI5OGY3ZTQiLCJ1c2VySWQiOiI0MTQ2OTI3NDEifQ==</vt:lpwstr>
  </property>
</Properties>
</file>