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7D603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spacing w:val="10"/>
          <w:sz w:val="32"/>
          <w:szCs w:val="32"/>
          <w:lang w:val="en-US" w:eastAsia="zh-CN"/>
        </w:rPr>
      </w:pPr>
      <w:r>
        <w:rPr>
          <w:rFonts w:hint="eastAsia" w:ascii="黑体" w:hAnsi="黑体" w:eastAsia="黑体" w:cs="黑体"/>
          <w:b w:val="0"/>
          <w:bCs w:val="0"/>
          <w:color w:val="000000"/>
          <w:spacing w:val="10"/>
          <w:sz w:val="32"/>
          <w:szCs w:val="32"/>
          <w:lang w:eastAsia="zh-CN"/>
        </w:rPr>
        <w:t>附件</w:t>
      </w:r>
      <w:r>
        <w:rPr>
          <w:rFonts w:hint="eastAsia" w:ascii="黑体" w:hAnsi="黑体" w:eastAsia="黑体" w:cs="黑体"/>
          <w:b w:val="0"/>
          <w:bCs w:val="0"/>
          <w:color w:val="000000"/>
          <w:spacing w:val="10"/>
          <w:sz w:val="32"/>
          <w:szCs w:val="32"/>
          <w:lang w:val="en-US" w:eastAsia="zh-CN"/>
        </w:rPr>
        <w:t>1</w:t>
      </w:r>
    </w:p>
    <w:p w14:paraId="08F970C9">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4"/>
          <w:szCs w:val="44"/>
        </w:rPr>
      </w:pPr>
      <w:r>
        <w:rPr>
          <w:rFonts w:hint="eastAsia" w:ascii="方正小标宋简体" w:hAnsi="方正小标宋简体" w:eastAsia="方正小标宋简体" w:cs="方正小标宋简体"/>
          <w:b w:val="0"/>
          <w:bCs w:val="0"/>
          <w:color w:val="000000"/>
          <w:spacing w:val="2"/>
          <w:sz w:val="42"/>
          <w:szCs w:val="42"/>
          <w:lang w:eastAsia="zh-CN"/>
        </w:rPr>
        <w:t>2024</w:t>
      </w:r>
      <w:r>
        <w:rPr>
          <w:rFonts w:hint="eastAsia" w:ascii="方正小标宋简体" w:hAnsi="方正小标宋简体" w:eastAsia="方正小标宋简体" w:cs="方正小标宋简体"/>
          <w:b w:val="0"/>
          <w:bCs w:val="0"/>
          <w:color w:val="000000"/>
          <w:spacing w:val="2"/>
          <w:sz w:val="42"/>
          <w:szCs w:val="42"/>
        </w:rPr>
        <w:t>年度</w:t>
      </w:r>
      <w:r>
        <w:rPr>
          <w:rFonts w:hint="eastAsia" w:ascii="方正小标宋简体" w:hAnsi="方正小标宋简体" w:eastAsia="方正小标宋简体" w:cs="方正小标宋简体"/>
          <w:b w:val="0"/>
          <w:bCs w:val="0"/>
          <w:color w:val="000000"/>
          <w:spacing w:val="2"/>
          <w:sz w:val="42"/>
          <w:szCs w:val="42"/>
          <w:lang w:eastAsia="zh-CN"/>
        </w:rPr>
        <w:t>预算单位</w:t>
      </w:r>
      <w:r>
        <w:rPr>
          <w:rFonts w:hint="eastAsia" w:ascii="方正小标宋简体" w:hAnsi="方正小标宋简体" w:eastAsia="方正小标宋简体" w:cs="方正小标宋简体"/>
          <w:b w:val="0"/>
          <w:bCs w:val="0"/>
          <w:color w:val="000000"/>
          <w:spacing w:val="2"/>
          <w:sz w:val="42"/>
          <w:szCs w:val="42"/>
        </w:rPr>
        <w:t>整体支出绩效评价基础数据表</w:t>
      </w:r>
    </w:p>
    <w:p w14:paraId="5792B753">
      <w:pPr>
        <w:spacing w:line="115" w:lineRule="exact"/>
        <w:rPr>
          <w:color w:val="000000"/>
        </w:rPr>
      </w:pPr>
    </w:p>
    <w:tbl>
      <w:tblPr>
        <w:tblStyle w:val="8"/>
        <w:tblW w:w="966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850"/>
        <w:gridCol w:w="825"/>
        <w:gridCol w:w="990"/>
        <w:gridCol w:w="1140"/>
        <w:gridCol w:w="1114"/>
        <w:gridCol w:w="881"/>
        <w:gridCol w:w="869"/>
      </w:tblGrid>
      <w:tr w14:paraId="31A71C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3850" w:type="dxa"/>
            <w:tcBorders>
              <w:bottom w:val="nil"/>
            </w:tcBorders>
            <w:vAlign w:val="center"/>
          </w:tcPr>
          <w:p w14:paraId="008B8832">
            <w:pPr>
              <w:spacing w:before="33" w:line="198" w:lineRule="auto"/>
              <w:ind w:right="118" w:rightChars="0"/>
              <w:jc w:val="center"/>
              <w:rPr>
                <w:rFonts w:hint="eastAsia" w:ascii="宋体" w:hAnsi="宋体" w:eastAsia="宋体" w:cs="宋体"/>
                <w:color w:val="000000"/>
                <w:spacing w:val="2"/>
                <w:sz w:val="24"/>
                <w:szCs w:val="24"/>
                <w:lang w:val="en-US" w:eastAsia="zh-CN"/>
              </w:rPr>
            </w:pPr>
            <w:r>
              <w:rPr>
                <w:rFonts w:hint="eastAsia" w:ascii="宋体" w:hAnsi="宋体" w:eastAsia="宋体" w:cs="宋体"/>
                <w:color w:val="000000"/>
                <w:spacing w:val="2"/>
                <w:sz w:val="24"/>
                <w:szCs w:val="24"/>
              </w:rPr>
              <w:t>预算</w:t>
            </w:r>
            <w:r>
              <w:rPr>
                <w:rFonts w:hint="eastAsia" w:ascii="宋体" w:hAnsi="宋体" w:eastAsia="宋体" w:cs="宋体"/>
                <w:color w:val="000000"/>
                <w:spacing w:val="2"/>
                <w:sz w:val="24"/>
                <w:szCs w:val="24"/>
                <w:lang w:eastAsia="zh-CN"/>
              </w:rPr>
              <w:t>单位</w:t>
            </w:r>
            <w:r>
              <w:rPr>
                <w:rFonts w:hint="eastAsia" w:ascii="宋体" w:hAnsi="宋体" w:eastAsia="宋体" w:cs="宋体"/>
                <w:color w:val="000000"/>
                <w:spacing w:val="2"/>
                <w:sz w:val="24"/>
                <w:szCs w:val="24"/>
              </w:rPr>
              <w:t>名称</w:t>
            </w:r>
          </w:p>
        </w:tc>
        <w:tc>
          <w:tcPr>
            <w:tcW w:w="5819" w:type="dxa"/>
            <w:gridSpan w:val="6"/>
            <w:vAlign w:val="top"/>
          </w:tcPr>
          <w:p w14:paraId="3AB9C898">
            <w:pPr>
              <w:spacing w:before="33" w:line="198" w:lineRule="auto"/>
              <w:ind w:right="118" w:rightChars="0"/>
              <w:jc w:val="center"/>
              <w:rPr>
                <w:rFonts w:hint="default" w:ascii="宋体" w:hAnsi="宋体" w:eastAsia="宋体" w:cs="宋体"/>
                <w:color w:val="000000"/>
                <w:spacing w:val="-2"/>
                <w:sz w:val="20"/>
                <w:szCs w:val="20"/>
                <w:lang w:val="en-US" w:eastAsia="zh-CN"/>
              </w:rPr>
            </w:pPr>
            <w:r>
              <w:rPr>
                <w:rFonts w:hint="eastAsia" w:ascii="宋体" w:hAnsi="宋体" w:eastAsia="宋体" w:cs="宋体"/>
                <w:color w:val="000000"/>
                <w:spacing w:val="2"/>
                <w:sz w:val="24"/>
                <w:szCs w:val="24"/>
              </w:rPr>
              <w:t>岳阳市岳阳楼区</w:t>
            </w:r>
            <w:r>
              <w:rPr>
                <w:rFonts w:hint="eastAsia" w:ascii="宋体" w:hAnsi="宋体" w:eastAsia="宋体" w:cs="宋体"/>
                <w:color w:val="000000"/>
                <w:spacing w:val="2"/>
                <w:sz w:val="24"/>
                <w:szCs w:val="24"/>
                <w:lang w:val="en-US" w:eastAsia="zh-CN"/>
              </w:rPr>
              <w:t>医疗保障局</w:t>
            </w:r>
          </w:p>
        </w:tc>
      </w:tr>
      <w:tr w14:paraId="136CD5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3850" w:type="dxa"/>
            <w:vMerge w:val="restart"/>
            <w:tcBorders>
              <w:bottom w:val="nil"/>
            </w:tcBorders>
            <w:vAlign w:val="top"/>
          </w:tcPr>
          <w:p w14:paraId="005D76E8">
            <w:pPr>
              <w:spacing w:before="262" w:line="219" w:lineRule="auto"/>
              <w:ind w:left="575"/>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财政供养人员情况(人)</w:t>
            </w:r>
          </w:p>
        </w:tc>
        <w:tc>
          <w:tcPr>
            <w:tcW w:w="1815" w:type="dxa"/>
            <w:gridSpan w:val="2"/>
            <w:vAlign w:val="top"/>
          </w:tcPr>
          <w:p w14:paraId="5E375130">
            <w:pPr>
              <w:spacing w:before="103"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3"/>
                <w:sz w:val="24"/>
                <w:szCs w:val="24"/>
              </w:rPr>
              <w:t>编制数</w:t>
            </w:r>
          </w:p>
        </w:tc>
        <w:tc>
          <w:tcPr>
            <w:tcW w:w="2254" w:type="dxa"/>
            <w:gridSpan w:val="2"/>
            <w:vAlign w:val="top"/>
          </w:tcPr>
          <w:p w14:paraId="3859EA9C">
            <w:pPr>
              <w:spacing w:before="83"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1"/>
                <w:sz w:val="24"/>
                <w:szCs w:val="24"/>
                <w:lang w:eastAsia="zh-CN"/>
              </w:rPr>
              <w:t>2024</w:t>
            </w:r>
            <w:r>
              <w:rPr>
                <w:rFonts w:hint="eastAsia" w:ascii="宋体" w:hAnsi="宋体" w:eastAsia="宋体" w:cs="宋体"/>
                <w:color w:val="000000"/>
                <w:spacing w:val="-1"/>
                <w:sz w:val="24"/>
                <w:szCs w:val="24"/>
              </w:rPr>
              <w:t>年实际在职人数</w:t>
            </w:r>
          </w:p>
        </w:tc>
        <w:tc>
          <w:tcPr>
            <w:tcW w:w="1750" w:type="dxa"/>
            <w:gridSpan w:val="2"/>
            <w:vAlign w:val="top"/>
          </w:tcPr>
          <w:p w14:paraId="741EA9D3">
            <w:pPr>
              <w:spacing w:before="103" w:line="219" w:lineRule="auto"/>
              <w:ind w:left="708"/>
              <w:rPr>
                <w:rFonts w:hint="eastAsia" w:ascii="宋体" w:hAnsi="宋体" w:eastAsia="宋体" w:cs="宋体"/>
                <w:color w:val="000000"/>
                <w:sz w:val="24"/>
                <w:szCs w:val="24"/>
              </w:rPr>
            </w:pPr>
            <w:r>
              <w:rPr>
                <w:rFonts w:hint="eastAsia" w:ascii="宋体" w:hAnsi="宋体" w:eastAsia="宋体" w:cs="宋体"/>
                <w:color w:val="000000"/>
                <w:spacing w:val="-2"/>
                <w:sz w:val="24"/>
                <w:szCs w:val="24"/>
              </w:rPr>
              <w:t>控制率</w:t>
            </w:r>
          </w:p>
        </w:tc>
      </w:tr>
      <w:tr w14:paraId="4B424C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Merge w:val="continue"/>
            <w:tcBorders>
              <w:top w:val="nil"/>
            </w:tcBorders>
            <w:vAlign w:val="top"/>
          </w:tcPr>
          <w:p w14:paraId="6ABC2FFB">
            <w:pPr>
              <w:jc w:val="left"/>
              <w:rPr>
                <w:rFonts w:hint="eastAsia" w:ascii="宋体" w:hAnsi="宋体" w:eastAsia="宋体" w:cs="宋体"/>
                <w:color w:val="000000"/>
                <w:sz w:val="24"/>
                <w:szCs w:val="24"/>
              </w:rPr>
            </w:pPr>
          </w:p>
        </w:tc>
        <w:tc>
          <w:tcPr>
            <w:tcW w:w="1815" w:type="dxa"/>
            <w:gridSpan w:val="2"/>
            <w:vAlign w:val="center"/>
          </w:tcPr>
          <w:p w14:paraId="4AB54792">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18"/>
                <w:szCs w:val="18"/>
                <w:u w:val="none"/>
                <w:lang w:val="en-US" w:eastAsia="zh-CN" w:bidi="ar"/>
              </w:rPr>
              <w:t>55</w:t>
            </w:r>
          </w:p>
        </w:tc>
        <w:tc>
          <w:tcPr>
            <w:tcW w:w="2254" w:type="dxa"/>
            <w:gridSpan w:val="2"/>
            <w:vAlign w:val="center"/>
          </w:tcPr>
          <w:p w14:paraId="1C536A88">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18"/>
                <w:szCs w:val="18"/>
                <w:u w:val="none"/>
                <w:lang w:val="en-US" w:eastAsia="zh-CN" w:bidi="ar"/>
              </w:rPr>
              <w:t>55</w:t>
            </w:r>
          </w:p>
        </w:tc>
        <w:tc>
          <w:tcPr>
            <w:tcW w:w="1750" w:type="dxa"/>
            <w:gridSpan w:val="2"/>
            <w:vAlign w:val="center"/>
          </w:tcPr>
          <w:p w14:paraId="3CE81DC9">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18"/>
                <w:szCs w:val="18"/>
                <w:u w:val="none"/>
                <w:lang w:val="en-US" w:eastAsia="zh-CN" w:bidi="ar"/>
              </w:rPr>
              <w:t>100.00%</w:t>
            </w:r>
          </w:p>
        </w:tc>
      </w:tr>
      <w:tr w14:paraId="6852B1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3850" w:type="dxa"/>
            <w:vAlign w:val="top"/>
          </w:tcPr>
          <w:p w14:paraId="6B6E3106">
            <w:pPr>
              <w:spacing w:before="140" w:line="202" w:lineRule="auto"/>
              <w:ind w:left="684"/>
              <w:jc w:val="left"/>
              <w:rPr>
                <w:rFonts w:hint="eastAsia" w:ascii="宋体" w:hAnsi="宋体" w:eastAsia="宋体" w:cs="宋体"/>
                <w:color w:val="000000"/>
                <w:sz w:val="24"/>
                <w:szCs w:val="24"/>
              </w:rPr>
            </w:pPr>
            <w:r>
              <w:rPr>
                <w:rFonts w:hint="eastAsia" w:ascii="宋体" w:hAnsi="宋体" w:eastAsia="宋体" w:cs="宋体"/>
                <w:color w:val="000000"/>
                <w:spacing w:val="4"/>
                <w:sz w:val="24"/>
                <w:szCs w:val="24"/>
              </w:rPr>
              <w:t>经费控制情况(万元)</w:t>
            </w:r>
          </w:p>
        </w:tc>
        <w:tc>
          <w:tcPr>
            <w:tcW w:w="1815" w:type="dxa"/>
            <w:gridSpan w:val="2"/>
            <w:vAlign w:val="top"/>
          </w:tcPr>
          <w:p w14:paraId="33ED3BAA">
            <w:pPr>
              <w:spacing w:before="119"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2"/>
                <w:sz w:val="24"/>
                <w:szCs w:val="24"/>
              </w:rPr>
              <w:t>202</w:t>
            </w:r>
            <w:r>
              <w:rPr>
                <w:rFonts w:hint="eastAsia" w:ascii="宋体" w:hAnsi="宋体" w:eastAsia="宋体" w:cs="宋体"/>
                <w:color w:val="000000"/>
                <w:spacing w:val="-2"/>
                <w:sz w:val="24"/>
                <w:szCs w:val="24"/>
                <w:lang w:val="en-US" w:eastAsia="zh-CN"/>
              </w:rPr>
              <w:t>3</w:t>
            </w:r>
            <w:r>
              <w:rPr>
                <w:rFonts w:hint="eastAsia" w:ascii="宋体" w:hAnsi="宋体" w:eastAsia="宋体" w:cs="宋体"/>
                <w:color w:val="000000"/>
                <w:spacing w:val="-2"/>
                <w:sz w:val="24"/>
                <w:szCs w:val="24"/>
              </w:rPr>
              <w:t>年决算数</w:t>
            </w:r>
          </w:p>
        </w:tc>
        <w:tc>
          <w:tcPr>
            <w:tcW w:w="2254" w:type="dxa"/>
            <w:gridSpan w:val="2"/>
            <w:vAlign w:val="top"/>
          </w:tcPr>
          <w:p w14:paraId="33A961F6">
            <w:pPr>
              <w:spacing w:before="119"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2"/>
                <w:sz w:val="24"/>
                <w:szCs w:val="24"/>
                <w:lang w:eastAsia="zh-CN"/>
              </w:rPr>
              <w:t>2024</w:t>
            </w:r>
            <w:r>
              <w:rPr>
                <w:rFonts w:hint="eastAsia" w:ascii="宋体" w:hAnsi="宋体" w:eastAsia="宋体" w:cs="宋体"/>
                <w:color w:val="000000"/>
                <w:spacing w:val="-2"/>
                <w:sz w:val="24"/>
                <w:szCs w:val="24"/>
              </w:rPr>
              <w:t>年预算数</w:t>
            </w:r>
          </w:p>
        </w:tc>
        <w:tc>
          <w:tcPr>
            <w:tcW w:w="1750" w:type="dxa"/>
            <w:gridSpan w:val="2"/>
            <w:vAlign w:val="top"/>
          </w:tcPr>
          <w:p w14:paraId="080992E9">
            <w:pPr>
              <w:spacing w:before="76" w:line="219" w:lineRule="auto"/>
              <w:jc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pacing w:val="-4"/>
                <w:sz w:val="24"/>
                <w:szCs w:val="24"/>
                <w:lang w:eastAsia="zh-CN"/>
              </w:rPr>
              <w:t>2024</w:t>
            </w:r>
            <w:r>
              <w:rPr>
                <w:rFonts w:hint="eastAsia" w:ascii="宋体" w:hAnsi="宋体" w:eastAsia="宋体" w:cs="宋体"/>
                <w:b w:val="0"/>
                <w:bCs w:val="0"/>
                <w:color w:val="000000"/>
                <w:spacing w:val="-4"/>
                <w:sz w:val="24"/>
                <w:szCs w:val="24"/>
              </w:rPr>
              <w:t>年决算数</w:t>
            </w:r>
          </w:p>
        </w:tc>
      </w:tr>
      <w:tr w14:paraId="151BD4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21F71C01">
            <w:pPr>
              <w:spacing w:before="141" w:line="202" w:lineRule="auto"/>
              <w:ind w:left="114"/>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三公经费</w:t>
            </w:r>
          </w:p>
        </w:tc>
        <w:tc>
          <w:tcPr>
            <w:tcW w:w="1815" w:type="dxa"/>
            <w:gridSpan w:val="2"/>
            <w:shd w:val="clear" w:color="auto" w:fill="auto"/>
            <w:vAlign w:val="center"/>
          </w:tcPr>
          <w:p w14:paraId="3B563392">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i w:val="0"/>
                <w:iCs w:val="0"/>
                <w:color w:val="000000"/>
                <w:kern w:val="0"/>
                <w:sz w:val="18"/>
                <w:szCs w:val="18"/>
                <w:u w:val="none"/>
                <w:lang w:val="en-US" w:eastAsia="zh-CN" w:bidi="ar"/>
              </w:rPr>
              <w:t>0.13</w:t>
            </w:r>
          </w:p>
        </w:tc>
        <w:tc>
          <w:tcPr>
            <w:tcW w:w="2254" w:type="dxa"/>
            <w:gridSpan w:val="2"/>
            <w:vAlign w:val="center"/>
          </w:tcPr>
          <w:p w14:paraId="4F71E97C">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18"/>
                <w:szCs w:val="18"/>
                <w:u w:val="none"/>
                <w:lang w:val="en-US" w:eastAsia="zh-CN" w:bidi="ar"/>
              </w:rPr>
              <w:t>0.5</w:t>
            </w:r>
          </w:p>
        </w:tc>
        <w:tc>
          <w:tcPr>
            <w:tcW w:w="1750" w:type="dxa"/>
            <w:gridSpan w:val="2"/>
            <w:vAlign w:val="center"/>
          </w:tcPr>
          <w:p w14:paraId="3C548A6C">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18"/>
                <w:szCs w:val="18"/>
                <w:u w:val="none"/>
                <w:lang w:val="en-US" w:eastAsia="zh-CN" w:bidi="ar"/>
              </w:rPr>
              <w:t>0.24</w:t>
            </w:r>
          </w:p>
        </w:tc>
      </w:tr>
      <w:tr w14:paraId="2E741F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top"/>
          </w:tcPr>
          <w:p w14:paraId="5101F114">
            <w:pPr>
              <w:spacing w:before="149" w:line="193" w:lineRule="auto"/>
              <w:ind w:left="414"/>
              <w:jc w:val="left"/>
              <w:rPr>
                <w:rFonts w:hint="eastAsia" w:ascii="宋体" w:hAnsi="宋体" w:eastAsia="宋体" w:cs="宋体"/>
                <w:color w:val="000000"/>
                <w:sz w:val="24"/>
                <w:szCs w:val="24"/>
              </w:rPr>
            </w:pPr>
            <w:r>
              <w:rPr>
                <w:rFonts w:hint="eastAsia" w:ascii="宋体" w:hAnsi="宋体" w:eastAsia="宋体" w:cs="宋体"/>
                <w:color w:val="000000"/>
                <w:sz w:val="24"/>
                <w:szCs w:val="24"/>
              </w:rPr>
              <w:t>1、公务用车购置和维护经费</w:t>
            </w:r>
          </w:p>
        </w:tc>
        <w:tc>
          <w:tcPr>
            <w:tcW w:w="1815" w:type="dxa"/>
            <w:gridSpan w:val="2"/>
            <w:shd w:val="clear" w:color="auto" w:fill="auto"/>
            <w:vAlign w:val="center"/>
          </w:tcPr>
          <w:p w14:paraId="1E4877B7">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i w:val="0"/>
                <w:iCs w:val="0"/>
                <w:color w:val="000000"/>
                <w:kern w:val="0"/>
                <w:sz w:val="18"/>
                <w:szCs w:val="18"/>
                <w:u w:val="none"/>
                <w:lang w:val="en-US" w:eastAsia="zh-CN" w:bidi="ar"/>
              </w:rPr>
              <w:t>0</w:t>
            </w:r>
          </w:p>
        </w:tc>
        <w:tc>
          <w:tcPr>
            <w:tcW w:w="2254" w:type="dxa"/>
            <w:gridSpan w:val="2"/>
            <w:vAlign w:val="center"/>
          </w:tcPr>
          <w:p w14:paraId="2FC72C42">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18"/>
                <w:szCs w:val="18"/>
                <w:u w:val="none"/>
                <w:lang w:val="en-US" w:eastAsia="zh-CN" w:bidi="ar"/>
              </w:rPr>
              <w:t>0</w:t>
            </w:r>
          </w:p>
        </w:tc>
        <w:tc>
          <w:tcPr>
            <w:tcW w:w="1750" w:type="dxa"/>
            <w:gridSpan w:val="2"/>
            <w:vAlign w:val="center"/>
          </w:tcPr>
          <w:p w14:paraId="25C7E019">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18"/>
                <w:szCs w:val="18"/>
                <w:u w:val="none"/>
                <w:lang w:val="en-US" w:eastAsia="zh-CN" w:bidi="ar"/>
              </w:rPr>
              <w:t>0</w:t>
            </w:r>
          </w:p>
        </w:tc>
      </w:tr>
      <w:tr w14:paraId="59B93D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11EFB6D0">
            <w:pPr>
              <w:spacing w:before="81" w:line="219" w:lineRule="auto"/>
              <w:ind w:left="81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其中：公车购置</w:t>
            </w:r>
          </w:p>
        </w:tc>
        <w:tc>
          <w:tcPr>
            <w:tcW w:w="1815" w:type="dxa"/>
            <w:gridSpan w:val="2"/>
            <w:shd w:val="clear" w:color="auto" w:fill="auto"/>
            <w:vAlign w:val="center"/>
          </w:tcPr>
          <w:p w14:paraId="65312D3B">
            <w:pPr>
              <w:jc w:val="center"/>
              <w:rPr>
                <w:rFonts w:hint="eastAsia" w:ascii="宋体" w:hAnsi="宋体" w:eastAsia="宋体" w:cs="宋体"/>
                <w:color w:val="000000"/>
                <w:kern w:val="2"/>
                <w:sz w:val="24"/>
                <w:szCs w:val="24"/>
                <w:lang w:val="en-US" w:eastAsia="zh-CN" w:bidi="ar-SA"/>
              </w:rPr>
            </w:pPr>
          </w:p>
        </w:tc>
        <w:tc>
          <w:tcPr>
            <w:tcW w:w="2254" w:type="dxa"/>
            <w:gridSpan w:val="2"/>
            <w:vAlign w:val="center"/>
          </w:tcPr>
          <w:p w14:paraId="00B9A7E5">
            <w:pPr>
              <w:jc w:val="center"/>
              <w:rPr>
                <w:rFonts w:hint="eastAsia" w:ascii="宋体" w:hAnsi="宋体" w:eastAsia="宋体" w:cs="宋体"/>
                <w:color w:val="000000"/>
                <w:sz w:val="24"/>
                <w:szCs w:val="24"/>
              </w:rPr>
            </w:pPr>
          </w:p>
        </w:tc>
        <w:tc>
          <w:tcPr>
            <w:tcW w:w="1750" w:type="dxa"/>
            <w:gridSpan w:val="2"/>
            <w:vAlign w:val="center"/>
          </w:tcPr>
          <w:p w14:paraId="01540FBB">
            <w:pPr>
              <w:jc w:val="center"/>
              <w:rPr>
                <w:rFonts w:hint="eastAsia" w:ascii="宋体" w:hAnsi="宋体" w:eastAsia="宋体" w:cs="宋体"/>
                <w:color w:val="000000"/>
                <w:sz w:val="24"/>
                <w:szCs w:val="24"/>
              </w:rPr>
            </w:pPr>
          </w:p>
        </w:tc>
      </w:tr>
      <w:tr w14:paraId="7E7456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vAlign w:val="top"/>
          </w:tcPr>
          <w:p w14:paraId="08786AB0">
            <w:pPr>
              <w:spacing w:before="91" w:line="219" w:lineRule="auto"/>
              <w:ind w:left="142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公车运行维护</w:t>
            </w:r>
          </w:p>
        </w:tc>
        <w:tc>
          <w:tcPr>
            <w:tcW w:w="1815" w:type="dxa"/>
            <w:gridSpan w:val="2"/>
            <w:shd w:val="clear" w:color="auto" w:fill="auto"/>
            <w:vAlign w:val="center"/>
          </w:tcPr>
          <w:p w14:paraId="68F1237E">
            <w:pPr>
              <w:jc w:val="center"/>
              <w:rPr>
                <w:rFonts w:hint="default" w:ascii="宋体" w:hAnsi="宋体" w:eastAsia="宋体" w:cs="宋体"/>
                <w:color w:val="000000"/>
                <w:kern w:val="2"/>
                <w:sz w:val="24"/>
                <w:szCs w:val="24"/>
                <w:lang w:val="en-US" w:eastAsia="zh-CN" w:bidi="ar-SA"/>
              </w:rPr>
            </w:pPr>
          </w:p>
        </w:tc>
        <w:tc>
          <w:tcPr>
            <w:tcW w:w="2254" w:type="dxa"/>
            <w:gridSpan w:val="2"/>
            <w:vAlign w:val="center"/>
          </w:tcPr>
          <w:p w14:paraId="30131B37">
            <w:pPr>
              <w:jc w:val="center"/>
              <w:rPr>
                <w:rFonts w:hint="default" w:ascii="宋体" w:hAnsi="宋体" w:eastAsia="宋体" w:cs="宋体"/>
                <w:color w:val="000000"/>
                <w:sz w:val="24"/>
                <w:szCs w:val="24"/>
                <w:lang w:val="en-US" w:eastAsia="zh-CN"/>
              </w:rPr>
            </w:pPr>
          </w:p>
        </w:tc>
        <w:tc>
          <w:tcPr>
            <w:tcW w:w="1750" w:type="dxa"/>
            <w:gridSpan w:val="2"/>
            <w:vAlign w:val="center"/>
          </w:tcPr>
          <w:p w14:paraId="7780B7C3">
            <w:pPr>
              <w:jc w:val="center"/>
              <w:rPr>
                <w:rFonts w:hint="default" w:ascii="宋体" w:hAnsi="宋体" w:eastAsia="宋体" w:cs="宋体"/>
                <w:color w:val="000000"/>
                <w:sz w:val="24"/>
                <w:szCs w:val="24"/>
                <w:lang w:val="en-US" w:eastAsia="zh-CN"/>
              </w:rPr>
            </w:pPr>
          </w:p>
        </w:tc>
      </w:tr>
      <w:tr w14:paraId="2FBFE9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3850" w:type="dxa"/>
            <w:vAlign w:val="top"/>
          </w:tcPr>
          <w:p w14:paraId="63437E31">
            <w:pPr>
              <w:spacing w:before="81" w:line="220"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2、出国经费</w:t>
            </w:r>
          </w:p>
        </w:tc>
        <w:tc>
          <w:tcPr>
            <w:tcW w:w="1815" w:type="dxa"/>
            <w:gridSpan w:val="2"/>
            <w:shd w:val="clear" w:color="auto" w:fill="auto"/>
            <w:vAlign w:val="center"/>
          </w:tcPr>
          <w:p w14:paraId="34D0E983">
            <w:pPr>
              <w:jc w:val="center"/>
              <w:rPr>
                <w:rFonts w:hint="eastAsia" w:ascii="宋体" w:hAnsi="宋体" w:eastAsia="宋体" w:cs="宋体"/>
                <w:color w:val="000000"/>
                <w:kern w:val="2"/>
                <w:sz w:val="24"/>
                <w:szCs w:val="24"/>
                <w:lang w:val="en-US" w:eastAsia="zh-CN" w:bidi="ar-SA"/>
              </w:rPr>
            </w:pPr>
          </w:p>
        </w:tc>
        <w:tc>
          <w:tcPr>
            <w:tcW w:w="2254" w:type="dxa"/>
            <w:gridSpan w:val="2"/>
            <w:vAlign w:val="center"/>
          </w:tcPr>
          <w:p w14:paraId="719A0D6C">
            <w:pPr>
              <w:jc w:val="center"/>
              <w:rPr>
                <w:rFonts w:hint="eastAsia" w:ascii="宋体" w:hAnsi="宋体" w:eastAsia="宋体" w:cs="宋体"/>
                <w:color w:val="000000"/>
                <w:sz w:val="24"/>
                <w:szCs w:val="24"/>
              </w:rPr>
            </w:pPr>
          </w:p>
        </w:tc>
        <w:tc>
          <w:tcPr>
            <w:tcW w:w="1750" w:type="dxa"/>
            <w:gridSpan w:val="2"/>
            <w:vAlign w:val="center"/>
          </w:tcPr>
          <w:p w14:paraId="5B8B122A">
            <w:pPr>
              <w:jc w:val="center"/>
              <w:rPr>
                <w:rFonts w:hint="eastAsia" w:ascii="宋体" w:hAnsi="宋体" w:eastAsia="宋体" w:cs="宋体"/>
                <w:color w:val="000000"/>
                <w:sz w:val="24"/>
                <w:szCs w:val="24"/>
              </w:rPr>
            </w:pPr>
          </w:p>
        </w:tc>
      </w:tr>
      <w:tr w14:paraId="05A4E1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top"/>
          </w:tcPr>
          <w:p w14:paraId="64FF79D5">
            <w:pPr>
              <w:spacing w:before="82" w:line="21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3、公务接待</w:t>
            </w:r>
          </w:p>
        </w:tc>
        <w:tc>
          <w:tcPr>
            <w:tcW w:w="1815" w:type="dxa"/>
            <w:gridSpan w:val="2"/>
            <w:shd w:val="clear" w:color="auto" w:fill="auto"/>
            <w:vAlign w:val="center"/>
          </w:tcPr>
          <w:p w14:paraId="3910DF67">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i w:val="0"/>
                <w:iCs w:val="0"/>
                <w:color w:val="000000"/>
                <w:kern w:val="0"/>
                <w:sz w:val="18"/>
                <w:szCs w:val="18"/>
                <w:u w:val="none"/>
                <w:lang w:val="en-US" w:eastAsia="zh-CN" w:bidi="ar"/>
              </w:rPr>
              <w:t>0.13</w:t>
            </w:r>
          </w:p>
        </w:tc>
        <w:tc>
          <w:tcPr>
            <w:tcW w:w="2254" w:type="dxa"/>
            <w:gridSpan w:val="2"/>
            <w:vAlign w:val="center"/>
          </w:tcPr>
          <w:p w14:paraId="6E1F5970">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18"/>
                <w:szCs w:val="18"/>
                <w:u w:val="none"/>
                <w:lang w:val="en-US" w:eastAsia="zh-CN" w:bidi="ar"/>
              </w:rPr>
              <w:t>0.5</w:t>
            </w:r>
          </w:p>
        </w:tc>
        <w:tc>
          <w:tcPr>
            <w:tcW w:w="1750" w:type="dxa"/>
            <w:gridSpan w:val="2"/>
            <w:vAlign w:val="center"/>
          </w:tcPr>
          <w:p w14:paraId="35853D59">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18"/>
                <w:szCs w:val="18"/>
                <w:u w:val="none"/>
                <w:lang w:val="en-US" w:eastAsia="zh-CN" w:bidi="ar"/>
              </w:rPr>
              <w:t>0.24</w:t>
            </w:r>
          </w:p>
        </w:tc>
      </w:tr>
      <w:tr w14:paraId="3CDAF5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4FE8C5FC">
            <w:pPr>
              <w:spacing w:before="143" w:line="200" w:lineRule="auto"/>
              <w:ind w:left="84"/>
              <w:jc w:val="left"/>
              <w:rPr>
                <w:rFonts w:hint="eastAsia" w:ascii="宋体" w:hAnsi="宋体" w:eastAsia="宋体" w:cs="宋体"/>
                <w:color w:val="000000"/>
                <w:sz w:val="24"/>
                <w:szCs w:val="24"/>
              </w:rPr>
            </w:pPr>
            <w:r>
              <w:rPr>
                <w:rFonts w:hint="eastAsia" w:ascii="宋体" w:hAnsi="宋体" w:eastAsia="宋体" w:cs="宋体"/>
                <w:color w:val="000000"/>
                <w:spacing w:val="19"/>
                <w:sz w:val="24"/>
                <w:szCs w:val="24"/>
              </w:rPr>
              <w:t>项目支出：</w:t>
            </w:r>
          </w:p>
        </w:tc>
        <w:tc>
          <w:tcPr>
            <w:tcW w:w="1815" w:type="dxa"/>
            <w:gridSpan w:val="2"/>
            <w:shd w:val="clear" w:color="auto" w:fill="auto"/>
            <w:vAlign w:val="center"/>
          </w:tcPr>
          <w:p w14:paraId="579CB865">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18"/>
                <w:szCs w:val="18"/>
                <w:u w:val="none"/>
                <w:lang w:val="en-US" w:eastAsia="zh-CN" w:bidi="ar"/>
              </w:rPr>
              <w:t>1312.44</w:t>
            </w:r>
          </w:p>
        </w:tc>
        <w:tc>
          <w:tcPr>
            <w:tcW w:w="2254" w:type="dxa"/>
            <w:gridSpan w:val="2"/>
            <w:vAlign w:val="center"/>
          </w:tcPr>
          <w:p w14:paraId="1094E5DA">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18"/>
                <w:szCs w:val="18"/>
                <w:u w:val="none"/>
                <w:lang w:val="en-US" w:eastAsia="zh-CN" w:bidi="ar"/>
              </w:rPr>
              <w:t>793</w:t>
            </w:r>
          </w:p>
        </w:tc>
        <w:tc>
          <w:tcPr>
            <w:tcW w:w="1750" w:type="dxa"/>
            <w:gridSpan w:val="2"/>
            <w:vAlign w:val="center"/>
          </w:tcPr>
          <w:p w14:paraId="783FFD84">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18"/>
                <w:szCs w:val="18"/>
                <w:u w:val="none"/>
                <w:lang w:val="en-US" w:eastAsia="zh-CN" w:bidi="ar"/>
              </w:rPr>
              <w:t>1423.36</w:t>
            </w:r>
          </w:p>
        </w:tc>
      </w:tr>
      <w:tr w14:paraId="1C254E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Align w:val="center"/>
          </w:tcPr>
          <w:p w14:paraId="6867F6C1">
            <w:pPr>
              <w:spacing w:before="143" w:line="200" w:lineRule="auto"/>
              <w:ind w:left="84"/>
              <w:jc w:val="left"/>
              <w:rPr>
                <w:rFonts w:hint="eastAsia" w:ascii="宋体" w:hAnsi="宋体" w:eastAsia="宋体" w:cs="宋体"/>
                <w:color w:val="000000"/>
                <w:spacing w:val="19"/>
                <w:sz w:val="24"/>
                <w:szCs w:val="24"/>
              </w:rPr>
            </w:pPr>
            <w:r>
              <w:rPr>
                <w:rFonts w:hint="eastAsia" w:ascii="宋体" w:hAnsi="宋体" w:eastAsia="宋体" w:cs="宋体"/>
                <w:color w:val="000000"/>
                <w:spacing w:val="19"/>
                <w:sz w:val="24"/>
                <w:szCs w:val="24"/>
                <w:lang w:val="en-US" w:eastAsia="zh-CN"/>
              </w:rPr>
              <w:t>业务工作经费</w:t>
            </w:r>
          </w:p>
        </w:tc>
        <w:tc>
          <w:tcPr>
            <w:tcW w:w="1815" w:type="dxa"/>
            <w:gridSpan w:val="2"/>
            <w:shd w:val="clear" w:color="auto" w:fill="auto"/>
            <w:vAlign w:val="center"/>
          </w:tcPr>
          <w:p w14:paraId="134EE476">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i w:val="0"/>
                <w:iCs w:val="0"/>
                <w:color w:val="000000"/>
                <w:kern w:val="0"/>
                <w:sz w:val="18"/>
                <w:szCs w:val="18"/>
                <w:u w:val="none"/>
                <w:lang w:val="en-US" w:eastAsia="zh-CN" w:bidi="ar"/>
              </w:rPr>
              <w:t>154</w:t>
            </w:r>
          </w:p>
        </w:tc>
        <w:tc>
          <w:tcPr>
            <w:tcW w:w="2254" w:type="dxa"/>
            <w:gridSpan w:val="2"/>
            <w:vAlign w:val="center"/>
          </w:tcPr>
          <w:p w14:paraId="4FC6071B">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18"/>
                <w:szCs w:val="18"/>
                <w:u w:val="none"/>
                <w:lang w:val="en-US" w:eastAsia="zh-CN" w:bidi="ar"/>
              </w:rPr>
              <w:t>133</w:t>
            </w:r>
          </w:p>
        </w:tc>
        <w:tc>
          <w:tcPr>
            <w:tcW w:w="1750" w:type="dxa"/>
            <w:gridSpan w:val="2"/>
            <w:vAlign w:val="center"/>
          </w:tcPr>
          <w:p w14:paraId="1F33F3A1">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18"/>
                <w:szCs w:val="18"/>
                <w:u w:val="none"/>
                <w:lang w:val="en-US" w:eastAsia="zh-CN" w:bidi="ar"/>
              </w:rPr>
              <w:t>132.27</w:t>
            </w:r>
          </w:p>
        </w:tc>
      </w:tr>
      <w:tr w14:paraId="6CD1B9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vAlign w:val="center"/>
          </w:tcPr>
          <w:p w14:paraId="5E6309A5">
            <w:pPr>
              <w:spacing w:before="143" w:line="200" w:lineRule="auto"/>
              <w:ind w:left="84"/>
              <w:jc w:val="left"/>
              <w:rPr>
                <w:rFonts w:hint="eastAsia" w:ascii="宋体" w:hAnsi="宋体" w:eastAsia="宋体" w:cs="宋体"/>
                <w:color w:val="000000"/>
                <w:spacing w:val="19"/>
                <w:sz w:val="24"/>
                <w:szCs w:val="24"/>
              </w:rPr>
            </w:pPr>
            <w:r>
              <w:rPr>
                <w:rFonts w:hint="eastAsia" w:ascii="宋体" w:hAnsi="宋体" w:eastAsia="宋体" w:cs="宋体"/>
                <w:color w:val="000000"/>
                <w:spacing w:val="19"/>
                <w:sz w:val="24"/>
                <w:szCs w:val="24"/>
                <w:lang w:val="en-US" w:eastAsia="zh-CN"/>
              </w:rPr>
              <w:t>网络运行维护费</w:t>
            </w:r>
          </w:p>
        </w:tc>
        <w:tc>
          <w:tcPr>
            <w:tcW w:w="1815" w:type="dxa"/>
            <w:gridSpan w:val="2"/>
            <w:shd w:val="clear" w:color="auto" w:fill="auto"/>
            <w:vAlign w:val="center"/>
          </w:tcPr>
          <w:p w14:paraId="456EEA91">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i w:val="0"/>
                <w:iCs w:val="0"/>
                <w:color w:val="000000"/>
                <w:kern w:val="0"/>
                <w:sz w:val="18"/>
                <w:szCs w:val="18"/>
                <w:u w:val="none"/>
                <w:lang w:val="en-US" w:eastAsia="zh-CN" w:bidi="ar"/>
              </w:rPr>
              <w:t>16.1</w:t>
            </w:r>
          </w:p>
        </w:tc>
        <w:tc>
          <w:tcPr>
            <w:tcW w:w="2254" w:type="dxa"/>
            <w:gridSpan w:val="2"/>
            <w:vAlign w:val="center"/>
          </w:tcPr>
          <w:p w14:paraId="549EA2E9">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18"/>
                <w:szCs w:val="18"/>
                <w:u w:val="none"/>
                <w:lang w:val="en-US" w:eastAsia="zh-CN" w:bidi="ar"/>
              </w:rPr>
              <w:t>35</w:t>
            </w:r>
          </w:p>
        </w:tc>
        <w:tc>
          <w:tcPr>
            <w:tcW w:w="1750" w:type="dxa"/>
            <w:gridSpan w:val="2"/>
            <w:vAlign w:val="center"/>
          </w:tcPr>
          <w:p w14:paraId="29FB08B6">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18"/>
                <w:szCs w:val="18"/>
                <w:u w:val="none"/>
                <w:lang w:val="en-US" w:eastAsia="zh-CN" w:bidi="ar"/>
              </w:rPr>
              <w:t>23.99</w:t>
            </w:r>
          </w:p>
        </w:tc>
      </w:tr>
      <w:tr w14:paraId="301363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vAlign w:val="center"/>
          </w:tcPr>
          <w:p w14:paraId="12542511">
            <w:pPr>
              <w:spacing w:before="143" w:line="200" w:lineRule="auto"/>
              <w:ind w:left="84"/>
              <w:jc w:val="left"/>
              <w:rPr>
                <w:rFonts w:hint="eastAsia" w:ascii="宋体" w:hAnsi="宋体" w:eastAsia="宋体" w:cs="宋体"/>
                <w:color w:val="000000"/>
                <w:spacing w:val="19"/>
                <w:sz w:val="24"/>
                <w:szCs w:val="24"/>
              </w:rPr>
            </w:pPr>
            <w:r>
              <w:rPr>
                <w:rFonts w:hint="eastAsia" w:ascii="宋体" w:hAnsi="宋体" w:eastAsia="宋体" w:cs="宋体"/>
                <w:color w:val="000000"/>
                <w:spacing w:val="19"/>
                <w:sz w:val="24"/>
                <w:szCs w:val="24"/>
                <w:lang w:val="en-US" w:eastAsia="zh-CN"/>
              </w:rPr>
              <w:t>专项资金</w:t>
            </w:r>
          </w:p>
        </w:tc>
        <w:tc>
          <w:tcPr>
            <w:tcW w:w="1815" w:type="dxa"/>
            <w:gridSpan w:val="2"/>
            <w:shd w:val="clear" w:color="auto" w:fill="auto"/>
            <w:vAlign w:val="center"/>
          </w:tcPr>
          <w:p w14:paraId="6E2C2DDE">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i w:val="0"/>
                <w:iCs w:val="0"/>
                <w:color w:val="000000"/>
                <w:kern w:val="0"/>
                <w:sz w:val="18"/>
                <w:szCs w:val="18"/>
                <w:u w:val="none"/>
                <w:lang w:val="en-US" w:eastAsia="zh-CN" w:bidi="ar"/>
              </w:rPr>
              <w:t>1142.34</w:t>
            </w:r>
          </w:p>
        </w:tc>
        <w:tc>
          <w:tcPr>
            <w:tcW w:w="2254" w:type="dxa"/>
            <w:gridSpan w:val="2"/>
            <w:vAlign w:val="center"/>
          </w:tcPr>
          <w:p w14:paraId="0C5BB5EF">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18"/>
                <w:szCs w:val="18"/>
                <w:u w:val="none"/>
                <w:lang w:val="en-US" w:eastAsia="zh-CN" w:bidi="ar"/>
              </w:rPr>
              <w:t>625</w:t>
            </w:r>
          </w:p>
        </w:tc>
        <w:tc>
          <w:tcPr>
            <w:tcW w:w="1750" w:type="dxa"/>
            <w:gridSpan w:val="2"/>
            <w:vAlign w:val="center"/>
          </w:tcPr>
          <w:p w14:paraId="4D0772A8">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18"/>
                <w:szCs w:val="18"/>
                <w:u w:val="none"/>
                <w:lang w:val="en-US" w:eastAsia="zh-CN" w:bidi="ar"/>
              </w:rPr>
              <w:t>1267.1</w:t>
            </w:r>
          </w:p>
        </w:tc>
      </w:tr>
      <w:tr w14:paraId="5EB43C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center"/>
          </w:tcPr>
          <w:p w14:paraId="2677025A">
            <w:pPr>
              <w:spacing w:before="143" w:line="200" w:lineRule="auto"/>
              <w:ind w:left="84"/>
              <w:jc w:val="left"/>
              <w:rPr>
                <w:rFonts w:hint="eastAsia" w:ascii="宋体" w:hAnsi="宋体" w:eastAsia="宋体" w:cs="宋体"/>
                <w:color w:val="000000"/>
                <w:spacing w:val="19"/>
                <w:sz w:val="24"/>
                <w:szCs w:val="24"/>
              </w:rPr>
            </w:pPr>
            <w:r>
              <w:rPr>
                <w:rFonts w:hint="eastAsia" w:ascii="宋体" w:hAnsi="宋体" w:eastAsia="宋体" w:cs="宋体"/>
                <w:color w:val="000000"/>
                <w:spacing w:val="19"/>
                <w:sz w:val="24"/>
                <w:szCs w:val="24"/>
                <w:lang w:val="en-US" w:eastAsia="zh-CN"/>
              </w:rPr>
              <w:t>劳务派遣人员</w:t>
            </w:r>
          </w:p>
        </w:tc>
        <w:tc>
          <w:tcPr>
            <w:tcW w:w="1815" w:type="dxa"/>
            <w:gridSpan w:val="2"/>
            <w:shd w:val="clear" w:color="auto" w:fill="auto"/>
            <w:vAlign w:val="center"/>
          </w:tcPr>
          <w:p w14:paraId="18AB7228">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i w:val="0"/>
                <w:iCs w:val="0"/>
                <w:color w:val="000000"/>
                <w:kern w:val="0"/>
                <w:sz w:val="18"/>
                <w:szCs w:val="18"/>
                <w:u w:val="none"/>
                <w:lang w:val="en-US" w:eastAsia="zh-CN" w:bidi="ar"/>
              </w:rPr>
              <w:t>77.19</w:t>
            </w:r>
          </w:p>
        </w:tc>
        <w:tc>
          <w:tcPr>
            <w:tcW w:w="2254" w:type="dxa"/>
            <w:gridSpan w:val="2"/>
            <w:vAlign w:val="center"/>
          </w:tcPr>
          <w:p w14:paraId="6019C99F">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18"/>
                <w:szCs w:val="18"/>
                <w:u w:val="none"/>
                <w:lang w:val="en-US" w:eastAsia="zh-CN" w:bidi="ar"/>
              </w:rPr>
              <w:t>75</w:t>
            </w:r>
          </w:p>
        </w:tc>
        <w:tc>
          <w:tcPr>
            <w:tcW w:w="1750" w:type="dxa"/>
            <w:gridSpan w:val="2"/>
            <w:vAlign w:val="center"/>
          </w:tcPr>
          <w:p w14:paraId="7F71E7DE">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18"/>
                <w:szCs w:val="18"/>
                <w:u w:val="none"/>
                <w:lang w:val="en-US" w:eastAsia="zh-CN" w:bidi="ar"/>
              </w:rPr>
              <w:t>75</w:t>
            </w:r>
          </w:p>
        </w:tc>
      </w:tr>
      <w:tr w14:paraId="3FAE95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center"/>
          </w:tcPr>
          <w:p w14:paraId="5D8CFD19">
            <w:pPr>
              <w:spacing w:before="143" w:line="200" w:lineRule="auto"/>
              <w:ind w:left="84"/>
              <w:jc w:val="left"/>
              <w:rPr>
                <w:rFonts w:hint="eastAsia" w:ascii="宋体" w:hAnsi="宋体" w:eastAsia="宋体" w:cs="宋体"/>
                <w:color w:val="000000"/>
                <w:spacing w:val="19"/>
                <w:sz w:val="24"/>
                <w:szCs w:val="24"/>
                <w:lang w:val="en-US" w:eastAsia="zh-CN"/>
              </w:rPr>
            </w:pPr>
            <w:r>
              <w:rPr>
                <w:rFonts w:hint="eastAsia" w:ascii="宋体" w:hAnsi="宋体" w:eastAsia="宋体" w:cs="宋体"/>
                <w:color w:val="000000"/>
                <w:spacing w:val="19"/>
                <w:sz w:val="24"/>
                <w:szCs w:val="24"/>
                <w:lang w:val="en-US" w:eastAsia="zh-CN"/>
              </w:rPr>
              <w:t>其他专项</w:t>
            </w:r>
          </w:p>
        </w:tc>
        <w:tc>
          <w:tcPr>
            <w:tcW w:w="1815" w:type="dxa"/>
            <w:gridSpan w:val="2"/>
            <w:shd w:val="clear" w:color="auto" w:fill="auto"/>
            <w:vAlign w:val="center"/>
          </w:tcPr>
          <w:p w14:paraId="45505654">
            <w:pPr>
              <w:keepNext w:val="0"/>
              <w:keepLines w:val="0"/>
              <w:widowControl/>
              <w:suppressLineNumbers w:val="0"/>
              <w:jc w:val="center"/>
              <w:textAlignment w:val="center"/>
              <w:rPr>
                <w:rFonts w:hint="eastAsia" w:ascii="宋体" w:hAnsi="宋体" w:eastAsia="宋体" w:cs="宋体"/>
                <w:i w:val="0"/>
                <w:iCs w:val="0"/>
                <w:color w:val="000000"/>
                <w:kern w:val="0"/>
                <w:sz w:val="19"/>
                <w:szCs w:val="19"/>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2254" w:type="dxa"/>
            <w:gridSpan w:val="2"/>
            <w:vAlign w:val="center"/>
          </w:tcPr>
          <w:p w14:paraId="0ABE28B3">
            <w:pPr>
              <w:keepNext w:val="0"/>
              <w:keepLines w:val="0"/>
              <w:widowControl/>
              <w:suppressLineNumbers w:val="0"/>
              <w:jc w:val="center"/>
              <w:textAlignment w:val="center"/>
              <w:rPr>
                <w:rFonts w:hint="eastAsia" w:ascii="宋体" w:hAnsi="宋体" w:eastAsia="宋体" w:cs="宋体"/>
                <w:i w:val="0"/>
                <w:iCs w:val="0"/>
                <w:color w:val="000000"/>
                <w:kern w:val="0"/>
                <w:sz w:val="19"/>
                <w:szCs w:val="19"/>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1750" w:type="dxa"/>
            <w:gridSpan w:val="2"/>
            <w:vAlign w:val="center"/>
          </w:tcPr>
          <w:p w14:paraId="48A49D55">
            <w:pPr>
              <w:keepNext w:val="0"/>
              <w:keepLines w:val="0"/>
              <w:widowControl/>
              <w:suppressLineNumbers w:val="0"/>
              <w:jc w:val="center"/>
              <w:textAlignment w:val="center"/>
              <w:rPr>
                <w:rFonts w:hint="eastAsia" w:ascii="宋体" w:hAnsi="宋体" w:eastAsia="宋体" w:cs="宋体"/>
                <w:i w:val="0"/>
                <w:iCs w:val="0"/>
                <w:color w:val="000000"/>
                <w:kern w:val="0"/>
                <w:sz w:val="19"/>
                <w:szCs w:val="19"/>
                <w:u w:val="none"/>
                <w:lang w:val="en-US" w:eastAsia="zh-CN" w:bidi="ar"/>
              </w:rPr>
            </w:pPr>
            <w:r>
              <w:rPr>
                <w:rFonts w:hint="eastAsia" w:ascii="宋体" w:hAnsi="宋体" w:eastAsia="宋体" w:cs="宋体"/>
                <w:i w:val="0"/>
                <w:iCs w:val="0"/>
                <w:color w:val="000000"/>
                <w:kern w:val="0"/>
                <w:sz w:val="18"/>
                <w:szCs w:val="18"/>
                <w:u w:val="none"/>
                <w:lang w:val="en-US" w:eastAsia="zh-CN" w:bidi="ar"/>
              </w:rPr>
              <w:t>294.6</w:t>
            </w:r>
          </w:p>
        </w:tc>
      </w:tr>
      <w:tr w14:paraId="75A8A0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center"/>
          </w:tcPr>
          <w:p w14:paraId="5A554577">
            <w:pPr>
              <w:spacing w:before="143" w:line="200" w:lineRule="auto"/>
              <w:ind w:left="84"/>
              <w:jc w:val="left"/>
              <w:rPr>
                <w:rFonts w:hint="eastAsia" w:ascii="宋体" w:hAnsi="宋体" w:eastAsia="宋体" w:cs="宋体"/>
                <w:color w:val="000000"/>
                <w:spacing w:val="19"/>
                <w:sz w:val="24"/>
                <w:szCs w:val="24"/>
                <w:lang w:val="en-US" w:eastAsia="zh-CN"/>
              </w:rPr>
            </w:pPr>
            <w:r>
              <w:rPr>
                <w:rFonts w:hint="eastAsia" w:ascii="宋体" w:hAnsi="宋体" w:eastAsia="宋体" w:cs="宋体"/>
                <w:color w:val="000000"/>
                <w:spacing w:val="19"/>
                <w:sz w:val="24"/>
                <w:szCs w:val="24"/>
                <w:lang w:val="en-US" w:eastAsia="zh-CN"/>
              </w:rPr>
              <w:t>医疗救助</w:t>
            </w:r>
          </w:p>
        </w:tc>
        <w:tc>
          <w:tcPr>
            <w:tcW w:w="1815" w:type="dxa"/>
            <w:gridSpan w:val="2"/>
            <w:shd w:val="clear" w:color="auto" w:fill="auto"/>
            <w:vAlign w:val="center"/>
          </w:tcPr>
          <w:p w14:paraId="7BBF3531">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i w:val="0"/>
                <w:iCs w:val="0"/>
                <w:color w:val="000000"/>
                <w:kern w:val="0"/>
                <w:sz w:val="18"/>
                <w:szCs w:val="18"/>
                <w:u w:val="none"/>
                <w:lang w:val="en-US" w:eastAsia="zh-CN" w:bidi="ar"/>
              </w:rPr>
              <w:t>1065.15</w:t>
            </w:r>
          </w:p>
        </w:tc>
        <w:tc>
          <w:tcPr>
            <w:tcW w:w="2254" w:type="dxa"/>
            <w:gridSpan w:val="2"/>
            <w:vAlign w:val="center"/>
          </w:tcPr>
          <w:p w14:paraId="114E1CAA">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18"/>
                <w:szCs w:val="18"/>
                <w:u w:val="none"/>
                <w:lang w:val="en-US" w:eastAsia="zh-CN" w:bidi="ar"/>
              </w:rPr>
              <w:t>550</w:t>
            </w:r>
          </w:p>
        </w:tc>
        <w:tc>
          <w:tcPr>
            <w:tcW w:w="1750" w:type="dxa"/>
            <w:gridSpan w:val="2"/>
            <w:vAlign w:val="center"/>
          </w:tcPr>
          <w:p w14:paraId="0F70ACEC">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18"/>
                <w:szCs w:val="18"/>
                <w:u w:val="none"/>
                <w:lang w:val="en-US" w:eastAsia="zh-CN" w:bidi="ar"/>
              </w:rPr>
              <w:t>897.5</w:t>
            </w:r>
          </w:p>
        </w:tc>
      </w:tr>
      <w:tr w14:paraId="37B444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top"/>
          </w:tcPr>
          <w:p w14:paraId="2963612F">
            <w:pPr>
              <w:spacing w:before="85" w:line="220" w:lineRule="auto"/>
              <w:ind w:left="94"/>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公用经费</w:t>
            </w:r>
          </w:p>
        </w:tc>
        <w:tc>
          <w:tcPr>
            <w:tcW w:w="1815" w:type="dxa"/>
            <w:gridSpan w:val="2"/>
            <w:shd w:val="clear" w:color="auto" w:fill="auto"/>
            <w:vAlign w:val="center"/>
          </w:tcPr>
          <w:p w14:paraId="537A4D3E">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i w:val="0"/>
                <w:iCs w:val="0"/>
                <w:color w:val="000000"/>
                <w:kern w:val="0"/>
                <w:sz w:val="18"/>
                <w:szCs w:val="18"/>
                <w:u w:val="none"/>
                <w:lang w:val="en-US" w:eastAsia="zh-CN" w:bidi="ar"/>
              </w:rPr>
              <w:t>210.67</w:t>
            </w:r>
          </w:p>
        </w:tc>
        <w:tc>
          <w:tcPr>
            <w:tcW w:w="2254" w:type="dxa"/>
            <w:gridSpan w:val="2"/>
            <w:vAlign w:val="center"/>
          </w:tcPr>
          <w:p w14:paraId="269A9575">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18"/>
                <w:szCs w:val="18"/>
                <w:u w:val="none"/>
                <w:lang w:val="en-US" w:eastAsia="zh-CN" w:bidi="ar"/>
              </w:rPr>
              <w:t>84.6</w:t>
            </w:r>
          </w:p>
        </w:tc>
        <w:tc>
          <w:tcPr>
            <w:tcW w:w="1750" w:type="dxa"/>
            <w:gridSpan w:val="2"/>
            <w:vAlign w:val="center"/>
          </w:tcPr>
          <w:p w14:paraId="6656F267">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18"/>
                <w:szCs w:val="18"/>
                <w:u w:val="none"/>
                <w:lang w:val="en-US" w:eastAsia="zh-CN" w:bidi="ar"/>
              </w:rPr>
              <w:t>69.85</w:t>
            </w:r>
          </w:p>
        </w:tc>
      </w:tr>
      <w:tr w14:paraId="109DDB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3850" w:type="dxa"/>
            <w:vAlign w:val="top"/>
          </w:tcPr>
          <w:p w14:paraId="37E659AE">
            <w:pPr>
              <w:spacing w:before="85" w:line="21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其中：办公经费</w:t>
            </w:r>
          </w:p>
        </w:tc>
        <w:tc>
          <w:tcPr>
            <w:tcW w:w="1815" w:type="dxa"/>
            <w:gridSpan w:val="2"/>
            <w:shd w:val="clear" w:color="auto" w:fill="auto"/>
            <w:vAlign w:val="center"/>
          </w:tcPr>
          <w:p w14:paraId="2F4400D8">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i w:val="0"/>
                <w:iCs w:val="0"/>
                <w:color w:val="000000"/>
                <w:kern w:val="0"/>
                <w:sz w:val="18"/>
                <w:szCs w:val="18"/>
                <w:u w:val="none"/>
                <w:lang w:val="en-US" w:eastAsia="zh-CN" w:bidi="ar"/>
              </w:rPr>
              <w:t>2.82</w:t>
            </w:r>
          </w:p>
        </w:tc>
        <w:tc>
          <w:tcPr>
            <w:tcW w:w="2254" w:type="dxa"/>
            <w:gridSpan w:val="2"/>
            <w:vAlign w:val="center"/>
          </w:tcPr>
          <w:p w14:paraId="56CE4FBF">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18"/>
                <w:szCs w:val="18"/>
                <w:u w:val="none"/>
                <w:lang w:val="en-US" w:eastAsia="zh-CN" w:bidi="ar"/>
              </w:rPr>
              <w:t>63.84</w:t>
            </w:r>
          </w:p>
        </w:tc>
        <w:tc>
          <w:tcPr>
            <w:tcW w:w="1750" w:type="dxa"/>
            <w:gridSpan w:val="2"/>
            <w:vAlign w:val="center"/>
          </w:tcPr>
          <w:p w14:paraId="520D8EE4">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18"/>
                <w:szCs w:val="18"/>
                <w:u w:val="none"/>
                <w:lang w:val="en-US" w:eastAsia="zh-CN" w:bidi="ar"/>
              </w:rPr>
              <w:t>2</w:t>
            </w:r>
          </w:p>
        </w:tc>
      </w:tr>
      <w:tr w14:paraId="600166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Align w:val="top"/>
          </w:tcPr>
          <w:p w14:paraId="5A6980EC">
            <w:pPr>
              <w:spacing w:before="135" w:line="198" w:lineRule="auto"/>
              <w:ind w:left="111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水费、电费、差旅费</w:t>
            </w:r>
          </w:p>
        </w:tc>
        <w:tc>
          <w:tcPr>
            <w:tcW w:w="1815" w:type="dxa"/>
            <w:gridSpan w:val="2"/>
            <w:shd w:val="clear" w:color="auto" w:fill="auto"/>
            <w:vAlign w:val="center"/>
          </w:tcPr>
          <w:p w14:paraId="145B413F">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i w:val="0"/>
                <w:iCs w:val="0"/>
                <w:color w:val="000000"/>
                <w:kern w:val="0"/>
                <w:sz w:val="18"/>
                <w:szCs w:val="18"/>
                <w:u w:val="none"/>
                <w:lang w:val="en-US" w:eastAsia="zh-CN" w:bidi="ar"/>
              </w:rPr>
              <w:t>8.04</w:t>
            </w:r>
          </w:p>
        </w:tc>
        <w:tc>
          <w:tcPr>
            <w:tcW w:w="2254" w:type="dxa"/>
            <w:gridSpan w:val="2"/>
            <w:vAlign w:val="center"/>
          </w:tcPr>
          <w:p w14:paraId="67D7DD2C">
            <w:pPr>
              <w:jc w:val="center"/>
              <w:rPr>
                <w:rFonts w:hint="default" w:ascii="宋体" w:hAnsi="宋体" w:eastAsia="宋体" w:cs="宋体"/>
                <w:color w:val="000000"/>
                <w:sz w:val="24"/>
                <w:szCs w:val="24"/>
                <w:lang w:val="en-US" w:eastAsia="zh-CN"/>
              </w:rPr>
            </w:pPr>
          </w:p>
        </w:tc>
        <w:tc>
          <w:tcPr>
            <w:tcW w:w="1750" w:type="dxa"/>
            <w:gridSpan w:val="2"/>
            <w:vAlign w:val="center"/>
          </w:tcPr>
          <w:p w14:paraId="17ACC5F1">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18"/>
                <w:szCs w:val="18"/>
                <w:u w:val="none"/>
                <w:lang w:val="en-US" w:eastAsia="zh-CN" w:bidi="ar"/>
              </w:rPr>
              <w:t>6</w:t>
            </w:r>
          </w:p>
        </w:tc>
      </w:tr>
      <w:tr w14:paraId="49C16D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top"/>
          </w:tcPr>
          <w:p w14:paraId="314647BA">
            <w:pPr>
              <w:spacing w:before="144" w:line="198" w:lineRule="auto"/>
              <w:ind w:left="112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会议费、培训费</w:t>
            </w:r>
          </w:p>
        </w:tc>
        <w:tc>
          <w:tcPr>
            <w:tcW w:w="1815" w:type="dxa"/>
            <w:gridSpan w:val="2"/>
            <w:shd w:val="clear" w:color="auto" w:fill="auto"/>
            <w:vAlign w:val="center"/>
          </w:tcPr>
          <w:p w14:paraId="569DD537">
            <w:pPr>
              <w:jc w:val="center"/>
              <w:rPr>
                <w:rFonts w:hint="default" w:ascii="宋体" w:hAnsi="宋体" w:eastAsia="宋体" w:cs="宋体"/>
                <w:color w:val="000000"/>
                <w:kern w:val="2"/>
                <w:sz w:val="24"/>
                <w:szCs w:val="24"/>
                <w:lang w:val="en-US" w:eastAsia="zh-CN" w:bidi="ar-SA"/>
              </w:rPr>
            </w:pPr>
          </w:p>
        </w:tc>
        <w:tc>
          <w:tcPr>
            <w:tcW w:w="2254" w:type="dxa"/>
            <w:gridSpan w:val="2"/>
            <w:vAlign w:val="center"/>
          </w:tcPr>
          <w:p w14:paraId="2B9FDBD7">
            <w:pPr>
              <w:jc w:val="center"/>
              <w:rPr>
                <w:rFonts w:hint="eastAsia" w:ascii="宋体" w:hAnsi="宋体" w:eastAsia="宋体" w:cs="宋体"/>
                <w:color w:val="000000"/>
                <w:sz w:val="24"/>
                <w:szCs w:val="24"/>
              </w:rPr>
            </w:pPr>
          </w:p>
        </w:tc>
        <w:tc>
          <w:tcPr>
            <w:tcW w:w="1750" w:type="dxa"/>
            <w:gridSpan w:val="2"/>
            <w:vAlign w:val="center"/>
          </w:tcPr>
          <w:p w14:paraId="16867ACF">
            <w:pPr>
              <w:jc w:val="center"/>
              <w:rPr>
                <w:rFonts w:hint="default" w:ascii="宋体" w:hAnsi="宋体" w:eastAsia="宋体" w:cs="宋体"/>
                <w:color w:val="000000"/>
                <w:sz w:val="24"/>
                <w:szCs w:val="24"/>
                <w:lang w:val="en-US" w:eastAsia="zh-CN"/>
              </w:rPr>
            </w:pPr>
          </w:p>
        </w:tc>
      </w:tr>
      <w:tr w14:paraId="7DA0F4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Align w:val="top"/>
          </w:tcPr>
          <w:p w14:paraId="0ECFCA65">
            <w:pPr>
              <w:spacing w:before="145" w:line="189" w:lineRule="auto"/>
              <w:ind w:left="10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政府采购金额</w:t>
            </w:r>
          </w:p>
        </w:tc>
        <w:tc>
          <w:tcPr>
            <w:tcW w:w="1815" w:type="dxa"/>
            <w:gridSpan w:val="2"/>
            <w:shd w:val="clear" w:color="auto" w:fill="auto"/>
            <w:vAlign w:val="center"/>
          </w:tcPr>
          <w:p w14:paraId="7C6EACC3">
            <w:pPr>
              <w:keepNext w:val="0"/>
              <w:keepLines w:val="0"/>
              <w:widowControl/>
              <w:suppressLineNumbers w:val="0"/>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i w:val="0"/>
                <w:iCs w:val="0"/>
                <w:color w:val="000000"/>
                <w:kern w:val="0"/>
                <w:sz w:val="18"/>
                <w:szCs w:val="18"/>
                <w:u w:val="none"/>
                <w:lang w:val="en-US" w:eastAsia="zh-CN" w:bidi="ar"/>
              </w:rPr>
              <w:t>314.75</w:t>
            </w:r>
          </w:p>
        </w:tc>
        <w:tc>
          <w:tcPr>
            <w:tcW w:w="2254" w:type="dxa"/>
            <w:gridSpan w:val="2"/>
            <w:vAlign w:val="center"/>
          </w:tcPr>
          <w:p w14:paraId="117B7920">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18"/>
                <w:szCs w:val="18"/>
                <w:u w:val="none"/>
                <w:lang w:val="en-US" w:eastAsia="zh-CN" w:bidi="ar"/>
              </w:rPr>
              <w:t>312.95</w:t>
            </w:r>
          </w:p>
        </w:tc>
        <w:tc>
          <w:tcPr>
            <w:tcW w:w="1750" w:type="dxa"/>
            <w:gridSpan w:val="2"/>
            <w:vAlign w:val="center"/>
          </w:tcPr>
          <w:p w14:paraId="5563A2F5">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18"/>
                <w:szCs w:val="18"/>
                <w:u w:val="none"/>
                <w:lang w:val="en-US" w:eastAsia="zh-CN" w:bidi="ar"/>
              </w:rPr>
              <w:t>250</w:t>
            </w:r>
          </w:p>
        </w:tc>
      </w:tr>
      <w:tr w14:paraId="36133A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1FDEE1A4">
            <w:pPr>
              <w:spacing w:before="145" w:line="198" w:lineRule="auto"/>
              <w:ind w:left="11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部门基本支出预算调整</w:t>
            </w:r>
          </w:p>
        </w:tc>
        <w:tc>
          <w:tcPr>
            <w:tcW w:w="1815" w:type="dxa"/>
            <w:gridSpan w:val="2"/>
            <w:vAlign w:val="center"/>
          </w:tcPr>
          <w:p w14:paraId="5E549C57">
            <w:pPr>
              <w:keepNext w:val="0"/>
              <w:keepLines w:val="0"/>
              <w:widowControl/>
              <w:suppressLineNumbers w:val="0"/>
              <w:jc w:val="center"/>
              <w:textAlignment w:val="center"/>
              <w:rPr>
                <w:rFonts w:hint="eastAsia" w:ascii="宋体" w:hAnsi="宋体" w:eastAsia="宋体" w:cs="宋体"/>
                <w:color w:val="000000"/>
                <w:sz w:val="24"/>
                <w:szCs w:val="24"/>
              </w:rPr>
            </w:pPr>
          </w:p>
        </w:tc>
        <w:tc>
          <w:tcPr>
            <w:tcW w:w="2254" w:type="dxa"/>
            <w:gridSpan w:val="2"/>
            <w:vAlign w:val="center"/>
          </w:tcPr>
          <w:p w14:paraId="09E890F4">
            <w:pPr>
              <w:keepNext w:val="0"/>
              <w:keepLines w:val="0"/>
              <w:widowControl/>
              <w:suppressLineNumbers w:val="0"/>
              <w:jc w:val="center"/>
              <w:textAlignment w:val="center"/>
              <w:rPr>
                <w:rFonts w:hint="eastAsia" w:ascii="宋体" w:hAnsi="宋体" w:eastAsia="宋体" w:cs="宋体"/>
                <w:color w:val="000000"/>
                <w:sz w:val="24"/>
                <w:szCs w:val="24"/>
              </w:rPr>
            </w:pPr>
          </w:p>
        </w:tc>
        <w:tc>
          <w:tcPr>
            <w:tcW w:w="1750" w:type="dxa"/>
            <w:gridSpan w:val="2"/>
            <w:vAlign w:val="center"/>
          </w:tcPr>
          <w:p w14:paraId="1B64B7EF">
            <w:pPr>
              <w:keepNext w:val="0"/>
              <w:keepLines w:val="0"/>
              <w:widowControl/>
              <w:suppressLineNumbers w:val="0"/>
              <w:jc w:val="center"/>
              <w:textAlignment w:val="center"/>
              <w:rPr>
                <w:rFonts w:hint="eastAsia" w:ascii="宋体" w:hAnsi="宋体" w:eastAsia="宋体" w:cs="宋体"/>
                <w:color w:val="000000"/>
                <w:sz w:val="24"/>
                <w:szCs w:val="24"/>
              </w:rPr>
            </w:pPr>
          </w:p>
        </w:tc>
      </w:tr>
      <w:tr w14:paraId="38357F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9" w:hRule="atLeast"/>
        </w:trPr>
        <w:tc>
          <w:tcPr>
            <w:tcW w:w="3850" w:type="dxa"/>
            <w:vMerge w:val="restart"/>
            <w:tcBorders>
              <w:bottom w:val="nil"/>
            </w:tcBorders>
            <w:vAlign w:val="center"/>
          </w:tcPr>
          <w:p w14:paraId="154B5FF5">
            <w:pPr>
              <w:spacing w:before="65" w:line="390" w:lineRule="exact"/>
              <w:jc w:val="center"/>
              <w:rPr>
                <w:rFonts w:hint="eastAsia" w:ascii="宋体" w:hAnsi="宋体" w:eastAsia="宋体" w:cs="宋体"/>
                <w:color w:val="000000"/>
                <w:sz w:val="24"/>
                <w:szCs w:val="24"/>
              </w:rPr>
            </w:pPr>
            <w:r>
              <w:rPr>
                <w:rFonts w:hint="eastAsia" w:ascii="宋体" w:hAnsi="宋体" w:eastAsia="宋体" w:cs="宋体"/>
                <w:color w:val="000000"/>
                <w:spacing w:val="-1"/>
                <w:position w:val="14"/>
                <w:sz w:val="24"/>
                <w:szCs w:val="24"/>
              </w:rPr>
              <w:t>楼堂馆所控制情况</w:t>
            </w:r>
          </w:p>
          <w:p w14:paraId="72B05E1F">
            <w:pPr>
              <w:spacing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3"/>
                <w:sz w:val="24"/>
                <w:szCs w:val="24"/>
              </w:rPr>
              <w:t>(</w:t>
            </w:r>
            <w:r>
              <w:rPr>
                <w:rFonts w:hint="eastAsia" w:ascii="宋体" w:hAnsi="宋体" w:eastAsia="宋体" w:cs="宋体"/>
                <w:color w:val="000000"/>
                <w:spacing w:val="3"/>
                <w:sz w:val="24"/>
                <w:szCs w:val="24"/>
                <w:lang w:eastAsia="zh-CN"/>
              </w:rPr>
              <w:t>2024</w:t>
            </w:r>
            <w:r>
              <w:rPr>
                <w:rFonts w:hint="eastAsia" w:ascii="宋体" w:hAnsi="宋体" w:eastAsia="宋体" w:cs="宋体"/>
                <w:color w:val="000000"/>
                <w:spacing w:val="3"/>
                <w:sz w:val="24"/>
                <w:szCs w:val="24"/>
              </w:rPr>
              <w:t>年完工项目)</w:t>
            </w:r>
          </w:p>
        </w:tc>
        <w:tc>
          <w:tcPr>
            <w:tcW w:w="825" w:type="dxa"/>
            <w:vAlign w:val="center"/>
          </w:tcPr>
          <w:p w14:paraId="1815180A">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批复规模</w:t>
            </w:r>
          </w:p>
          <w:p w14:paraId="01AEBEF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(m²)</w:t>
            </w:r>
          </w:p>
        </w:tc>
        <w:tc>
          <w:tcPr>
            <w:tcW w:w="990" w:type="dxa"/>
            <w:vAlign w:val="center"/>
          </w:tcPr>
          <w:p w14:paraId="5FA606B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实际规</w:t>
            </w:r>
          </w:p>
          <w:p w14:paraId="67EAA174">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模(m²)</w:t>
            </w:r>
          </w:p>
        </w:tc>
        <w:tc>
          <w:tcPr>
            <w:tcW w:w="1140" w:type="dxa"/>
            <w:vAlign w:val="center"/>
          </w:tcPr>
          <w:p w14:paraId="33CB93C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规模控制率</w:t>
            </w:r>
          </w:p>
        </w:tc>
        <w:tc>
          <w:tcPr>
            <w:tcW w:w="1114" w:type="dxa"/>
            <w:vAlign w:val="center"/>
          </w:tcPr>
          <w:p w14:paraId="50DDFB04">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预算投资</w:t>
            </w:r>
          </w:p>
          <w:p w14:paraId="119EA80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(万元)</w:t>
            </w:r>
          </w:p>
        </w:tc>
        <w:tc>
          <w:tcPr>
            <w:tcW w:w="881" w:type="dxa"/>
            <w:vAlign w:val="center"/>
          </w:tcPr>
          <w:p w14:paraId="73451B3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实际</w:t>
            </w:r>
          </w:p>
          <w:p w14:paraId="29E652C7">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投资</w:t>
            </w:r>
          </w:p>
          <w:p w14:paraId="440904B5">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(万元)</w:t>
            </w:r>
          </w:p>
        </w:tc>
        <w:tc>
          <w:tcPr>
            <w:tcW w:w="869" w:type="dxa"/>
            <w:vAlign w:val="center"/>
          </w:tcPr>
          <w:p w14:paraId="60BF0DB8">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投资概</w:t>
            </w:r>
          </w:p>
          <w:p w14:paraId="74D357A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算控制</w:t>
            </w:r>
          </w:p>
          <w:p w14:paraId="08B6E5E5">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率</w:t>
            </w:r>
          </w:p>
        </w:tc>
      </w:tr>
      <w:tr w14:paraId="118AEE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Merge w:val="continue"/>
            <w:tcBorders>
              <w:top w:val="nil"/>
            </w:tcBorders>
            <w:vAlign w:val="top"/>
          </w:tcPr>
          <w:p w14:paraId="26AA7E31">
            <w:pPr>
              <w:jc w:val="left"/>
              <w:rPr>
                <w:rFonts w:hint="eastAsia" w:ascii="宋体" w:hAnsi="宋体" w:eastAsia="宋体" w:cs="宋体"/>
                <w:color w:val="000000"/>
                <w:sz w:val="24"/>
                <w:szCs w:val="24"/>
              </w:rPr>
            </w:pPr>
          </w:p>
        </w:tc>
        <w:tc>
          <w:tcPr>
            <w:tcW w:w="825" w:type="dxa"/>
            <w:vAlign w:val="top"/>
          </w:tcPr>
          <w:p w14:paraId="02268D98">
            <w:pPr>
              <w:rPr>
                <w:rFonts w:hint="eastAsia" w:ascii="宋体" w:hAnsi="宋体" w:eastAsia="宋体" w:cs="宋体"/>
                <w:color w:val="000000"/>
                <w:sz w:val="21"/>
              </w:rPr>
            </w:pPr>
          </w:p>
        </w:tc>
        <w:tc>
          <w:tcPr>
            <w:tcW w:w="990" w:type="dxa"/>
            <w:vAlign w:val="top"/>
          </w:tcPr>
          <w:p w14:paraId="6E26E96E">
            <w:pPr>
              <w:rPr>
                <w:rFonts w:hint="eastAsia" w:ascii="宋体" w:hAnsi="宋体" w:eastAsia="宋体" w:cs="宋体"/>
                <w:color w:val="000000"/>
                <w:sz w:val="21"/>
              </w:rPr>
            </w:pPr>
          </w:p>
        </w:tc>
        <w:tc>
          <w:tcPr>
            <w:tcW w:w="1140" w:type="dxa"/>
            <w:vAlign w:val="top"/>
          </w:tcPr>
          <w:p w14:paraId="02A5B55D">
            <w:pPr>
              <w:rPr>
                <w:rFonts w:hint="eastAsia" w:ascii="宋体" w:hAnsi="宋体" w:eastAsia="宋体" w:cs="宋体"/>
                <w:color w:val="000000"/>
                <w:sz w:val="21"/>
              </w:rPr>
            </w:pPr>
          </w:p>
        </w:tc>
        <w:tc>
          <w:tcPr>
            <w:tcW w:w="1114" w:type="dxa"/>
            <w:vAlign w:val="top"/>
          </w:tcPr>
          <w:p w14:paraId="66EEB18D">
            <w:pPr>
              <w:rPr>
                <w:rFonts w:hint="eastAsia" w:ascii="宋体" w:hAnsi="宋体" w:eastAsia="宋体" w:cs="宋体"/>
                <w:color w:val="000000"/>
                <w:sz w:val="21"/>
              </w:rPr>
            </w:pPr>
          </w:p>
        </w:tc>
        <w:tc>
          <w:tcPr>
            <w:tcW w:w="881" w:type="dxa"/>
            <w:vAlign w:val="top"/>
          </w:tcPr>
          <w:p w14:paraId="5A860F1D">
            <w:pPr>
              <w:rPr>
                <w:rFonts w:hint="eastAsia" w:ascii="宋体" w:hAnsi="宋体" w:eastAsia="宋体" w:cs="宋体"/>
                <w:color w:val="000000"/>
                <w:sz w:val="21"/>
              </w:rPr>
            </w:pPr>
          </w:p>
        </w:tc>
        <w:tc>
          <w:tcPr>
            <w:tcW w:w="869" w:type="dxa"/>
            <w:vAlign w:val="top"/>
          </w:tcPr>
          <w:p w14:paraId="20F00850">
            <w:pPr>
              <w:rPr>
                <w:rFonts w:hint="eastAsia" w:ascii="宋体" w:hAnsi="宋体" w:eastAsia="宋体" w:cs="宋体"/>
                <w:color w:val="000000"/>
                <w:sz w:val="21"/>
              </w:rPr>
            </w:pPr>
          </w:p>
        </w:tc>
      </w:tr>
      <w:tr w14:paraId="4E2693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vAlign w:val="top"/>
          </w:tcPr>
          <w:p w14:paraId="1E706591">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000000"/>
                <w:sz w:val="24"/>
                <w:szCs w:val="24"/>
              </w:rPr>
            </w:pPr>
            <w:r>
              <w:rPr>
                <w:rFonts w:hint="eastAsia" w:ascii="宋体" w:hAnsi="宋体" w:eastAsia="宋体" w:cs="宋体"/>
                <w:color w:val="000000"/>
                <w:spacing w:val="1"/>
                <w:sz w:val="24"/>
                <w:szCs w:val="24"/>
              </w:rPr>
              <w:t>厉行节约保障措施</w:t>
            </w:r>
          </w:p>
        </w:tc>
        <w:tc>
          <w:tcPr>
            <w:tcW w:w="5819" w:type="dxa"/>
            <w:gridSpan w:val="6"/>
            <w:vAlign w:val="top"/>
          </w:tcPr>
          <w:p w14:paraId="16A59601">
            <w:pPr>
              <w:keepNext w:val="0"/>
              <w:keepLines w:val="0"/>
              <w:pageBreakBefore w:val="0"/>
              <w:widowControl w:val="0"/>
              <w:kinsoku/>
              <w:wordWrap/>
              <w:overflowPunct/>
              <w:topLinePunct w:val="0"/>
              <w:autoSpaceDE/>
              <w:autoSpaceDN/>
              <w:bidi w:val="0"/>
              <w:adjustRightInd/>
              <w:snapToGrid/>
              <w:spacing w:line="240" w:lineRule="auto"/>
              <w:ind w:left="0"/>
              <w:jc w:val="left"/>
              <w:textAlignment w:val="auto"/>
              <w:rPr>
                <w:rFonts w:hint="eastAsia" w:ascii="宋体" w:hAnsi="宋体" w:eastAsia="宋体" w:cs="宋体"/>
                <w:color w:val="000000"/>
                <w:sz w:val="21"/>
              </w:rPr>
            </w:pPr>
            <w:r>
              <w:rPr>
                <w:rFonts w:hint="eastAsia" w:ascii="宋体" w:hAnsi="宋体" w:eastAsia="宋体" w:cs="宋体"/>
                <w:color w:val="000000"/>
                <w:sz w:val="21"/>
              </w:rPr>
              <w:t>制定事前报备，事后审核制度</w:t>
            </w:r>
          </w:p>
        </w:tc>
      </w:tr>
    </w:tbl>
    <w:p w14:paraId="4EA03A67">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color w:val="000000"/>
          <w:spacing w:val="0"/>
          <w:position w:val="0"/>
          <w:sz w:val="23"/>
          <w:szCs w:val="23"/>
          <w:lang w:val="en-US" w:eastAsia="zh-CN"/>
        </w:rPr>
      </w:pPr>
    </w:p>
    <w:p w14:paraId="2785A671">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br w:type="page"/>
      </w:r>
    </w:p>
    <w:p w14:paraId="2536A7E2">
      <w:pPr>
        <w:spacing w:before="64" w:line="230" w:lineRule="auto"/>
        <w:rPr>
          <w:rFonts w:hint="eastAsia" w:ascii="Times New Roman" w:hAnsi="Times New Roman" w:eastAsia="黑体" w:cs="Times New Roman"/>
          <w:sz w:val="31"/>
          <w:szCs w:val="31"/>
          <w:lang w:eastAsia="zh-CN"/>
        </w:rPr>
      </w:pPr>
      <w:r>
        <w:rPr>
          <w:rFonts w:ascii="黑体" w:hAnsi="黑体" w:eastAsia="黑体" w:cs="黑体"/>
          <w:spacing w:val="-4"/>
          <w:sz w:val="31"/>
          <w:szCs w:val="31"/>
        </w:rPr>
        <w:t>附件</w:t>
      </w:r>
      <w:r>
        <w:rPr>
          <w:rFonts w:ascii="黑体" w:hAnsi="黑体" w:eastAsia="黑体" w:cs="黑体"/>
          <w:spacing w:val="-60"/>
          <w:sz w:val="31"/>
          <w:szCs w:val="31"/>
        </w:rPr>
        <w:t xml:space="preserve"> </w:t>
      </w:r>
      <w:r>
        <w:rPr>
          <w:rFonts w:hint="eastAsia" w:ascii="Times New Roman" w:hAnsi="Times New Roman" w:eastAsia="宋体" w:cs="Times New Roman"/>
          <w:spacing w:val="-4"/>
          <w:sz w:val="31"/>
          <w:szCs w:val="31"/>
          <w:lang w:val="en-US" w:eastAsia="zh-CN"/>
        </w:rPr>
        <w:t>2</w:t>
      </w:r>
    </w:p>
    <w:p w14:paraId="6EE356FA">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2024 年度预算单位整体支出绩效自评表</w:t>
      </w:r>
    </w:p>
    <w:p w14:paraId="43A51A9F">
      <w:pPr>
        <w:spacing w:line="132" w:lineRule="exact"/>
      </w:pPr>
    </w:p>
    <w:tbl>
      <w:tblPr>
        <w:tblStyle w:val="8"/>
        <w:tblW w:w="1008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944"/>
        <w:gridCol w:w="1053"/>
        <w:gridCol w:w="1580"/>
        <w:gridCol w:w="1212"/>
        <w:gridCol w:w="1286"/>
        <w:gridCol w:w="735"/>
        <w:gridCol w:w="739"/>
        <w:gridCol w:w="1450"/>
      </w:tblGrid>
      <w:tr w14:paraId="675D6E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 w:hRule="atLeast"/>
        </w:trPr>
        <w:tc>
          <w:tcPr>
            <w:tcW w:w="3081" w:type="dxa"/>
            <w:gridSpan w:val="3"/>
            <w:vAlign w:val="top"/>
          </w:tcPr>
          <w:p w14:paraId="18FA4BBC">
            <w:pPr>
              <w:spacing w:before="24" w:line="208" w:lineRule="auto"/>
              <w:ind w:left="120" w:firstLine="412" w:firstLineChars="200"/>
              <w:rPr>
                <w:rFonts w:hint="eastAsia" w:ascii="宋体" w:hAnsi="宋体" w:eastAsia="宋体" w:cs="宋体"/>
                <w:sz w:val="19"/>
                <w:szCs w:val="19"/>
              </w:rPr>
            </w:pPr>
            <w:r>
              <w:rPr>
                <w:rFonts w:hint="eastAsia" w:ascii="宋体" w:hAnsi="宋体" w:eastAsia="宋体" w:cs="宋体"/>
                <w:spacing w:val="8"/>
                <w:sz w:val="19"/>
                <w:szCs w:val="19"/>
              </w:rPr>
              <w:t>预算单位名称</w:t>
            </w:r>
          </w:p>
        </w:tc>
        <w:tc>
          <w:tcPr>
            <w:tcW w:w="7002" w:type="dxa"/>
            <w:gridSpan w:val="6"/>
            <w:vAlign w:val="top"/>
          </w:tcPr>
          <w:p w14:paraId="79C329C0">
            <w:pPr>
              <w:pStyle w:val="9"/>
              <w:spacing w:line="239" w:lineRule="exact"/>
              <w:rPr>
                <w:rFonts w:hint="eastAsia" w:ascii="宋体" w:hAnsi="宋体" w:eastAsia="宋体" w:cs="宋体"/>
                <w:sz w:val="20"/>
              </w:rPr>
            </w:pPr>
            <w:r>
              <w:rPr>
                <w:rFonts w:hint="eastAsia" w:ascii="宋体" w:hAnsi="宋体" w:eastAsia="宋体" w:cs="宋体"/>
                <w:color w:val="000000"/>
                <w:spacing w:val="-2"/>
                <w:sz w:val="20"/>
                <w:szCs w:val="20"/>
                <w:lang w:val="en-US" w:eastAsia="zh-CN"/>
              </w:rPr>
              <w:t>岳阳市岳阳楼区医疗保障局</w:t>
            </w:r>
          </w:p>
        </w:tc>
      </w:tr>
      <w:tr w14:paraId="0762FB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restart"/>
            <w:tcBorders>
              <w:bottom w:val="nil"/>
            </w:tcBorders>
            <w:vAlign w:val="top"/>
          </w:tcPr>
          <w:p w14:paraId="7634EE08">
            <w:pPr>
              <w:pStyle w:val="9"/>
              <w:spacing w:line="467" w:lineRule="auto"/>
              <w:rPr>
                <w:rFonts w:hint="eastAsia" w:ascii="宋体" w:hAnsi="宋体" w:eastAsia="宋体" w:cs="宋体"/>
              </w:rPr>
            </w:pPr>
          </w:p>
          <w:p w14:paraId="0FD1FBEA">
            <w:pPr>
              <w:spacing w:before="62" w:line="232" w:lineRule="auto"/>
              <w:ind w:left="144" w:right="144" w:firstLine="104"/>
              <w:jc w:val="both"/>
              <w:rPr>
                <w:rFonts w:hint="eastAsia" w:ascii="宋体" w:hAnsi="宋体" w:eastAsia="宋体" w:cs="宋体"/>
                <w:sz w:val="19"/>
                <w:szCs w:val="19"/>
              </w:rPr>
            </w:pPr>
            <w:r>
              <w:rPr>
                <w:rFonts w:hint="eastAsia" w:ascii="宋体" w:hAnsi="宋体" w:eastAsia="宋体" w:cs="宋体"/>
                <w:spacing w:val="6"/>
                <w:sz w:val="19"/>
                <w:szCs w:val="19"/>
              </w:rPr>
              <w:t>年度预</w:t>
            </w:r>
            <w:r>
              <w:rPr>
                <w:rFonts w:hint="eastAsia" w:ascii="宋体" w:hAnsi="宋体" w:eastAsia="宋体" w:cs="宋体"/>
                <w:sz w:val="19"/>
                <w:szCs w:val="19"/>
              </w:rPr>
              <w:t xml:space="preserve">  </w:t>
            </w:r>
            <w:r>
              <w:rPr>
                <w:rFonts w:hint="eastAsia" w:ascii="宋体" w:hAnsi="宋体" w:eastAsia="宋体" w:cs="宋体"/>
                <w:spacing w:val="41"/>
                <w:sz w:val="19"/>
                <w:szCs w:val="19"/>
              </w:rPr>
              <w:t>算申请</w:t>
            </w:r>
            <w:r>
              <w:rPr>
                <w:rFonts w:hint="eastAsia" w:ascii="宋体" w:hAnsi="宋体" w:eastAsia="宋体" w:cs="宋体"/>
                <w:sz w:val="19"/>
                <w:szCs w:val="19"/>
              </w:rPr>
              <w:t xml:space="preserve">  </w:t>
            </w:r>
            <w:r>
              <w:rPr>
                <w:rFonts w:hint="eastAsia" w:ascii="宋体" w:hAnsi="宋体" w:eastAsia="宋体" w:cs="宋体"/>
                <w:spacing w:val="7"/>
                <w:sz w:val="19"/>
                <w:szCs w:val="19"/>
              </w:rPr>
              <w:t>（万元）</w:t>
            </w:r>
          </w:p>
        </w:tc>
        <w:tc>
          <w:tcPr>
            <w:tcW w:w="1997" w:type="dxa"/>
            <w:gridSpan w:val="2"/>
            <w:vAlign w:val="top"/>
          </w:tcPr>
          <w:p w14:paraId="58EA4AAC">
            <w:pPr>
              <w:pStyle w:val="9"/>
              <w:spacing w:line="235" w:lineRule="exact"/>
              <w:rPr>
                <w:rFonts w:hint="eastAsia" w:ascii="宋体" w:hAnsi="宋体" w:eastAsia="宋体" w:cs="宋体"/>
                <w:sz w:val="20"/>
              </w:rPr>
            </w:pPr>
          </w:p>
        </w:tc>
        <w:tc>
          <w:tcPr>
            <w:tcW w:w="1580" w:type="dxa"/>
            <w:vAlign w:val="top"/>
          </w:tcPr>
          <w:p w14:paraId="3E65D92B">
            <w:pPr>
              <w:spacing w:before="20" w:line="208" w:lineRule="auto"/>
              <w:ind w:left="140"/>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212" w:type="dxa"/>
            <w:vAlign w:val="top"/>
          </w:tcPr>
          <w:p w14:paraId="553A1ACB">
            <w:pPr>
              <w:spacing w:before="20" w:line="208" w:lineRule="auto"/>
              <w:ind w:left="159"/>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286" w:type="dxa"/>
            <w:vAlign w:val="top"/>
          </w:tcPr>
          <w:p w14:paraId="5730BEE7">
            <w:pPr>
              <w:spacing w:before="20" w:line="208" w:lineRule="auto"/>
              <w:ind w:left="138"/>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735" w:type="dxa"/>
            <w:vAlign w:val="top"/>
          </w:tcPr>
          <w:p w14:paraId="2C19FB74">
            <w:pPr>
              <w:spacing w:before="20" w:line="208" w:lineRule="auto"/>
              <w:ind w:left="166"/>
              <w:rPr>
                <w:rFonts w:hint="eastAsia" w:ascii="宋体" w:hAnsi="宋体" w:eastAsia="宋体" w:cs="宋体"/>
                <w:sz w:val="19"/>
                <w:szCs w:val="19"/>
              </w:rPr>
            </w:pPr>
            <w:r>
              <w:rPr>
                <w:rFonts w:hint="eastAsia" w:ascii="宋体" w:hAnsi="宋体" w:eastAsia="宋体" w:cs="宋体"/>
                <w:spacing w:val="4"/>
                <w:sz w:val="19"/>
                <w:szCs w:val="19"/>
              </w:rPr>
              <w:t>分值</w:t>
            </w:r>
          </w:p>
        </w:tc>
        <w:tc>
          <w:tcPr>
            <w:tcW w:w="739" w:type="dxa"/>
            <w:vAlign w:val="top"/>
          </w:tcPr>
          <w:p w14:paraId="6286AD48">
            <w:pPr>
              <w:spacing w:before="20" w:line="208" w:lineRule="auto"/>
              <w:ind w:left="147"/>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450" w:type="dxa"/>
            <w:vAlign w:val="top"/>
          </w:tcPr>
          <w:p w14:paraId="337A5364">
            <w:pPr>
              <w:spacing w:before="20" w:line="208" w:lineRule="auto"/>
              <w:ind w:left="366"/>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5BD7D5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vAlign w:val="top"/>
          </w:tcPr>
          <w:p w14:paraId="0A0C447E">
            <w:pPr>
              <w:pStyle w:val="9"/>
              <w:rPr>
                <w:rFonts w:hint="eastAsia" w:ascii="宋体" w:hAnsi="宋体" w:eastAsia="宋体" w:cs="宋体"/>
              </w:rPr>
            </w:pPr>
          </w:p>
        </w:tc>
        <w:tc>
          <w:tcPr>
            <w:tcW w:w="1997" w:type="dxa"/>
            <w:gridSpan w:val="2"/>
            <w:vAlign w:val="top"/>
          </w:tcPr>
          <w:p w14:paraId="1917B887">
            <w:pPr>
              <w:spacing w:before="20" w:line="208" w:lineRule="auto"/>
              <w:ind w:left="463"/>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580" w:type="dxa"/>
            <w:vAlign w:val="center"/>
          </w:tcPr>
          <w:p w14:paraId="5247C3F1">
            <w:pPr>
              <w:keepNext w:val="0"/>
              <w:keepLines w:val="0"/>
              <w:widowControl/>
              <w:suppressLineNumbers w:val="0"/>
              <w:jc w:val="center"/>
              <w:textAlignment w:val="center"/>
              <w:rPr>
                <w:rFonts w:hint="eastAsia" w:ascii="新宋体" w:hAnsi="新宋体" w:eastAsia="新宋体" w:cs="新宋体"/>
                <w:sz w:val="21"/>
                <w:szCs w:val="21"/>
                <w:lang w:val="en-US" w:eastAsia="zh-CN"/>
              </w:rPr>
            </w:pPr>
            <w:r>
              <w:rPr>
                <w:rFonts w:hint="default" w:ascii="Times New Roman" w:hAnsi="Times New Roman" w:eastAsia="宋体" w:cs="Times New Roman"/>
                <w:i w:val="0"/>
                <w:iCs w:val="0"/>
                <w:color w:val="000000"/>
                <w:kern w:val="0"/>
                <w:sz w:val="18"/>
                <w:szCs w:val="18"/>
                <w:u w:val="none"/>
                <w:lang w:val="en-US" w:eastAsia="zh-CN" w:bidi="ar"/>
              </w:rPr>
              <w:t>992.79</w:t>
            </w:r>
          </w:p>
        </w:tc>
        <w:tc>
          <w:tcPr>
            <w:tcW w:w="1212" w:type="dxa"/>
            <w:vAlign w:val="center"/>
          </w:tcPr>
          <w:p w14:paraId="122C9419">
            <w:pPr>
              <w:keepNext w:val="0"/>
              <w:keepLines w:val="0"/>
              <w:widowControl/>
              <w:suppressLineNumbers w:val="0"/>
              <w:jc w:val="center"/>
              <w:textAlignment w:val="center"/>
              <w:rPr>
                <w:rFonts w:hint="eastAsia" w:ascii="新宋体" w:hAnsi="新宋体" w:eastAsia="新宋体" w:cs="新宋体"/>
                <w:sz w:val="21"/>
                <w:szCs w:val="21"/>
                <w:lang w:val="en-US" w:eastAsia="zh-CN"/>
              </w:rPr>
            </w:pPr>
            <w:r>
              <w:rPr>
                <w:rFonts w:hint="default" w:ascii="Times New Roman" w:hAnsi="Times New Roman" w:eastAsia="宋体" w:cs="Times New Roman"/>
                <w:i w:val="0"/>
                <w:iCs w:val="0"/>
                <w:color w:val="000000"/>
                <w:kern w:val="0"/>
                <w:sz w:val="18"/>
                <w:szCs w:val="18"/>
                <w:u w:val="none"/>
                <w:lang w:val="en-US" w:eastAsia="zh-CN" w:bidi="ar"/>
              </w:rPr>
              <w:t>2255.24</w:t>
            </w:r>
          </w:p>
        </w:tc>
        <w:tc>
          <w:tcPr>
            <w:tcW w:w="1286" w:type="dxa"/>
            <w:vAlign w:val="center"/>
          </w:tcPr>
          <w:p w14:paraId="3E29C041">
            <w:pPr>
              <w:keepNext w:val="0"/>
              <w:keepLines w:val="0"/>
              <w:widowControl/>
              <w:suppressLineNumbers w:val="0"/>
              <w:jc w:val="center"/>
              <w:textAlignment w:val="center"/>
              <w:rPr>
                <w:rFonts w:hint="eastAsia" w:ascii="新宋体" w:hAnsi="新宋体" w:eastAsia="新宋体" w:cs="新宋体"/>
                <w:sz w:val="21"/>
                <w:szCs w:val="21"/>
                <w:lang w:val="en-US" w:eastAsia="zh-CN"/>
              </w:rPr>
            </w:pPr>
            <w:r>
              <w:rPr>
                <w:rFonts w:hint="default" w:ascii="Times New Roman" w:hAnsi="Times New Roman" w:eastAsia="宋体" w:cs="Times New Roman"/>
                <w:i w:val="0"/>
                <w:iCs w:val="0"/>
                <w:color w:val="000000"/>
                <w:kern w:val="0"/>
                <w:sz w:val="18"/>
                <w:szCs w:val="18"/>
                <w:u w:val="none"/>
                <w:lang w:val="en-US" w:eastAsia="zh-CN" w:bidi="ar"/>
              </w:rPr>
              <w:t>2195.95</w:t>
            </w:r>
          </w:p>
        </w:tc>
        <w:tc>
          <w:tcPr>
            <w:tcW w:w="735" w:type="dxa"/>
            <w:vAlign w:val="center"/>
          </w:tcPr>
          <w:p w14:paraId="7CE703A1">
            <w:pPr>
              <w:keepNext w:val="0"/>
              <w:keepLines w:val="0"/>
              <w:widowControl/>
              <w:suppressLineNumbers w:val="0"/>
              <w:jc w:val="center"/>
              <w:textAlignment w:val="center"/>
              <w:rPr>
                <w:rFonts w:hint="eastAsia" w:ascii="新宋体" w:hAnsi="新宋体" w:eastAsia="新宋体" w:cs="新宋体"/>
                <w:sz w:val="21"/>
                <w:szCs w:val="21"/>
              </w:rPr>
            </w:pPr>
            <w:r>
              <w:rPr>
                <w:rFonts w:hint="default" w:ascii="Times New Roman" w:hAnsi="Times New Roman" w:eastAsia="宋体" w:cs="Times New Roman"/>
                <w:i w:val="0"/>
                <w:iCs w:val="0"/>
                <w:color w:val="000000"/>
                <w:kern w:val="0"/>
                <w:sz w:val="18"/>
                <w:szCs w:val="18"/>
                <w:u w:val="none"/>
                <w:lang w:val="en-US" w:eastAsia="zh-CN" w:bidi="ar"/>
              </w:rPr>
              <w:t>10</w:t>
            </w:r>
          </w:p>
        </w:tc>
        <w:tc>
          <w:tcPr>
            <w:tcW w:w="739" w:type="dxa"/>
            <w:vAlign w:val="center"/>
          </w:tcPr>
          <w:p w14:paraId="0A3E9397">
            <w:pPr>
              <w:keepNext w:val="0"/>
              <w:keepLines w:val="0"/>
              <w:widowControl/>
              <w:suppressLineNumbers w:val="0"/>
              <w:jc w:val="center"/>
              <w:textAlignment w:val="center"/>
              <w:rPr>
                <w:rFonts w:hint="eastAsia" w:ascii="新宋体" w:hAnsi="新宋体" w:eastAsia="新宋体" w:cs="新宋体"/>
                <w:sz w:val="21"/>
                <w:szCs w:val="21"/>
                <w:lang w:val="en-US" w:eastAsia="zh-CN"/>
              </w:rPr>
            </w:pPr>
            <w:r>
              <w:rPr>
                <w:rFonts w:hint="default" w:ascii="Times New Roman" w:hAnsi="Times New Roman" w:eastAsia="宋体" w:cs="Times New Roman"/>
                <w:i w:val="0"/>
                <w:iCs w:val="0"/>
                <w:color w:val="000000"/>
                <w:kern w:val="0"/>
                <w:sz w:val="18"/>
                <w:szCs w:val="18"/>
                <w:u w:val="none"/>
                <w:lang w:val="en-US" w:eastAsia="zh-CN" w:bidi="ar"/>
              </w:rPr>
              <w:t>97.37%</w:t>
            </w:r>
          </w:p>
        </w:tc>
        <w:tc>
          <w:tcPr>
            <w:tcW w:w="1450" w:type="dxa"/>
            <w:vAlign w:val="center"/>
          </w:tcPr>
          <w:p w14:paraId="6CA57E7D">
            <w:pPr>
              <w:keepNext w:val="0"/>
              <w:keepLines w:val="0"/>
              <w:widowControl/>
              <w:suppressLineNumbers w:val="0"/>
              <w:jc w:val="center"/>
              <w:textAlignment w:val="center"/>
              <w:rPr>
                <w:rFonts w:hint="eastAsia" w:ascii="新宋体" w:hAnsi="新宋体" w:eastAsia="新宋体" w:cs="新宋体"/>
                <w:sz w:val="21"/>
                <w:szCs w:val="21"/>
                <w:lang w:val="en-US" w:eastAsia="zh-CN"/>
              </w:rPr>
            </w:pPr>
            <w:r>
              <w:rPr>
                <w:rFonts w:hint="default" w:ascii="Times New Roman" w:hAnsi="Times New Roman" w:eastAsia="宋体" w:cs="Times New Roman"/>
                <w:i w:val="0"/>
                <w:iCs w:val="0"/>
                <w:color w:val="000000"/>
                <w:kern w:val="0"/>
                <w:sz w:val="18"/>
                <w:szCs w:val="18"/>
                <w:u w:val="none"/>
                <w:lang w:val="en-US" w:eastAsia="zh-CN" w:bidi="ar"/>
              </w:rPr>
              <w:t>9.60</w:t>
            </w:r>
          </w:p>
        </w:tc>
      </w:tr>
      <w:tr w14:paraId="7DA8A4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vAlign w:val="top"/>
          </w:tcPr>
          <w:p w14:paraId="507F1023">
            <w:pPr>
              <w:pStyle w:val="9"/>
              <w:rPr>
                <w:rFonts w:hint="eastAsia" w:ascii="宋体" w:hAnsi="宋体" w:eastAsia="宋体" w:cs="宋体"/>
              </w:rPr>
            </w:pPr>
          </w:p>
        </w:tc>
        <w:tc>
          <w:tcPr>
            <w:tcW w:w="4789" w:type="dxa"/>
            <w:gridSpan w:val="4"/>
            <w:vAlign w:val="top"/>
          </w:tcPr>
          <w:p w14:paraId="35DF4C56">
            <w:pPr>
              <w:spacing w:before="22" w:line="206" w:lineRule="auto"/>
              <w:ind w:left="111"/>
              <w:rPr>
                <w:rFonts w:hint="eastAsia" w:ascii="宋体" w:hAnsi="宋体" w:eastAsia="宋体" w:cs="宋体"/>
                <w:sz w:val="19"/>
                <w:szCs w:val="19"/>
              </w:rPr>
            </w:pPr>
            <w:r>
              <w:rPr>
                <w:rFonts w:hint="eastAsia" w:ascii="宋体" w:hAnsi="宋体" w:eastAsia="宋体" w:cs="宋体"/>
                <w:spacing w:val="2"/>
                <w:sz w:val="19"/>
                <w:szCs w:val="19"/>
              </w:rPr>
              <w:t>按收入性质分：</w:t>
            </w:r>
          </w:p>
        </w:tc>
        <w:tc>
          <w:tcPr>
            <w:tcW w:w="4210" w:type="dxa"/>
            <w:gridSpan w:val="4"/>
            <w:vAlign w:val="top"/>
          </w:tcPr>
          <w:p w14:paraId="7F8D184B">
            <w:pPr>
              <w:spacing w:before="22" w:line="206" w:lineRule="auto"/>
              <w:ind w:left="116"/>
              <w:rPr>
                <w:rFonts w:hint="eastAsia" w:ascii="宋体" w:hAnsi="宋体" w:eastAsia="宋体" w:cs="宋体"/>
                <w:sz w:val="19"/>
                <w:szCs w:val="19"/>
              </w:rPr>
            </w:pPr>
            <w:r>
              <w:rPr>
                <w:rFonts w:hint="eastAsia" w:ascii="宋体" w:hAnsi="宋体" w:eastAsia="宋体" w:cs="宋体"/>
                <w:spacing w:val="2"/>
                <w:sz w:val="19"/>
                <w:szCs w:val="19"/>
              </w:rPr>
              <w:t>按支出性质分：</w:t>
            </w:r>
          </w:p>
        </w:tc>
      </w:tr>
      <w:tr w14:paraId="72B172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trPr>
        <w:tc>
          <w:tcPr>
            <w:tcW w:w="1084" w:type="dxa"/>
            <w:vMerge w:val="continue"/>
            <w:tcBorders>
              <w:top w:val="nil"/>
              <w:bottom w:val="nil"/>
            </w:tcBorders>
            <w:vAlign w:val="top"/>
          </w:tcPr>
          <w:p w14:paraId="1155DF8A">
            <w:pPr>
              <w:pStyle w:val="9"/>
              <w:rPr>
                <w:rFonts w:hint="eastAsia" w:ascii="宋体" w:hAnsi="宋体" w:eastAsia="宋体" w:cs="宋体"/>
              </w:rPr>
            </w:pPr>
          </w:p>
        </w:tc>
        <w:tc>
          <w:tcPr>
            <w:tcW w:w="4789" w:type="dxa"/>
            <w:gridSpan w:val="4"/>
            <w:vAlign w:val="top"/>
          </w:tcPr>
          <w:p w14:paraId="45BCAA16">
            <w:pPr>
              <w:spacing w:before="21" w:line="207" w:lineRule="auto"/>
              <w:ind w:left="312"/>
              <w:rPr>
                <w:rFonts w:hint="default" w:ascii="宋体" w:hAnsi="宋体" w:eastAsia="宋体" w:cs="宋体"/>
                <w:sz w:val="19"/>
                <w:szCs w:val="19"/>
                <w:lang w:val="en-US" w:eastAsia="zh-CN"/>
              </w:rPr>
            </w:pPr>
            <w:r>
              <w:rPr>
                <w:rFonts w:hint="eastAsia" w:ascii="宋体" w:hAnsi="宋体" w:eastAsia="宋体" w:cs="宋体"/>
                <w:spacing w:val="1"/>
                <w:sz w:val="19"/>
                <w:szCs w:val="19"/>
              </w:rPr>
              <w:t>其中：</w:t>
            </w:r>
            <w:r>
              <w:rPr>
                <w:rFonts w:hint="eastAsia" w:ascii="宋体" w:hAnsi="宋体" w:eastAsia="宋体" w:cs="宋体"/>
                <w:spacing w:val="24"/>
                <w:sz w:val="19"/>
                <w:szCs w:val="19"/>
              </w:rPr>
              <w:t xml:space="preserve">  </w:t>
            </w:r>
            <w:r>
              <w:rPr>
                <w:rFonts w:hint="eastAsia" w:ascii="宋体" w:hAnsi="宋体" w:eastAsia="宋体" w:cs="宋体"/>
                <w:spacing w:val="1"/>
                <w:sz w:val="19"/>
                <w:szCs w:val="19"/>
              </w:rPr>
              <w:t>一般公共预算：</w:t>
            </w:r>
            <w:r>
              <w:rPr>
                <w:rFonts w:hint="eastAsia" w:ascii="宋体" w:hAnsi="宋体" w:eastAsia="宋体" w:cs="宋体"/>
                <w:spacing w:val="1"/>
                <w:sz w:val="19"/>
                <w:szCs w:val="19"/>
                <w:highlight w:val="none"/>
                <w:lang w:val="en-US" w:eastAsia="zh-CN"/>
              </w:rPr>
              <w:t>2164.73</w:t>
            </w:r>
          </w:p>
        </w:tc>
        <w:tc>
          <w:tcPr>
            <w:tcW w:w="4210" w:type="dxa"/>
            <w:gridSpan w:val="4"/>
            <w:vAlign w:val="top"/>
          </w:tcPr>
          <w:p w14:paraId="29EEAD11">
            <w:pPr>
              <w:spacing w:before="21" w:line="207" w:lineRule="auto"/>
              <w:ind w:left="115" w:leftChars="0"/>
              <w:rPr>
                <w:rFonts w:hint="default" w:ascii="宋体" w:hAnsi="宋体" w:eastAsia="宋体" w:cs="宋体"/>
                <w:sz w:val="19"/>
                <w:szCs w:val="19"/>
                <w:lang w:val="en-US" w:eastAsia="zh-CN"/>
              </w:rPr>
            </w:pPr>
            <w:r>
              <w:rPr>
                <w:rFonts w:hint="eastAsia" w:ascii="宋体" w:hAnsi="宋体" w:eastAsia="宋体" w:cs="宋体"/>
                <w:spacing w:val="2"/>
                <w:sz w:val="19"/>
                <w:szCs w:val="19"/>
              </w:rPr>
              <w:t>其中：基本支出：</w:t>
            </w:r>
            <w:r>
              <w:rPr>
                <w:rFonts w:hint="eastAsia" w:ascii="宋体" w:hAnsi="宋体" w:eastAsia="宋体" w:cs="宋体"/>
                <w:spacing w:val="2"/>
                <w:sz w:val="19"/>
                <w:szCs w:val="19"/>
                <w:lang w:val="en-US" w:eastAsia="zh-CN"/>
              </w:rPr>
              <w:t>772.59</w:t>
            </w:r>
          </w:p>
        </w:tc>
      </w:tr>
      <w:tr w14:paraId="0462EB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vAlign w:val="top"/>
          </w:tcPr>
          <w:p w14:paraId="52543CF4">
            <w:pPr>
              <w:pStyle w:val="9"/>
              <w:rPr>
                <w:rFonts w:hint="eastAsia" w:ascii="宋体" w:hAnsi="宋体" w:eastAsia="宋体" w:cs="宋体"/>
              </w:rPr>
            </w:pPr>
          </w:p>
        </w:tc>
        <w:tc>
          <w:tcPr>
            <w:tcW w:w="4789" w:type="dxa"/>
            <w:gridSpan w:val="4"/>
            <w:vAlign w:val="top"/>
          </w:tcPr>
          <w:p w14:paraId="3475A9B0">
            <w:pPr>
              <w:spacing w:before="21" w:line="207" w:lineRule="auto"/>
              <w:ind w:left="916"/>
              <w:rPr>
                <w:rFonts w:hint="eastAsia" w:ascii="宋体" w:hAnsi="宋体" w:eastAsia="宋体" w:cs="宋体"/>
                <w:sz w:val="19"/>
                <w:szCs w:val="19"/>
              </w:rPr>
            </w:pPr>
            <w:r>
              <w:rPr>
                <w:rFonts w:hint="eastAsia" w:ascii="宋体" w:hAnsi="宋体" w:eastAsia="宋体" w:cs="宋体"/>
                <w:spacing w:val="2"/>
                <w:sz w:val="19"/>
                <w:szCs w:val="19"/>
              </w:rPr>
              <w:t>政府性基金拨款：</w:t>
            </w:r>
          </w:p>
        </w:tc>
        <w:tc>
          <w:tcPr>
            <w:tcW w:w="4210" w:type="dxa"/>
            <w:gridSpan w:val="4"/>
            <w:vAlign w:val="top"/>
          </w:tcPr>
          <w:p w14:paraId="3A7DCA01">
            <w:pPr>
              <w:spacing w:before="21" w:line="207" w:lineRule="auto"/>
              <w:ind w:left="717" w:leftChars="0"/>
              <w:rPr>
                <w:rFonts w:hint="default" w:ascii="宋体" w:hAnsi="宋体" w:eastAsia="宋体" w:cs="宋体"/>
                <w:sz w:val="19"/>
                <w:szCs w:val="19"/>
                <w:lang w:val="en-US" w:eastAsia="zh-CN"/>
              </w:rPr>
            </w:pPr>
            <w:r>
              <w:rPr>
                <w:rFonts w:hint="eastAsia" w:ascii="宋体" w:hAnsi="宋体" w:eastAsia="宋体" w:cs="宋体"/>
                <w:spacing w:val="-3"/>
                <w:sz w:val="19"/>
                <w:szCs w:val="19"/>
              </w:rPr>
              <w:t>项目支出：</w:t>
            </w:r>
            <w:r>
              <w:rPr>
                <w:rFonts w:hint="eastAsia" w:ascii="宋体" w:hAnsi="宋体" w:eastAsia="宋体" w:cs="宋体"/>
                <w:spacing w:val="-3"/>
                <w:sz w:val="19"/>
                <w:szCs w:val="19"/>
                <w:lang w:val="en-US" w:eastAsia="zh-CN"/>
              </w:rPr>
              <w:t>1423.36</w:t>
            </w:r>
          </w:p>
        </w:tc>
      </w:tr>
      <w:tr w14:paraId="67E036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vAlign w:val="top"/>
          </w:tcPr>
          <w:p w14:paraId="735CA75A">
            <w:pPr>
              <w:pStyle w:val="9"/>
              <w:rPr>
                <w:rFonts w:hint="eastAsia" w:ascii="宋体" w:hAnsi="宋体" w:eastAsia="宋体" w:cs="宋体"/>
              </w:rPr>
            </w:pPr>
          </w:p>
        </w:tc>
        <w:tc>
          <w:tcPr>
            <w:tcW w:w="4789" w:type="dxa"/>
            <w:gridSpan w:val="4"/>
            <w:vAlign w:val="top"/>
          </w:tcPr>
          <w:p w14:paraId="201C5C5D">
            <w:pPr>
              <w:spacing w:before="20" w:line="208" w:lineRule="auto"/>
              <w:ind w:left="115"/>
              <w:rPr>
                <w:rFonts w:hint="eastAsia" w:ascii="宋体" w:hAnsi="宋体" w:eastAsia="宋体" w:cs="宋体"/>
                <w:sz w:val="19"/>
                <w:szCs w:val="19"/>
              </w:rPr>
            </w:pPr>
            <w:r>
              <w:rPr>
                <w:rFonts w:hint="eastAsia" w:ascii="宋体" w:hAnsi="宋体" w:eastAsia="宋体" w:cs="宋体"/>
                <w:spacing w:val="5"/>
                <w:sz w:val="19"/>
                <w:szCs w:val="19"/>
              </w:rPr>
              <w:t>纳入专户管理的非税收入拨款：</w:t>
            </w:r>
          </w:p>
        </w:tc>
        <w:tc>
          <w:tcPr>
            <w:tcW w:w="4210" w:type="dxa"/>
            <w:gridSpan w:val="4"/>
            <w:vAlign w:val="top"/>
          </w:tcPr>
          <w:p w14:paraId="6172FD80">
            <w:pPr>
              <w:pStyle w:val="9"/>
              <w:spacing w:line="235" w:lineRule="exact"/>
              <w:rPr>
                <w:rFonts w:hint="eastAsia" w:ascii="宋体" w:hAnsi="宋体" w:eastAsia="宋体" w:cs="宋体"/>
                <w:sz w:val="20"/>
              </w:rPr>
            </w:pPr>
          </w:p>
        </w:tc>
      </w:tr>
      <w:tr w14:paraId="2BC674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tcBorders>
            <w:vAlign w:val="top"/>
          </w:tcPr>
          <w:p w14:paraId="00AEAADF">
            <w:pPr>
              <w:pStyle w:val="9"/>
              <w:rPr>
                <w:rFonts w:hint="eastAsia" w:ascii="宋体" w:hAnsi="宋体" w:eastAsia="宋体" w:cs="宋体"/>
              </w:rPr>
            </w:pPr>
          </w:p>
        </w:tc>
        <w:tc>
          <w:tcPr>
            <w:tcW w:w="4789" w:type="dxa"/>
            <w:gridSpan w:val="4"/>
            <w:vAlign w:val="top"/>
          </w:tcPr>
          <w:p w14:paraId="7A0742EA">
            <w:pPr>
              <w:spacing w:before="20" w:line="208" w:lineRule="auto"/>
              <w:ind w:left="1512"/>
              <w:rPr>
                <w:rFonts w:hint="default" w:ascii="宋体" w:hAnsi="宋体" w:eastAsia="宋体" w:cs="宋体"/>
                <w:sz w:val="19"/>
                <w:szCs w:val="19"/>
                <w:lang w:val="en-US" w:eastAsia="zh-CN"/>
              </w:rPr>
            </w:pPr>
            <w:r>
              <w:rPr>
                <w:rFonts w:hint="eastAsia" w:ascii="宋体" w:hAnsi="宋体" w:eastAsia="宋体" w:cs="宋体"/>
                <w:spacing w:val="-2"/>
                <w:sz w:val="19"/>
                <w:szCs w:val="19"/>
              </w:rPr>
              <w:t>其他资金：31.22</w:t>
            </w:r>
          </w:p>
        </w:tc>
        <w:tc>
          <w:tcPr>
            <w:tcW w:w="4210" w:type="dxa"/>
            <w:gridSpan w:val="4"/>
            <w:vAlign w:val="top"/>
          </w:tcPr>
          <w:p w14:paraId="492CC969">
            <w:pPr>
              <w:pStyle w:val="9"/>
              <w:spacing w:line="235" w:lineRule="exact"/>
              <w:rPr>
                <w:rFonts w:hint="eastAsia" w:ascii="宋体" w:hAnsi="宋体" w:eastAsia="宋体" w:cs="宋体"/>
                <w:sz w:val="20"/>
              </w:rPr>
            </w:pPr>
          </w:p>
        </w:tc>
      </w:tr>
      <w:tr w14:paraId="200CC0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restart"/>
            <w:tcBorders>
              <w:bottom w:val="nil"/>
            </w:tcBorders>
            <w:vAlign w:val="top"/>
          </w:tcPr>
          <w:p w14:paraId="577D2CE9">
            <w:pPr>
              <w:pStyle w:val="9"/>
              <w:spacing w:line="242" w:lineRule="auto"/>
              <w:rPr>
                <w:rFonts w:hint="eastAsia" w:ascii="宋体" w:hAnsi="宋体" w:eastAsia="宋体" w:cs="宋体"/>
              </w:rPr>
            </w:pPr>
          </w:p>
          <w:p w14:paraId="56827C23">
            <w:pPr>
              <w:pStyle w:val="9"/>
              <w:spacing w:line="243" w:lineRule="auto"/>
              <w:rPr>
                <w:rFonts w:hint="eastAsia" w:ascii="宋体" w:hAnsi="宋体" w:eastAsia="宋体" w:cs="宋体"/>
              </w:rPr>
            </w:pPr>
          </w:p>
          <w:p w14:paraId="551FB045">
            <w:pPr>
              <w:spacing w:before="62" w:line="230" w:lineRule="auto"/>
              <w:ind w:left="382" w:right="139" w:hanging="232"/>
              <w:jc w:val="left"/>
              <w:rPr>
                <w:rFonts w:hint="eastAsia" w:ascii="宋体" w:hAnsi="宋体" w:eastAsia="宋体" w:cs="宋体"/>
                <w:sz w:val="19"/>
                <w:szCs w:val="19"/>
              </w:rPr>
            </w:pPr>
            <w:r>
              <w:rPr>
                <w:rFonts w:hint="eastAsia" w:ascii="宋体" w:hAnsi="宋体" w:eastAsia="宋体" w:cs="宋体"/>
                <w:spacing w:val="7"/>
                <w:sz w:val="19"/>
                <w:szCs w:val="19"/>
              </w:rPr>
              <w:t>年度总体</w:t>
            </w:r>
            <w:r>
              <w:rPr>
                <w:rFonts w:hint="eastAsia" w:ascii="宋体" w:hAnsi="宋体" w:eastAsia="宋体" w:cs="宋体"/>
                <w:sz w:val="19"/>
                <w:szCs w:val="19"/>
              </w:rPr>
              <w:t xml:space="preserve"> </w:t>
            </w:r>
            <w:r>
              <w:rPr>
                <w:rFonts w:hint="eastAsia" w:ascii="宋体" w:hAnsi="宋体" w:eastAsia="宋体" w:cs="宋体"/>
                <w:spacing w:val="-7"/>
                <w:sz w:val="19"/>
                <w:szCs w:val="19"/>
              </w:rPr>
              <w:t>目标</w:t>
            </w:r>
          </w:p>
        </w:tc>
        <w:tc>
          <w:tcPr>
            <w:tcW w:w="4789" w:type="dxa"/>
            <w:gridSpan w:val="4"/>
            <w:vAlign w:val="top"/>
          </w:tcPr>
          <w:p w14:paraId="02DD372D">
            <w:pPr>
              <w:spacing w:before="20" w:line="208" w:lineRule="auto"/>
              <w:ind w:left="1959"/>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210" w:type="dxa"/>
            <w:gridSpan w:val="4"/>
            <w:vAlign w:val="top"/>
          </w:tcPr>
          <w:p w14:paraId="1895CC64">
            <w:pPr>
              <w:spacing w:before="20" w:line="208" w:lineRule="auto"/>
              <w:ind w:left="1567"/>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0F9878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4" w:hRule="atLeast"/>
        </w:trPr>
        <w:tc>
          <w:tcPr>
            <w:tcW w:w="1084" w:type="dxa"/>
            <w:vMerge w:val="continue"/>
            <w:tcBorders>
              <w:top w:val="nil"/>
            </w:tcBorders>
            <w:vAlign w:val="top"/>
          </w:tcPr>
          <w:p w14:paraId="45CAEF49">
            <w:pPr>
              <w:pStyle w:val="9"/>
              <w:rPr>
                <w:rFonts w:hint="eastAsia" w:ascii="宋体" w:hAnsi="宋体" w:eastAsia="宋体" w:cs="宋体"/>
              </w:rPr>
            </w:pPr>
          </w:p>
        </w:tc>
        <w:tc>
          <w:tcPr>
            <w:tcW w:w="4789" w:type="dxa"/>
            <w:gridSpan w:val="4"/>
            <w:vAlign w:val="center"/>
          </w:tcPr>
          <w:p w14:paraId="2CA2C432">
            <w:pPr>
              <w:keepNext w:val="0"/>
              <w:keepLines w:val="0"/>
              <w:widowControl/>
              <w:suppressLineNumbers w:val="0"/>
              <w:jc w:val="left"/>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2024年居民参保率达到95%，医疗救助人次达到14000人\次，社会公众满意度达95%以上</w:t>
            </w:r>
          </w:p>
        </w:tc>
        <w:tc>
          <w:tcPr>
            <w:tcW w:w="4210" w:type="dxa"/>
            <w:gridSpan w:val="4"/>
            <w:vAlign w:val="center"/>
          </w:tcPr>
          <w:p w14:paraId="68748D6B">
            <w:pPr>
              <w:keepNext w:val="0"/>
              <w:keepLines w:val="0"/>
              <w:widowControl/>
              <w:suppressLineNumbers w:val="0"/>
              <w:jc w:val="left"/>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2024年居民参保率达到95%，医疗救助人次达到30018人\次，社会公众满意度达95%以上</w:t>
            </w:r>
          </w:p>
        </w:tc>
      </w:tr>
      <w:tr w14:paraId="12AC6B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84" w:type="dxa"/>
            <w:vMerge w:val="restart"/>
            <w:tcBorders>
              <w:top w:val="single" w:color="auto" w:sz="4" w:space="0"/>
              <w:left w:val="single" w:color="auto" w:sz="4" w:space="0"/>
              <w:bottom w:val="single" w:color="auto" w:sz="4" w:space="0"/>
              <w:right w:val="single" w:color="auto" w:sz="4" w:space="0"/>
            </w:tcBorders>
            <w:textDirection w:val="tbRlV"/>
            <w:vAlign w:val="top"/>
          </w:tcPr>
          <w:p w14:paraId="49843BCF">
            <w:pPr>
              <w:pStyle w:val="9"/>
              <w:spacing w:line="364" w:lineRule="auto"/>
              <w:rPr>
                <w:rFonts w:hint="eastAsia" w:ascii="宋体" w:hAnsi="宋体" w:eastAsia="宋体" w:cs="宋体"/>
              </w:rPr>
            </w:pPr>
          </w:p>
          <w:p w14:paraId="137D3225">
            <w:pPr>
              <w:spacing w:before="64" w:line="216" w:lineRule="auto"/>
              <w:ind w:left="3168"/>
              <w:rPr>
                <w:rFonts w:hint="eastAsia" w:ascii="宋体" w:hAnsi="宋体" w:eastAsia="宋体" w:cs="宋体"/>
                <w:sz w:val="19"/>
                <w:szCs w:val="19"/>
              </w:rPr>
            </w:pPr>
            <w:r>
              <w:rPr>
                <w:rFonts w:hint="eastAsia" w:ascii="宋体" w:hAnsi="宋体" w:eastAsia="宋体" w:cs="宋体"/>
                <w:spacing w:val="39"/>
                <w:sz w:val="19"/>
                <w:szCs w:val="19"/>
              </w:rPr>
              <w:t>绩效指标</w:t>
            </w:r>
          </w:p>
        </w:tc>
        <w:tc>
          <w:tcPr>
            <w:tcW w:w="944" w:type="dxa"/>
            <w:tcBorders>
              <w:top w:val="single" w:color="auto" w:sz="4" w:space="0"/>
              <w:left w:val="single" w:color="auto" w:sz="4" w:space="0"/>
              <w:bottom w:val="single" w:color="auto" w:sz="4" w:space="0"/>
              <w:right w:val="single" w:color="auto" w:sz="4" w:space="0"/>
            </w:tcBorders>
            <w:vAlign w:val="top"/>
          </w:tcPr>
          <w:p w14:paraId="0C414F2B">
            <w:pPr>
              <w:spacing w:before="141" w:line="226" w:lineRule="auto"/>
              <w:ind w:left="156"/>
              <w:rPr>
                <w:rFonts w:hint="eastAsia" w:ascii="宋体" w:hAnsi="宋体" w:eastAsia="宋体" w:cs="宋体"/>
                <w:sz w:val="19"/>
                <w:szCs w:val="19"/>
              </w:rPr>
            </w:pPr>
            <w:r>
              <w:rPr>
                <w:rFonts w:hint="eastAsia" w:ascii="宋体" w:hAnsi="宋体" w:eastAsia="宋体" w:cs="宋体"/>
                <w:spacing w:val="4"/>
                <w:sz w:val="19"/>
                <w:szCs w:val="19"/>
              </w:rPr>
              <w:t>一级指标</w:t>
            </w:r>
          </w:p>
        </w:tc>
        <w:tc>
          <w:tcPr>
            <w:tcW w:w="1053" w:type="dxa"/>
            <w:tcBorders>
              <w:top w:val="single" w:color="auto" w:sz="4" w:space="0"/>
              <w:left w:val="single" w:color="auto" w:sz="4" w:space="0"/>
              <w:bottom w:val="single" w:color="auto" w:sz="4" w:space="0"/>
              <w:right w:val="single" w:color="auto" w:sz="4" w:space="0"/>
            </w:tcBorders>
            <w:vAlign w:val="top"/>
          </w:tcPr>
          <w:p w14:paraId="5E326523">
            <w:pPr>
              <w:spacing w:before="141" w:line="226" w:lineRule="auto"/>
              <w:ind w:left="132"/>
              <w:rPr>
                <w:rFonts w:hint="eastAsia" w:ascii="宋体" w:hAnsi="宋体" w:eastAsia="宋体" w:cs="宋体"/>
                <w:sz w:val="19"/>
                <w:szCs w:val="19"/>
              </w:rPr>
            </w:pPr>
            <w:r>
              <w:rPr>
                <w:rFonts w:hint="eastAsia" w:ascii="宋体" w:hAnsi="宋体" w:eastAsia="宋体" w:cs="宋体"/>
                <w:spacing w:val="5"/>
                <w:sz w:val="19"/>
                <w:szCs w:val="19"/>
              </w:rPr>
              <w:t>二级指标</w:t>
            </w:r>
          </w:p>
        </w:tc>
        <w:tc>
          <w:tcPr>
            <w:tcW w:w="1580" w:type="dxa"/>
            <w:tcBorders>
              <w:left w:val="single" w:color="auto" w:sz="4" w:space="0"/>
            </w:tcBorders>
            <w:vAlign w:val="top"/>
          </w:tcPr>
          <w:p w14:paraId="4FF86584">
            <w:pPr>
              <w:spacing w:before="141" w:line="226" w:lineRule="auto"/>
              <w:ind w:left="253"/>
              <w:rPr>
                <w:rFonts w:hint="eastAsia" w:ascii="宋体" w:hAnsi="宋体" w:eastAsia="宋体" w:cs="宋体"/>
                <w:sz w:val="19"/>
                <w:szCs w:val="19"/>
              </w:rPr>
            </w:pPr>
            <w:r>
              <w:rPr>
                <w:rFonts w:hint="eastAsia" w:ascii="宋体" w:hAnsi="宋体" w:eastAsia="宋体" w:cs="宋体"/>
                <w:spacing w:val="4"/>
                <w:sz w:val="19"/>
                <w:szCs w:val="19"/>
              </w:rPr>
              <w:t>三级指标</w:t>
            </w:r>
          </w:p>
        </w:tc>
        <w:tc>
          <w:tcPr>
            <w:tcW w:w="1212" w:type="dxa"/>
            <w:vAlign w:val="top"/>
          </w:tcPr>
          <w:p w14:paraId="49767603">
            <w:pPr>
              <w:spacing w:before="141" w:line="226" w:lineRule="auto"/>
              <w:ind w:left="114"/>
              <w:rPr>
                <w:rFonts w:hint="eastAsia" w:ascii="宋体" w:hAnsi="宋体" w:eastAsia="宋体" w:cs="宋体"/>
                <w:sz w:val="19"/>
                <w:szCs w:val="19"/>
              </w:rPr>
            </w:pPr>
            <w:r>
              <w:rPr>
                <w:rFonts w:hint="eastAsia" w:ascii="宋体" w:hAnsi="宋体" w:eastAsia="宋体" w:cs="宋体"/>
                <w:spacing w:val="7"/>
                <w:sz w:val="19"/>
                <w:szCs w:val="19"/>
              </w:rPr>
              <w:t>年度指标值</w:t>
            </w:r>
          </w:p>
        </w:tc>
        <w:tc>
          <w:tcPr>
            <w:tcW w:w="1286" w:type="dxa"/>
            <w:vAlign w:val="top"/>
          </w:tcPr>
          <w:p w14:paraId="54429491">
            <w:pPr>
              <w:spacing w:before="141" w:line="226" w:lineRule="auto"/>
              <w:ind w:left="125"/>
              <w:rPr>
                <w:rFonts w:hint="eastAsia" w:ascii="宋体" w:hAnsi="宋体" w:eastAsia="宋体" w:cs="宋体"/>
                <w:sz w:val="19"/>
                <w:szCs w:val="19"/>
              </w:rPr>
            </w:pPr>
            <w:r>
              <w:rPr>
                <w:rFonts w:hint="eastAsia" w:ascii="宋体" w:hAnsi="宋体" w:eastAsia="宋体" w:cs="宋体"/>
                <w:spacing w:val="5"/>
                <w:sz w:val="19"/>
                <w:szCs w:val="19"/>
              </w:rPr>
              <w:t>实际完成值</w:t>
            </w:r>
          </w:p>
        </w:tc>
        <w:tc>
          <w:tcPr>
            <w:tcW w:w="735" w:type="dxa"/>
            <w:vAlign w:val="top"/>
          </w:tcPr>
          <w:p w14:paraId="36EBB5C9">
            <w:pPr>
              <w:spacing w:before="141" w:line="227" w:lineRule="auto"/>
              <w:ind w:left="166"/>
              <w:rPr>
                <w:rFonts w:hint="eastAsia" w:ascii="宋体" w:hAnsi="宋体" w:eastAsia="宋体" w:cs="宋体"/>
                <w:sz w:val="19"/>
                <w:szCs w:val="19"/>
              </w:rPr>
            </w:pPr>
            <w:r>
              <w:rPr>
                <w:rFonts w:hint="eastAsia" w:ascii="宋体" w:hAnsi="宋体" w:eastAsia="宋体" w:cs="宋体"/>
                <w:spacing w:val="4"/>
                <w:sz w:val="19"/>
                <w:szCs w:val="19"/>
              </w:rPr>
              <w:t>分值</w:t>
            </w:r>
          </w:p>
        </w:tc>
        <w:tc>
          <w:tcPr>
            <w:tcW w:w="739" w:type="dxa"/>
            <w:vAlign w:val="top"/>
          </w:tcPr>
          <w:p w14:paraId="60CCFA84">
            <w:pPr>
              <w:spacing w:before="174" w:line="218" w:lineRule="auto"/>
              <w:ind w:left="150"/>
              <w:rPr>
                <w:rFonts w:hint="eastAsia" w:ascii="宋体" w:hAnsi="宋体" w:eastAsia="宋体" w:cs="宋体"/>
                <w:sz w:val="16"/>
                <w:szCs w:val="16"/>
              </w:rPr>
            </w:pPr>
            <w:r>
              <w:rPr>
                <w:rFonts w:hint="eastAsia" w:ascii="宋体" w:hAnsi="宋体" w:eastAsia="宋体" w:cs="宋体"/>
                <w:spacing w:val="-9"/>
                <w:sz w:val="16"/>
                <w:szCs w:val="16"/>
              </w:rPr>
              <w:t>自评得分</w:t>
            </w:r>
          </w:p>
        </w:tc>
        <w:tc>
          <w:tcPr>
            <w:tcW w:w="1450" w:type="dxa"/>
            <w:vAlign w:val="top"/>
          </w:tcPr>
          <w:p w14:paraId="4A7EF8ED">
            <w:pPr>
              <w:spacing w:before="21" w:line="220" w:lineRule="auto"/>
              <w:ind w:left="111" w:right="109" w:firstLine="1"/>
              <w:rPr>
                <w:rFonts w:hint="eastAsia" w:ascii="宋体" w:hAnsi="宋体" w:eastAsia="宋体" w:cs="宋体"/>
                <w:sz w:val="19"/>
                <w:szCs w:val="19"/>
              </w:rPr>
            </w:pPr>
            <w:r>
              <w:rPr>
                <w:rFonts w:hint="eastAsia" w:ascii="宋体" w:hAnsi="宋体" w:eastAsia="宋体" w:cs="宋体"/>
                <w:spacing w:val="13"/>
                <w:sz w:val="19"/>
                <w:szCs w:val="19"/>
              </w:rPr>
              <w:t>偏差原因</w:t>
            </w:r>
            <w:r>
              <w:rPr>
                <w:rFonts w:hint="eastAsia" w:ascii="宋体" w:hAnsi="宋体" w:cs="宋体"/>
                <w:spacing w:val="13"/>
                <w:sz w:val="19"/>
                <w:szCs w:val="19"/>
                <w:lang w:eastAsia="zh-CN"/>
              </w:rPr>
              <w:t>分</w:t>
            </w:r>
            <w:r>
              <w:rPr>
                <w:rFonts w:hint="eastAsia" w:ascii="宋体" w:hAnsi="宋体" w:eastAsia="宋体" w:cs="宋体"/>
                <w:spacing w:val="13"/>
                <w:sz w:val="19"/>
                <w:szCs w:val="19"/>
              </w:rPr>
              <w:t>析</w:t>
            </w:r>
            <w:r>
              <w:rPr>
                <w:rFonts w:hint="eastAsia" w:ascii="宋体" w:hAnsi="宋体" w:eastAsia="宋体" w:cs="宋体"/>
                <w:spacing w:val="8"/>
                <w:sz w:val="19"/>
                <w:szCs w:val="19"/>
              </w:rPr>
              <w:t>及改进措施</w:t>
            </w:r>
          </w:p>
        </w:tc>
      </w:tr>
      <w:tr w14:paraId="757BDB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772A401E">
            <w:pPr>
              <w:pStyle w:val="9"/>
              <w:rPr>
                <w:rFonts w:hint="eastAsia" w:ascii="宋体" w:hAnsi="宋体" w:eastAsia="宋体" w:cs="宋体"/>
              </w:rPr>
            </w:pPr>
          </w:p>
        </w:tc>
        <w:tc>
          <w:tcPr>
            <w:tcW w:w="944" w:type="dxa"/>
            <w:vMerge w:val="restart"/>
            <w:tcBorders>
              <w:top w:val="single" w:color="auto" w:sz="4" w:space="0"/>
              <w:left w:val="single" w:color="auto" w:sz="4" w:space="0"/>
              <w:right w:val="single" w:color="auto" w:sz="4" w:space="0"/>
            </w:tcBorders>
            <w:vAlign w:val="center"/>
          </w:tcPr>
          <w:p w14:paraId="6E655F88">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产出指标</w:t>
            </w:r>
          </w:p>
        </w:tc>
        <w:tc>
          <w:tcPr>
            <w:tcW w:w="1053" w:type="dxa"/>
            <w:tcBorders>
              <w:top w:val="single" w:color="auto" w:sz="4" w:space="0"/>
              <w:left w:val="single" w:color="auto" w:sz="4" w:space="0"/>
              <w:right w:val="single" w:color="auto" w:sz="4" w:space="0"/>
            </w:tcBorders>
            <w:vAlign w:val="center"/>
          </w:tcPr>
          <w:p w14:paraId="3C2DA70F">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数量指标</w:t>
            </w:r>
          </w:p>
        </w:tc>
        <w:tc>
          <w:tcPr>
            <w:tcW w:w="1580" w:type="dxa"/>
            <w:tcBorders>
              <w:left w:val="single" w:color="auto" w:sz="4" w:space="0"/>
            </w:tcBorders>
            <w:vAlign w:val="center"/>
          </w:tcPr>
          <w:p w14:paraId="48C7CBB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仿宋" w:hAnsi="仿宋" w:eastAsia="仿宋" w:cs="仿宋"/>
                <w:i w:val="0"/>
                <w:iCs w:val="0"/>
                <w:color w:val="000000"/>
                <w:kern w:val="0"/>
                <w:sz w:val="18"/>
                <w:szCs w:val="18"/>
                <w:u w:val="none"/>
                <w:lang w:val="en-US" w:eastAsia="zh-CN" w:bidi="ar"/>
              </w:rPr>
              <w:t>居民参保率</w:t>
            </w:r>
          </w:p>
        </w:tc>
        <w:tc>
          <w:tcPr>
            <w:tcW w:w="1212" w:type="dxa"/>
            <w:vAlign w:val="center"/>
          </w:tcPr>
          <w:p w14:paraId="675693D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18"/>
                <w:szCs w:val="18"/>
                <w:u w:val="none"/>
                <w:lang w:val="en-US" w:eastAsia="zh-CN" w:bidi="ar"/>
              </w:rPr>
              <w:t>95</w:t>
            </w:r>
          </w:p>
        </w:tc>
        <w:tc>
          <w:tcPr>
            <w:tcW w:w="1286" w:type="dxa"/>
            <w:vAlign w:val="center"/>
          </w:tcPr>
          <w:p w14:paraId="5F39D9E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18"/>
                <w:szCs w:val="18"/>
                <w:u w:val="none"/>
                <w:lang w:val="en-US" w:eastAsia="zh-CN" w:bidi="ar"/>
              </w:rPr>
              <w:t>95</w:t>
            </w:r>
          </w:p>
        </w:tc>
        <w:tc>
          <w:tcPr>
            <w:tcW w:w="735" w:type="dxa"/>
            <w:vAlign w:val="center"/>
          </w:tcPr>
          <w:p w14:paraId="4FC5264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18"/>
                <w:szCs w:val="18"/>
                <w:u w:val="none"/>
                <w:lang w:val="en-US" w:eastAsia="zh-CN" w:bidi="ar"/>
              </w:rPr>
              <w:t>10</w:t>
            </w:r>
          </w:p>
        </w:tc>
        <w:tc>
          <w:tcPr>
            <w:tcW w:w="739" w:type="dxa"/>
            <w:vAlign w:val="center"/>
          </w:tcPr>
          <w:p w14:paraId="454B00F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18"/>
                <w:szCs w:val="18"/>
                <w:u w:val="none"/>
                <w:lang w:val="en-US" w:eastAsia="zh-CN" w:bidi="ar"/>
              </w:rPr>
              <w:t>10</w:t>
            </w:r>
          </w:p>
        </w:tc>
        <w:tc>
          <w:tcPr>
            <w:tcW w:w="1450" w:type="dxa"/>
            <w:vAlign w:val="center"/>
          </w:tcPr>
          <w:p w14:paraId="7FEBDB1A">
            <w:pPr>
              <w:jc w:val="center"/>
              <w:rPr>
                <w:rFonts w:hint="eastAsia" w:ascii="宋体" w:hAnsi="宋体" w:eastAsia="宋体" w:cs="宋体"/>
                <w:i w:val="0"/>
                <w:iCs w:val="0"/>
                <w:color w:val="000000"/>
                <w:kern w:val="0"/>
                <w:sz w:val="21"/>
                <w:szCs w:val="21"/>
                <w:u w:val="none"/>
                <w:lang w:val="en-US" w:eastAsia="zh-CN" w:bidi="ar"/>
              </w:rPr>
            </w:pPr>
          </w:p>
        </w:tc>
      </w:tr>
      <w:tr w14:paraId="0D0575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77C7625B">
            <w:pPr>
              <w:pStyle w:val="9"/>
              <w:rPr>
                <w:rFonts w:hint="eastAsia" w:ascii="宋体" w:hAnsi="宋体" w:eastAsia="宋体" w:cs="宋体"/>
              </w:rPr>
            </w:pPr>
          </w:p>
        </w:tc>
        <w:tc>
          <w:tcPr>
            <w:tcW w:w="944" w:type="dxa"/>
            <w:vMerge w:val="continue"/>
            <w:tcBorders>
              <w:left w:val="single" w:color="auto" w:sz="4" w:space="0"/>
              <w:right w:val="single" w:color="auto" w:sz="4" w:space="0"/>
            </w:tcBorders>
            <w:vAlign w:val="center"/>
          </w:tcPr>
          <w:p w14:paraId="187A6B26">
            <w:pPr>
              <w:rPr>
                <w:rFonts w:hint="eastAsia" w:ascii="宋体" w:hAnsi="宋体" w:eastAsia="宋体" w:cs="宋体"/>
                <w:i w:val="0"/>
                <w:iCs w:val="0"/>
                <w:color w:val="000000"/>
                <w:kern w:val="0"/>
                <w:sz w:val="21"/>
                <w:szCs w:val="21"/>
                <w:u w:val="none"/>
                <w:lang w:val="en-US" w:eastAsia="zh-CN" w:bidi="ar"/>
              </w:rPr>
            </w:pPr>
          </w:p>
        </w:tc>
        <w:tc>
          <w:tcPr>
            <w:tcW w:w="1053" w:type="dxa"/>
            <w:tcBorders>
              <w:left w:val="single" w:color="auto" w:sz="4" w:space="0"/>
              <w:right w:val="single" w:color="auto" w:sz="4" w:space="0"/>
            </w:tcBorders>
            <w:vAlign w:val="center"/>
          </w:tcPr>
          <w:p w14:paraId="5B86F686">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质量指标</w:t>
            </w:r>
          </w:p>
        </w:tc>
        <w:tc>
          <w:tcPr>
            <w:tcW w:w="1580" w:type="dxa"/>
            <w:tcBorders>
              <w:left w:val="single" w:color="auto" w:sz="4" w:space="0"/>
            </w:tcBorders>
            <w:vAlign w:val="center"/>
          </w:tcPr>
          <w:p w14:paraId="3132245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仿宋" w:hAnsi="仿宋" w:eastAsia="仿宋" w:cs="仿宋"/>
                <w:i w:val="0"/>
                <w:iCs w:val="0"/>
                <w:color w:val="000000"/>
                <w:kern w:val="0"/>
                <w:sz w:val="18"/>
                <w:szCs w:val="18"/>
                <w:u w:val="none"/>
                <w:lang w:val="en-US" w:eastAsia="zh-CN" w:bidi="ar"/>
              </w:rPr>
              <w:t>医疗救助人次</w:t>
            </w:r>
          </w:p>
        </w:tc>
        <w:tc>
          <w:tcPr>
            <w:tcW w:w="1212" w:type="dxa"/>
            <w:vAlign w:val="center"/>
          </w:tcPr>
          <w:p w14:paraId="21CB73B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18"/>
                <w:szCs w:val="18"/>
                <w:u w:val="none"/>
                <w:lang w:val="en-US" w:eastAsia="zh-CN" w:bidi="ar"/>
              </w:rPr>
              <w:t>14000</w:t>
            </w:r>
          </w:p>
        </w:tc>
        <w:tc>
          <w:tcPr>
            <w:tcW w:w="1286" w:type="dxa"/>
            <w:vAlign w:val="center"/>
          </w:tcPr>
          <w:p w14:paraId="2C583BD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18"/>
                <w:szCs w:val="18"/>
                <w:u w:val="none"/>
                <w:lang w:val="en-US" w:eastAsia="zh-CN" w:bidi="ar"/>
              </w:rPr>
              <w:t>30018</w:t>
            </w:r>
          </w:p>
        </w:tc>
        <w:tc>
          <w:tcPr>
            <w:tcW w:w="735" w:type="dxa"/>
            <w:vAlign w:val="center"/>
          </w:tcPr>
          <w:p w14:paraId="3A2BA1A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18"/>
                <w:szCs w:val="18"/>
                <w:u w:val="none"/>
                <w:lang w:val="en-US" w:eastAsia="zh-CN" w:bidi="ar"/>
              </w:rPr>
              <w:t>20</w:t>
            </w:r>
          </w:p>
        </w:tc>
        <w:tc>
          <w:tcPr>
            <w:tcW w:w="739" w:type="dxa"/>
            <w:vAlign w:val="center"/>
          </w:tcPr>
          <w:p w14:paraId="36D2E8E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18"/>
                <w:szCs w:val="18"/>
                <w:u w:val="none"/>
                <w:lang w:val="en-US" w:eastAsia="zh-CN" w:bidi="ar"/>
              </w:rPr>
              <w:t>20</w:t>
            </w:r>
          </w:p>
        </w:tc>
        <w:tc>
          <w:tcPr>
            <w:tcW w:w="1450" w:type="dxa"/>
            <w:vAlign w:val="center"/>
          </w:tcPr>
          <w:p w14:paraId="53BA8961">
            <w:pPr>
              <w:jc w:val="center"/>
              <w:rPr>
                <w:rFonts w:hint="eastAsia" w:ascii="宋体" w:hAnsi="宋体" w:eastAsia="宋体" w:cs="宋体"/>
                <w:i w:val="0"/>
                <w:iCs w:val="0"/>
                <w:color w:val="000000"/>
                <w:kern w:val="0"/>
                <w:sz w:val="21"/>
                <w:szCs w:val="21"/>
                <w:u w:val="none"/>
                <w:lang w:val="en-US" w:eastAsia="zh-CN" w:bidi="ar"/>
              </w:rPr>
            </w:pPr>
          </w:p>
        </w:tc>
      </w:tr>
      <w:tr w14:paraId="493F98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65E15783">
            <w:pPr>
              <w:pStyle w:val="9"/>
              <w:rPr>
                <w:rFonts w:hint="eastAsia" w:ascii="宋体" w:hAnsi="宋体" w:eastAsia="宋体" w:cs="宋体"/>
              </w:rPr>
            </w:pPr>
          </w:p>
        </w:tc>
        <w:tc>
          <w:tcPr>
            <w:tcW w:w="944" w:type="dxa"/>
            <w:vMerge w:val="continue"/>
            <w:tcBorders>
              <w:left w:val="single" w:color="auto" w:sz="4" w:space="0"/>
              <w:right w:val="single" w:color="auto" w:sz="4" w:space="0"/>
            </w:tcBorders>
            <w:vAlign w:val="center"/>
          </w:tcPr>
          <w:p w14:paraId="1F831895">
            <w:pPr>
              <w:rPr>
                <w:rFonts w:hint="eastAsia" w:ascii="宋体" w:hAnsi="宋体" w:eastAsia="宋体" w:cs="宋体"/>
                <w:sz w:val="21"/>
                <w:szCs w:val="21"/>
              </w:rPr>
            </w:pPr>
          </w:p>
        </w:tc>
        <w:tc>
          <w:tcPr>
            <w:tcW w:w="1053" w:type="dxa"/>
            <w:tcBorders>
              <w:left w:val="single" w:color="auto" w:sz="4" w:space="0"/>
              <w:bottom w:val="single" w:color="auto" w:sz="4" w:space="0"/>
              <w:right w:val="single" w:color="auto" w:sz="4" w:space="0"/>
            </w:tcBorders>
            <w:vAlign w:val="center"/>
          </w:tcPr>
          <w:p w14:paraId="10C9D7C4">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时效指标</w:t>
            </w:r>
          </w:p>
        </w:tc>
        <w:tc>
          <w:tcPr>
            <w:tcW w:w="1580" w:type="dxa"/>
            <w:tcBorders>
              <w:left w:val="single" w:color="auto" w:sz="4" w:space="0"/>
            </w:tcBorders>
            <w:vAlign w:val="center"/>
          </w:tcPr>
          <w:p w14:paraId="1986C469">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仿宋" w:hAnsi="仿宋" w:eastAsia="仿宋" w:cs="仿宋"/>
                <w:i w:val="0"/>
                <w:iCs w:val="0"/>
                <w:color w:val="000000"/>
                <w:kern w:val="0"/>
                <w:sz w:val="18"/>
                <w:szCs w:val="18"/>
                <w:u w:val="none"/>
                <w:lang w:val="en-US" w:eastAsia="zh-CN" w:bidi="ar"/>
              </w:rPr>
              <w:t>工作完成及时率</w:t>
            </w:r>
          </w:p>
        </w:tc>
        <w:tc>
          <w:tcPr>
            <w:tcW w:w="1212" w:type="dxa"/>
            <w:vAlign w:val="center"/>
          </w:tcPr>
          <w:p w14:paraId="48B94EB9">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default" w:ascii="仿宋_GB2312" w:hAnsi="宋体" w:eastAsia="仿宋_GB2312" w:cs="仿宋_GB2312"/>
                <w:i w:val="0"/>
                <w:iCs w:val="0"/>
                <w:color w:val="000000"/>
                <w:kern w:val="0"/>
                <w:sz w:val="18"/>
                <w:szCs w:val="18"/>
                <w:u w:val="none"/>
                <w:lang w:val="en-US" w:eastAsia="zh-CN" w:bidi="ar"/>
              </w:rPr>
              <w:t>100%</w:t>
            </w:r>
          </w:p>
        </w:tc>
        <w:tc>
          <w:tcPr>
            <w:tcW w:w="1286" w:type="dxa"/>
            <w:vAlign w:val="center"/>
          </w:tcPr>
          <w:p w14:paraId="1681B1A9">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default" w:ascii="仿宋_GB2312" w:hAnsi="宋体" w:eastAsia="仿宋_GB2312" w:cs="仿宋_GB2312"/>
                <w:i w:val="0"/>
                <w:iCs w:val="0"/>
                <w:color w:val="000000"/>
                <w:kern w:val="0"/>
                <w:sz w:val="18"/>
                <w:szCs w:val="18"/>
                <w:u w:val="none"/>
                <w:lang w:val="en-US" w:eastAsia="zh-CN" w:bidi="ar"/>
              </w:rPr>
              <w:t>100%</w:t>
            </w:r>
          </w:p>
        </w:tc>
        <w:tc>
          <w:tcPr>
            <w:tcW w:w="735" w:type="dxa"/>
            <w:vAlign w:val="center"/>
          </w:tcPr>
          <w:p w14:paraId="01C17741">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default" w:ascii="仿宋_GB2312" w:hAnsi="宋体" w:eastAsia="仿宋_GB2312" w:cs="仿宋_GB2312"/>
                <w:i w:val="0"/>
                <w:iCs w:val="0"/>
                <w:color w:val="000000"/>
                <w:kern w:val="0"/>
                <w:sz w:val="18"/>
                <w:szCs w:val="18"/>
                <w:u w:val="none"/>
                <w:lang w:val="en-US" w:eastAsia="zh-CN" w:bidi="ar"/>
              </w:rPr>
              <w:t>5</w:t>
            </w:r>
          </w:p>
        </w:tc>
        <w:tc>
          <w:tcPr>
            <w:tcW w:w="739" w:type="dxa"/>
            <w:vAlign w:val="center"/>
          </w:tcPr>
          <w:p w14:paraId="622D6C5D">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default" w:ascii="仿宋_GB2312" w:hAnsi="宋体" w:eastAsia="仿宋_GB2312" w:cs="仿宋_GB2312"/>
                <w:i w:val="0"/>
                <w:iCs w:val="0"/>
                <w:color w:val="000000"/>
                <w:kern w:val="0"/>
                <w:sz w:val="18"/>
                <w:szCs w:val="18"/>
                <w:u w:val="none"/>
                <w:lang w:val="en-US" w:eastAsia="zh-CN" w:bidi="ar"/>
              </w:rPr>
              <w:t>5</w:t>
            </w:r>
          </w:p>
        </w:tc>
        <w:tc>
          <w:tcPr>
            <w:tcW w:w="1450" w:type="dxa"/>
            <w:vAlign w:val="center"/>
          </w:tcPr>
          <w:p w14:paraId="344427C2">
            <w:pPr>
              <w:jc w:val="center"/>
              <w:rPr>
                <w:rFonts w:hint="eastAsia" w:ascii="宋体" w:hAnsi="宋体" w:eastAsia="宋体" w:cs="宋体"/>
                <w:sz w:val="21"/>
                <w:szCs w:val="21"/>
              </w:rPr>
            </w:pPr>
          </w:p>
        </w:tc>
      </w:tr>
      <w:tr w14:paraId="008DE9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29D92466">
            <w:pPr>
              <w:pStyle w:val="9"/>
              <w:rPr>
                <w:rFonts w:hint="eastAsia" w:ascii="宋体" w:hAnsi="宋体" w:eastAsia="宋体" w:cs="宋体"/>
              </w:rPr>
            </w:pPr>
          </w:p>
        </w:tc>
        <w:tc>
          <w:tcPr>
            <w:tcW w:w="944" w:type="dxa"/>
            <w:vMerge w:val="restart"/>
            <w:tcBorders>
              <w:left w:val="single" w:color="auto" w:sz="4" w:space="0"/>
              <w:right w:val="single" w:color="auto" w:sz="4" w:space="0"/>
            </w:tcBorders>
            <w:vAlign w:val="center"/>
          </w:tcPr>
          <w:p w14:paraId="1B6E5E3E">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效益指标</w:t>
            </w:r>
          </w:p>
        </w:tc>
        <w:tc>
          <w:tcPr>
            <w:tcW w:w="1053" w:type="dxa"/>
            <w:tcBorders>
              <w:top w:val="single" w:color="auto" w:sz="4" w:space="0"/>
              <w:left w:val="single" w:color="auto" w:sz="4" w:space="0"/>
              <w:bottom w:val="single" w:color="auto" w:sz="4" w:space="0"/>
              <w:right w:val="single" w:color="auto" w:sz="4" w:space="0"/>
            </w:tcBorders>
            <w:vAlign w:val="center"/>
          </w:tcPr>
          <w:p w14:paraId="440211B8">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经济效益指标</w:t>
            </w:r>
          </w:p>
        </w:tc>
        <w:tc>
          <w:tcPr>
            <w:tcW w:w="1580" w:type="dxa"/>
            <w:tcBorders>
              <w:left w:val="single" w:color="auto" w:sz="4" w:space="0"/>
            </w:tcBorders>
            <w:vAlign w:val="center"/>
          </w:tcPr>
          <w:p w14:paraId="025918E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仿宋" w:hAnsi="仿宋" w:eastAsia="仿宋" w:cs="仿宋"/>
                <w:i w:val="0"/>
                <w:iCs w:val="0"/>
                <w:color w:val="000000"/>
                <w:kern w:val="0"/>
                <w:sz w:val="18"/>
                <w:szCs w:val="18"/>
                <w:u w:val="none"/>
                <w:lang w:val="en-US" w:eastAsia="zh-CN" w:bidi="ar"/>
              </w:rPr>
              <w:t>医保基金的到位情况</w:t>
            </w:r>
          </w:p>
        </w:tc>
        <w:tc>
          <w:tcPr>
            <w:tcW w:w="1212" w:type="dxa"/>
            <w:vAlign w:val="center"/>
          </w:tcPr>
          <w:p w14:paraId="2B18D6E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18"/>
                <w:szCs w:val="18"/>
                <w:u w:val="none"/>
                <w:lang w:val="en-US" w:eastAsia="zh-CN" w:bidi="ar"/>
              </w:rPr>
              <w:t>基金到位及时率</w:t>
            </w:r>
          </w:p>
        </w:tc>
        <w:tc>
          <w:tcPr>
            <w:tcW w:w="1286" w:type="dxa"/>
            <w:vAlign w:val="center"/>
          </w:tcPr>
          <w:p w14:paraId="6B0E2FC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18"/>
                <w:szCs w:val="18"/>
                <w:u w:val="none"/>
                <w:lang w:val="en-US" w:eastAsia="zh-CN" w:bidi="ar"/>
              </w:rPr>
              <w:t>全部及时到位</w:t>
            </w:r>
          </w:p>
        </w:tc>
        <w:tc>
          <w:tcPr>
            <w:tcW w:w="735" w:type="dxa"/>
            <w:shd w:val="clear" w:color="auto" w:fill="auto"/>
            <w:vAlign w:val="center"/>
          </w:tcPr>
          <w:p w14:paraId="4BEA955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18"/>
                <w:szCs w:val="18"/>
                <w:u w:val="none"/>
                <w:lang w:val="en-US" w:eastAsia="zh-CN" w:bidi="ar"/>
              </w:rPr>
              <w:t>20</w:t>
            </w:r>
          </w:p>
        </w:tc>
        <w:tc>
          <w:tcPr>
            <w:tcW w:w="739" w:type="dxa"/>
            <w:shd w:val="clear" w:color="auto" w:fill="auto"/>
            <w:vAlign w:val="center"/>
          </w:tcPr>
          <w:p w14:paraId="06F8585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18"/>
                <w:szCs w:val="18"/>
                <w:u w:val="none"/>
                <w:lang w:val="en-US" w:eastAsia="zh-CN" w:bidi="ar"/>
              </w:rPr>
              <w:t>20</w:t>
            </w:r>
          </w:p>
        </w:tc>
        <w:tc>
          <w:tcPr>
            <w:tcW w:w="1450" w:type="dxa"/>
            <w:vAlign w:val="center"/>
          </w:tcPr>
          <w:p w14:paraId="0C24F11A">
            <w:pPr>
              <w:jc w:val="center"/>
              <w:rPr>
                <w:rFonts w:hint="eastAsia" w:ascii="宋体" w:hAnsi="宋体" w:eastAsia="宋体" w:cs="宋体"/>
                <w:i w:val="0"/>
                <w:iCs w:val="0"/>
                <w:color w:val="000000"/>
                <w:kern w:val="0"/>
                <w:sz w:val="21"/>
                <w:szCs w:val="21"/>
                <w:u w:val="none"/>
                <w:lang w:val="en-US" w:eastAsia="zh-CN" w:bidi="ar"/>
              </w:rPr>
            </w:pPr>
          </w:p>
        </w:tc>
      </w:tr>
      <w:tr w14:paraId="2DDC1C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4CE3A518">
            <w:pPr>
              <w:pStyle w:val="9"/>
              <w:rPr>
                <w:rFonts w:hint="eastAsia" w:ascii="宋体" w:hAnsi="宋体" w:eastAsia="宋体" w:cs="宋体"/>
              </w:rPr>
            </w:pPr>
          </w:p>
        </w:tc>
        <w:tc>
          <w:tcPr>
            <w:tcW w:w="944" w:type="dxa"/>
            <w:vMerge w:val="continue"/>
            <w:tcBorders>
              <w:left w:val="single" w:color="auto" w:sz="4" w:space="0"/>
              <w:right w:val="single" w:color="auto" w:sz="4" w:space="0"/>
            </w:tcBorders>
            <w:vAlign w:val="center"/>
          </w:tcPr>
          <w:p w14:paraId="20660230">
            <w:pPr>
              <w:rPr>
                <w:rFonts w:hint="eastAsia" w:ascii="宋体" w:hAnsi="宋体" w:eastAsia="宋体" w:cs="宋体"/>
                <w:sz w:val="21"/>
                <w:szCs w:val="21"/>
              </w:rPr>
            </w:pPr>
          </w:p>
        </w:tc>
        <w:tc>
          <w:tcPr>
            <w:tcW w:w="1053" w:type="dxa"/>
            <w:tcBorders>
              <w:top w:val="single" w:color="auto" w:sz="4" w:space="0"/>
              <w:left w:val="single" w:color="auto" w:sz="4" w:space="0"/>
              <w:bottom w:val="single" w:color="auto" w:sz="4" w:space="0"/>
              <w:right w:val="single" w:color="auto" w:sz="4" w:space="0"/>
            </w:tcBorders>
            <w:vAlign w:val="center"/>
          </w:tcPr>
          <w:p w14:paraId="1E6CC7F2">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社会效益指标</w:t>
            </w:r>
          </w:p>
        </w:tc>
        <w:tc>
          <w:tcPr>
            <w:tcW w:w="1580" w:type="dxa"/>
            <w:tcBorders>
              <w:left w:val="single" w:color="auto" w:sz="4" w:space="0"/>
            </w:tcBorders>
            <w:vAlign w:val="center"/>
          </w:tcPr>
          <w:p w14:paraId="2CA565F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仿宋" w:hAnsi="仿宋" w:eastAsia="仿宋" w:cs="仿宋"/>
                <w:i w:val="0"/>
                <w:iCs w:val="0"/>
                <w:color w:val="000000"/>
                <w:kern w:val="0"/>
                <w:sz w:val="18"/>
                <w:szCs w:val="18"/>
                <w:u w:val="none"/>
                <w:lang w:val="en-US" w:eastAsia="zh-CN" w:bidi="ar"/>
              </w:rPr>
              <w:t>医保制度的有效执行，提升了群众的安全感、幸福感</w:t>
            </w:r>
          </w:p>
        </w:tc>
        <w:tc>
          <w:tcPr>
            <w:tcW w:w="1212" w:type="dxa"/>
            <w:vAlign w:val="center"/>
          </w:tcPr>
          <w:p w14:paraId="00C37E0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18"/>
                <w:szCs w:val="18"/>
                <w:u w:val="none"/>
                <w:lang w:val="en-US" w:eastAsia="zh-CN" w:bidi="ar"/>
              </w:rPr>
              <w:t>有效提升</w:t>
            </w:r>
          </w:p>
        </w:tc>
        <w:tc>
          <w:tcPr>
            <w:tcW w:w="1286" w:type="dxa"/>
            <w:vAlign w:val="center"/>
          </w:tcPr>
          <w:p w14:paraId="1144195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18"/>
                <w:szCs w:val="18"/>
                <w:u w:val="none"/>
                <w:lang w:val="en-US" w:eastAsia="zh-CN" w:bidi="ar"/>
              </w:rPr>
              <w:t>有效提升</w:t>
            </w:r>
          </w:p>
        </w:tc>
        <w:tc>
          <w:tcPr>
            <w:tcW w:w="735" w:type="dxa"/>
            <w:shd w:val="clear" w:color="auto" w:fill="auto"/>
            <w:vAlign w:val="center"/>
          </w:tcPr>
          <w:p w14:paraId="2B09A67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18"/>
                <w:szCs w:val="18"/>
                <w:u w:val="none"/>
                <w:lang w:val="en-US" w:eastAsia="zh-CN" w:bidi="ar"/>
              </w:rPr>
              <w:t>10</w:t>
            </w:r>
          </w:p>
        </w:tc>
        <w:tc>
          <w:tcPr>
            <w:tcW w:w="739" w:type="dxa"/>
            <w:shd w:val="clear" w:color="auto" w:fill="auto"/>
            <w:vAlign w:val="center"/>
          </w:tcPr>
          <w:p w14:paraId="5AC5691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18"/>
                <w:szCs w:val="18"/>
                <w:u w:val="none"/>
                <w:lang w:val="en-US" w:eastAsia="zh-CN" w:bidi="ar"/>
              </w:rPr>
              <w:t>10</w:t>
            </w:r>
          </w:p>
        </w:tc>
        <w:tc>
          <w:tcPr>
            <w:tcW w:w="1450" w:type="dxa"/>
            <w:vAlign w:val="center"/>
          </w:tcPr>
          <w:p w14:paraId="6435F119">
            <w:pPr>
              <w:jc w:val="center"/>
              <w:rPr>
                <w:rFonts w:hint="eastAsia" w:ascii="宋体" w:hAnsi="宋体" w:eastAsia="宋体" w:cs="宋体"/>
                <w:i w:val="0"/>
                <w:iCs w:val="0"/>
                <w:color w:val="000000"/>
                <w:kern w:val="0"/>
                <w:sz w:val="21"/>
                <w:szCs w:val="21"/>
                <w:u w:val="none"/>
                <w:lang w:val="en-US" w:eastAsia="zh-CN" w:bidi="ar"/>
              </w:rPr>
            </w:pPr>
          </w:p>
        </w:tc>
      </w:tr>
      <w:tr w14:paraId="50E936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6510557F">
            <w:pPr>
              <w:pStyle w:val="9"/>
              <w:rPr>
                <w:rFonts w:hint="eastAsia" w:ascii="宋体" w:hAnsi="宋体" w:eastAsia="宋体" w:cs="宋体"/>
              </w:rPr>
            </w:pPr>
          </w:p>
        </w:tc>
        <w:tc>
          <w:tcPr>
            <w:tcW w:w="944" w:type="dxa"/>
            <w:vMerge w:val="continue"/>
            <w:tcBorders>
              <w:left w:val="single" w:color="auto" w:sz="4" w:space="0"/>
              <w:right w:val="single" w:color="auto" w:sz="4" w:space="0"/>
            </w:tcBorders>
            <w:vAlign w:val="center"/>
          </w:tcPr>
          <w:p w14:paraId="7AD993B2">
            <w:pPr>
              <w:rPr>
                <w:rFonts w:hint="eastAsia" w:ascii="宋体" w:hAnsi="宋体" w:eastAsia="宋体" w:cs="宋体"/>
                <w:sz w:val="21"/>
                <w:szCs w:val="21"/>
              </w:rPr>
            </w:pPr>
          </w:p>
        </w:tc>
        <w:tc>
          <w:tcPr>
            <w:tcW w:w="1053" w:type="dxa"/>
            <w:tcBorders>
              <w:top w:val="single" w:color="auto" w:sz="4" w:space="0"/>
              <w:left w:val="single" w:color="auto" w:sz="4" w:space="0"/>
              <w:bottom w:val="single" w:color="auto" w:sz="4" w:space="0"/>
              <w:right w:val="single" w:color="auto" w:sz="4" w:space="0"/>
            </w:tcBorders>
            <w:vAlign w:val="center"/>
          </w:tcPr>
          <w:p w14:paraId="0F335145">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生态效益指标</w:t>
            </w:r>
          </w:p>
        </w:tc>
        <w:tc>
          <w:tcPr>
            <w:tcW w:w="1580" w:type="dxa"/>
            <w:tcBorders>
              <w:left w:val="single" w:color="auto" w:sz="4" w:space="0"/>
            </w:tcBorders>
            <w:vAlign w:val="center"/>
          </w:tcPr>
          <w:p w14:paraId="710684EF">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仿宋" w:hAnsi="仿宋" w:eastAsia="仿宋" w:cs="仿宋"/>
                <w:i w:val="0"/>
                <w:iCs w:val="0"/>
                <w:color w:val="000000"/>
                <w:kern w:val="0"/>
                <w:sz w:val="18"/>
                <w:szCs w:val="18"/>
                <w:u w:val="none"/>
                <w:lang w:val="en-US" w:eastAsia="zh-CN" w:bidi="ar"/>
              </w:rPr>
              <w:t>基金安全率</w:t>
            </w:r>
          </w:p>
        </w:tc>
        <w:tc>
          <w:tcPr>
            <w:tcW w:w="1212" w:type="dxa"/>
            <w:vAlign w:val="center"/>
          </w:tcPr>
          <w:p w14:paraId="37D4B6EF">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default" w:ascii="仿宋_GB2312" w:hAnsi="宋体" w:eastAsia="仿宋_GB2312" w:cs="仿宋_GB2312"/>
                <w:i w:val="0"/>
                <w:iCs w:val="0"/>
                <w:color w:val="000000"/>
                <w:kern w:val="0"/>
                <w:sz w:val="18"/>
                <w:szCs w:val="18"/>
                <w:u w:val="none"/>
                <w:lang w:val="en-US" w:eastAsia="zh-CN" w:bidi="ar"/>
              </w:rPr>
              <w:t>100%</w:t>
            </w:r>
          </w:p>
        </w:tc>
        <w:tc>
          <w:tcPr>
            <w:tcW w:w="1286" w:type="dxa"/>
            <w:vAlign w:val="center"/>
          </w:tcPr>
          <w:p w14:paraId="396DEEA7">
            <w:pPr>
              <w:keepNext w:val="0"/>
              <w:keepLines w:val="0"/>
              <w:widowControl/>
              <w:suppressLineNumbers w:val="0"/>
              <w:jc w:val="center"/>
              <w:textAlignment w:val="center"/>
              <w:rPr>
                <w:rFonts w:hint="eastAsia" w:ascii="宋体" w:hAnsi="宋体" w:eastAsia="宋体" w:cs="宋体"/>
                <w:sz w:val="21"/>
                <w:szCs w:val="21"/>
              </w:rPr>
            </w:pPr>
            <w:r>
              <w:rPr>
                <w:rFonts w:hint="default" w:ascii="仿宋_GB2312" w:hAnsi="宋体" w:eastAsia="仿宋_GB2312" w:cs="仿宋_GB2312"/>
                <w:i w:val="0"/>
                <w:iCs w:val="0"/>
                <w:color w:val="000000"/>
                <w:kern w:val="0"/>
                <w:sz w:val="18"/>
                <w:szCs w:val="18"/>
                <w:u w:val="none"/>
                <w:lang w:val="en-US" w:eastAsia="zh-CN" w:bidi="ar"/>
              </w:rPr>
              <w:t>100%</w:t>
            </w:r>
          </w:p>
        </w:tc>
        <w:tc>
          <w:tcPr>
            <w:tcW w:w="735" w:type="dxa"/>
            <w:shd w:val="clear" w:color="auto" w:fill="auto"/>
            <w:vAlign w:val="center"/>
          </w:tcPr>
          <w:p w14:paraId="75675BBD">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default" w:ascii="仿宋_GB2312" w:hAnsi="宋体" w:eastAsia="仿宋_GB2312" w:cs="仿宋_GB2312"/>
                <w:i w:val="0"/>
                <w:iCs w:val="0"/>
                <w:color w:val="000000"/>
                <w:kern w:val="0"/>
                <w:sz w:val="18"/>
                <w:szCs w:val="18"/>
                <w:u w:val="none"/>
                <w:lang w:val="en-US" w:eastAsia="zh-CN" w:bidi="ar"/>
              </w:rPr>
              <w:t>10</w:t>
            </w:r>
          </w:p>
        </w:tc>
        <w:tc>
          <w:tcPr>
            <w:tcW w:w="739" w:type="dxa"/>
            <w:shd w:val="clear" w:color="auto" w:fill="auto"/>
            <w:vAlign w:val="center"/>
          </w:tcPr>
          <w:p w14:paraId="6FB309C1">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default" w:ascii="仿宋_GB2312" w:hAnsi="宋体" w:eastAsia="仿宋_GB2312" w:cs="仿宋_GB2312"/>
                <w:i w:val="0"/>
                <w:iCs w:val="0"/>
                <w:color w:val="000000"/>
                <w:kern w:val="0"/>
                <w:sz w:val="18"/>
                <w:szCs w:val="18"/>
                <w:u w:val="none"/>
                <w:lang w:val="en-US" w:eastAsia="zh-CN" w:bidi="ar"/>
              </w:rPr>
              <w:t>10</w:t>
            </w:r>
          </w:p>
        </w:tc>
        <w:tc>
          <w:tcPr>
            <w:tcW w:w="1450" w:type="dxa"/>
            <w:vAlign w:val="center"/>
          </w:tcPr>
          <w:p w14:paraId="30B6B3C1">
            <w:pPr>
              <w:jc w:val="center"/>
              <w:rPr>
                <w:rFonts w:hint="eastAsia" w:ascii="宋体" w:hAnsi="宋体" w:eastAsia="宋体" w:cs="宋体"/>
                <w:sz w:val="21"/>
                <w:szCs w:val="21"/>
              </w:rPr>
            </w:pPr>
          </w:p>
        </w:tc>
      </w:tr>
      <w:tr w14:paraId="149EBA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1CFB14D1">
            <w:pPr>
              <w:pStyle w:val="9"/>
              <w:rPr>
                <w:rFonts w:hint="eastAsia" w:ascii="宋体" w:hAnsi="宋体" w:eastAsia="宋体" w:cs="宋体"/>
              </w:rPr>
            </w:pPr>
          </w:p>
        </w:tc>
        <w:tc>
          <w:tcPr>
            <w:tcW w:w="944" w:type="dxa"/>
            <w:vMerge w:val="continue"/>
            <w:tcBorders>
              <w:left w:val="single" w:color="auto" w:sz="4" w:space="0"/>
              <w:bottom w:val="single" w:color="auto" w:sz="4" w:space="0"/>
              <w:right w:val="single" w:color="auto" w:sz="4" w:space="0"/>
            </w:tcBorders>
            <w:vAlign w:val="center"/>
          </w:tcPr>
          <w:p w14:paraId="2F5077C9">
            <w:pPr>
              <w:rPr>
                <w:rFonts w:hint="eastAsia" w:ascii="宋体" w:hAnsi="宋体" w:eastAsia="宋体" w:cs="宋体"/>
                <w:sz w:val="21"/>
                <w:szCs w:val="21"/>
              </w:rPr>
            </w:pPr>
          </w:p>
        </w:tc>
        <w:tc>
          <w:tcPr>
            <w:tcW w:w="1053" w:type="dxa"/>
            <w:tcBorders>
              <w:top w:val="single" w:color="auto" w:sz="4" w:space="0"/>
              <w:left w:val="single" w:color="auto" w:sz="4" w:space="0"/>
              <w:bottom w:val="single" w:color="auto" w:sz="4" w:space="0"/>
              <w:right w:val="single" w:color="auto" w:sz="4" w:space="0"/>
            </w:tcBorders>
            <w:vAlign w:val="center"/>
          </w:tcPr>
          <w:p w14:paraId="23BFC4D5">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可持续影响指标</w:t>
            </w:r>
          </w:p>
        </w:tc>
        <w:tc>
          <w:tcPr>
            <w:tcW w:w="1580" w:type="dxa"/>
            <w:tcBorders>
              <w:left w:val="single" w:color="auto" w:sz="4" w:space="0"/>
            </w:tcBorders>
            <w:vAlign w:val="center"/>
          </w:tcPr>
          <w:p w14:paraId="2D80F797">
            <w:pPr>
              <w:jc w:val="center"/>
              <w:rPr>
                <w:rFonts w:hint="eastAsia" w:ascii="宋体" w:hAnsi="宋体" w:eastAsia="宋体" w:cs="宋体"/>
                <w:i w:val="0"/>
                <w:iCs w:val="0"/>
                <w:color w:val="000000"/>
                <w:kern w:val="0"/>
                <w:sz w:val="21"/>
                <w:szCs w:val="21"/>
                <w:u w:val="none"/>
                <w:lang w:val="en-US" w:eastAsia="zh-CN" w:bidi="ar"/>
              </w:rPr>
            </w:pPr>
          </w:p>
        </w:tc>
        <w:tc>
          <w:tcPr>
            <w:tcW w:w="1212" w:type="dxa"/>
            <w:vAlign w:val="center"/>
          </w:tcPr>
          <w:p w14:paraId="563C4232">
            <w:pPr>
              <w:jc w:val="center"/>
              <w:rPr>
                <w:rFonts w:hint="eastAsia" w:ascii="宋体" w:hAnsi="宋体" w:eastAsia="宋体" w:cs="宋体"/>
                <w:i w:val="0"/>
                <w:iCs w:val="0"/>
                <w:color w:val="000000"/>
                <w:kern w:val="0"/>
                <w:sz w:val="21"/>
                <w:szCs w:val="21"/>
                <w:u w:val="none"/>
                <w:lang w:val="en-US" w:eastAsia="zh-CN" w:bidi="ar"/>
              </w:rPr>
            </w:pPr>
          </w:p>
        </w:tc>
        <w:tc>
          <w:tcPr>
            <w:tcW w:w="1286" w:type="dxa"/>
            <w:vAlign w:val="center"/>
          </w:tcPr>
          <w:p w14:paraId="23FB8419">
            <w:pPr>
              <w:jc w:val="center"/>
              <w:rPr>
                <w:rFonts w:hint="eastAsia" w:ascii="宋体" w:hAnsi="宋体" w:eastAsia="宋体" w:cs="宋体"/>
                <w:i w:val="0"/>
                <w:iCs w:val="0"/>
                <w:color w:val="000000"/>
                <w:kern w:val="0"/>
                <w:sz w:val="21"/>
                <w:szCs w:val="21"/>
                <w:u w:val="none"/>
                <w:lang w:val="en-US" w:eastAsia="zh-CN" w:bidi="ar"/>
              </w:rPr>
            </w:pPr>
          </w:p>
        </w:tc>
        <w:tc>
          <w:tcPr>
            <w:tcW w:w="735" w:type="dxa"/>
            <w:shd w:val="clear" w:color="auto" w:fill="auto"/>
            <w:vAlign w:val="center"/>
          </w:tcPr>
          <w:p w14:paraId="4BDD7353">
            <w:pPr>
              <w:jc w:val="center"/>
              <w:rPr>
                <w:rFonts w:hint="eastAsia" w:ascii="宋体" w:hAnsi="宋体" w:eastAsia="宋体" w:cs="宋体"/>
                <w:i w:val="0"/>
                <w:iCs w:val="0"/>
                <w:color w:val="000000"/>
                <w:kern w:val="0"/>
                <w:sz w:val="21"/>
                <w:szCs w:val="21"/>
                <w:u w:val="none"/>
                <w:lang w:val="en-US" w:eastAsia="zh-CN" w:bidi="ar"/>
              </w:rPr>
            </w:pPr>
          </w:p>
        </w:tc>
        <w:tc>
          <w:tcPr>
            <w:tcW w:w="739" w:type="dxa"/>
            <w:shd w:val="clear" w:color="auto" w:fill="auto"/>
            <w:vAlign w:val="center"/>
          </w:tcPr>
          <w:p w14:paraId="64E64EA8">
            <w:pPr>
              <w:jc w:val="center"/>
              <w:rPr>
                <w:rFonts w:hint="eastAsia" w:ascii="宋体" w:hAnsi="宋体" w:eastAsia="宋体" w:cs="宋体"/>
                <w:i w:val="0"/>
                <w:iCs w:val="0"/>
                <w:color w:val="000000"/>
                <w:kern w:val="0"/>
                <w:sz w:val="21"/>
                <w:szCs w:val="21"/>
                <w:u w:val="none"/>
                <w:lang w:val="en-US" w:eastAsia="zh-CN" w:bidi="ar"/>
              </w:rPr>
            </w:pPr>
          </w:p>
        </w:tc>
        <w:tc>
          <w:tcPr>
            <w:tcW w:w="1450" w:type="dxa"/>
            <w:vAlign w:val="center"/>
          </w:tcPr>
          <w:p w14:paraId="629591D7">
            <w:pPr>
              <w:jc w:val="center"/>
              <w:rPr>
                <w:rFonts w:hint="eastAsia" w:ascii="宋体" w:hAnsi="宋体" w:eastAsia="宋体" w:cs="宋体"/>
                <w:sz w:val="21"/>
                <w:szCs w:val="21"/>
              </w:rPr>
            </w:pPr>
          </w:p>
        </w:tc>
      </w:tr>
      <w:tr w14:paraId="632ACB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0559A808">
            <w:pPr>
              <w:pStyle w:val="9"/>
              <w:rPr>
                <w:rFonts w:hint="eastAsia" w:ascii="宋体" w:hAnsi="宋体" w:eastAsia="宋体" w:cs="宋体"/>
              </w:rPr>
            </w:pPr>
          </w:p>
        </w:tc>
        <w:tc>
          <w:tcPr>
            <w:tcW w:w="944" w:type="dxa"/>
            <w:tcBorders>
              <w:left w:val="single" w:color="auto" w:sz="4" w:space="0"/>
              <w:bottom w:val="single" w:color="auto" w:sz="4" w:space="0"/>
              <w:right w:val="single" w:color="auto" w:sz="4" w:space="0"/>
            </w:tcBorders>
            <w:vAlign w:val="center"/>
          </w:tcPr>
          <w:p w14:paraId="3B95FBA7">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满意度指标</w:t>
            </w:r>
          </w:p>
        </w:tc>
        <w:tc>
          <w:tcPr>
            <w:tcW w:w="1053" w:type="dxa"/>
            <w:tcBorders>
              <w:top w:val="single" w:color="auto" w:sz="4" w:space="0"/>
              <w:left w:val="single" w:color="auto" w:sz="4" w:space="0"/>
              <w:bottom w:val="single" w:color="auto" w:sz="4" w:space="0"/>
              <w:right w:val="single" w:color="auto" w:sz="4" w:space="0"/>
            </w:tcBorders>
            <w:vAlign w:val="center"/>
          </w:tcPr>
          <w:p w14:paraId="13F58496">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1580" w:type="dxa"/>
            <w:tcBorders>
              <w:left w:val="single" w:color="auto" w:sz="4" w:space="0"/>
            </w:tcBorders>
            <w:vAlign w:val="center"/>
          </w:tcPr>
          <w:p w14:paraId="18E97D2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仿宋" w:hAnsi="仿宋" w:eastAsia="仿宋" w:cs="仿宋"/>
                <w:i w:val="0"/>
                <w:iCs w:val="0"/>
                <w:color w:val="000000"/>
                <w:kern w:val="0"/>
                <w:sz w:val="18"/>
                <w:szCs w:val="18"/>
                <w:u w:val="none"/>
                <w:lang w:val="en-US" w:eastAsia="zh-CN" w:bidi="ar"/>
              </w:rPr>
              <w:t>社会公众满意度</w:t>
            </w:r>
          </w:p>
        </w:tc>
        <w:tc>
          <w:tcPr>
            <w:tcW w:w="1212" w:type="dxa"/>
            <w:vAlign w:val="center"/>
          </w:tcPr>
          <w:p w14:paraId="7D001F8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18"/>
                <w:szCs w:val="18"/>
                <w:u w:val="none"/>
                <w:lang w:val="en-US" w:eastAsia="zh-CN" w:bidi="ar"/>
              </w:rPr>
              <w:t>95</w:t>
            </w:r>
          </w:p>
        </w:tc>
        <w:tc>
          <w:tcPr>
            <w:tcW w:w="1286" w:type="dxa"/>
            <w:vAlign w:val="center"/>
          </w:tcPr>
          <w:p w14:paraId="2FBA00E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18"/>
                <w:szCs w:val="18"/>
                <w:u w:val="none"/>
                <w:lang w:val="en-US" w:eastAsia="zh-CN" w:bidi="ar"/>
              </w:rPr>
              <w:t>95%</w:t>
            </w:r>
          </w:p>
        </w:tc>
        <w:tc>
          <w:tcPr>
            <w:tcW w:w="735" w:type="dxa"/>
            <w:shd w:val="clear" w:color="auto" w:fill="auto"/>
            <w:vAlign w:val="center"/>
          </w:tcPr>
          <w:p w14:paraId="323AE7F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18"/>
                <w:szCs w:val="18"/>
                <w:u w:val="none"/>
                <w:lang w:val="en-US" w:eastAsia="zh-CN" w:bidi="ar"/>
              </w:rPr>
              <w:t>5</w:t>
            </w:r>
          </w:p>
        </w:tc>
        <w:tc>
          <w:tcPr>
            <w:tcW w:w="739" w:type="dxa"/>
            <w:shd w:val="clear" w:color="auto" w:fill="auto"/>
            <w:vAlign w:val="center"/>
          </w:tcPr>
          <w:p w14:paraId="7C65C98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18"/>
                <w:szCs w:val="18"/>
                <w:u w:val="none"/>
                <w:lang w:val="en-US" w:eastAsia="zh-CN" w:bidi="ar"/>
              </w:rPr>
              <w:t>5</w:t>
            </w:r>
          </w:p>
        </w:tc>
        <w:tc>
          <w:tcPr>
            <w:tcW w:w="1450" w:type="dxa"/>
            <w:vAlign w:val="center"/>
          </w:tcPr>
          <w:p w14:paraId="2148081A">
            <w:pPr>
              <w:jc w:val="center"/>
              <w:rPr>
                <w:rFonts w:hint="eastAsia" w:ascii="宋体" w:hAnsi="宋体" w:eastAsia="宋体" w:cs="宋体"/>
                <w:sz w:val="21"/>
                <w:szCs w:val="21"/>
              </w:rPr>
            </w:pPr>
          </w:p>
        </w:tc>
      </w:tr>
      <w:tr w14:paraId="133A95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6EAA5626">
            <w:pPr>
              <w:pStyle w:val="9"/>
              <w:rPr>
                <w:rFonts w:hint="eastAsia" w:ascii="宋体" w:hAnsi="宋体" w:eastAsia="宋体" w:cs="宋体"/>
              </w:rPr>
            </w:pPr>
          </w:p>
        </w:tc>
        <w:tc>
          <w:tcPr>
            <w:tcW w:w="944" w:type="dxa"/>
            <w:vMerge w:val="restart"/>
            <w:tcBorders>
              <w:left w:val="single" w:color="auto" w:sz="4" w:space="0"/>
              <w:bottom w:val="single" w:color="auto" w:sz="4" w:space="0"/>
              <w:right w:val="single" w:color="auto" w:sz="4" w:space="0"/>
            </w:tcBorders>
            <w:vAlign w:val="center"/>
          </w:tcPr>
          <w:p w14:paraId="3A26179A">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成本指标</w:t>
            </w:r>
          </w:p>
        </w:tc>
        <w:tc>
          <w:tcPr>
            <w:tcW w:w="1053" w:type="dxa"/>
            <w:tcBorders>
              <w:top w:val="single" w:color="auto" w:sz="4" w:space="0"/>
              <w:left w:val="single" w:color="auto" w:sz="4" w:space="0"/>
              <w:bottom w:val="single" w:color="auto" w:sz="4" w:space="0"/>
              <w:right w:val="single" w:color="auto" w:sz="4" w:space="0"/>
            </w:tcBorders>
            <w:vAlign w:val="center"/>
          </w:tcPr>
          <w:p w14:paraId="59765037">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经济成本指标</w:t>
            </w:r>
          </w:p>
        </w:tc>
        <w:tc>
          <w:tcPr>
            <w:tcW w:w="1580" w:type="dxa"/>
            <w:tcBorders>
              <w:left w:val="single" w:color="auto" w:sz="4" w:space="0"/>
            </w:tcBorders>
            <w:vAlign w:val="center"/>
          </w:tcPr>
          <w:p w14:paraId="41742279">
            <w:pPr>
              <w:keepNext w:val="0"/>
              <w:keepLines w:val="0"/>
              <w:widowControl/>
              <w:suppressLineNumbers w:val="0"/>
              <w:jc w:val="center"/>
              <w:textAlignment w:val="center"/>
              <w:rPr>
                <w:rFonts w:hint="eastAsia" w:ascii="宋体" w:hAnsi="宋体" w:eastAsia="宋体" w:cs="宋体"/>
                <w:sz w:val="21"/>
                <w:szCs w:val="21"/>
                <w:lang w:val="en-US"/>
              </w:rPr>
            </w:pPr>
            <w:r>
              <w:rPr>
                <w:rFonts w:hint="eastAsia" w:ascii="仿宋" w:hAnsi="仿宋" w:eastAsia="仿宋" w:cs="仿宋"/>
                <w:i w:val="0"/>
                <w:iCs w:val="0"/>
                <w:color w:val="000000"/>
                <w:kern w:val="0"/>
                <w:sz w:val="18"/>
                <w:szCs w:val="18"/>
                <w:u w:val="none"/>
                <w:lang w:val="en-US" w:eastAsia="zh-CN" w:bidi="ar"/>
              </w:rPr>
              <w:t>预算成本</w:t>
            </w:r>
          </w:p>
        </w:tc>
        <w:tc>
          <w:tcPr>
            <w:tcW w:w="1212" w:type="dxa"/>
            <w:vAlign w:val="center"/>
          </w:tcPr>
          <w:p w14:paraId="506BC57C">
            <w:pPr>
              <w:keepNext w:val="0"/>
              <w:keepLines w:val="0"/>
              <w:widowControl/>
              <w:suppressLineNumbers w:val="0"/>
              <w:jc w:val="center"/>
              <w:textAlignment w:val="center"/>
              <w:rPr>
                <w:rFonts w:hint="eastAsia" w:ascii="宋体" w:hAnsi="宋体" w:eastAsia="宋体" w:cs="宋体"/>
                <w:sz w:val="21"/>
                <w:szCs w:val="21"/>
              </w:rPr>
            </w:pPr>
            <w:r>
              <w:rPr>
                <w:rFonts w:hint="default" w:ascii="仿宋_GB2312" w:hAnsi="宋体" w:eastAsia="仿宋_GB2312" w:cs="仿宋_GB2312"/>
                <w:i w:val="0"/>
                <w:iCs w:val="0"/>
                <w:color w:val="000000"/>
                <w:kern w:val="0"/>
                <w:sz w:val="18"/>
                <w:szCs w:val="18"/>
                <w:u w:val="none"/>
                <w:lang w:val="en-US" w:eastAsia="zh-CN" w:bidi="ar"/>
              </w:rPr>
              <w:t>成本控制在预算内</w:t>
            </w:r>
          </w:p>
        </w:tc>
        <w:tc>
          <w:tcPr>
            <w:tcW w:w="1286" w:type="dxa"/>
            <w:vAlign w:val="center"/>
          </w:tcPr>
          <w:p w14:paraId="73EF1AA6">
            <w:pPr>
              <w:keepNext w:val="0"/>
              <w:keepLines w:val="0"/>
              <w:widowControl/>
              <w:suppressLineNumbers w:val="0"/>
              <w:jc w:val="center"/>
              <w:textAlignment w:val="center"/>
              <w:rPr>
                <w:rFonts w:hint="eastAsia" w:ascii="宋体" w:hAnsi="宋体" w:eastAsia="宋体" w:cs="宋体"/>
                <w:sz w:val="21"/>
                <w:szCs w:val="21"/>
              </w:rPr>
            </w:pPr>
            <w:r>
              <w:rPr>
                <w:rFonts w:hint="default" w:ascii="仿宋_GB2312" w:hAnsi="宋体" w:eastAsia="仿宋_GB2312" w:cs="仿宋_GB2312"/>
                <w:i w:val="0"/>
                <w:iCs w:val="0"/>
                <w:color w:val="000000"/>
                <w:kern w:val="0"/>
                <w:sz w:val="18"/>
                <w:szCs w:val="18"/>
                <w:u w:val="none"/>
                <w:lang w:val="en-US" w:eastAsia="zh-CN" w:bidi="ar"/>
              </w:rPr>
              <w:t>≥2255.24</w:t>
            </w:r>
          </w:p>
        </w:tc>
        <w:tc>
          <w:tcPr>
            <w:tcW w:w="735" w:type="dxa"/>
            <w:shd w:val="clear" w:color="auto" w:fill="auto"/>
            <w:vAlign w:val="center"/>
          </w:tcPr>
          <w:p w14:paraId="1278EAC9">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default" w:ascii="仿宋_GB2312" w:hAnsi="宋体" w:eastAsia="仿宋_GB2312" w:cs="仿宋_GB2312"/>
                <w:i w:val="0"/>
                <w:iCs w:val="0"/>
                <w:color w:val="000000"/>
                <w:kern w:val="0"/>
                <w:sz w:val="18"/>
                <w:szCs w:val="18"/>
                <w:u w:val="none"/>
                <w:lang w:val="en-US" w:eastAsia="zh-CN" w:bidi="ar"/>
              </w:rPr>
              <w:t>10</w:t>
            </w:r>
          </w:p>
        </w:tc>
        <w:tc>
          <w:tcPr>
            <w:tcW w:w="739" w:type="dxa"/>
            <w:shd w:val="clear" w:color="auto" w:fill="auto"/>
            <w:vAlign w:val="center"/>
          </w:tcPr>
          <w:p w14:paraId="31F62117">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default" w:ascii="仿宋_GB2312" w:hAnsi="宋体" w:eastAsia="仿宋_GB2312" w:cs="仿宋_GB2312"/>
                <w:i w:val="0"/>
                <w:iCs w:val="0"/>
                <w:color w:val="000000"/>
                <w:kern w:val="0"/>
                <w:sz w:val="18"/>
                <w:szCs w:val="18"/>
                <w:u w:val="none"/>
                <w:lang w:val="en-US" w:eastAsia="zh-CN" w:bidi="ar"/>
              </w:rPr>
              <w:t>10</w:t>
            </w:r>
          </w:p>
        </w:tc>
        <w:tc>
          <w:tcPr>
            <w:tcW w:w="1450" w:type="dxa"/>
            <w:vAlign w:val="center"/>
          </w:tcPr>
          <w:p w14:paraId="5EADC4FF">
            <w:pPr>
              <w:jc w:val="center"/>
              <w:rPr>
                <w:rFonts w:hint="eastAsia" w:ascii="宋体" w:hAnsi="宋体" w:eastAsia="宋体" w:cs="宋体"/>
                <w:sz w:val="21"/>
                <w:szCs w:val="21"/>
              </w:rPr>
            </w:pPr>
          </w:p>
        </w:tc>
      </w:tr>
      <w:tr w14:paraId="40B617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20C1E07E">
            <w:pPr>
              <w:pStyle w:val="9"/>
              <w:rPr>
                <w:rFonts w:hint="eastAsia" w:ascii="宋体" w:hAnsi="宋体" w:eastAsia="宋体" w:cs="宋体"/>
              </w:rPr>
            </w:pPr>
          </w:p>
        </w:tc>
        <w:tc>
          <w:tcPr>
            <w:tcW w:w="944" w:type="dxa"/>
            <w:vMerge w:val="continue"/>
            <w:tcBorders>
              <w:top w:val="single" w:color="auto" w:sz="4" w:space="0"/>
              <w:left w:val="single" w:color="auto" w:sz="4" w:space="0"/>
              <w:bottom w:val="single" w:color="auto" w:sz="4" w:space="0"/>
              <w:right w:val="single" w:color="auto" w:sz="4" w:space="0"/>
            </w:tcBorders>
            <w:vAlign w:val="center"/>
          </w:tcPr>
          <w:p w14:paraId="551329DB">
            <w:pPr>
              <w:rPr>
                <w:rFonts w:hint="eastAsia" w:ascii="宋体" w:hAnsi="宋体" w:eastAsia="宋体" w:cs="宋体"/>
                <w:sz w:val="21"/>
                <w:szCs w:val="21"/>
              </w:rPr>
            </w:pPr>
          </w:p>
        </w:tc>
        <w:tc>
          <w:tcPr>
            <w:tcW w:w="1053" w:type="dxa"/>
            <w:tcBorders>
              <w:top w:val="single" w:color="auto" w:sz="4" w:space="0"/>
              <w:left w:val="single" w:color="auto" w:sz="4" w:space="0"/>
              <w:bottom w:val="single" w:color="auto" w:sz="4" w:space="0"/>
              <w:right w:val="single" w:color="auto" w:sz="4" w:space="0"/>
            </w:tcBorders>
            <w:vAlign w:val="center"/>
          </w:tcPr>
          <w:p w14:paraId="55D5C448">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社会成本指标</w:t>
            </w:r>
          </w:p>
        </w:tc>
        <w:tc>
          <w:tcPr>
            <w:tcW w:w="1580" w:type="dxa"/>
            <w:tcBorders>
              <w:left w:val="single" w:color="auto" w:sz="4" w:space="0"/>
            </w:tcBorders>
            <w:vAlign w:val="center"/>
          </w:tcPr>
          <w:p w14:paraId="6CDB92D6">
            <w:pPr>
              <w:jc w:val="center"/>
              <w:rPr>
                <w:rFonts w:hint="eastAsia" w:ascii="宋体" w:hAnsi="宋体" w:eastAsia="宋体" w:cs="宋体"/>
                <w:sz w:val="21"/>
                <w:szCs w:val="21"/>
                <w:lang w:val="en-US" w:eastAsia="zh-CN"/>
              </w:rPr>
            </w:pPr>
          </w:p>
        </w:tc>
        <w:tc>
          <w:tcPr>
            <w:tcW w:w="1212" w:type="dxa"/>
            <w:vAlign w:val="center"/>
          </w:tcPr>
          <w:p w14:paraId="00E1E333">
            <w:pPr>
              <w:jc w:val="center"/>
              <w:rPr>
                <w:rFonts w:hint="eastAsia" w:ascii="宋体" w:hAnsi="宋体" w:eastAsia="宋体" w:cs="宋体"/>
                <w:sz w:val="21"/>
                <w:szCs w:val="21"/>
              </w:rPr>
            </w:pPr>
          </w:p>
        </w:tc>
        <w:tc>
          <w:tcPr>
            <w:tcW w:w="1286" w:type="dxa"/>
            <w:vAlign w:val="center"/>
          </w:tcPr>
          <w:p w14:paraId="79F2C418">
            <w:pPr>
              <w:jc w:val="center"/>
              <w:rPr>
                <w:rFonts w:hint="eastAsia" w:ascii="宋体" w:hAnsi="宋体" w:eastAsia="宋体" w:cs="宋体"/>
                <w:sz w:val="21"/>
                <w:szCs w:val="21"/>
              </w:rPr>
            </w:pPr>
          </w:p>
        </w:tc>
        <w:tc>
          <w:tcPr>
            <w:tcW w:w="735" w:type="dxa"/>
            <w:shd w:val="clear" w:color="auto" w:fill="auto"/>
            <w:vAlign w:val="center"/>
          </w:tcPr>
          <w:p w14:paraId="07652702">
            <w:pPr>
              <w:jc w:val="center"/>
              <w:rPr>
                <w:rFonts w:hint="eastAsia" w:ascii="宋体" w:hAnsi="宋体" w:eastAsia="宋体" w:cs="宋体"/>
                <w:kern w:val="2"/>
                <w:sz w:val="21"/>
                <w:szCs w:val="21"/>
                <w:lang w:val="en-US" w:eastAsia="zh-CN" w:bidi="ar-SA"/>
              </w:rPr>
            </w:pPr>
          </w:p>
        </w:tc>
        <w:tc>
          <w:tcPr>
            <w:tcW w:w="739" w:type="dxa"/>
            <w:shd w:val="clear" w:color="auto" w:fill="auto"/>
            <w:vAlign w:val="center"/>
          </w:tcPr>
          <w:p w14:paraId="26D3872B">
            <w:pPr>
              <w:jc w:val="center"/>
              <w:rPr>
                <w:rFonts w:hint="eastAsia" w:ascii="宋体" w:hAnsi="宋体" w:eastAsia="宋体" w:cs="宋体"/>
                <w:kern w:val="2"/>
                <w:sz w:val="21"/>
                <w:szCs w:val="21"/>
                <w:lang w:val="en-US" w:eastAsia="zh-CN" w:bidi="ar-SA"/>
              </w:rPr>
            </w:pPr>
          </w:p>
        </w:tc>
        <w:tc>
          <w:tcPr>
            <w:tcW w:w="1450" w:type="dxa"/>
            <w:vAlign w:val="center"/>
          </w:tcPr>
          <w:p w14:paraId="110BCCFB">
            <w:pPr>
              <w:jc w:val="center"/>
              <w:rPr>
                <w:rFonts w:hint="eastAsia" w:ascii="宋体" w:hAnsi="宋体" w:eastAsia="宋体" w:cs="宋体"/>
                <w:sz w:val="21"/>
                <w:szCs w:val="21"/>
              </w:rPr>
            </w:pPr>
          </w:p>
        </w:tc>
      </w:tr>
      <w:tr w14:paraId="69556A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36870941">
            <w:pPr>
              <w:pStyle w:val="9"/>
              <w:rPr>
                <w:rFonts w:hint="eastAsia" w:ascii="宋体" w:hAnsi="宋体" w:eastAsia="宋体" w:cs="宋体"/>
              </w:rPr>
            </w:pPr>
          </w:p>
        </w:tc>
        <w:tc>
          <w:tcPr>
            <w:tcW w:w="944" w:type="dxa"/>
            <w:vMerge w:val="continue"/>
            <w:tcBorders>
              <w:top w:val="single" w:color="auto" w:sz="4" w:space="0"/>
              <w:left w:val="single" w:color="auto" w:sz="4" w:space="0"/>
              <w:bottom w:val="single" w:color="auto" w:sz="4" w:space="0"/>
              <w:right w:val="single" w:color="auto" w:sz="4" w:space="0"/>
            </w:tcBorders>
            <w:vAlign w:val="center"/>
          </w:tcPr>
          <w:p w14:paraId="1A53851A">
            <w:pPr>
              <w:rPr>
                <w:rFonts w:hint="eastAsia" w:ascii="宋体" w:hAnsi="宋体" w:eastAsia="宋体" w:cs="宋体"/>
                <w:sz w:val="21"/>
                <w:szCs w:val="21"/>
              </w:rPr>
            </w:pPr>
          </w:p>
        </w:tc>
        <w:tc>
          <w:tcPr>
            <w:tcW w:w="1053" w:type="dxa"/>
            <w:tcBorders>
              <w:top w:val="single" w:color="auto" w:sz="4" w:space="0"/>
              <w:left w:val="single" w:color="auto" w:sz="4" w:space="0"/>
              <w:bottom w:val="single" w:color="auto" w:sz="4" w:space="0"/>
              <w:right w:val="single" w:color="auto" w:sz="4" w:space="0"/>
            </w:tcBorders>
            <w:vAlign w:val="center"/>
          </w:tcPr>
          <w:p w14:paraId="169E3FE2">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生态环境成本指标</w:t>
            </w:r>
          </w:p>
        </w:tc>
        <w:tc>
          <w:tcPr>
            <w:tcW w:w="1580" w:type="dxa"/>
            <w:tcBorders>
              <w:left w:val="single" w:color="auto" w:sz="4" w:space="0"/>
            </w:tcBorders>
            <w:vAlign w:val="center"/>
          </w:tcPr>
          <w:p w14:paraId="0990FA04">
            <w:pPr>
              <w:jc w:val="center"/>
              <w:rPr>
                <w:rFonts w:hint="eastAsia" w:ascii="宋体" w:hAnsi="宋体" w:eastAsia="宋体" w:cs="宋体"/>
                <w:i w:val="0"/>
                <w:iCs w:val="0"/>
                <w:color w:val="000000"/>
                <w:kern w:val="0"/>
                <w:sz w:val="21"/>
                <w:szCs w:val="21"/>
                <w:u w:val="none"/>
                <w:lang w:val="en-US" w:eastAsia="zh-CN" w:bidi="ar"/>
              </w:rPr>
            </w:pPr>
          </w:p>
        </w:tc>
        <w:tc>
          <w:tcPr>
            <w:tcW w:w="1212" w:type="dxa"/>
            <w:vAlign w:val="center"/>
          </w:tcPr>
          <w:p w14:paraId="7BF3FD24">
            <w:pPr>
              <w:jc w:val="center"/>
              <w:rPr>
                <w:rFonts w:hint="eastAsia" w:ascii="宋体" w:hAnsi="宋体" w:eastAsia="宋体" w:cs="宋体"/>
                <w:i w:val="0"/>
                <w:iCs w:val="0"/>
                <w:color w:val="000000"/>
                <w:kern w:val="0"/>
                <w:sz w:val="21"/>
                <w:szCs w:val="21"/>
                <w:u w:val="none"/>
                <w:lang w:val="en-US" w:eastAsia="zh-CN" w:bidi="ar"/>
              </w:rPr>
            </w:pPr>
          </w:p>
        </w:tc>
        <w:tc>
          <w:tcPr>
            <w:tcW w:w="1286" w:type="dxa"/>
            <w:vAlign w:val="center"/>
          </w:tcPr>
          <w:p w14:paraId="2C475A0D">
            <w:pPr>
              <w:jc w:val="center"/>
              <w:rPr>
                <w:rFonts w:hint="eastAsia" w:ascii="宋体" w:hAnsi="宋体" w:eastAsia="宋体" w:cs="宋体"/>
                <w:i w:val="0"/>
                <w:iCs w:val="0"/>
                <w:color w:val="000000"/>
                <w:kern w:val="0"/>
                <w:sz w:val="21"/>
                <w:szCs w:val="21"/>
                <w:u w:val="none"/>
                <w:lang w:val="en-US" w:eastAsia="zh-CN" w:bidi="ar"/>
              </w:rPr>
            </w:pPr>
          </w:p>
        </w:tc>
        <w:tc>
          <w:tcPr>
            <w:tcW w:w="735" w:type="dxa"/>
            <w:shd w:val="clear" w:color="auto" w:fill="auto"/>
            <w:vAlign w:val="center"/>
          </w:tcPr>
          <w:p w14:paraId="168086BF">
            <w:pPr>
              <w:jc w:val="center"/>
              <w:rPr>
                <w:rFonts w:hint="eastAsia" w:ascii="宋体" w:hAnsi="宋体" w:eastAsia="宋体" w:cs="宋体"/>
                <w:i w:val="0"/>
                <w:iCs w:val="0"/>
                <w:color w:val="000000"/>
                <w:kern w:val="0"/>
                <w:sz w:val="21"/>
                <w:szCs w:val="21"/>
                <w:u w:val="none"/>
                <w:lang w:val="en-US" w:eastAsia="zh-CN" w:bidi="ar"/>
              </w:rPr>
            </w:pPr>
          </w:p>
        </w:tc>
        <w:tc>
          <w:tcPr>
            <w:tcW w:w="739" w:type="dxa"/>
            <w:shd w:val="clear" w:color="auto" w:fill="auto"/>
            <w:vAlign w:val="center"/>
          </w:tcPr>
          <w:p w14:paraId="2C1E607C">
            <w:pPr>
              <w:jc w:val="center"/>
              <w:rPr>
                <w:rFonts w:hint="eastAsia" w:ascii="宋体" w:hAnsi="宋体" w:eastAsia="宋体" w:cs="宋体"/>
                <w:i w:val="0"/>
                <w:iCs w:val="0"/>
                <w:color w:val="000000"/>
                <w:kern w:val="0"/>
                <w:sz w:val="21"/>
                <w:szCs w:val="21"/>
                <w:u w:val="none"/>
                <w:lang w:val="en-US" w:eastAsia="zh-CN" w:bidi="ar"/>
              </w:rPr>
            </w:pPr>
          </w:p>
        </w:tc>
        <w:tc>
          <w:tcPr>
            <w:tcW w:w="1450" w:type="dxa"/>
            <w:vAlign w:val="center"/>
          </w:tcPr>
          <w:p w14:paraId="7A953AF3">
            <w:pPr>
              <w:jc w:val="center"/>
              <w:rPr>
                <w:rFonts w:hint="eastAsia" w:ascii="宋体" w:hAnsi="宋体" w:eastAsia="宋体" w:cs="宋体"/>
                <w:sz w:val="21"/>
                <w:szCs w:val="21"/>
              </w:rPr>
            </w:pPr>
          </w:p>
        </w:tc>
      </w:tr>
      <w:tr w14:paraId="01546F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 w:hRule="atLeast"/>
        </w:trPr>
        <w:tc>
          <w:tcPr>
            <w:tcW w:w="7159" w:type="dxa"/>
            <w:gridSpan w:val="6"/>
            <w:vAlign w:val="top"/>
          </w:tcPr>
          <w:p w14:paraId="4078F58D">
            <w:pPr>
              <w:spacing w:before="41" w:line="221" w:lineRule="auto"/>
              <w:ind w:left="3343"/>
              <w:rPr>
                <w:rFonts w:hint="eastAsia" w:ascii="宋体" w:hAnsi="宋体" w:eastAsia="宋体" w:cs="宋体"/>
                <w:sz w:val="19"/>
                <w:szCs w:val="19"/>
              </w:rPr>
            </w:pPr>
            <w:r>
              <w:rPr>
                <w:rFonts w:hint="eastAsia" w:ascii="宋体" w:hAnsi="宋体" w:eastAsia="宋体" w:cs="宋体"/>
                <w:spacing w:val="-1"/>
                <w:sz w:val="19"/>
                <w:szCs w:val="19"/>
              </w:rPr>
              <w:t>总分</w:t>
            </w:r>
          </w:p>
        </w:tc>
        <w:tc>
          <w:tcPr>
            <w:tcW w:w="735" w:type="dxa"/>
            <w:vAlign w:val="top"/>
          </w:tcPr>
          <w:p w14:paraId="706DD02D">
            <w:pPr>
              <w:spacing w:before="75" w:line="195" w:lineRule="auto"/>
              <w:ind w:left="230"/>
              <w:rPr>
                <w:rFonts w:hint="eastAsia" w:ascii="宋体" w:hAnsi="宋体" w:eastAsia="宋体" w:cs="宋体"/>
                <w:sz w:val="19"/>
                <w:szCs w:val="19"/>
              </w:rPr>
            </w:pPr>
            <w:r>
              <w:rPr>
                <w:rFonts w:hint="eastAsia" w:ascii="宋体" w:hAnsi="宋体" w:eastAsia="宋体" w:cs="宋体"/>
                <w:spacing w:val="-4"/>
                <w:sz w:val="19"/>
                <w:szCs w:val="19"/>
              </w:rPr>
              <w:t>100</w:t>
            </w:r>
          </w:p>
        </w:tc>
        <w:tc>
          <w:tcPr>
            <w:tcW w:w="739" w:type="dxa"/>
            <w:vAlign w:val="top"/>
          </w:tcPr>
          <w:p w14:paraId="6D2A992C">
            <w:pPr>
              <w:spacing w:before="75" w:line="195" w:lineRule="auto"/>
              <w:ind w:left="230"/>
              <w:rPr>
                <w:rFonts w:hint="default" w:ascii="宋体" w:hAnsi="宋体" w:eastAsia="宋体" w:cs="宋体"/>
                <w:lang w:val="en-US" w:eastAsia="zh-CN"/>
              </w:rPr>
            </w:pPr>
            <w:r>
              <w:rPr>
                <w:rFonts w:hint="eastAsia" w:ascii="宋体" w:hAnsi="宋体" w:eastAsia="宋体" w:cs="宋体"/>
                <w:spacing w:val="-4"/>
                <w:sz w:val="19"/>
                <w:szCs w:val="19"/>
                <w:lang w:val="en-US" w:eastAsia="zh-CN"/>
              </w:rPr>
              <w:t>99.60</w:t>
            </w:r>
          </w:p>
        </w:tc>
        <w:tc>
          <w:tcPr>
            <w:tcW w:w="1450" w:type="dxa"/>
            <w:vAlign w:val="top"/>
          </w:tcPr>
          <w:p w14:paraId="433EE453">
            <w:pPr>
              <w:pStyle w:val="9"/>
              <w:rPr>
                <w:rFonts w:hint="eastAsia" w:ascii="宋体" w:hAnsi="宋体" w:eastAsia="宋体" w:cs="宋体"/>
              </w:rPr>
            </w:pPr>
          </w:p>
        </w:tc>
      </w:tr>
    </w:tbl>
    <w:p w14:paraId="1D369787">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7F90F665">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47486A75">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18044777">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56FD6C1D">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621520D5">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0ADCF26D">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09DEA5FC">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53601143">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5ED33FD2">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50F46DB7">
      <w:pPr>
        <w:spacing w:before="191" w:line="230" w:lineRule="auto"/>
        <w:rPr>
          <w:rFonts w:hint="eastAsia" w:ascii="方正小标宋简体" w:hAnsi="方正小标宋简体" w:eastAsia="黑体" w:cs="方正小标宋简体"/>
          <w:sz w:val="31"/>
          <w:szCs w:val="31"/>
          <w:lang w:eastAsia="zh-CN"/>
        </w:rPr>
      </w:pPr>
      <w:r>
        <w:rPr>
          <w:rFonts w:ascii="黑体" w:hAnsi="黑体" w:eastAsia="黑体" w:cs="黑体"/>
          <w:spacing w:val="-4"/>
          <w:sz w:val="31"/>
          <w:szCs w:val="31"/>
        </w:rPr>
        <w:t>附件</w:t>
      </w:r>
      <w:r>
        <w:rPr>
          <w:rFonts w:ascii="黑体" w:hAnsi="黑体" w:eastAsia="黑体" w:cs="黑体"/>
          <w:spacing w:val="-68"/>
          <w:sz w:val="31"/>
          <w:szCs w:val="31"/>
        </w:rPr>
        <w:t xml:space="preserve"> </w:t>
      </w:r>
      <w:r>
        <w:rPr>
          <w:rFonts w:hint="eastAsia" w:ascii="Times New Roman" w:hAnsi="Times New Roman" w:eastAsia="宋体" w:cs="Times New Roman"/>
          <w:spacing w:val="-4"/>
          <w:sz w:val="31"/>
          <w:szCs w:val="31"/>
          <w:lang w:val="en-US" w:eastAsia="zh-CN"/>
        </w:rPr>
        <w:t>3</w:t>
      </w:r>
    </w:p>
    <w:p w14:paraId="711A4CC1">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2024 年度项目支出绩效自评表</w:t>
      </w:r>
    </w:p>
    <w:tbl>
      <w:tblPr>
        <w:tblStyle w:val="8"/>
        <w:tblW w:w="98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955"/>
        <w:gridCol w:w="1244"/>
        <w:gridCol w:w="1244"/>
        <w:gridCol w:w="1281"/>
        <w:gridCol w:w="673"/>
        <w:gridCol w:w="873"/>
        <w:gridCol w:w="1422"/>
      </w:tblGrid>
      <w:tr w14:paraId="068E92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3118" w:type="dxa"/>
            <w:gridSpan w:val="3"/>
            <w:vAlign w:val="top"/>
          </w:tcPr>
          <w:p w14:paraId="59DC3B88">
            <w:pPr>
              <w:spacing w:before="41" w:line="211" w:lineRule="auto"/>
              <w:ind w:left="967"/>
              <w:rPr>
                <w:rFonts w:hint="eastAsia" w:ascii="宋体" w:hAnsi="宋体" w:eastAsia="宋体" w:cs="宋体"/>
                <w:sz w:val="19"/>
                <w:szCs w:val="19"/>
              </w:rPr>
            </w:pPr>
            <w:r>
              <w:rPr>
                <w:rFonts w:hint="eastAsia" w:ascii="宋体" w:hAnsi="宋体" w:eastAsia="宋体" w:cs="宋体"/>
                <w:spacing w:val="8"/>
                <w:sz w:val="19"/>
                <w:szCs w:val="19"/>
              </w:rPr>
              <w:t>项目支出名称</w:t>
            </w:r>
          </w:p>
        </w:tc>
        <w:tc>
          <w:tcPr>
            <w:tcW w:w="6737" w:type="dxa"/>
            <w:gridSpan w:val="6"/>
            <w:vAlign w:val="top"/>
          </w:tcPr>
          <w:p w14:paraId="02085D6F">
            <w:pPr>
              <w:pStyle w:val="9"/>
              <w:jc w:val="center"/>
              <w:rPr>
                <w:rFonts w:hint="eastAsia" w:ascii="宋体" w:hAnsi="宋体" w:eastAsia="宋体" w:cs="宋体"/>
                <w:lang w:val="en-US" w:eastAsia="zh-CN"/>
              </w:rPr>
            </w:pPr>
            <w:r>
              <w:rPr>
                <w:rFonts w:hint="eastAsia" w:ascii="宋体" w:hAnsi="宋体" w:eastAsia="宋体" w:cs="宋体"/>
                <w:lang w:val="en-US" w:eastAsia="zh-CN"/>
              </w:rPr>
              <w:t>城乡医疗救助</w:t>
            </w:r>
          </w:p>
        </w:tc>
      </w:tr>
      <w:tr w14:paraId="00DD31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Align w:val="top"/>
          </w:tcPr>
          <w:p w14:paraId="76581399">
            <w:pPr>
              <w:spacing w:before="32" w:line="215" w:lineRule="auto"/>
              <w:ind w:left="124"/>
              <w:rPr>
                <w:rFonts w:hint="eastAsia" w:ascii="宋体" w:hAnsi="宋体" w:eastAsia="宋体" w:cs="宋体"/>
                <w:sz w:val="19"/>
                <w:szCs w:val="19"/>
              </w:rPr>
            </w:pPr>
            <w:r>
              <w:rPr>
                <w:rFonts w:hint="eastAsia" w:ascii="宋体" w:hAnsi="宋体" w:eastAsia="宋体" w:cs="宋体"/>
                <w:spacing w:val="5"/>
                <w:sz w:val="19"/>
                <w:szCs w:val="19"/>
              </w:rPr>
              <w:t>主管部门</w:t>
            </w:r>
          </w:p>
        </w:tc>
        <w:tc>
          <w:tcPr>
            <w:tcW w:w="4522" w:type="dxa"/>
            <w:gridSpan w:val="4"/>
            <w:vAlign w:val="center"/>
          </w:tcPr>
          <w:p w14:paraId="6938EE8A">
            <w:pPr>
              <w:keepNext w:val="0"/>
              <w:keepLines w:val="0"/>
              <w:widowControl/>
              <w:suppressLineNumbers w:val="0"/>
              <w:jc w:val="center"/>
              <w:textAlignment w:val="center"/>
              <w:rPr>
                <w:rFonts w:hint="eastAsia" w:ascii="宋体" w:hAnsi="宋体" w:eastAsia="宋体" w:cs="宋体"/>
                <w:lang w:val="en-US" w:eastAsia="zh-CN"/>
              </w:rPr>
            </w:pPr>
            <w:r>
              <w:rPr>
                <w:rFonts w:hint="eastAsia" w:ascii="宋体" w:hAnsi="宋体" w:eastAsia="宋体" w:cs="宋体"/>
                <w:i w:val="0"/>
                <w:iCs w:val="0"/>
                <w:color w:val="000000"/>
                <w:kern w:val="0"/>
                <w:sz w:val="20"/>
                <w:szCs w:val="20"/>
                <w:u w:val="none"/>
                <w:lang w:val="en-US" w:eastAsia="zh-CN" w:bidi="ar"/>
              </w:rPr>
              <w:t>岳阳楼区财政局</w:t>
            </w:r>
          </w:p>
        </w:tc>
        <w:tc>
          <w:tcPr>
            <w:tcW w:w="1281" w:type="dxa"/>
            <w:vAlign w:val="center"/>
          </w:tcPr>
          <w:p w14:paraId="3F77F830">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20"/>
                <w:szCs w:val="20"/>
                <w:u w:val="none"/>
                <w:lang w:val="en-US" w:eastAsia="zh-CN" w:bidi="ar"/>
              </w:rPr>
              <w:t>实施单位</w:t>
            </w:r>
          </w:p>
        </w:tc>
        <w:tc>
          <w:tcPr>
            <w:tcW w:w="2968" w:type="dxa"/>
            <w:gridSpan w:val="3"/>
            <w:vAlign w:val="center"/>
          </w:tcPr>
          <w:p w14:paraId="2EB66F60">
            <w:pPr>
              <w:keepNext w:val="0"/>
              <w:keepLines w:val="0"/>
              <w:widowControl/>
              <w:suppressLineNumbers w:val="0"/>
              <w:jc w:val="center"/>
              <w:textAlignment w:val="center"/>
              <w:rPr>
                <w:rFonts w:hint="eastAsia" w:ascii="宋体" w:hAnsi="宋体" w:eastAsia="宋体" w:cs="宋体"/>
                <w:lang w:val="en-US" w:eastAsia="zh-CN"/>
              </w:rPr>
            </w:pPr>
            <w:r>
              <w:rPr>
                <w:rFonts w:hint="eastAsia" w:ascii="宋体" w:hAnsi="宋体" w:eastAsia="宋体" w:cs="宋体"/>
                <w:i w:val="0"/>
                <w:iCs w:val="0"/>
                <w:color w:val="000000"/>
                <w:kern w:val="0"/>
                <w:sz w:val="20"/>
                <w:szCs w:val="20"/>
                <w:u w:val="none"/>
                <w:lang w:val="en-US" w:eastAsia="zh-CN" w:bidi="ar"/>
              </w:rPr>
              <w:t>岳阳市岳阳楼区医疗保障局</w:t>
            </w:r>
          </w:p>
        </w:tc>
      </w:tr>
      <w:tr w14:paraId="3EC7BE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vAlign w:val="top"/>
          </w:tcPr>
          <w:p w14:paraId="3EDC56BC">
            <w:pPr>
              <w:spacing w:before="61" w:line="241" w:lineRule="auto"/>
              <w:ind w:right="141"/>
              <w:jc w:val="both"/>
              <w:rPr>
                <w:rFonts w:hint="eastAsia" w:ascii="宋体" w:hAnsi="宋体" w:cs="宋体"/>
                <w:sz w:val="19"/>
                <w:szCs w:val="19"/>
                <w:lang w:eastAsia="zh-CN"/>
              </w:rPr>
            </w:pPr>
          </w:p>
          <w:p w14:paraId="7093F227">
            <w:pPr>
              <w:spacing w:before="61" w:line="241" w:lineRule="auto"/>
              <w:ind w:right="141"/>
              <w:jc w:val="center"/>
              <w:rPr>
                <w:rFonts w:hint="eastAsia" w:ascii="宋体" w:hAnsi="宋体" w:eastAsia="宋体" w:cs="宋体"/>
                <w:sz w:val="19"/>
                <w:szCs w:val="19"/>
                <w:lang w:eastAsia="zh-CN"/>
              </w:rPr>
            </w:pPr>
            <w:r>
              <w:rPr>
                <w:rFonts w:hint="eastAsia" w:ascii="宋体" w:hAnsi="宋体" w:cs="宋体"/>
                <w:sz w:val="19"/>
                <w:szCs w:val="19"/>
                <w:lang w:eastAsia="zh-CN"/>
              </w:rPr>
              <w:t>项目资金（万元）</w:t>
            </w:r>
          </w:p>
        </w:tc>
        <w:tc>
          <w:tcPr>
            <w:tcW w:w="2034" w:type="dxa"/>
            <w:gridSpan w:val="2"/>
            <w:vAlign w:val="top"/>
          </w:tcPr>
          <w:p w14:paraId="5ADF37A0">
            <w:pPr>
              <w:pStyle w:val="9"/>
              <w:rPr>
                <w:rFonts w:hint="eastAsia" w:ascii="宋体" w:hAnsi="宋体" w:eastAsia="宋体" w:cs="宋体"/>
              </w:rPr>
            </w:pPr>
          </w:p>
        </w:tc>
        <w:tc>
          <w:tcPr>
            <w:tcW w:w="1244" w:type="dxa"/>
            <w:vAlign w:val="top"/>
          </w:tcPr>
          <w:p w14:paraId="4B8D5F94">
            <w:pPr>
              <w:spacing w:before="31" w:line="217" w:lineRule="auto"/>
              <w:ind w:left="129"/>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244" w:type="dxa"/>
            <w:vAlign w:val="top"/>
          </w:tcPr>
          <w:p w14:paraId="4D9FA101">
            <w:pPr>
              <w:spacing w:before="31" w:line="217" w:lineRule="auto"/>
              <w:ind w:left="113"/>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281" w:type="dxa"/>
            <w:vAlign w:val="top"/>
          </w:tcPr>
          <w:p w14:paraId="3D6AB6BA">
            <w:pPr>
              <w:spacing w:before="31" w:line="217" w:lineRule="auto"/>
              <w:ind w:left="146"/>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673" w:type="dxa"/>
            <w:vAlign w:val="top"/>
          </w:tcPr>
          <w:p w14:paraId="15BB7711">
            <w:pPr>
              <w:spacing w:before="31" w:line="21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vAlign w:val="top"/>
          </w:tcPr>
          <w:p w14:paraId="0295A58F">
            <w:pPr>
              <w:spacing w:before="31" w:line="217" w:lineRule="auto"/>
              <w:ind w:left="149"/>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422" w:type="dxa"/>
            <w:vAlign w:val="top"/>
          </w:tcPr>
          <w:p w14:paraId="4C81B2D7">
            <w:pPr>
              <w:spacing w:before="31" w:line="217" w:lineRule="auto"/>
              <w:ind w:left="351"/>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5C2F37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vAlign w:val="top"/>
          </w:tcPr>
          <w:p w14:paraId="0CA7421F">
            <w:pPr>
              <w:pStyle w:val="9"/>
              <w:rPr>
                <w:rFonts w:hint="eastAsia" w:ascii="宋体" w:hAnsi="宋体" w:eastAsia="宋体" w:cs="宋体"/>
              </w:rPr>
            </w:pPr>
          </w:p>
        </w:tc>
        <w:tc>
          <w:tcPr>
            <w:tcW w:w="2034" w:type="dxa"/>
            <w:gridSpan w:val="2"/>
            <w:vAlign w:val="top"/>
          </w:tcPr>
          <w:p w14:paraId="36BF40E5">
            <w:pPr>
              <w:spacing w:before="30" w:line="217" w:lineRule="auto"/>
              <w:ind w:left="114"/>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244" w:type="dxa"/>
            <w:vAlign w:val="center"/>
          </w:tcPr>
          <w:p w14:paraId="14B6DD81">
            <w:pPr>
              <w:keepNext w:val="0"/>
              <w:keepLines w:val="0"/>
              <w:widowControl/>
              <w:suppressLineNumbers w:val="0"/>
              <w:jc w:val="center"/>
              <w:textAlignment w:val="center"/>
              <w:rPr>
                <w:rFonts w:hint="eastAsia" w:ascii="宋体" w:hAnsi="宋体" w:eastAsia="宋体" w:cs="宋体"/>
                <w:lang w:val="en-US" w:eastAsia="zh-CN"/>
              </w:rPr>
            </w:pPr>
            <w:r>
              <w:rPr>
                <w:rFonts w:hint="eastAsia" w:ascii="宋体" w:hAnsi="宋体" w:eastAsia="宋体" w:cs="宋体"/>
                <w:i w:val="0"/>
                <w:iCs w:val="0"/>
                <w:color w:val="000000"/>
                <w:kern w:val="0"/>
                <w:sz w:val="20"/>
                <w:szCs w:val="20"/>
                <w:u w:val="none"/>
                <w:lang w:val="en-US" w:eastAsia="zh-CN" w:bidi="ar"/>
              </w:rPr>
              <w:t>550</w:t>
            </w:r>
          </w:p>
        </w:tc>
        <w:tc>
          <w:tcPr>
            <w:tcW w:w="1244" w:type="dxa"/>
            <w:vAlign w:val="center"/>
          </w:tcPr>
          <w:p w14:paraId="59C11496">
            <w:pPr>
              <w:keepNext w:val="0"/>
              <w:keepLines w:val="0"/>
              <w:widowControl/>
              <w:suppressLineNumbers w:val="0"/>
              <w:jc w:val="center"/>
              <w:textAlignment w:val="center"/>
              <w:rPr>
                <w:rFonts w:hint="eastAsia" w:ascii="宋体" w:hAnsi="宋体" w:eastAsia="宋体" w:cs="宋体"/>
                <w:lang w:val="en-US" w:eastAsia="zh-CN"/>
              </w:rPr>
            </w:pPr>
            <w:r>
              <w:rPr>
                <w:rFonts w:hint="eastAsia" w:ascii="宋体" w:hAnsi="宋体" w:eastAsia="宋体" w:cs="宋体"/>
                <w:i w:val="0"/>
                <w:iCs w:val="0"/>
                <w:color w:val="000000"/>
                <w:kern w:val="0"/>
                <w:sz w:val="20"/>
                <w:szCs w:val="20"/>
                <w:u w:val="none"/>
                <w:lang w:val="en-US" w:eastAsia="zh-CN" w:bidi="ar"/>
              </w:rPr>
              <w:t>365.64</w:t>
            </w:r>
          </w:p>
        </w:tc>
        <w:tc>
          <w:tcPr>
            <w:tcW w:w="1281" w:type="dxa"/>
            <w:vAlign w:val="center"/>
          </w:tcPr>
          <w:p w14:paraId="3CB36FDC">
            <w:pPr>
              <w:keepNext w:val="0"/>
              <w:keepLines w:val="0"/>
              <w:widowControl/>
              <w:suppressLineNumbers w:val="0"/>
              <w:jc w:val="center"/>
              <w:textAlignment w:val="center"/>
              <w:rPr>
                <w:rFonts w:hint="eastAsia" w:ascii="宋体" w:hAnsi="宋体" w:eastAsia="宋体" w:cs="宋体"/>
                <w:lang w:val="en-US" w:eastAsia="zh-CN"/>
              </w:rPr>
            </w:pPr>
            <w:r>
              <w:rPr>
                <w:rFonts w:hint="eastAsia" w:ascii="宋体" w:hAnsi="宋体" w:eastAsia="宋体" w:cs="宋体"/>
                <w:i w:val="0"/>
                <w:iCs w:val="0"/>
                <w:color w:val="000000"/>
                <w:kern w:val="0"/>
                <w:sz w:val="20"/>
                <w:szCs w:val="20"/>
                <w:u w:val="none"/>
                <w:lang w:val="en-US" w:eastAsia="zh-CN" w:bidi="ar"/>
              </w:rPr>
              <w:t>365.64</w:t>
            </w:r>
          </w:p>
        </w:tc>
        <w:tc>
          <w:tcPr>
            <w:tcW w:w="673" w:type="dxa"/>
            <w:vAlign w:val="center"/>
          </w:tcPr>
          <w:p w14:paraId="61810C10">
            <w:pPr>
              <w:keepNext w:val="0"/>
              <w:keepLines w:val="0"/>
              <w:widowControl/>
              <w:suppressLineNumbers w:val="0"/>
              <w:jc w:val="center"/>
              <w:textAlignment w:val="center"/>
              <w:rPr>
                <w:rFonts w:hint="eastAsia" w:ascii="宋体" w:hAnsi="宋体" w:eastAsia="宋体" w:cs="宋体"/>
                <w:sz w:val="19"/>
                <w:szCs w:val="19"/>
                <w:lang w:eastAsia="zh-CN"/>
              </w:rPr>
            </w:pPr>
            <w:r>
              <w:rPr>
                <w:rFonts w:hint="eastAsia" w:ascii="宋体" w:hAnsi="宋体" w:eastAsia="宋体" w:cs="宋体"/>
                <w:i w:val="0"/>
                <w:iCs w:val="0"/>
                <w:color w:val="000000"/>
                <w:kern w:val="0"/>
                <w:sz w:val="20"/>
                <w:szCs w:val="20"/>
                <w:u w:val="none"/>
                <w:lang w:val="en-US" w:eastAsia="zh-CN" w:bidi="ar"/>
              </w:rPr>
              <w:t>10</w:t>
            </w:r>
          </w:p>
        </w:tc>
        <w:tc>
          <w:tcPr>
            <w:tcW w:w="873" w:type="dxa"/>
            <w:vAlign w:val="center"/>
          </w:tcPr>
          <w:p w14:paraId="0C7BF17C">
            <w:pPr>
              <w:keepNext w:val="0"/>
              <w:keepLines w:val="0"/>
              <w:widowControl/>
              <w:suppressLineNumbers w:val="0"/>
              <w:jc w:val="center"/>
              <w:textAlignment w:val="center"/>
              <w:rPr>
                <w:rFonts w:hint="eastAsia" w:ascii="宋体" w:hAnsi="宋体" w:eastAsia="宋体" w:cs="宋体"/>
                <w:lang w:val="en-US" w:eastAsia="zh-CN"/>
              </w:rPr>
            </w:pPr>
            <w:r>
              <w:rPr>
                <w:rFonts w:hint="eastAsia" w:ascii="宋体" w:hAnsi="宋体" w:eastAsia="宋体" w:cs="宋体"/>
                <w:i w:val="0"/>
                <w:iCs w:val="0"/>
                <w:color w:val="000000"/>
                <w:kern w:val="0"/>
                <w:sz w:val="20"/>
                <w:szCs w:val="20"/>
                <w:u w:val="none"/>
                <w:lang w:val="en-US" w:eastAsia="zh-CN" w:bidi="ar"/>
              </w:rPr>
              <w:t>100.00%</w:t>
            </w:r>
          </w:p>
        </w:tc>
        <w:tc>
          <w:tcPr>
            <w:tcW w:w="1422" w:type="dxa"/>
            <w:vAlign w:val="center"/>
          </w:tcPr>
          <w:p w14:paraId="653FEF72">
            <w:pPr>
              <w:keepNext w:val="0"/>
              <w:keepLines w:val="0"/>
              <w:widowControl/>
              <w:suppressLineNumbers w:val="0"/>
              <w:jc w:val="center"/>
              <w:textAlignment w:val="center"/>
              <w:rPr>
                <w:rFonts w:hint="eastAsia" w:ascii="宋体" w:hAnsi="宋体" w:eastAsia="宋体" w:cs="宋体"/>
                <w:lang w:val="en-US" w:eastAsia="zh-CN"/>
              </w:rPr>
            </w:pPr>
            <w:r>
              <w:rPr>
                <w:rFonts w:hint="eastAsia" w:ascii="宋体" w:hAnsi="宋体" w:eastAsia="宋体" w:cs="宋体"/>
                <w:i w:val="0"/>
                <w:iCs w:val="0"/>
                <w:color w:val="000000"/>
                <w:kern w:val="0"/>
                <w:sz w:val="20"/>
                <w:szCs w:val="20"/>
                <w:u w:val="none"/>
                <w:lang w:val="en-US" w:eastAsia="zh-CN" w:bidi="ar"/>
              </w:rPr>
              <w:t>10.00</w:t>
            </w:r>
          </w:p>
        </w:tc>
      </w:tr>
      <w:tr w14:paraId="4A527D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continue"/>
            <w:tcBorders>
              <w:top w:val="nil"/>
              <w:bottom w:val="nil"/>
            </w:tcBorders>
            <w:vAlign w:val="top"/>
          </w:tcPr>
          <w:p w14:paraId="60DA807E">
            <w:pPr>
              <w:pStyle w:val="9"/>
              <w:rPr>
                <w:rFonts w:hint="eastAsia" w:ascii="宋体" w:hAnsi="宋体" w:eastAsia="宋体" w:cs="宋体"/>
              </w:rPr>
            </w:pPr>
          </w:p>
        </w:tc>
        <w:tc>
          <w:tcPr>
            <w:tcW w:w="2034" w:type="dxa"/>
            <w:gridSpan w:val="2"/>
            <w:vAlign w:val="top"/>
          </w:tcPr>
          <w:p w14:paraId="1AA4F28D">
            <w:pPr>
              <w:spacing w:before="30" w:line="218" w:lineRule="auto"/>
              <w:ind w:left="111"/>
              <w:rPr>
                <w:rFonts w:hint="eastAsia" w:ascii="宋体" w:hAnsi="宋体" w:eastAsia="宋体" w:cs="宋体"/>
                <w:sz w:val="19"/>
                <w:szCs w:val="19"/>
              </w:rPr>
            </w:pPr>
            <w:r>
              <w:rPr>
                <w:rFonts w:hint="eastAsia" w:ascii="宋体" w:hAnsi="宋体" w:eastAsia="宋体" w:cs="宋体"/>
                <w:spacing w:val="9"/>
                <w:sz w:val="19"/>
                <w:szCs w:val="19"/>
              </w:rPr>
              <w:t>其中：当年财政拨款</w:t>
            </w:r>
          </w:p>
        </w:tc>
        <w:tc>
          <w:tcPr>
            <w:tcW w:w="1244" w:type="dxa"/>
            <w:vAlign w:val="center"/>
          </w:tcPr>
          <w:p w14:paraId="38CA0BF5">
            <w:pPr>
              <w:keepNext w:val="0"/>
              <w:keepLines w:val="0"/>
              <w:widowControl/>
              <w:suppressLineNumbers w:val="0"/>
              <w:jc w:val="center"/>
              <w:textAlignment w:val="center"/>
              <w:rPr>
                <w:rFonts w:hint="eastAsia" w:ascii="宋体" w:hAnsi="宋体" w:eastAsia="宋体" w:cs="宋体"/>
              </w:rPr>
            </w:pPr>
            <w:r>
              <w:rPr>
                <w:rFonts w:hint="eastAsia" w:ascii="宋体" w:hAnsi="宋体" w:eastAsia="宋体" w:cs="宋体"/>
                <w:i w:val="0"/>
                <w:iCs w:val="0"/>
                <w:color w:val="000000"/>
                <w:kern w:val="0"/>
                <w:sz w:val="20"/>
                <w:szCs w:val="20"/>
                <w:u w:val="none"/>
                <w:lang w:val="en-US" w:eastAsia="zh-CN" w:bidi="ar"/>
              </w:rPr>
              <w:t>550</w:t>
            </w:r>
          </w:p>
        </w:tc>
        <w:tc>
          <w:tcPr>
            <w:tcW w:w="1244" w:type="dxa"/>
            <w:vAlign w:val="center"/>
          </w:tcPr>
          <w:p w14:paraId="712C4EBD">
            <w:pPr>
              <w:keepNext w:val="0"/>
              <w:keepLines w:val="0"/>
              <w:widowControl/>
              <w:suppressLineNumbers w:val="0"/>
              <w:jc w:val="center"/>
              <w:textAlignment w:val="center"/>
              <w:rPr>
                <w:rFonts w:hint="eastAsia" w:ascii="宋体" w:hAnsi="宋体" w:eastAsia="宋体" w:cs="宋体"/>
              </w:rPr>
            </w:pPr>
            <w:r>
              <w:rPr>
                <w:rFonts w:hint="eastAsia" w:ascii="宋体" w:hAnsi="宋体" w:eastAsia="宋体" w:cs="宋体"/>
                <w:i w:val="0"/>
                <w:iCs w:val="0"/>
                <w:color w:val="000000"/>
                <w:kern w:val="0"/>
                <w:sz w:val="20"/>
                <w:szCs w:val="20"/>
                <w:u w:val="none"/>
                <w:lang w:val="en-US" w:eastAsia="zh-CN" w:bidi="ar"/>
              </w:rPr>
              <w:t>365.64</w:t>
            </w:r>
          </w:p>
        </w:tc>
        <w:tc>
          <w:tcPr>
            <w:tcW w:w="1281" w:type="dxa"/>
            <w:vAlign w:val="center"/>
          </w:tcPr>
          <w:p w14:paraId="68C12B8D">
            <w:pPr>
              <w:keepNext w:val="0"/>
              <w:keepLines w:val="0"/>
              <w:widowControl/>
              <w:suppressLineNumbers w:val="0"/>
              <w:jc w:val="center"/>
              <w:textAlignment w:val="center"/>
              <w:rPr>
                <w:rFonts w:hint="eastAsia" w:ascii="宋体" w:hAnsi="宋体" w:eastAsia="宋体" w:cs="宋体"/>
              </w:rPr>
            </w:pPr>
            <w:r>
              <w:rPr>
                <w:rFonts w:hint="eastAsia" w:ascii="宋体" w:hAnsi="宋体" w:eastAsia="宋体" w:cs="宋体"/>
                <w:i w:val="0"/>
                <w:iCs w:val="0"/>
                <w:color w:val="000000"/>
                <w:kern w:val="0"/>
                <w:sz w:val="20"/>
                <w:szCs w:val="20"/>
                <w:u w:val="none"/>
                <w:lang w:val="en-US" w:eastAsia="zh-CN" w:bidi="ar"/>
              </w:rPr>
              <w:t>365.64</w:t>
            </w:r>
          </w:p>
        </w:tc>
        <w:tc>
          <w:tcPr>
            <w:tcW w:w="673" w:type="dxa"/>
            <w:vAlign w:val="top"/>
          </w:tcPr>
          <w:p w14:paraId="0D642E0B">
            <w:pPr>
              <w:pStyle w:val="9"/>
              <w:rPr>
                <w:rFonts w:hint="eastAsia" w:ascii="宋体" w:hAnsi="宋体" w:eastAsia="宋体" w:cs="宋体"/>
              </w:rPr>
            </w:pPr>
          </w:p>
        </w:tc>
        <w:tc>
          <w:tcPr>
            <w:tcW w:w="873" w:type="dxa"/>
            <w:vAlign w:val="top"/>
          </w:tcPr>
          <w:p w14:paraId="2DB753E0">
            <w:pPr>
              <w:pStyle w:val="9"/>
              <w:rPr>
                <w:rFonts w:hint="eastAsia" w:ascii="宋体" w:hAnsi="宋体" w:eastAsia="宋体" w:cs="宋体"/>
              </w:rPr>
            </w:pPr>
          </w:p>
        </w:tc>
        <w:tc>
          <w:tcPr>
            <w:tcW w:w="1422" w:type="dxa"/>
            <w:vAlign w:val="top"/>
          </w:tcPr>
          <w:p w14:paraId="16ADC393">
            <w:pPr>
              <w:pStyle w:val="9"/>
              <w:rPr>
                <w:rFonts w:hint="eastAsia" w:ascii="宋体" w:hAnsi="宋体" w:eastAsia="宋体" w:cs="宋体"/>
              </w:rPr>
            </w:pPr>
          </w:p>
        </w:tc>
      </w:tr>
      <w:tr w14:paraId="5BD068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vAlign w:val="top"/>
          </w:tcPr>
          <w:p w14:paraId="101F8381">
            <w:pPr>
              <w:pStyle w:val="9"/>
              <w:rPr>
                <w:rFonts w:hint="eastAsia" w:ascii="宋体" w:hAnsi="宋体" w:eastAsia="宋体" w:cs="宋体"/>
              </w:rPr>
            </w:pPr>
          </w:p>
        </w:tc>
        <w:tc>
          <w:tcPr>
            <w:tcW w:w="2034" w:type="dxa"/>
            <w:gridSpan w:val="2"/>
            <w:vAlign w:val="top"/>
          </w:tcPr>
          <w:p w14:paraId="49E18FFD">
            <w:pPr>
              <w:spacing w:before="31" w:line="216" w:lineRule="auto"/>
              <w:ind w:left="716"/>
              <w:rPr>
                <w:rFonts w:hint="eastAsia" w:ascii="宋体" w:hAnsi="宋体" w:eastAsia="宋体" w:cs="宋体"/>
                <w:sz w:val="19"/>
                <w:szCs w:val="19"/>
              </w:rPr>
            </w:pPr>
            <w:r>
              <w:rPr>
                <w:rFonts w:hint="eastAsia" w:ascii="宋体" w:hAnsi="宋体" w:eastAsia="宋体" w:cs="宋体"/>
                <w:spacing w:val="7"/>
                <w:sz w:val="19"/>
                <w:szCs w:val="19"/>
              </w:rPr>
              <w:t>上年结转资金</w:t>
            </w:r>
          </w:p>
        </w:tc>
        <w:tc>
          <w:tcPr>
            <w:tcW w:w="1244" w:type="dxa"/>
            <w:vAlign w:val="center"/>
          </w:tcPr>
          <w:p w14:paraId="7AD12D5B">
            <w:pPr>
              <w:keepNext w:val="0"/>
              <w:keepLines w:val="0"/>
              <w:widowControl/>
              <w:suppressLineNumbers w:val="0"/>
              <w:jc w:val="center"/>
              <w:textAlignment w:val="center"/>
              <w:rPr>
                <w:rFonts w:hint="eastAsia" w:ascii="宋体" w:hAnsi="宋体" w:eastAsia="宋体" w:cs="宋体"/>
              </w:rPr>
            </w:pPr>
            <w:r>
              <w:rPr>
                <w:rFonts w:hint="eastAsia" w:ascii="宋体" w:hAnsi="宋体" w:eastAsia="宋体" w:cs="宋体"/>
                <w:i w:val="0"/>
                <w:iCs w:val="0"/>
                <w:color w:val="000000"/>
                <w:kern w:val="0"/>
                <w:sz w:val="20"/>
                <w:szCs w:val="20"/>
                <w:u w:val="none"/>
                <w:lang w:val="en-US" w:eastAsia="zh-CN" w:bidi="ar"/>
              </w:rPr>
              <w:t>0</w:t>
            </w:r>
          </w:p>
        </w:tc>
        <w:tc>
          <w:tcPr>
            <w:tcW w:w="1244" w:type="dxa"/>
            <w:vAlign w:val="center"/>
          </w:tcPr>
          <w:p w14:paraId="2E92181A">
            <w:pPr>
              <w:keepNext w:val="0"/>
              <w:keepLines w:val="0"/>
              <w:widowControl/>
              <w:suppressLineNumbers w:val="0"/>
              <w:jc w:val="center"/>
              <w:textAlignment w:val="center"/>
              <w:rPr>
                <w:rFonts w:hint="eastAsia" w:ascii="宋体" w:hAnsi="宋体" w:eastAsia="宋体" w:cs="宋体"/>
              </w:rPr>
            </w:pPr>
            <w:r>
              <w:rPr>
                <w:rFonts w:hint="eastAsia" w:ascii="宋体" w:hAnsi="宋体" w:eastAsia="宋体" w:cs="宋体"/>
                <w:i w:val="0"/>
                <w:iCs w:val="0"/>
                <w:color w:val="000000"/>
                <w:kern w:val="0"/>
                <w:sz w:val="20"/>
                <w:szCs w:val="20"/>
                <w:u w:val="none"/>
                <w:lang w:val="en-US" w:eastAsia="zh-CN" w:bidi="ar"/>
              </w:rPr>
              <w:t>0</w:t>
            </w:r>
          </w:p>
        </w:tc>
        <w:tc>
          <w:tcPr>
            <w:tcW w:w="1281" w:type="dxa"/>
            <w:vAlign w:val="center"/>
          </w:tcPr>
          <w:p w14:paraId="5D51F6A4">
            <w:pPr>
              <w:keepNext w:val="0"/>
              <w:keepLines w:val="0"/>
              <w:widowControl/>
              <w:suppressLineNumbers w:val="0"/>
              <w:jc w:val="center"/>
              <w:textAlignment w:val="center"/>
              <w:rPr>
                <w:rFonts w:hint="eastAsia" w:ascii="宋体" w:hAnsi="宋体" w:eastAsia="宋体" w:cs="宋体"/>
              </w:rPr>
            </w:pPr>
            <w:r>
              <w:rPr>
                <w:rFonts w:hint="eastAsia" w:ascii="宋体" w:hAnsi="宋体" w:eastAsia="宋体" w:cs="宋体"/>
                <w:i w:val="0"/>
                <w:iCs w:val="0"/>
                <w:color w:val="000000"/>
                <w:kern w:val="0"/>
                <w:sz w:val="20"/>
                <w:szCs w:val="20"/>
                <w:u w:val="none"/>
                <w:lang w:val="en-US" w:eastAsia="zh-CN" w:bidi="ar"/>
              </w:rPr>
              <w:t>0</w:t>
            </w:r>
          </w:p>
        </w:tc>
        <w:tc>
          <w:tcPr>
            <w:tcW w:w="673" w:type="dxa"/>
            <w:vAlign w:val="top"/>
          </w:tcPr>
          <w:p w14:paraId="4E47881D">
            <w:pPr>
              <w:pStyle w:val="9"/>
              <w:rPr>
                <w:rFonts w:hint="eastAsia" w:ascii="宋体" w:hAnsi="宋体" w:eastAsia="宋体" w:cs="宋体"/>
              </w:rPr>
            </w:pPr>
          </w:p>
        </w:tc>
        <w:tc>
          <w:tcPr>
            <w:tcW w:w="873" w:type="dxa"/>
            <w:vAlign w:val="top"/>
          </w:tcPr>
          <w:p w14:paraId="7738DB57">
            <w:pPr>
              <w:pStyle w:val="9"/>
              <w:rPr>
                <w:rFonts w:hint="eastAsia" w:ascii="宋体" w:hAnsi="宋体" w:eastAsia="宋体" w:cs="宋体"/>
              </w:rPr>
            </w:pPr>
          </w:p>
        </w:tc>
        <w:tc>
          <w:tcPr>
            <w:tcW w:w="1422" w:type="dxa"/>
            <w:vAlign w:val="top"/>
          </w:tcPr>
          <w:p w14:paraId="1559F35D">
            <w:pPr>
              <w:pStyle w:val="9"/>
              <w:rPr>
                <w:rFonts w:hint="eastAsia" w:ascii="宋体" w:hAnsi="宋体" w:eastAsia="宋体" w:cs="宋体"/>
              </w:rPr>
            </w:pPr>
          </w:p>
        </w:tc>
      </w:tr>
      <w:tr w14:paraId="62C636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tcBorders>
            <w:vAlign w:val="top"/>
          </w:tcPr>
          <w:p w14:paraId="365F1BD1">
            <w:pPr>
              <w:pStyle w:val="9"/>
              <w:rPr>
                <w:rFonts w:hint="eastAsia" w:ascii="宋体" w:hAnsi="宋体" w:eastAsia="宋体" w:cs="宋体"/>
              </w:rPr>
            </w:pPr>
          </w:p>
        </w:tc>
        <w:tc>
          <w:tcPr>
            <w:tcW w:w="2034" w:type="dxa"/>
            <w:gridSpan w:val="2"/>
            <w:vAlign w:val="top"/>
          </w:tcPr>
          <w:p w14:paraId="0F8C28F1">
            <w:pPr>
              <w:spacing w:before="31" w:line="216" w:lineRule="auto"/>
              <w:ind w:left="711"/>
              <w:rPr>
                <w:rFonts w:hint="eastAsia" w:ascii="宋体" w:hAnsi="宋体" w:eastAsia="宋体" w:cs="宋体"/>
                <w:sz w:val="19"/>
                <w:szCs w:val="19"/>
              </w:rPr>
            </w:pPr>
            <w:r>
              <w:rPr>
                <w:rFonts w:hint="eastAsia" w:ascii="宋体" w:hAnsi="宋体" w:eastAsia="宋体" w:cs="宋体"/>
                <w:spacing w:val="7"/>
                <w:sz w:val="19"/>
                <w:szCs w:val="19"/>
              </w:rPr>
              <w:t>其他资金</w:t>
            </w:r>
          </w:p>
        </w:tc>
        <w:tc>
          <w:tcPr>
            <w:tcW w:w="1244" w:type="dxa"/>
            <w:vAlign w:val="center"/>
          </w:tcPr>
          <w:p w14:paraId="288987B2">
            <w:pPr>
              <w:keepNext w:val="0"/>
              <w:keepLines w:val="0"/>
              <w:widowControl/>
              <w:suppressLineNumbers w:val="0"/>
              <w:jc w:val="center"/>
              <w:textAlignment w:val="center"/>
              <w:rPr>
                <w:rFonts w:hint="eastAsia" w:ascii="宋体" w:hAnsi="宋体" w:eastAsia="宋体" w:cs="宋体"/>
              </w:rPr>
            </w:pPr>
            <w:r>
              <w:rPr>
                <w:rFonts w:hint="eastAsia" w:ascii="宋体" w:hAnsi="宋体" w:eastAsia="宋体" w:cs="宋体"/>
                <w:i w:val="0"/>
                <w:iCs w:val="0"/>
                <w:color w:val="000000"/>
                <w:kern w:val="0"/>
                <w:sz w:val="20"/>
                <w:szCs w:val="20"/>
                <w:u w:val="none"/>
                <w:lang w:val="en-US" w:eastAsia="zh-CN" w:bidi="ar"/>
              </w:rPr>
              <w:t>0</w:t>
            </w:r>
          </w:p>
        </w:tc>
        <w:tc>
          <w:tcPr>
            <w:tcW w:w="1244" w:type="dxa"/>
            <w:vAlign w:val="center"/>
          </w:tcPr>
          <w:p w14:paraId="7E3B5E84">
            <w:pPr>
              <w:keepNext w:val="0"/>
              <w:keepLines w:val="0"/>
              <w:widowControl/>
              <w:suppressLineNumbers w:val="0"/>
              <w:jc w:val="center"/>
              <w:textAlignment w:val="center"/>
              <w:rPr>
                <w:rFonts w:hint="eastAsia" w:ascii="宋体" w:hAnsi="宋体" w:eastAsia="宋体" w:cs="宋体"/>
              </w:rPr>
            </w:pPr>
            <w:r>
              <w:rPr>
                <w:rFonts w:hint="eastAsia" w:ascii="宋体" w:hAnsi="宋体" w:eastAsia="宋体" w:cs="宋体"/>
                <w:i w:val="0"/>
                <w:iCs w:val="0"/>
                <w:color w:val="000000"/>
                <w:kern w:val="0"/>
                <w:sz w:val="20"/>
                <w:szCs w:val="20"/>
                <w:u w:val="none"/>
                <w:lang w:val="en-US" w:eastAsia="zh-CN" w:bidi="ar"/>
              </w:rPr>
              <w:t>0</w:t>
            </w:r>
          </w:p>
        </w:tc>
        <w:tc>
          <w:tcPr>
            <w:tcW w:w="1281" w:type="dxa"/>
            <w:vAlign w:val="center"/>
          </w:tcPr>
          <w:p w14:paraId="26486D73">
            <w:pPr>
              <w:keepNext w:val="0"/>
              <w:keepLines w:val="0"/>
              <w:widowControl/>
              <w:suppressLineNumbers w:val="0"/>
              <w:jc w:val="center"/>
              <w:textAlignment w:val="center"/>
              <w:rPr>
                <w:rFonts w:hint="eastAsia" w:ascii="宋体" w:hAnsi="宋体" w:eastAsia="宋体" w:cs="宋体"/>
              </w:rPr>
            </w:pPr>
            <w:r>
              <w:rPr>
                <w:rFonts w:hint="eastAsia" w:ascii="宋体" w:hAnsi="宋体" w:eastAsia="宋体" w:cs="宋体"/>
                <w:i w:val="0"/>
                <w:iCs w:val="0"/>
                <w:color w:val="000000"/>
                <w:kern w:val="0"/>
                <w:sz w:val="20"/>
                <w:szCs w:val="20"/>
                <w:u w:val="none"/>
                <w:lang w:val="en-US" w:eastAsia="zh-CN" w:bidi="ar"/>
              </w:rPr>
              <w:t>0</w:t>
            </w:r>
          </w:p>
        </w:tc>
        <w:tc>
          <w:tcPr>
            <w:tcW w:w="673" w:type="dxa"/>
            <w:vAlign w:val="top"/>
          </w:tcPr>
          <w:p w14:paraId="1FF63E68">
            <w:pPr>
              <w:pStyle w:val="9"/>
              <w:rPr>
                <w:rFonts w:hint="eastAsia" w:ascii="宋体" w:hAnsi="宋体" w:eastAsia="宋体" w:cs="宋体"/>
              </w:rPr>
            </w:pPr>
          </w:p>
        </w:tc>
        <w:tc>
          <w:tcPr>
            <w:tcW w:w="873" w:type="dxa"/>
            <w:vAlign w:val="top"/>
          </w:tcPr>
          <w:p w14:paraId="463DD986">
            <w:pPr>
              <w:pStyle w:val="9"/>
              <w:rPr>
                <w:rFonts w:hint="eastAsia" w:ascii="宋体" w:hAnsi="宋体" w:eastAsia="宋体" w:cs="宋体"/>
              </w:rPr>
            </w:pPr>
          </w:p>
        </w:tc>
        <w:tc>
          <w:tcPr>
            <w:tcW w:w="1422" w:type="dxa"/>
            <w:vAlign w:val="top"/>
          </w:tcPr>
          <w:p w14:paraId="0057459A">
            <w:pPr>
              <w:pStyle w:val="9"/>
              <w:rPr>
                <w:rFonts w:hint="eastAsia" w:ascii="宋体" w:hAnsi="宋体" w:eastAsia="宋体" w:cs="宋体"/>
              </w:rPr>
            </w:pPr>
          </w:p>
        </w:tc>
      </w:tr>
      <w:tr w14:paraId="6CFBC8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vAlign w:val="top"/>
          </w:tcPr>
          <w:p w14:paraId="0560CD24">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pacing w:val="7"/>
                <w:sz w:val="19"/>
                <w:szCs w:val="19"/>
              </w:rPr>
            </w:pPr>
            <w:r>
              <w:rPr>
                <w:rFonts w:hint="eastAsia" w:ascii="宋体" w:hAnsi="宋体" w:eastAsia="宋体" w:cs="宋体"/>
                <w:spacing w:val="7"/>
                <w:sz w:val="19"/>
                <w:szCs w:val="19"/>
              </w:rPr>
              <w:t>年度</w:t>
            </w:r>
          </w:p>
          <w:p w14:paraId="6769686B">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总体</w:t>
            </w:r>
          </w:p>
          <w:p w14:paraId="325A155B">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目标</w:t>
            </w:r>
          </w:p>
        </w:tc>
        <w:tc>
          <w:tcPr>
            <w:tcW w:w="4522" w:type="dxa"/>
            <w:gridSpan w:val="4"/>
            <w:vAlign w:val="top"/>
          </w:tcPr>
          <w:p w14:paraId="2FA24A49">
            <w:pPr>
              <w:spacing w:before="31" w:line="217" w:lineRule="auto"/>
              <w:ind w:left="1873"/>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249" w:type="dxa"/>
            <w:gridSpan w:val="4"/>
            <w:vAlign w:val="top"/>
          </w:tcPr>
          <w:p w14:paraId="1F379E36">
            <w:pPr>
              <w:spacing w:before="31" w:line="217" w:lineRule="auto"/>
              <w:ind w:left="1539"/>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09BBE2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084" w:type="dxa"/>
            <w:vMerge w:val="continue"/>
            <w:tcBorders>
              <w:top w:val="nil"/>
            </w:tcBorders>
            <w:vAlign w:val="top"/>
          </w:tcPr>
          <w:p w14:paraId="3861B6DE">
            <w:pPr>
              <w:pStyle w:val="9"/>
              <w:rPr>
                <w:rFonts w:hint="eastAsia" w:ascii="宋体" w:hAnsi="宋体" w:eastAsia="宋体" w:cs="宋体"/>
              </w:rPr>
            </w:pPr>
          </w:p>
        </w:tc>
        <w:tc>
          <w:tcPr>
            <w:tcW w:w="4522" w:type="dxa"/>
            <w:gridSpan w:val="4"/>
            <w:vAlign w:val="center"/>
          </w:tcPr>
          <w:p w14:paraId="67B2A324">
            <w:pPr>
              <w:keepNext w:val="0"/>
              <w:keepLines w:val="0"/>
              <w:widowControl/>
              <w:suppressLineNumbers w:val="0"/>
              <w:jc w:val="center"/>
              <w:textAlignment w:val="center"/>
              <w:rPr>
                <w:rFonts w:hint="eastAsia" w:ascii="宋体" w:hAnsi="宋体" w:eastAsia="宋体" w:cs="宋体"/>
              </w:rPr>
            </w:pPr>
            <w:r>
              <w:rPr>
                <w:rFonts w:hint="eastAsia" w:ascii="宋体" w:hAnsi="宋体" w:eastAsia="宋体" w:cs="宋体"/>
                <w:i w:val="0"/>
                <w:iCs w:val="0"/>
                <w:color w:val="000000"/>
                <w:kern w:val="0"/>
                <w:sz w:val="20"/>
                <w:szCs w:val="20"/>
                <w:u w:val="none"/>
                <w:lang w:val="en-US" w:eastAsia="zh-CN" w:bidi="ar"/>
              </w:rPr>
              <w:t>预期救助人次达21700人次</w:t>
            </w:r>
          </w:p>
        </w:tc>
        <w:tc>
          <w:tcPr>
            <w:tcW w:w="4249" w:type="dxa"/>
            <w:gridSpan w:val="4"/>
            <w:vAlign w:val="center"/>
          </w:tcPr>
          <w:p w14:paraId="71674998">
            <w:pPr>
              <w:keepNext w:val="0"/>
              <w:keepLines w:val="0"/>
              <w:widowControl/>
              <w:suppressLineNumbers w:val="0"/>
              <w:jc w:val="center"/>
              <w:textAlignment w:val="center"/>
              <w:rPr>
                <w:rFonts w:hint="eastAsia" w:ascii="宋体" w:hAnsi="宋体" w:eastAsia="宋体" w:cs="宋体"/>
              </w:rPr>
            </w:pPr>
            <w:r>
              <w:rPr>
                <w:rFonts w:hint="eastAsia" w:ascii="宋体" w:hAnsi="宋体" w:eastAsia="宋体" w:cs="宋体"/>
                <w:i w:val="0"/>
                <w:iCs w:val="0"/>
                <w:color w:val="000000"/>
                <w:kern w:val="0"/>
                <w:sz w:val="20"/>
                <w:szCs w:val="20"/>
                <w:u w:val="none"/>
                <w:lang w:val="en-US" w:eastAsia="zh-CN" w:bidi="ar"/>
              </w:rPr>
              <w:t>完成30018人次</w:t>
            </w:r>
          </w:p>
        </w:tc>
      </w:tr>
      <w:tr w14:paraId="06AFE3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1084" w:type="dxa"/>
            <w:vMerge w:val="restart"/>
            <w:tcBorders>
              <w:bottom w:val="nil"/>
            </w:tcBorders>
            <w:textDirection w:val="tbRlV"/>
            <w:vAlign w:val="top"/>
          </w:tcPr>
          <w:p w14:paraId="39D9F647">
            <w:pPr>
              <w:pStyle w:val="9"/>
              <w:spacing w:line="366" w:lineRule="auto"/>
              <w:rPr>
                <w:rFonts w:hint="eastAsia" w:ascii="宋体" w:hAnsi="宋体" w:eastAsia="宋体" w:cs="宋体"/>
              </w:rPr>
            </w:pPr>
          </w:p>
          <w:p w14:paraId="3C227F13">
            <w:pPr>
              <w:spacing w:before="63" w:line="216" w:lineRule="auto"/>
              <w:ind w:left="3058"/>
              <w:rPr>
                <w:rFonts w:hint="eastAsia" w:ascii="宋体" w:hAnsi="宋体" w:eastAsia="宋体" w:cs="宋体"/>
                <w:sz w:val="19"/>
                <w:szCs w:val="19"/>
              </w:rPr>
            </w:pPr>
            <w:r>
              <w:rPr>
                <w:rFonts w:hint="eastAsia" w:ascii="宋体" w:hAnsi="宋体" w:eastAsia="宋体" w:cs="宋体"/>
                <w:spacing w:val="7"/>
                <w:sz w:val="19"/>
                <w:szCs w:val="19"/>
              </w:rPr>
              <w:t>绩</w:t>
            </w:r>
            <w:r>
              <w:rPr>
                <w:rFonts w:hint="eastAsia" w:ascii="宋体" w:hAnsi="宋体" w:eastAsia="宋体" w:cs="宋体"/>
                <w:spacing w:val="-31"/>
                <w:sz w:val="19"/>
                <w:szCs w:val="19"/>
              </w:rPr>
              <w:t xml:space="preserve"> </w:t>
            </w:r>
            <w:r>
              <w:rPr>
                <w:rFonts w:hint="eastAsia" w:ascii="宋体" w:hAnsi="宋体" w:eastAsia="宋体" w:cs="宋体"/>
                <w:spacing w:val="7"/>
                <w:sz w:val="19"/>
                <w:szCs w:val="19"/>
              </w:rPr>
              <w:t>效</w:t>
            </w:r>
            <w:r>
              <w:rPr>
                <w:rFonts w:hint="eastAsia" w:ascii="宋体" w:hAnsi="宋体" w:eastAsia="宋体" w:cs="宋体"/>
                <w:spacing w:val="-34"/>
                <w:sz w:val="19"/>
                <w:szCs w:val="19"/>
              </w:rPr>
              <w:t xml:space="preserve"> </w:t>
            </w:r>
            <w:r>
              <w:rPr>
                <w:rFonts w:hint="eastAsia" w:ascii="宋体" w:hAnsi="宋体" w:eastAsia="宋体" w:cs="宋体"/>
                <w:spacing w:val="7"/>
                <w:sz w:val="19"/>
                <w:szCs w:val="19"/>
              </w:rPr>
              <w:t>指</w:t>
            </w:r>
            <w:r>
              <w:rPr>
                <w:rFonts w:hint="eastAsia" w:ascii="宋体" w:hAnsi="宋体" w:eastAsia="宋体" w:cs="宋体"/>
                <w:spacing w:val="-32"/>
                <w:sz w:val="19"/>
                <w:szCs w:val="19"/>
              </w:rPr>
              <w:t xml:space="preserve"> </w:t>
            </w:r>
            <w:r>
              <w:rPr>
                <w:rFonts w:hint="eastAsia" w:ascii="宋体" w:hAnsi="宋体" w:eastAsia="宋体" w:cs="宋体"/>
                <w:spacing w:val="7"/>
                <w:sz w:val="19"/>
                <w:szCs w:val="19"/>
              </w:rPr>
              <w:t>标</w:t>
            </w:r>
          </w:p>
        </w:tc>
        <w:tc>
          <w:tcPr>
            <w:tcW w:w="1079" w:type="dxa"/>
            <w:vAlign w:val="top"/>
          </w:tcPr>
          <w:p w14:paraId="4EC839AB">
            <w:pPr>
              <w:spacing w:before="141" w:line="226" w:lineRule="auto"/>
              <w:ind w:left="156"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一级指标</w:t>
            </w:r>
          </w:p>
        </w:tc>
        <w:tc>
          <w:tcPr>
            <w:tcW w:w="955" w:type="dxa"/>
            <w:vAlign w:val="top"/>
          </w:tcPr>
          <w:p w14:paraId="2DF2211D">
            <w:pPr>
              <w:spacing w:before="141" w:line="226" w:lineRule="auto"/>
              <w:ind w:left="132" w:leftChars="0"/>
              <w:rPr>
                <w:rFonts w:hint="eastAsia" w:ascii="宋体" w:hAnsi="宋体" w:eastAsia="宋体" w:cs="宋体"/>
                <w:kern w:val="2"/>
                <w:sz w:val="19"/>
                <w:szCs w:val="19"/>
                <w:lang w:val="en-US" w:eastAsia="zh-CN" w:bidi="ar-SA"/>
              </w:rPr>
            </w:pPr>
            <w:r>
              <w:rPr>
                <w:rFonts w:hint="eastAsia" w:ascii="宋体" w:hAnsi="宋体" w:eastAsia="宋体" w:cs="宋体"/>
                <w:spacing w:val="5"/>
                <w:sz w:val="19"/>
                <w:szCs w:val="19"/>
              </w:rPr>
              <w:t>二级指标</w:t>
            </w:r>
          </w:p>
        </w:tc>
        <w:tc>
          <w:tcPr>
            <w:tcW w:w="1244" w:type="dxa"/>
            <w:vAlign w:val="top"/>
          </w:tcPr>
          <w:p w14:paraId="4214A190">
            <w:pPr>
              <w:spacing w:before="141" w:line="226" w:lineRule="auto"/>
              <w:ind w:left="253"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三级指标</w:t>
            </w:r>
          </w:p>
        </w:tc>
        <w:tc>
          <w:tcPr>
            <w:tcW w:w="1244" w:type="dxa"/>
            <w:vAlign w:val="top"/>
          </w:tcPr>
          <w:p w14:paraId="6A8BCAAC">
            <w:pPr>
              <w:spacing w:before="22" w:line="233" w:lineRule="auto"/>
              <w:ind w:left="428"/>
              <w:rPr>
                <w:rFonts w:hint="eastAsia" w:ascii="宋体" w:hAnsi="宋体" w:eastAsia="宋体" w:cs="宋体"/>
                <w:sz w:val="19"/>
                <w:szCs w:val="19"/>
              </w:rPr>
            </w:pPr>
            <w:r>
              <w:rPr>
                <w:rFonts w:hint="eastAsia" w:ascii="宋体" w:hAnsi="宋体" w:eastAsia="宋体" w:cs="宋体"/>
                <w:spacing w:val="3"/>
                <w:sz w:val="19"/>
                <w:szCs w:val="19"/>
              </w:rPr>
              <w:t>年度</w:t>
            </w:r>
          </w:p>
          <w:p w14:paraId="0DACEE6E">
            <w:pPr>
              <w:spacing w:line="205" w:lineRule="auto"/>
              <w:ind w:left="330"/>
              <w:rPr>
                <w:rFonts w:hint="eastAsia" w:ascii="宋体" w:hAnsi="宋体" w:eastAsia="宋体" w:cs="宋体"/>
                <w:sz w:val="19"/>
                <w:szCs w:val="19"/>
              </w:rPr>
            </w:pPr>
            <w:r>
              <w:rPr>
                <w:rFonts w:hint="eastAsia" w:ascii="宋体" w:hAnsi="宋体" w:eastAsia="宋体" w:cs="宋体"/>
                <w:spacing w:val="6"/>
                <w:sz w:val="19"/>
                <w:szCs w:val="19"/>
              </w:rPr>
              <w:t>指标值</w:t>
            </w:r>
          </w:p>
        </w:tc>
        <w:tc>
          <w:tcPr>
            <w:tcW w:w="1281" w:type="dxa"/>
            <w:vAlign w:val="top"/>
          </w:tcPr>
          <w:p w14:paraId="57153894">
            <w:pPr>
              <w:spacing w:before="22" w:line="233" w:lineRule="auto"/>
              <w:ind w:left="457"/>
              <w:rPr>
                <w:rFonts w:hint="eastAsia" w:ascii="宋体" w:hAnsi="宋体" w:eastAsia="宋体" w:cs="宋体"/>
                <w:sz w:val="19"/>
                <w:szCs w:val="19"/>
              </w:rPr>
            </w:pPr>
            <w:r>
              <w:rPr>
                <w:rFonts w:hint="eastAsia" w:ascii="宋体" w:hAnsi="宋体" w:eastAsia="宋体" w:cs="宋体"/>
                <w:sz w:val="19"/>
                <w:szCs w:val="19"/>
              </w:rPr>
              <w:t>实际</w:t>
            </w:r>
          </w:p>
          <w:p w14:paraId="1937DD2A">
            <w:pPr>
              <w:spacing w:line="205" w:lineRule="auto"/>
              <w:ind w:left="357"/>
              <w:rPr>
                <w:rFonts w:hint="eastAsia" w:ascii="宋体" w:hAnsi="宋体" w:eastAsia="宋体" w:cs="宋体"/>
                <w:sz w:val="19"/>
                <w:szCs w:val="19"/>
              </w:rPr>
            </w:pPr>
            <w:r>
              <w:rPr>
                <w:rFonts w:hint="eastAsia" w:ascii="宋体" w:hAnsi="宋体" w:eastAsia="宋体" w:cs="宋体"/>
                <w:spacing w:val="3"/>
                <w:sz w:val="19"/>
                <w:szCs w:val="19"/>
              </w:rPr>
              <w:t>完成值</w:t>
            </w:r>
          </w:p>
        </w:tc>
        <w:tc>
          <w:tcPr>
            <w:tcW w:w="673" w:type="dxa"/>
            <w:vAlign w:val="top"/>
          </w:tcPr>
          <w:p w14:paraId="64B37A4F">
            <w:pPr>
              <w:spacing w:before="142" w:line="22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vAlign w:val="top"/>
          </w:tcPr>
          <w:p w14:paraId="2FD8D052">
            <w:pPr>
              <w:spacing w:before="175" w:line="218" w:lineRule="auto"/>
              <w:ind w:left="150"/>
              <w:rPr>
                <w:rFonts w:hint="eastAsia" w:ascii="宋体" w:hAnsi="宋体" w:eastAsia="宋体" w:cs="宋体"/>
                <w:sz w:val="16"/>
                <w:szCs w:val="16"/>
              </w:rPr>
            </w:pPr>
            <w:r>
              <w:rPr>
                <w:rFonts w:hint="eastAsia" w:ascii="宋体" w:hAnsi="宋体" w:eastAsia="宋体" w:cs="宋体"/>
                <w:spacing w:val="-8"/>
                <w:sz w:val="16"/>
                <w:szCs w:val="16"/>
              </w:rPr>
              <w:t>自评得分</w:t>
            </w:r>
          </w:p>
        </w:tc>
        <w:tc>
          <w:tcPr>
            <w:tcW w:w="1422" w:type="dxa"/>
            <w:vAlign w:val="top"/>
          </w:tcPr>
          <w:p w14:paraId="5E11A04C">
            <w:pPr>
              <w:spacing w:before="23" w:line="219" w:lineRule="auto"/>
              <w:ind w:left="113" w:right="109" w:firstLine="1"/>
              <w:rPr>
                <w:rFonts w:hint="eastAsia" w:ascii="宋体" w:hAnsi="宋体" w:eastAsia="宋体" w:cs="宋体"/>
                <w:sz w:val="19"/>
                <w:szCs w:val="19"/>
              </w:rPr>
            </w:pPr>
            <w:r>
              <w:rPr>
                <w:rFonts w:hint="eastAsia" w:ascii="宋体" w:hAnsi="宋体" w:eastAsia="宋体" w:cs="宋体"/>
                <w:spacing w:val="8"/>
                <w:sz w:val="19"/>
                <w:szCs w:val="19"/>
              </w:rPr>
              <w:t>偏差原因分析及改进措施</w:t>
            </w:r>
          </w:p>
        </w:tc>
      </w:tr>
      <w:tr w14:paraId="023F0D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410A5F99">
            <w:pPr>
              <w:pStyle w:val="9"/>
              <w:rPr>
                <w:rFonts w:hint="eastAsia" w:ascii="宋体" w:hAnsi="宋体" w:eastAsia="宋体" w:cs="宋体"/>
              </w:rPr>
            </w:pPr>
          </w:p>
        </w:tc>
        <w:tc>
          <w:tcPr>
            <w:tcW w:w="1079" w:type="dxa"/>
            <w:vMerge w:val="restart"/>
            <w:tcBorders>
              <w:bottom w:val="single" w:color="auto" w:sz="4" w:space="0"/>
            </w:tcBorders>
            <w:vAlign w:val="center"/>
          </w:tcPr>
          <w:p w14:paraId="4E1C7B75">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20"/>
                <w:szCs w:val="20"/>
                <w:u w:val="none"/>
                <w:lang w:val="en-US" w:eastAsia="zh-CN" w:bidi="ar"/>
              </w:rPr>
              <w:t>产出指标</w:t>
            </w:r>
          </w:p>
        </w:tc>
        <w:tc>
          <w:tcPr>
            <w:tcW w:w="955" w:type="dxa"/>
            <w:tcBorders>
              <w:bottom w:val="single" w:color="auto" w:sz="4" w:space="0"/>
            </w:tcBorders>
            <w:vAlign w:val="center"/>
          </w:tcPr>
          <w:p w14:paraId="5F18563C">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20"/>
                <w:szCs w:val="20"/>
                <w:u w:val="none"/>
                <w:lang w:val="en-US" w:eastAsia="zh-CN" w:bidi="ar"/>
              </w:rPr>
              <w:t>数量指标</w:t>
            </w:r>
          </w:p>
        </w:tc>
        <w:tc>
          <w:tcPr>
            <w:tcW w:w="1244" w:type="dxa"/>
            <w:tcBorders>
              <w:bottom w:val="single" w:color="auto" w:sz="4" w:space="0"/>
            </w:tcBorders>
            <w:vAlign w:val="center"/>
          </w:tcPr>
          <w:p w14:paraId="74676806">
            <w:pPr>
              <w:keepNext w:val="0"/>
              <w:keepLines w:val="0"/>
              <w:widowControl/>
              <w:suppressLineNumbers w:val="0"/>
              <w:jc w:val="left"/>
              <w:textAlignment w:val="center"/>
              <w:rPr>
                <w:rFonts w:hint="eastAsia" w:ascii="宋体" w:hAnsi="宋体" w:eastAsia="宋体" w:cs="宋体"/>
                <w:sz w:val="19"/>
              </w:rPr>
            </w:pPr>
            <w:r>
              <w:rPr>
                <w:rFonts w:hint="eastAsia" w:ascii="宋体" w:hAnsi="宋体" w:eastAsia="宋体" w:cs="宋体"/>
                <w:i w:val="0"/>
                <w:iCs w:val="0"/>
                <w:color w:val="000000"/>
                <w:kern w:val="0"/>
                <w:sz w:val="20"/>
                <w:szCs w:val="20"/>
                <w:u w:val="none"/>
                <w:lang w:val="en-US" w:eastAsia="zh-CN" w:bidi="ar"/>
              </w:rPr>
              <w:t>完成救助人次</w:t>
            </w:r>
          </w:p>
        </w:tc>
        <w:tc>
          <w:tcPr>
            <w:tcW w:w="1244" w:type="dxa"/>
            <w:vAlign w:val="center"/>
          </w:tcPr>
          <w:p w14:paraId="69E104CB">
            <w:pPr>
              <w:keepNext w:val="0"/>
              <w:keepLines w:val="0"/>
              <w:widowControl/>
              <w:suppressLineNumbers w:val="0"/>
              <w:jc w:val="center"/>
              <w:textAlignment w:val="center"/>
              <w:rPr>
                <w:rFonts w:hint="eastAsia" w:ascii="宋体" w:hAnsi="宋体" w:eastAsia="宋体" w:cs="宋体"/>
                <w:sz w:val="19"/>
              </w:rPr>
            </w:pPr>
            <w:r>
              <w:rPr>
                <w:rFonts w:hint="eastAsia" w:ascii="宋体" w:hAnsi="宋体" w:eastAsia="宋体" w:cs="宋体"/>
                <w:i w:val="0"/>
                <w:iCs w:val="0"/>
                <w:color w:val="000000"/>
                <w:kern w:val="0"/>
                <w:sz w:val="20"/>
                <w:szCs w:val="20"/>
                <w:u w:val="none"/>
                <w:lang w:val="en-US" w:eastAsia="zh-CN" w:bidi="ar"/>
              </w:rPr>
              <w:t>21700人次</w:t>
            </w:r>
          </w:p>
        </w:tc>
        <w:tc>
          <w:tcPr>
            <w:tcW w:w="1281" w:type="dxa"/>
            <w:vAlign w:val="center"/>
          </w:tcPr>
          <w:p w14:paraId="132A82C2">
            <w:pPr>
              <w:keepNext w:val="0"/>
              <w:keepLines w:val="0"/>
              <w:widowControl/>
              <w:suppressLineNumbers w:val="0"/>
              <w:jc w:val="center"/>
              <w:textAlignment w:val="center"/>
              <w:rPr>
                <w:rFonts w:hint="eastAsia" w:ascii="宋体" w:hAnsi="宋体" w:eastAsia="宋体" w:cs="宋体"/>
                <w:sz w:val="19"/>
              </w:rPr>
            </w:pPr>
            <w:r>
              <w:rPr>
                <w:rFonts w:hint="eastAsia" w:ascii="宋体" w:hAnsi="宋体" w:eastAsia="宋体" w:cs="宋体"/>
                <w:i w:val="0"/>
                <w:iCs w:val="0"/>
                <w:color w:val="000000"/>
                <w:kern w:val="0"/>
                <w:sz w:val="20"/>
                <w:szCs w:val="20"/>
                <w:u w:val="none"/>
                <w:lang w:val="en-US" w:eastAsia="zh-CN" w:bidi="ar"/>
              </w:rPr>
              <w:t>30018人次</w:t>
            </w:r>
          </w:p>
        </w:tc>
        <w:tc>
          <w:tcPr>
            <w:tcW w:w="673" w:type="dxa"/>
            <w:vAlign w:val="center"/>
          </w:tcPr>
          <w:p w14:paraId="0A8D1867">
            <w:pPr>
              <w:keepNext w:val="0"/>
              <w:keepLines w:val="0"/>
              <w:widowControl/>
              <w:suppressLineNumbers w:val="0"/>
              <w:jc w:val="center"/>
              <w:textAlignment w:val="center"/>
              <w:rPr>
                <w:rFonts w:hint="eastAsia" w:ascii="宋体" w:hAnsi="宋体" w:eastAsia="宋体" w:cs="宋体"/>
                <w:sz w:val="19"/>
              </w:rPr>
            </w:pPr>
            <w:r>
              <w:rPr>
                <w:rFonts w:hint="eastAsia" w:ascii="宋体" w:hAnsi="宋体" w:eastAsia="宋体" w:cs="宋体"/>
                <w:i w:val="0"/>
                <w:iCs w:val="0"/>
                <w:color w:val="000000"/>
                <w:kern w:val="0"/>
                <w:sz w:val="20"/>
                <w:szCs w:val="20"/>
                <w:u w:val="none"/>
                <w:lang w:val="en-US" w:eastAsia="zh-CN" w:bidi="ar"/>
              </w:rPr>
              <w:t>30</w:t>
            </w:r>
          </w:p>
        </w:tc>
        <w:tc>
          <w:tcPr>
            <w:tcW w:w="873" w:type="dxa"/>
            <w:vAlign w:val="center"/>
          </w:tcPr>
          <w:p w14:paraId="7FE5D505">
            <w:pPr>
              <w:keepNext w:val="0"/>
              <w:keepLines w:val="0"/>
              <w:widowControl/>
              <w:suppressLineNumbers w:val="0"/>
              <w:jc w:val="center"/>
              <w:textAlignment w:val="center"/>
              <w:rPr>
                <w:rFonts w:hint="eastAsia" w:ascii="宋体" w:hAnsi="宋体" w:eastAsia="宋体" w:cs="宋体"/>
                <w:sz w:val="19"/>
              </w:rPr>
            </w:pPr>
            <w:r>
              <w:rPr>
                <w:rFonts w:hint="eastAsia" w:ascii="宋体" w:hAnsi="宋体" w:eastAsia="宋体" w:cs="宋体"/>
                <w:i w:val="0"/>
                <w:iCs w:val="0"/>
                <w:color w:val="000000"/>
                <w:kern w:val="0"/>
                <w:sz w:val="20"/>
                <w:szCs w:val="20"/>
                <w:u w:val="none"/>
                <w:lang w:val="en-US" w:eastAsia="zh-CN" w:bidi="ar"/>
              </w:rPr>
              <w:t>30.00</w:t>
            </w:r>
          </w:p>
        </w:tc>
        <w:tc>
          <w:tcPr>
            <w:tcW w:w="1422" w:type="dxa"/>
            <w:vAlign w:val="center"/>
          </w:tcPr>
          <w:p w14:paraId="0D181AD0">
            <w:pPr>
              <w:jc w:val="center"/>
              <w:rPr>
                <w:rFonts w:hint="eastAsia" w:ascii="宋体" w:hAnsi="宋体" w:eastAsia="宋体" w:cs="宋体"/>
                <w:sz w:val="19"/>
              </w:rPr>
            </w:pPr>
          </w:p>
        </w:tc>
      </w:tr>
      <w:tr w14:paraId="2DD51D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58CD5C51">
            <w:pPr>
              <w:pStyle w:val="9"/>
              <w:rPr>
                <w:rFonts w:hint="eastAsia" w:ascii="宋体" w:hAnsi="宋体" w:eastAsia="宋体" w:cs="宋体"/>
              </w:rPr>
            </w:pPr>
          </w:p>
        </w:tc>
        <w:tc>
          <w:tcPr>
            <w:tcW w:w="1079" w:type="dxa"/>
            <w:vMerge w:val="continue"/>
            <w:tcBorders>
              <w:top w:val="single" w:color="auto" w:sz="4" w:space="0"/>
              <w:bottom w:val="single" w:color="auto" w:sz="4" w:space="0"/>
            </w:tcBorders>
            <w:vAlign w:val="center"/>
          </w:tcPr>
          <w:p w14:paraId="3F0F223C">
            <w:pPr>
              <w:jc w:val="center"/>
              <w:rPr>
                <w:rFonts w:hint="eastAsia" w:ascii="宋体" w:hAnsi="宋体" w:eastAsia="宋体" w:cs="宋体"/>
              </w:rPr>
            </w:pPr>
          </w:p>
        </w:tc>
        <w:tc>
          <w:tcPr>
            <w:tcW w:w="955" w:type="dxa"/>
            <w:tcBorders>
              <w:top w:val="single" w:color="auto" w:sz="4" w:space="0"/>
              <w:bottom w:val="single" w:color="auto" w:sz="4" w:space="0"/>
            </w:tcBorders>
            <w:vAlign w:val="center"/>
          </w:tcPr>
          <w:p w14:paraId="327B1A2A">
            <w:pPr>
              <w:keepNext w:val="0"/>
              <w:keepLines w:val="0"/>
              <w:widowControl/>
              <w:suppressLineNumbers w:val="0"/>
              <w:jc w:val="center"/>
              <w:textAlignment w:val="center"/>
              <w:rPr>
                <w:rFonts w:hint="eastAsia" w:ascii="宋体" w:hAnsi="宋体" w:eastAsia="宋体" w:cs="宋体"/>
              </w:rPr>
            </w:pPr>
            <w:r>
              <w:rPr>
                <w:rFonts w:hint="eastAsia" w:ascii="宋体" w:hAnsi="宋体" w:eastAsia="宋体" w:cs="宋体"/>
                <w:i w:val="0"/>
                <w:iCs w:val="0"/>
                <w:color w:val="000000"/>
                <w:kern w:val="0"/>
                <w:sz w:val="20"/>
                <w:szCs w:val="20"/>
                <w:u w:val="none"/>
                <w:lang w:val="en-US" w:eastAsia="zh-CN" w:bidi="ar"/>
              </w:rPr>
              <w:t>质量指标</w:t>
            </w:r>
          </w:p>
        </w:tc>
        <w:tc>
          <w:tcPr>
            <w:tcW w:w="1244" w:type="dxa"/>
            <w:tcBorders>
              <w:top w:val="single" w:color="auto" w:sz="4" w:space="0"/>
              <w:bottom w:val="single" w:color="auto" w:sz="4" w:space="0"/>
            </w:tcBorders>
            <w:vAlign w:val="center"/>
          </w:tcPr>
          <w:p w14:paraId="27F04123">
            <w:pPr>
              <w:keepNext w:val="0"/>
              <w:keepLines w:val="0"/>
              <w:widowControl/>
              <w:suppressLineNumbers w:val="0"/>
              <w:jc w:val="left"/>
              <w:textAlignment w:val="center"/>
              <w:rPr>
                <w:rFonts w:hint="eastAsia" w:ascii="宋体" w:hAnsi="宋体" w:eastAsia="宋体" w:cs="宋体"/>
                <w:sz w:val="19"/>
              </w:rPr>
            </w:pPr>
            <w:r>
              <w:rPr>
                <w:rFonts w:hint="eastAsia" w:ascii="宋体" w:hAnsi="宋体" w:eastAsia="宋体" w:cs="宋体"/>
                <w:i w:val="0"/>
                <w:iCs w:val="0"/>
                <w:color w:val="000000"/>
                <w:kern w:val="0"/>
                <w:sz w:val="20"/>
                <w:szCs w:val="20"/>
                <w:u w:val="none"/>
                <w:lang w:val="en-US" w:eastAsia="zh-CN" w:bidi="ar"/>
              </w:rPr>
              <w:t>各级财政补助资金到位率</w:t>
            </w:r>
          </w:p>
        </w:tc>
        <w:tc>
          <w:tcPr>
            <w:tcW w:w="1244" w:type="dxa"/>
            <w:vAlign w:val="center"/>
          </w:tcPr>
          <w:p w14:paraId="3FA572BA">
            <w:pPr>
              <w:keepNext w:val="0"/>
              <w:keepLines w:val="0"/>
              <w:widowControl/>
              <w:suppressLineNumbers w:val="0"/>
              <w:jc w:val="center"/>
              <w:textAlignment w:val="center"/>
              <w:rPr>
                <w:rFonts w:hint="eastAsia" w:ascii="宋体" w:hAnsi="宋体" w:eastAsia="宋体" w:cs="宋体"/>
                <w:sz w:val="19"/>
              </w:rPr>
            </w:pPr>
            <w:r>
              <w:rPr>
                <w:rFonts w:hint="eastAsia" w:ascii="宋体" w:hAnsi="宋体" w:eastAsia="宋体" w:cs="宋体"/>
                <w:i w:val="0"/>
                <w:iCs w:val="0"/>
                <w:color w:val="000000"/>
                <w:kern w:val="0"/>
                <w:sz w:val="20"/>
                <w:szCs w:val="20"/>
                <w:u w:val="none"/>
                <w:lang w:val="en-US" w:eastAsia="zh-CN" w:bidi="ar"/>
              </w:rPr>
              <w:t>100%</w:t>
            </w:r>
          </w:p>
        </w:tc>
        <w:tc>
          <w:tcPr>
            <w:tcW w:w="1281" w:type="dxa"/>
            <w:vAlign w:val="center"/>
          </w:tcPr>
          <w:p w14:paraId="1858E11A">
            <w:pPr>
              <w:keepNext w:val="0"/>
              <w:keepLines w:val="0"/>
              <w:widowControl/>
              <w:suppressLineNumbers w:val="0"/>
              <w:jc w:val="center"/>
              <w:textAlignment w:val="center"/>
              <w:rPr>
                <w:rFonts w:hint="eastAsia" w:ascii="宋体" w:hAnsi="宋体" w:eastAsia="宋体" w:cs="宋体"/>
                <w:sz w:val="19"/>
              </w:rPr>
            </w:pPr>
            <w:r>
              <w:rPr>
                <w:rFonts w:hint="eastAsia" w:ascii="宋体" w:hAnsi="宋体" w:eastAsia="宋体" w:cs="宋体"/>
                <w:i w:val="0"/>
                <w:iCs w:val="0"/>
                <w:color w:val="000000"/>
                <w:kern w:val="0"/>
                <w:sz w:val="20"/>
                <w:szCs w:val="20"/>
                <w:u w:val="none"/>
                <w:lang w:val="en-US" w:eastAsia="zh-CN" w:bidi="ar"/>
              </w:rPr>
              <w:t>100%</w:t>
            </w:r>
          </w:p>
        </w:tc>
        <w:tc>
          <w:tcPr>
            <w:tcW w:w="673" w:type="dxa"/>
            <w:vAlign w:val="center"/>
          </w:tcPr>
          <w:p w14:paraId="78AFB0CD">
            <w:pPr>
              <w:keepNext w:val="0"/>
              <w:keepLines w:val="0"/>
              <w:widowControl/>
              <w:suppressLineNumbers w:val="0"/>
              <w:jc w:val="center"/>
              <w:textAlignment w:val="center"/>
              <w:rPr>
                <w:rFonts w:hint="eastAsia" w:ascii="宋体" w:hAnsi="宋体" w:eastAsia="宋体" w:cs="宋体"/>
                <w:sz w:val="19"/>
              </w:rPr>
            </w:pPr>
            <w:r>
              <w:rPr>
                <w:rFonts w:hint="eastAsia" w:ascii="宋体" w:hAnsi="宋体" w:eastAsia="宋体" w:cs="宋体"/>
                <w:i w:val="0"/>
                <w:iCs w:val="0"/>
                <w:color w:val="000000"/>
                <w:kern w:val="0"/>
                <w:sz w:val="20"/>
                <w:szCs w:val="20"/>
                <w:u w:val="none"/>
                <w:lang w:val="en-US" w:eastAsia="zh-CN" w:bidi="ar"/>
              </w:rPr>
              <w:t>40</w:t>
            </w:r>
          </w:p>
        </w:tc>
        <w:tc>
          <w:tcPr>
            <w:tcW w:w="873" w:type="dxa"/>
            <w:vAlign w:val="center"/>
          </w:tcPr>
          <w:p w14:paraId="19B45406">
            <w:pPr>
              <w:keepNext w:val="0"/>
              <w:keepLines w:val="0"/>
              <w:widowControl/>
              <w:suppressLineNumbers w:val="0"/>
              <w:jc w:val="center"/>
              <w:textAlignment w:val="center"/>
              <w:rPr>
                <w:rFonts w:hint="eastAsia" w:ascii="宋体" w:hAnsi="宋体" w:eastAsia="宋体" w:cs="宋体"/>
                <w:sz w:val="19"/>
              </w:rPr>
            </w:pPr>
            <w:r>
              <w:rPr>
                <w:rFonts w:hint="eastAsia" w:ascii="宋体" w:hAnsi="宋体" w:eastAsia="宋体" w:cs="宋体"/>
                <w:i w:val="0"/>
                <w:iCs w:val="0"/>
                <w:color w:val="000000"/>
                <w:kern w:val="0"/>
                <w:sz w:val="20"/>
                <w:szCs w:val="20"/>
                <w:u w:val="none"/>
                <w:lang w:val="en-US" w:eastAsia="zh-CN" w:bidi="ar"/>
              </w:rPr>
              <w:t>40.00</w:t>
            </w:r>
          </w:p>
        </w:tc>
        <w:tc>
          <w:tcPr>
            <w:tcW w:w="1422" w:type="dxa"/>
            <w:vAlign w:val="center"/>
          </w:tcPr>
          <w:p w14:paraId="47D3A7A6">
            <w:pPr>
              <w:jc w:val="center"/>
              <w:rPr>
                <w:rFonts w:hint="eastAsia" w:ascii="宋体" w:hAnsi="宋体" w:eastAsia="宋体" w:cs="宋体"/>
                <w:sz w:val="19"/>
              </w:rPr>
            </w:pPr>
          </w:p>
        </w:tc>
      </w:tr>
      <w:tr w14:paraId="12B3C7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7532710E">
            <w:pPr>
              <w:pStyle w:val="9"/>
              <w:rPr>
                <w:rFonts w:hint="eastAsia" w:ascii="宋体" w:hAnsi="宋体" w:eastAsia="宋体" w:cs="宋体"/>
              </w:rPr>
            </w:pPr>
          </w:p>
        </w:tc>
        <w:tc>
          <w:tcPr>
            <w:tcW w:w="1079" w:type="dxa"/>
            <w:vMerge w:val="continue"/>
            <w:tcBorders>
              <w:top w:val="single" w:color="auto" w:sz="4" w:space="0"/>
              <w:bottom w:val="single" w:color="auto" w:sz="4" w:space="0"/>
            </w:tcBorders>
            <w:vAlign w:val="center"/>
          </w:tcPr>
          <w:p w14:paraId="0A74AB83">
            <w:pPr>
              <w:jc w:val="center"/>
              <w:rPr>
                <w:rFonts w:hint="eastAsia" w:ascii="宋体" w:hAnsi="宋体" w:eastAsia="宋体" w:cs="宋体"/>
              </w:rPr>
            </w:pPr>
          </w:p>
        </w:tc>
        <w:tc>
          <w:tcPr>
            <w:tcW w:w="955" w:type="dxa"/>
            <w:tcBorders>
              <w:top w:val="single" w:color="auto" w:sz="4" w:space="0"/>
            </w:tcBorders>
            <w:vAlign w:val="center"/>
          </w:tcPr>
          <w:p w14:paraId="7960622C">
            <w:pPr>
              <w:keepNext w:val="0"/>
              <w:keepLines w:val="0"/>
              <w:widowControl/>
              <w:suppressLineNumbers w:val="0"/>
              <w:jc w:val="center"/>
              <w:textAlignment w:val="center"/>
              <w:rPr>
                <w:rFonts w:hint="eastAsia" w:ascii="宋体" w:hAnsi="宋体" w:eastAsia="宋体" w:cs="宋体"/>
              </w:rPr>
            </w:pPr>
            <w:r>
              <w:rPr>
                <w:rFonts w:hint="eastAsia" w:ascii="宋体" w:hAnsi="宋体" w:eastAsia="宋体" w:cs="宋体"/>
                <w:i w:val="0"/>
                <w:iCs w:val="0"/>
                <w:color w:val="000000"/>
                <w:kern w:val="0"/>
                <w:sz w:val="20"/>
                <w:szCs w:val="20"/>
                <w:u w:val="none"/>
                <w:lang w:val="en-US" w:eastAsia="zh-CN" w:bidi="ar"/>
              </w:rPr>
              <w:t>时效指标</w:t>
            </w:r>
          </w:p>
        </w:tc>
        <w:tc>
          <w:tcPr>
            <w:tcW w:w="1244" w:type="dxa"/>
            <w:tcBorders>
              <w:top w:val="single" w:color="auto" w:sz="4" w:space="0"/>
            </w:tcBorders>
            <w:vAlign w:val="center"/>
          </w:tcPr>
          <w:p w14:paraId="21A7DE0E">
            <w:pPr>
              <w:rPr>
                <w:rFonts w:hint="eastAsia" w:ascii="宋体" w:hAnsi="宋体" w:eastAsia="宋体" w:cs="宋体"/>
                <w:sz w:val="19"/>
                <w:szCs w:val="19"/>
              </w:rPr>
            </w:pPr>
          </w:p>
        </w:tc>
        <w:tc>
          <w:tcPr>
            <w:tcW w:w="1244" w:type="dxa"/>
            <w:vAlign w:val="center"/>
          </w:tcPr>
          <w:p w14:paraId="35DB8A82">
            <w:pPr>
              <w:jc w:val="center"/>
              <w:rPr>
                <w:rFonts w:hint="eastAsia" w:ascii="宋体" w:hAnsi="宋体" w:eastAsia="宋体" w:cs="宋体"/>
                <w:sz w:val="19"/>
              </w:rPr>
            </w:pPr>
          </w:p>
        </w:tc>
        <w:tc>
          <w:tcPr>
            <w:tcW w:w="1281" w:type="dxa"/>
            <w:vAlign w:val="center"/>
          </w:tcPr>
          <w:p w14:paraId="43BECCE6">
            <w:pPr>
              <w:jc w:val="center"/>
              <w:rPr>
                <w:rFonts w:hint="eastAsia" w:ascii="宋体" w:hAnsi="宋体" w:eastAsia="宋体" w:cs="宋体"/>
                <w:sz w:val="19"/>
              </w:rPr>
            </w:pPr>
          </w:p>
        </w:tc>
        <w:tc>
          <w:tcPr>
            <w:tcW w:w="673" w:type="dxa"/>
            <w:vAlign w:val="center"/>
          </w:tcPr>
          <w:p w14:paraId="3095CF1D">
            <w:pPr>
              <w:jc w:val="center"/>
              <w:rPr>
                <w:rFonts w:hint="eastAsia" w:ascii="宋体" w:hAnsi="宋体" w:eastAsia="宋体" w:cs="宋体"/>
                <w:sz w:val="19"/>
              </w:rPr>
            </w:pPr>
          </w:p>
        </w:tc>
        <w:tc>
          <w:tcPr>
            <w:tcW w:w="873" w:type="dxa"/>
            <w:vAlign w:val="center"/>
          </w:tcPr>
          <w:p w14:paraId="667FAD83">
            <w:pPr>
              <w:jc w:val="center"/>
              <w:rPr>
                <w:rFonts w:hint="eastAsia" w:ascii="宋体" w:hAnsi="宋体" w:eastAsia="宋体" w:cs="宋体"/>
                <w:sz w:val="19"/>
              </w:rPr>
            </w:pPr>
          </w:p>
        </w:tc>
        <w:tc>
          <w:tcPr>
            <w:tcW w:w="1422" w:type="dxa"/>
            <w:vAlign w:val="center"/>
          </w:tcPr>
          <w:p w14:paraId="3C7E0B9F">
            <w:pPr>
              <w:jc w:val="center"/>
              <w:rPr>
                <w:rFonts w:hint="eastAsia" w:ascii="宋体" w:hAnsi="宋体" w:eastAsia="宋体" w:cs="宋体"/>
                <w:sz w:val="19"/>
              </w:rPr>
            </w:pPr>
          </w:p>
        </w:tc>
      </w:tr>
      <w:tr w14:paraId="17D859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5C73B2B1">
            <w:pPr>
              <w:pStyle w:val="9"/>
              <w:rPr>
                <w:rFonts w:hint="eastAsia" w:ascii="宋体" w:hAnsi="宋体" w:eastAsia="宋体" w:cs="宋体"/>
              </w:rPr>
            </w:pPr>
          </w:p>
        </w:tc>
        <w:tc>
          <w:tcPr>
            <w:tcW w:w="1079" w:type="dxa"/>
            <w:vMerge w:val="restart"/>
            <w:tcBorders>
              <w:top w:val="single" w:color="auto" w:sz="4" w:space="0"/>
              <w:bottom w:val="single" w:color="auto" w:sz="4" w:space="0"/>
            </w:tcBorders>
            <w:vAlign w:val="center"/>
          </w:tcPr>
          <w:p w14:paraId="71BDC2AC">
            <w:pPr>
              <w:keepNext w:val="0"/>
              <w:keepLines w:val="0"/>
              <w:widowControl/>
              <w:suppressLineNumbers w:val="0"/>
              <w:jc w:val="center"/>
              <w:textAlignment w:val="center"/>
              <w:rPr>
                <w:rFonts w:hint="eastAsia" w:ascii="宋体" w:hAnsi="宋体" w:eastAsia="宋体" w:cs="宋体"/>
              </w:rPr>
            </w:pPr>
            <w:r>
              <w:rPr>
                <w:rFonts w:hint="eastAsia" w:ascii="宋体" w:hAnsi="宋体" w:eastAsia="宋体" w:cs="宋体"/>
                <w:i w:val="0"/>
                <w:iCs w:val="0"/>
                <w:color w:val="000000"/>
                <w:kern w:val="0"/>
                <w:sz w:val="20"/>
                <w:szCs w:val="20"/>
                <w:u w:val="none"/>
                <w:lang w:val="en-US" w:eastAsia="zh-CN" w:bidi="ar"/>
              </w:rPr>
              <w:t>效益指标</w:t>
            </w:r>
          </w:p>
        </w:tc>
        <w:tc>
          <w:tcPr>
            <w:tcW w:w="955" w:type="dxa"/>
            <w:tcBorders>
              <w:bottom w:val="single" w:color="auto" w:sz="4" w:space="0"/>
            </w:tcBorders>
            <w:vAlign w:val="center"/>
          </w:tcPr>
          <w:p w14:paraId="03D8C054">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20"/>
                <w:szCs w:val="20"/>
                <w:u w:val="none"/>
                <w:lang w:val="en-US" w:eastAsia="zh-CN" w:bidi="ar"/>
              </w:rPr>
              <w:t>经济效益指标</w:t>
            </w:r>
          </w:p>
        </w:tc>
        <w:tc>
          <w:tcPr>
            <w:tcW w:w="1244" w:type="dxa"/>
            <w:tcBorders>
              <w:bottom w:val="single" w:color="auto" w:sz="4" w:space="0"/>
            </w:tcBorders>
            <w:vAlign w:val="center"/>
          </w:tcPr>
          <w:p w14:paraId="443BA128">
            <w:pPr>
              <w:rPr>
                <w:rFonts w:hint="eastAsia" w:ascii="宋体" w:hAnsi="宋体" w:eastAsia="宋体" w:cs="宋体"/>
                <w:sz w:val="19"/>
              </w:rPr>
            </w:pPr>
          </w:p>
        </w:tc>
        <w:tc>
          <w:tcPr>
            <w:tcW w:w="1244" w:type="dxa"/>
            <w:vAlign w:val="center"/>
          </w:tcPr>
          <w:p w14:paraId="43458DA9">
            <w:pPr>
              <w:jc w:val="center"/>
              <w:rPr>
                <w:rFonts w:hint="eastAsia" w:ascii="宋体" w:hAnsi="宋体" w:eastAsia="宋体" w:cs="宋体"/>
                <w:sz w:val="19"/>
              </w:rPr>
            </w:pPr>
          </w:p>
        </w:tc>
        <w:tc>
          <w:tcPr>
            <w:tcW w:w="1281" w:type="dxa"/>
            <w:vAlign w:val="center"/>
          </w:tcPr>
          <w:p w14:paraId="62B318AA">
            <w:pPr>
              <w:jc w:val="center"/>
              <w:rPr>
                <w:rFonts w:hint="eastAsia" w:ascii="宋体" w:hAnsi="宋体" w:eastAsia="宋体" w:cs="宋体"/>
                <w:sz w:val="19"/>
              </w:rPr>
            </w:pPr>
          </w:p>
        </w:tc>
        <w:tc>
          <w:tcPr>
            <w:tcW w:w="673" w:type="dxa"/>
            <w:vAlign w:val="center"/>
          </w:tcPr>
          <w:p w14:paraId="047119D7">
            <w:pPr>
              <w:jc w:val="center"/>
              <w:rPr>
                <w:rFonts w:hint="eastAsia" w:ascii="宋体" w:hAnsi="宋体" w:eastAsia="宋体" w:cs="宋体"/>
                <w:sz w:val="19"/>
              </w:rPr>
            </w:pPr>
          </w:p>
        </w:tc>
        <w:tc>
          <w:tcPr>
            <w:tcW w:w="873" w:type="dxa"/>
            <w:vAlign w:val="center"/>
          </w:tcPr>
          <w:p w14:paraId="51CF9192">
            <w:pPr>
              <w:jc w:val="center"/>
              <w:rPr>
                <w:rFonts w:hint="eastAsia" w:ascii="宋体" w:hAnsi="宋体" w:eastAsia="宋体" w:cs="宋体"/>
                <w:sz w:val="19"/>
              </w:rPr>
            </w:pPr>
          </w:p>
        </w:tc>
        <w:tc>
          <w:tcPr>
            <w:tcW w:w="1422" w:type="dxa"/>
            <w:vAlign w:val="center"/>
          </w:tcPr>
          <w:p w14:paraId="336A51AE">
            <w:pPr>
              <w:jc w:val="center"/>
              <w:rPr>
                <w:rFonts w:hint="eastAsia" w:ascii="宋体" w:hAnsi="宋体" w:eastAsia="宋体" w:cs="宋体"/>
                <w:sz w:val="19"/>
              </w:rPr>
            </w:pPr>
          </w:p>
        </w:tc>
      </w:tr>
      <w:tr w14:paraId="5AB5AB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18D97FF1">
            <w:pPr>
              <w:pStyle w:val="9"/>
              <w:rPr>
                <w:rFonts w:hint="eastAsia" w:ascii="宋体" w:hAnsi="宋体" w:eastAsia="宋体" w:cs="宋体"/>
              </w:rPr>
            </w:pPr>
          </w:p>
        </w:tc>
        <w:tc>
          <w:tcPr>
            <w:tcW w:w="1079" w:type="dxa"/>
            <w:vMerge w:val="continue"/>
            <w:tcBorders>
              <w:top w:val="single" w:color="auto" w:sz="4" w:space="0"/>
              <w:bottom w:val="single" w:color="auto" w:sz="4" w:space="0"/>
            </w:tcBorders>
            <w:vAlign w:val="center"/>
          </w:tcPr>
          <w:p w14:paraId="2E7A70F5">
            <w:pPr>
              <w:jc w:val="center"/>
              <w:rPr>
                <w:rFonts w:hint="eastAsia" w:ascii="宋体" w:hAnsi="宋体" w:eastAsia="宋体" w:cs="宋体"/>
              </w:rPr>
            </w:pPr>
          </w:p>
        </w:tc>
        <w:tc>
          <w:tcPr>
            <w:tcW w:w="955" w:type="dxa"/>
            <w:tcBorders>
              <w:top w:val="single" w:color="auto" w:sz="4" w:space="0"/>
              <w:bottom w:val="single" w:color="auto" w:sz="4" w:space="0"/>
            </w:tcBorders>
            <w:vAlign w:val="center"/>
          </w:tcPr>
          <w:p w14:paraId="5C11564A">
            <w:pPr>
              <w:keepNext w:val="0"/>
              <w:keepLines w:val="0"/>
              <w:widowControl/>
              <w:suppressLineNumbers w:val="0"/>
              <w:jc w:val="center"/>
              <w:textAlignment w:val="center"/>
              <w:rPr>
                <w:rFonts w:hint="eastAsia" w:ascii="宋体" w:hAnsi="宋体" w:eastAsia="宋体" w:cs="宋体"/>
              </w:rPr>
            </w:pPr>
            <w:r>
              <w:rPr>
                <w:rFonts w:hint="eastAsia" w:ascii="宋体" w:hAnsi="宋体" w:eastAsia="宋体" w:cs="宋体"/>
                <w:i w:val="0"/>
                <w:iCs w:val="0"/>
                <w:color w:val="000000"/>
                <w:kern w:val="0"/>
                <w:sz w:val="20"/>
                <w:szCs w:val="20"/>
                <w:u w:val="none"/>
                <w:lang w:val="en-US" w:eastAsia="zh-CN" w:bidi="ar"/>
              </w:rPr>
              <w:t>社会效益指标</w:t>
            </w:r>
          </w:p>
        </w:tc>
        <w:tc>
          <w:tcPr>
            <w:tcW w:w="1244" w:type="dxa"/>
            <w:tcBorders>
              <w:top w:val="single" w:color="auto" w:sz="4" w:space="0"/>
              <w:bottom w:val="single" w:color="auto" w:sz="4" w:space="0"/>
            </w:tcBorders>
            <w:vAlign w:val="center"/>
          </w:tcPr>
          <w:p w14:paraId="3D0B7A0E">
            <w:pPr>
              <w:rPr>
                <w:rFonts w:hint="eastAsia" w:ascii="宋体" w:hAnsi="宋体" w:eastAsia="宋体" w:cs="宋体"/>
                <w:sz w:val="19"/>
              </w:rPr>
            </w:pPr>
          </w:p>
        </w:tc>
        <w:tc>
          <w:tcPr>
            <w:tcW w:w="1244" w:type="dxa"/>
            <w:vAlign w:val="center"/>
          </w:tcPr>
          <w:p w14:paraId="51470231">
            <w:pPr>
              <w:jc w:val="center"/>
              <w:rPr>
                <w:rFonts w:hint="eastAsia" w:ascii="宋体" w:hAnsi="宋体" w:eastAsia="宋体" w:cs="宋体"/>
                <w:sz w:val="19"/>
              </w:rPr>
            </w:pPr>
          </w:p>
        </w:tc>
        <w:tc>
          <w:tcPr>
            <w:tcW w:w="1281" w:type="dxa"/>
            <w:vAlign w:val="center"/>
          </w:tcPr>
          <w:p w14:paraId="7DC232C8">
            <w:pPr>
              <w:jc w:val="center"/>
              <w:rPr>
                <w:rFonts w:hint="eastAsia" w:ascii="宋体" w:hAnsi="宋体" w:eastAsia="宋体" w:cs="宋体"/>
                <w:sz w:val="19"/>
              </w:rPr>
            </w:pPr>
          </w:p>
        </w:tc>
        <w:tc>
          <w:tcPr>
            <w:tcW w:w="673" w:type="dxa"/>
            <w:vAlign w:val="center"/>
          </w:tcPr>
          <w:p w14:paraId="23A0D5EF">
            <w:pPr>
              <w:jc w:val="center"/>
              <w:rPr>
                <w:rFonts w:hint="eastAsia" w:ascii="宋体" w:hAnsi="宋体" w:eastAsia="宋体" w:cs="宋体"/>
                <w:sz w:val="19"/>
              </w:rPr>
            </w:pPr>
          </w:p>
        </w:tc>
        <w:tc>
          <w:tcPr>
            <w:tcW w:w="873" w:type="dxa"/>
            <w:vAlign w:val="center"/>
          </w:tcPr>
          <w:p w14:paraId="49CD27AE">
            <w:pPr>
              <w:jc w:val="center"/>
              <w:rPr>
                <w:rFonts w:hint="eastAsia" w:ascii="宋体" w:hAnsi="宋体" w:eastAsia="宋体" w:cs="宋体"/>
                <w:sz w:val="19"/>
              </w:rPr>
            </w:pPr>
          </w:p>
        </w:tc>
        <w:tc>
          <w:tcPr>
            <w:tcW w:w="1422" w:type="dxa"/>
            <w:vAlign w:val="center"/>
          </w:tcPr>
          <w:p w14:paraId="740A85AA">
            <w:pPr>
              <w:jc w:val="center"/>
              <w:rPr>
                <w:rFonts w:hint="eastAsia" w:ascii="宋体" w:hAnsi="宋体" w:eastAsia="宋体" w:cs="宋体"/>
                <w:sz w:val="19"/>
              </w:rPr>
            </w:pPr>
          </w:p>
        </w:tc>
      </w:tr>
      <w:tr w14:paraId="5BB634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183A95AA">
            <w:pPr>
              <w:pStyle w:val="9"/>
              <w:rPr>
                <w:rFonts w:hint="eastAsia" w:ascii="宋体" w:hAnsi="宋体" w:eastAsia="宋体" w:cs="宋体"/>
              </w:rPr>
            </w:pPr>
          </w:p>
        </w:tc>
        <w:tc>
          <w:tcPr>
            <w:tcW w:w="1079" w:type="dxa"/>
            <w:vMerge w:val="continue"/>
            <w:tcBorders>
              <w:top w:val="single" w:color="auto" w:sz="4" w:space="0"/>
              <w:bottom w:val="single" w:color="auto" w:sz="4" w:space="0"/>
            </w:tcBorders>
            <w:vAlign w:val="center"/>
          </w:tcPr>
          <w:p w14:paraId="12B851D9">
            <w:pPr>
              <w:jc w:val="center"/>
              <w:rPr>
                <w:rFonts w:hint="eastAsia" w:ascii="宋体" w:hAnsi="宋体" w:eastAsia="宋体" w:cs="宋体"/>
              </w:rPr>
            </w:pPr>
          </w:p>
        </w:tc>
        <w:tc>
          <w:tcPr>
            <w:tcW w:w="955" w:type="dxa"/>
            <w:tcBorders>
              <w:top w:val="single" w:color="auto" w:sz="4" w:space="0"/>
              <w:bottom w:val="single" w:color="auto" w:sz="4" w:space="0"/>
            </w:tcBorders>
            <w:vAlign w:val="center"/>
          </w:tcPr>
          <w:p w14:paraId="7F250D28">
            <w:pPr>
              <w:keepNext w:val="0"/>
              <w:keepLines w:val="0"/>
              <w:widowControl/>
              <w:suppressLineNumbers w:val="0"/>
              <w:jc w:val="center"/>
              <w:textAlignment w:val="center"/>
              <w:rPr>
                <w:rFonts w:hint="eastAsia" w:ascii="宋体" w:hAnsi="宋体" w:eastAsia="宋体" w:cs="宋体"/>
              </w:rPr>
            </w:pPr>
            <w:r>
              <w:rPr>
                <w:rFonts w:hint="eastAsia" w:ascii="宋体" w:hAnsi="宋体" w:eastAsia="宋体" w:cs="宋体"/>
                <w:i w:val="0"/>
                <w:iCs w:val="0"/>
                <w:color w:val="000000"/>
                <w:kern w:val="0"/>
                <w:sz w:val="20"/>
                <w:szCs w:val="20"/>
                <w:u w:val="none"/>
                <w:lang w:val="en-US" w:eastAsia="zh-CN" w:bidi="ar"/>
              </w:rPr>
              <w:t>生态效益指标</w:t>
            </w:r>
          </w:p>
        </w:tc>
        <w:tc>
          <w:tcPr>
            <w:tcW w:w="1244" w:type="dxa"/>
            <w:tcBorders>
              <w:top w:val="single" w:color="auto" w:sz="4" w:space="0"/>
            </w:tcBorders>
            <w:vAlign w:val="center"/>
          </w:tcPr>
          <w:p w14:paraId="129A5641">
            <w:pPr>
              <w:rPr>
                <w:rFonts w:hint="eastAsia" w:ascii="宋体" w:hAnsi="宋体" w:eastAsia="宋体" w:cs="宋体"/>
                <w:sz w:val="19"/>
                <w:szCs w:val="19"/>
              </w:rPr>
            </w:pPr>
          </w:p>
        </w:tc>
        <w:tc>
          <w:tcPr>
            <w:tcW w:w="1244" w:type="dxa"/>
            <w:vAlign w:val="center"/>
          </w:tcPr>
          <w:p w14:paraId="50873065">
            <w:pPr>
              <w:jc w:val="center"/>
              <w:rPr>
                <w:rFonts w:hint="eastAsia" w:ascii="宋体" w:hAnsi="宋体" w:eastAsia="宋体" w:cs="宋体"/>
                <w:sz w:val="19"/>
              </w:rPr>
            </w:pPr>
          </w:p>
        </w:tc>
        <w:tc>
          <w:tcPr>
            <w:tcW w:w="1281" w:type="dxa"/>
            <w:vAlign w:val="center"/>
          </w:tcPr>
          <w:p w14:paraId="755CD5FD">
            <w:pPr>
              <w:jc w:val="center"/>
              <w:rPr>
                <w:rFonts w:hint="eastAsia" w:ascii="宋体" w:hAnsi="宋体" w:eastAsia="宋体" w:cs="宋体"/>
                <w:sz w:val="19"/>
              </w:rPr>
            </w:pPr>
          </w:p>
        </w:tc>
        <w:tc>
          <w:tcPr>
            <w:tcW w:w="673" w:type="dxa"/>
            <w:vAlign w:val="center"/>
          </w:tcPr>
          <w:p w14:paraId="05ABCCCB">
            <w:pPr>
              <w:jc w:val="center"/>
              <w:rPr>
                <w:rFonts w:hint="eastAsia" w:ascii="宋体" w:hAnsi="宋体" w:eastAsia="宋体" w:cs="宋体"/>
                <w:sz w:val="19"/>
              </w:rPr>
            </w:pPr>
          </w:p>
        </w:tc>
        <w:tc>
          <w:tcPr>
            <w:tcW w:w="873" w:type="dxa"/>
            <w:vAlign w:val="center"/>
          </w:tcPr>
          <w:p w14:paraId="46A9806B">
            <w:pPr>
              <w:jc w:val="center"/>
              <w:rPr>
                <w:rFonts w:hint="eastAsia" w:ascii="宋体" w:hAnsi="宋体" w:eastAsia="宋体" w:cs="宋体"/>
                <w:sz w:val="19"/>
              </w:rPr>
            </w:pPr>
          </w:p>
        </w:tc>
        <w:tc>
          <w:tcPr>
            <w:tcW w:w="1422" w:type="dxa"/>
            <w:vAlign w:val="center"/>
          </w:tcPr>
          <w:p w14:paraId="094EC158">
            <w:pPr>
              <w:jc w:val="center"/>
              <w:rPr>
                <w:rFonts w:hint="eastAsia" w:ascii="宋体" w:hAnsi="宋体" w:eastAsia="宋体" w:cs="宋体"/>
                <w:sz w:val="19"/>
              </w:rPr>
            </w:pPr>
          </w:p>
        </w:tc>
      </w:tr>
      <w:tr w14:paraId="7109AC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 w:hRule="atLeast"/>
        </w:trPr>
        <w:tc>
          <w:tcPr>
            <w:tcW w:w="1084" w:type="dxa"/>
            <w:vMerge w:val="continue"/>
            <w:tcBorders>
              <w:top w:val="nil"/>
              <w:bottom w:val="nil"/>
            </w:tcBorders>
            <w:textDirection w:val="tbRlV"/>
            <w:vAlign w:val="top"/>
          </w:tcPr>
          <w:p w14:paraId="2FB776F1">
            <w:pPr>
              <w:pStyle w:val="9"/>
              <w:rPr>
                <w:rFonts w:hint="eastAsia" w:ascii="宋体" w:hAnsi="宋体" w:eastAsia="宋体" w:cs="宋体"/>
              </w:rPr>
            </w:pPr>
          </w:p>
        </w:tc>
        <w:tc>
          <w:tcPr>
            <w:tcW w:w="1079" w:type="dxa"/>
            <w:vMerge w:val="continue"/>
            <w:tcBorders>
              <w:top w:val="single" w:color="auto" w:sz="4" w:space="0"/>
              <w:bottom w:val="single" w:color="auto" w:sz="4" w:space="0"/>
            </w:tcBorders>
            <w:vAlign w:val="center"/>
          </w:tcPr>
          <w:p w14:paraId="2569AD31">
            <w:pPr>
              <w:jc w:val="center"/>
              <w:rPr>
                <w:rFonts w:hint="eastAsia" w:ascii="宋体" w:hAnsi="宋体" w:eastAsia="宋体" w:cs="宋体"/>
              </w:rPr>
            </w:pPr>
          </w:p>
        </w:tc>
        <w:tc>
          <w:tcPr>
            <w:tcW w:w="955" w:type="dxa"/>
            <w:tcBorders>
              <w:top w:val="single" w:color="auto" w:sz="4" w:space="0"/>
              <w:bottom w:val="single" w:color="auto" w:sz="4" w:space="0"/>
            </w:tcBorders>
            <w:vAlign w:val="center"/>
          </w:tcPr>
          <w:p w14:paraId="2F68F1C9">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20"/>
                <w:szCs w:val="20"/>
                <w:u w:val="none"/>
                <w:lang w:val="en-US" w:eastAsia="zh-CN" w:bidi="ar"/>
              </w:rPr>
              <w:t>可持续影响指标</w:t>
            </w:r>
          </w:p>
        </w:tc>
        <w:tc>
          <w:tcPr>
            <w:tcW w:w="1244" w:type="dxa"/>
            <w:vAlign w:val="center"/>
          </w:tcPr>
          <w:p w14:paraId="211A0BED">
            <w:pPr>
              <w:rPr>
                <w:rFonts w:hint="eastAsia" w:ascii="宋体" w:hAnsi="宋体" w:eastAsia="宋体" w:cs="宋体"/>
                <w:sz w:val="19"/>
              </w:rPr>
            </w:pPr>
          </w:p>
        </w:tc>
        <w:tc>
          <w:tcPr>
            <w:tcW w:w="1244" w:type="dxa"/>
            <w:tcBorders>
              <w:right w:val="single" w:color="auto" w:sz="4" w:space="0"/>
            </w:tcBorders>
            <w:vAlign w:val="center"/>
          </w:tcPr>
          <w:p w14:paraId="1A810C71">
            <w:pPr>
              <w:jc w:val="center"/>
              <w:rPr>
                <w:rFonts w:hint="eastAsia" w:ascii="宋体" w:hAnsi="宋体" w:eastAsia="宋体" w:cs="宋体"/>
                <w:sz w:val="19"/>
              </w:rPr>
            </w:pPr>
          </w:p>
        </w:tc>
        <w:tc>
          <w:tcPr>
            <w:tcW w:w="1281" w:type="dxa"/>
            <w:tcBorders>
              <w:left w:val="single" w:color="auto" w:sz="4" w:space="0"/>
            </w:tcBorders>
            <w:vAlign w:val="center"/>
          </w:tcPr>
          <w:p w14:paraId="1E47FDE6">
            <w:pPr>
              <w:jc w:val="center"/>
              <w:rPr>
                <w:rFonts w:hint="eastAsia" w:ascii="宋体" w:hAnsi="宋体" w:eastAsia="宋体" w:cs="宋体"/>
                <w:sz w:val="19"/>
              </w:rPr>
            </w:pPr>
          </w:p>
        </w:tc>
        <w:tc>
          <w:tcPr>
            <w:tcW w:w="673" w:type="dxa"/>
            <w:vAlign w:val="center"/>
          </w:tcPr>
          <w:p w14:paraId="41E47241">
            <w:pPr>
              <w:jc w:val="center"/>
              <w:rPr>
                <w:rFonts w:hint="eastAsia" w:ascii="宋体" w:hAnsi="宋体" w:eastAsia="宋体" w:cs="宋体"/>
                <w:sz w:val="19"/>
              </w:rPr>
            </w:pPr>
          </w:p>
        </w:tc>
        <w:tc>
          <w:tcPr>
            <w:tcW w:w="873" w:type="dxa"/>
            <w:vAlign w:val="center"/>
          </w:tcPr>
          <w:p w14:paraId="0BD27A6D">
            <w:pPr>
              <w:jc w:val="center"/>
              <w:rPr>
                <w:rFonts w:hint="eastAsia" w:ascii="宋体" w:hAnsi="宋体" w:eastAsia="宋体" w:cs="宋体"/>
                <w:sz w:val="19"/>
              </w:rPr>
            </w:pPr>
          </w:p>
        </w:tc>
        <w:tc>
          <w:tcPr>
            <w:tcW w:w="1422" w:type="dxa"/>
            <w:vAlign w:val="center"/>
          </w:tcPr>
          <w:p w14:paraId="4359C454">
            <w:pPr>
              <w:jc w:val="center"/>
              <w:rPr>
                <w:rFonts w:hint="eastAsia" w:ascii="宋体" w:hAnsi="宋体" w:eastAsia="宋体" w:cs="宋体"/>
                <w:sz w:val="19"/>
              </w:rPr>
            </w:pPr>
          </w:p>
        </w:tc>
      </w:tr>
      <w:tr w14:paraId="0690E0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528DE142">
            <w:pPr>
              <w:pStyle w:val="9"/>
              <w:rPr>
                <w:rFonts w:hint="eastAsia" w:ascii="宋体" w:hAnsi="宋体" w:eastAsia="宋体" w:cs="宋体"/>
              </w:rPr>
            </w:pPr>
          </w:p>
        </w:tc>
        <w:tc>
          <w:tcPr>
            <w:tcW w:w="1079" w:type="dxa"/>
            <w:tcBorders>
              <w:top w:val="single" w:color="auto" w:sz="4" w:space="0"/>
              <w:bottom w:val="single" w:color="auto" w:sz="4" w:space="0"/>
            </w:tcBorders>
            <w:vAlign w:val="center"/>
          </w:tcPr>
          <w:p w14:paraId="0AA62F1D">
            <w:pPr>
              <w:keepNext w:val="0"/>
              <w:keepLines w:val="0"/>
              <w:widowControl/>
              <w:suppressLineNumbers w:val="0"/>
              <w:jc w:val="center"/>
              <w:textAlignment w:val="center"/>
              <w:rPr>
                <w:rFonts w:hint="eastAsia" w:ascii="宋体" w:hAnsi="宋体" w:eastAsia="宋体" w:cs="宋体"/>
              </w:rPr>
            </w:pPr>
            <w:r>
              <w:rPr>
                <w:rFonts w:hint="eastAsia" w:ascii="宋体" w:hAnsi="宋体" w:eastAsia="宋体" w:cs="宋体"/>
                <w:i w:val="0"/>
                <w:iCs w:val="0"/>
                <w:color w:val="000000"/>
                <w:kern w:val="0"/>
                <w:sz w:val="20"/>
                <w:szCs w:val="20"/>
                <w:u w:val="none"/>
                <w:lang w:val="en-US" w:eastAsia="zh-CN" w:bidi="ar"/>
              </w:rPr>
              <w:t>满意度指标</w:t>
            </w:r>
          </w:p>
        </w:tc>
        <w:tc>
          <w:tcPr>
            <w:tcW w:w="955" w:type="dxa"/>
            <w:tcBorders>
              <w:top w:val="single" w:color="auto" w:sz="4" w:space="0"/>
              <w:bottom w:val="single" w:color="auto" w:sz="4" w:space="0"/>
            </w:tcBorders>
            <w:vAlign w:val="center"/>
          </w:tcPr>
          <w:p w14:paraId="31C8AB82">
            <w:pPr>
              <w:keepNext w:val="0"/>
              <w:keepLines w:val="0"/>
              <w:widowControl/>
              <w:suppressLineNumbers w:val="0"/>
              <w:jc w:val="center"/>
              <w:textAlignment w:val="center"/>
              <w:rPr>
                <w:rFonts w:hint="eastAsia" w:ascii="宋体" w:hAnsi="宋体" w:eastAsia="宋体" w:cs="宋体"/>
              </w:rPr>
            </w:pPr>
            <w:r>
              <w:rPr>
                <w:rFonts w:hint="eastAsia" w:ascii="宋体" w:hAnsi="宋体" w:eastAsia="宋体" w:cs="宋体"/>
                <w:i w:val="0"/>
                <w:iCs w:val="0"/>
                <w:color w:val="000000"/>
                <w:kern w:val="0"/>
                <w:sz w:val="20"/>
                <w:szCs w:val="20"/>
                <w:u w:val="none"/>
                <w:lang w:val="en-US" w:eastAsia="zh-CN" w:bidi="ar"/>
              </w:rPr>
              <w:t>服务对象满意度指标</w:t>
            </w:r>
          </w:p>
        </w:tc>
        <w:tc>
          <w:tcPr>
            <w:tcW w:w="1244" w:type="dxa"/>
            <w:tcBorders>
              <w:bottom w:val="single" w:color="auto" w:sz="4" w:space="0"/>
            </w:tcBorders>
            <w:vAlign w:val="center"/>
          </w:tcPr>
          <w:p w14:paraId="66704CA8">
            <w:pPr>
              <w:keepNext w:val="0"/>
              <w:keepLines w:val="0"/>
              <w:widowControl/>
              <w:suppressLineNumbers w:val="0"/>
              <w:jc w:val="left"/>
              <w:textAlignment w:val="center"/>
              <w:rPr>
                <w:rFonts w:hint="eastAsia" w:ascii="宋体" w:hAnsi="宋体" w:eastAsia="宋体" w:cs="宋体"/>
                <w:sz w:val="19"/>
              </w:rPr>
            </w:pPr>
            <w:r>
              <w:rPr>
                <w:rFonts w:hint="eastAsia" w:ascii="宋体" w:hAnsi="宋体" w:eastAsia="宋体" w:cs="宋体"/>
                <w:i w:val="0"/>
                <w:iCs w:val="0"/>
                <w:color w:val="000000"/>
                <w:kern w:val="0"/>
                <w:sz w:val="20"/>
                <w:szCs w:val="20"/>
                <w:u w:val="none"/>
                <w:lang w:val="en-US" w:eastAsia="zh-CN" w:bidi="ar"/>
              </w:rPr>
              <w:t>相关部门和参保对象满意度</w:t>
            </w:r>
          </w:p>
        </w:tc>
        <w:tc>
          <w:tcPr>
            <w:tcW w:w="1244" w:type="dxa"/>
            <w:vAlign w:val="center"/>
          </w:tcPr>
          <w:p w14:paraId="4DD3E31C">
            <w:pPr>
              <w:keepNext w:val="0"/>
              <w:keepLines w:val="0"/>
              <w:widowControl/>
              <w:suppressLineNumbers w:val="0"/>
              <w:jc w:val="center"/>
              <w:textAlignment w:val="center"/>
              <w:rPr>
                <w:rFonts w:hint="eastAsia" w:ascii="宋体" w:hAnsi="宋体" w:eastAsia="宋体" w:cs="宋体"/>
                <w:sz w:val="19"/>
              </w:rPr>
            </w:pPr>
            <w:r>
              <w:rPr>
                <w:rFonts w:hint="eastAsia" w:ascii="宋体" w:hAnsi="宋体" w:eastAsia="宋体" w:cs="宋体"/>
                <w:i w:val="0"/>
                <w:iCs w:val="0"/>
                <w:color w:val="000000"/>
                <w:kern w:val="0"/>
                <w:sz w:val="20"/>
                <w:szCs w:val="20"/>
                <w:u w:val="none"/>
                <w:lang w:val="en-US" w:eastAsia="zh-CN" w:bidi="ar"/>
              </w:rPr>
              <w:t>≥95%</w:t>
            </w:r>
          </w:p>
        </w:tc>
        <w:tc>
          <w:tcPr>
            <w:tcW w:w="1281" w:type="dxa"/>
            <w:vAlign w:val="center"/>
          </w:tcPr>
          <w:p w14:paraId="3325F4B7">
            <w:pPr>
              <w:keepNext w:val="0"/>
              <w:keepLines w:val="0"/>
              <w:widowControl/>
              <w:suppressLineNumbers w:val="0"/>
              <w:jc w:val="center"/>
              <w:textAlignment w:val="center"/>
              <w:rPr>
                <w:rFonts w:hint="eastAsia" w:ascii="宋体" w:hAnsi="宋体" w:eastAsia="宋体" w:cs="宋体"/>
                <w:sz w:val="19"/>
              </w:rPr>
            </w:pPr>
            <w:r>
              <w:rPr>
                <w:rFonts w:hint="eastAsia" w:ascii="宋体" w:hAnsi="宋体" w:eastAsia="宋体" w:cs="宋体"/>
                <w:i w:val="0"/>
                <w:iCs w:val="0"/>
                <w:color w:val="000000"/>
                <w:kern w:val="0"/>
                <w:sz w:val="20"/>
                <w:szCs w:val="20"/>
                <w:u w:val="none"/>
                <w:lang w:val="en-US" w:eastAsia="zh-CN" w:bidi="ar"/>
              </w:rPr>
              <w:t>95%</w:t>
            </w:r>
          </w:p>
        </w:tc>
        <w:tc>
          <w:tcPr>
            <w:tcW w:w="673" w:type="dxa"/>
            <w:vAlign w:val="center"/>
          </w:tcPr>
          <w:p w14:paraId="7E711C5C">
            <w:pPr>
              <w:keepNext w:val="0"/>
              <w:keepLines w:val="0"/>
              <w:widowControl/>
              <w:suppressLineNumbers w:val="0"/>
              <w:jc w:val="center"/>
              <w:textAlignment w:val="center"/>
              <w:rPr>
                <w:rFonts w:hint="eastAsia" w:ascii="宋体" w:hAnsi="宋体" w:eastAsia="宋体" w:cs="宋体"/>
                <w:sz w:val="19"/>
              </w:rPr>
            </w:pPr>
            <w:r>
              <w:rPr>
                <w:rFonts w:hint="eastAsia" w:ascii="宋体" w:hAnsi="宋体" w:eastAsia="宋体" w:cs="宋体"/>
                <w:i w:val="0"/>
                <w:iCs w:val="0"/>
                <w:color w:val="000000"/>
                <w:kern w:val="0"/>
                <w:sz w:val="20"/>
                <w:szCs w:val="20"/>
                <w:u w:val="none"/>
                <w:lang w:val="en-US" w:eastAsia="zh-CN" w:bidi="ar"/>
              </w:rPr>
              <w:t>10</w:t>
            </w:r>
          </w:p>
        </w:tc>
        <w:tc>
          <w:tcPr>
            <w:tcW w:w="873" w:type="dxa"/>
            <w:vAlign w:val="center"/>
          </w:tcPr>
          <w:p w14:paraId="436C7603">
            <w:pPr>
              <w:keepNext w:val="0"/>
              <w:keepLines w:val="0"/>
              <w:widowControl/>
              <w:suppressLineNumbers w:val="0"/>
              <w:jc w:val="center"/>
              <w:textAlignment w:val="center"/>
              <w:rPr>
                <w:rFonts w:hint="eastAsia" w:ascii="宋体" w:hAnsi="宋体" w:eastAsia="宋体" w:cs="宋体"/>
                <w:sz w:val="19"/>
              </w:rPr>
            </w:pPr>
            <w:r>
              <w:rPr>
                <w:rFonts w:hint="eastAsia" w:ascii="宋体" w:hAnsi="宋体" w:eastAsia="宋体" w:cs="宋体"/>
                <w:i w:val="0"/>
                <w:iCs w:val="0"/>
                <w:color w:val="000000"/>
                <w:kern w:val="0"/>
                <w:sz w:val="20"/>
                <w:szCs w:val="20"/>
                <w:u w:val="none"/>
                <w:lang w:val="en-US" w:eastAsia="zh-CN" w:bidi="ar"/>
              </w:rPr>
              <w:t>10.00</w:t>
            </w:r>
          </w:p>
        </w:tc>
        <w:tc>
          <w:tcPr>
            <w:tcW w:w="1422" w:type="dxa"/>
            <w:vAlign w:val="center"/>
          </w:tcPr>
          <w:p w14:paraId="6ECBBAB9">
            <w:pPr>
              <w:jc w:val="center"/>
              <w:rPr>
                <w:rFonts w:hint="eastAsia" w:ascii="宋体" w:hAnsi="宋体" w:eastAsia="宋体" w:cs="宋体"/>
                <w:sz w:val="19"/>
              </w:rPr>
            </w:pPr>
          </w:p>
        </w:tc>
      </w:tr>
      <w:tr w14:paraId="0AAC8D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4DB8725D">
            <w:pPr>
              <w:pStyle w:val="9"/>
              <w:rPr>
                <w:rFonts w:hint="eastAsia" w:ascii="宋体" w:hAnsi="宋体" w:eastAsia="宋体" w:cs="宋体"/>
              </w:rPr>
            </w:pPr>
          </w:p>
        </w:tc>
        <w:tc>
          <w:tcPr>
            <w:tcW w:w="1079" w:type="dxa"/>
            <w:vMerge w:val="restart"/>
            <w:tcBorders>
              <w:top w:val="single" w:color="auto" w:sz="4" w:space="0"/>
              <w:bottom w:val="single" w:color="auto" w:sz="4" w:space="0"/>
            </w:tcBorders>
            <w:vAlign w:val="center"/>
          </w:tcPr>
          <w:p w14:paraId="6A04A137">
            <w:pPr>
              <w:keepNext w:val="0"/>
              <w:keepLines w:val="0"/>
              <w:widowControl/>
              <w:suppressLineNumbers w:val="0"/>
              <w:jc w:val="center"/>
              <w:textAlignment w:val="center"/>
              <w:rPr>
                <w:rFonts w:hint="eastAsia" w:ascii="宋体" w:hAnsi="宋体" w:eastAsia="宋体" w:cs="宋体"/>
              </w:rPr>
            </w:pPr>
            <w:r>
              <w:rPr>
                <w:rFonts w:hint="eastAsia" w:ascii="宋体" w:hAnsi="宋体" w:eastAsia="宋体" w:cs="宋体"/>
                <w:i w:val="0"/>
                <w:iCs w:val="0"/>
                <w:color w:val="000000"/>
                <w:kern w:val="0"/>
                <w:sz w:val="20"/>
                <w:szCs w:val="20"/>
                <w:u w:val="none"/>
                <w:lang w:val="en-US" w:eastAsia="zh-CN" w:bidi="ar"/>
              </w:rPr>
              <w:t>成本指标</w:t>
            </w:r>
          </w:p>
        </w:tc>
        <w:tc>
          <w:tcPr>
            <w:tcW w:w="955" w:type="dxa"/>
            <w:tcBorders>
              <w:top w:val="single" w:color="auto" w:sz="4" w:space="0"/>
              <w:bottom w:val="single" w:color="auto" w:sz="4" w:space="0"/>
            </w:tcBorders>
            <w:vAlign w:val="center"/>
          </w:tcPr>
          <w:p w14:paraId="6265EDB8">
            <w:pPr>
              <w:keepNext w:val="0"/>
              <w:keepLines w:val="0"/>
              <w:widowControl/>
              <w:suppressLineNumbers w:val="0"/>
              <w:jc w:val="center"/>
              <w:textAlignment w:val="center"/>
              <w:rPr>
                <w:rFonts w:hint="eastAsia" w:ascii="宋体" w:hAnsi="宋体" w:eastAsia="宋体" w:cs="宋体"/>
              </w:rPr>
            </w:pPr>
            <w:r>
              <w:rPr>
                <w:rFonts w:hint="eastAsia" w:ascii="宋体" w:hAnsi="宋体" w:eastAsia="宋体" w:cs="宋体"/>
                <w:i w:val="0"/>
                <w:iCs w:val="0"/>
                <w:color w:val="000000"/>
                <w:kern w:val="0"/>
                <w:sz w:val="20"/>
                <w:szCs w:val="20"/>
                <w:u w:val="none"/>
                <w:lang w:val="en-US" w:eastAsia="zh-CN" w:bidi="ar"/>
              </w:rPr>
              <w:t>经济成本指标</w:t>
            </w:r>
          </w:p>
        </w:tc>
        <w:tc>
          <w:tcPr>
            <w:tcW w:w="1244" w:type="dxa"/>
            <w:tcBorders>
              <w:top w:val="single" w:color="auto" w:sz="4" w:space="0"/>
            </w:tcBorders>
            <w:vAlign w:val="center"/>
          </w:tcPr>
          <w:p w14:paraId="063FD6B6">
            <w:pPr>
              <w:keepNext w:val="0"/>
              <w:keepLines w:val="0"/>
              <w:widowControl/>
              <w:suppressLineNumbers w:val="0"/>
              <w:jc w:val="left"/>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20"/>
                <w:szCs w:val="20"/>
                <w:u w:val="none"/>
                <w:lang w:val="en-US" w:eastAsia="zh-CN" w:bidi="ar"/>
              </w:rPr>
              <w:t>支出数</w:t>
            </w:r>
          </w:p>
        </w:tc>
        <w:tc>
          <w:tcPr>
            <w:tcW w:w="1244" w:type="dxa"/>
            <w:vAlign w:val="center"/>
          </w:tcPr>
          <w:p w14:paraId="594309FC">
            <w:pPr>
              <w:keepNext w:val="0"/>
              <w:keepLines w:val="0"/>
              <w:widowControl/>
              <w:suppressLineNumbers w:val="0"/>
              <w:jc w:val="center"/>
              <w:textAlignment w:val="center"/>
              <w:rPr>
                <w:rFonts w:hint="eastAsia" w:ascii="宋体" w:hAnsi="宋体" w:eastAsia="宋体" w:cs="宋体"/>
                <w:sz w:val="19"/>
              </w:rPr>
            </w:pPr>
            <w:r>
              <w:rPr>
                <w:rFonts w:hint="eastAsia" w:ascii="宋体" w:hAnsi="宋体" w:eastAsia="宋体" w:cs="宋体"/>
                <w:i w:val="0"/>
                <w:iCs w:val="0"/>
                <w:color w:val="000000"/>
                <w:kern w:val="0"/>
                <w:sz w:val="20"/>
                <w:szCs w:val="20"/>
                <w:u w:val="none"/>
                <w:lang w:val="en-US" w:eastAsia="zh-CN" w:bidi="ar"/>
              </w:rPr>
              <w:t>550</w:t>
            </w:r>
          </w:p>
        </w:tc>
        <w:tc>
          <w:tcPr>
            <w:tcW w:w="1281" w:type="dxa"/>
            <w:vAlign w:val="center"/>
          </w:tcPr>
          <w:p w14:paraId="27CA604B">
            <w:pPr>
              <w:keepNext w:val="0"/>
              <w:keepLines w:val="0"/>
              <w:widowControl/>
              <w:suppressLineNumbers w:val="0"/>
              <w:jc w:val="center"/>
              <w:textAlignment w:val="center"/>
              <w:rPr>
                <w:rFonts w:hint="eastAsia" w:ascii="宋体" w:hAnsi="宋体" w:eastAsia="宋体" w:cs="宋体"/>
                <w:sz w:val="19"/>
              </w:rPr>
            </w:pPr>
            <w:r>
              <w:rPr>
                <w:rFonts w:hint="eastAsia" w:ascii="宋体" w:hAnsi="宋体" w:eastAsia="宋体" w:cs="宋体"/>
                <w:i w:val="0"/>
                <w:iCs w:val="0"/>
                <w:color w:val="000000"/>
                <w:kern w:val="0"/>
                <w:sz w:val="20"/>
                <w:szCs w:val="20"/>
                <w:u w:val="none"/>
                <w:lang w:val="en-US" w:eastAsia="zh-CN" w:bidi="ar"/>
              </w:rPr>
              <w:t>550</w:t>
            </w:r>
          </w:p>
        </w:tc>
        <w:tc>
          <w:tcPr>
            <w:tcW w:w="673" w:type="dxa"/>
            <w:vAlign w:val="center"/>
          </w:tcPr>
          <w:p w14:paraId="5702B7D2">
            <w:pPr>
              <w:keepNext w:val="0"/>
              <w:keepLines w:val="0"/>
              <w:widowControl/>
              <w:suppressLineNumbers w:val="0"/>
              <w:jc w:val="center"/>
              <w:textAlignment w:val="center"/>
              <w:rPr>
                <w:rFonts w:hint="eastAsia" w:ascii="宋体" w:hAnsi="宋体" w:eastAsia="宋体" w:cs="宋体"/>
                <w:sz w:val="19"/>
              </w:rPr>
            </w:pPr>
            <w:r>
              <w:rPr>
                <w:rFonts w:hint="eastAsia" w:ascii="宋体" w:hAnsi="宋体" w:eastAsia="宋体" w:cs="宋体"/>
                <w:i w:val="0"/>
                <w:iCs w:val="0"/>
                <w:color w:val="000000"/>
                <w:kern w:val="0"/>
                <w:sz w:val="20"/>
                <w:szCs w:val="20"/>
                <w:u w:val="none"/>
                <w:lang w:val="en-US" w:eastAsia="zh-CN" w:bidi="ar"/>
              </w:rPr>
              <w:t>10</w:t>
            </w:r>
          </w:p>
        </w:tc>
        <w:tc>
          <w:tcPr>
            <w:tcW w:w="873" w:type="dxa"/>
            <w:vAlign w:val="center"/>
          </w:tcPr>
          <w:p w14:paraId="031FF834">
            <w:pPr>
              <w:keepNext w:val="0"/>
              <w:keepLines w:val="0"/>
              <w:widowControl/>
              <w:suppressLineNumbers w:val="0"/>
              <w:jc w:val="center"/>
              <w:textAlignment w:val="center"/>
              <w:rPr>
                <w:rFonts w:hint="eastAsia" w:ascii="宋体" w:hAnsi="宋体" w:eastAsia="宋体" w:cs="宋体"/>
                <w:sz w:val="19"/>
              </w:rPr>
            </w:pPr>
            <w:r>
              <w:rPr>
                <w:rFonts w:hint="eastAsia" w:ascii="宋体" w:hAnsi="宋体" w:eastAsia="宋体" w:cs="宋体"/>
                <w:i w:val="0"/>
                <w:iCs w:val="0"/>
                <w:color w:val="000000"/>
                <w:kern w:val="0"/>
                <w:sz w:val="20"/>
                <w:szCs w:val="20"/>
                <w:u w:val="none"/>
                <w:lang w:val="en-US" w:eastAsia="zh-CN" w:bidi="ar"/>
              </w:rPr>
              <w:t>10.00</w:t>
            </w:r>
          </w:p>
        </w:tc>
        <w:tc>
          <w:tcPr>
            <w:tcW w:w="1422" w:type="dxa"/>
            <w:vAlign w:val="center"/>
          </w:tcPr>
          <w:p w14:paraId="3ADC7802">
            <w:pPr>
              <w:jc w:val="center"/>
              <w:rPr>
                <w:rFonts w:hint="eastAsia" w:ascii="宋体" w:hAnsi="宋体" w:eastAsia="宋体" w:cs="宋体"/>
                <w:sz w:val="19"/>
              </w:rPr>
            </w:pPr>
          </w:p>
        </w:tc>
      </w:tr>
      <w:tr w14:paraId="2559F1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63CFE8A8">
            <w:pPr>
              <w:pStyle w:val="9"/>
              <w:rPr>
                <w:rFonts w:hint="eastAsia" w:ascii="宋体" w:hAnsi="宋体" w:eastAsia="宋体" w:cs="宋体"/>
              </w:rPr>
            </w:pPr>
          </w:p>
        </w:tc>
        <w:tc>
          <w:tcPr>
            <w:tcW w:w="1079" w:type="dxa"/>
            <w:vMerge w:val="continue"/>
            <w:tcBorders>
              <w:top w:val="single" w:color="auto" w:sz="4" w:space="0"/>
              <w:bottom w:val="single" w:color="auto" w:sz="4" w:space="0"/>
            </w:tcBorders>
            <w:vAlign w:val="center"/>
          </w:tcPr>
          <w:p w14:paraId="3CF80E2A">
            <w:pPr>
              <w:jc w:val="center"/>
              <w:rPr>
                <w:rFonts w:hint="eastAsia" w:ascii="宋体" w:hAnsi="宋体" w:eastAsia="宋体" w:cs="宋体"/>
              </w:rPr>
            </w:pPr>
          </w:p>
        </w:tc>
        <w:tc>
          <w:tcPr>
            <w:tcW w:w="955" w:type="dxa"/>
            <w:tcBorders>
              <w:top w:val="single" w:color="auto" w:sz="4" w:space="0"/>
              <w:bottom w:val="single" w:color="auto" w:sz="4" w:space="0"/>
            </w:tcBorders>
            <w:vAlign w:val="center"/>
          </w:tcPr>
          <w:p w14:paraId="765AAB0C">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20"/>
                <w:szCs w:val="20"/>
                <w:u w:val="none"/>
                <w:lang w:val="en-US" w:eastAsia="zh-CN" w:bidi="ar"/>
              </w:rPr>
              <w:t>社会成本指标</w:t>
            </w:r>
          </w:p>
        </w:tc>
        <w:tc>
          <w:tcPr>
            <w:tcW w:w="1244" w:type="dxa"/>
            <w:tcBorders>
              <w:bottom w:val="single" w:color="auto" w:sz="4" w:space="0"/>
            </w:tcBorders>
            <w:vAlign w:val="center"/>
          </w:tcPr>
          <w:p w14:paraId="59E3B939">
            <w:pPr>
              <w:rPr>
                <w:rFonts w:hint="eastAsia" w:ascii="宋体" w:hAnsi="宋体" w:eastAsia="宋体" w:cs="宋体"/>
                <w:sz w:val="19"/>
              </w:rPr>
            </w:pPr>
          </w:p>
        </w:tc>
        <w:tc>
          <w:tcPr>
            <w:tcW w:w="1244" w:type="dxa"/>
            <w:vAlign w:val="center"/>
          </w:tcPr>
          <w:p w14:paraId="66DCEE69">
            <w:pPr>
              <w:jc w:val="center"/>
              <w:rPr>
                <w:rFonts w:hint="eastAsia" w:ascii="宋体" w:hAnsi="宋体" w:eastAsia="宋体" w:cs="宋体"/>
                <w:sz w:val="19"/>
              </w:rPr>
            </w:pPr>
          </w:p>
        </w:tc>
        <w:tc>
          <w:tcPr>
            <w:tcW w:w="1281" w:type="dxa"/>
            <w:vAlign w:val="center"/>
          </w:tcPr>
          <w:p w14:paraId="13163695">
            <w:pPr>
              <w:jc w:val="center"/>
              <w:rPr>
                <w:rFonts w:hint="eastAsia" w:ascii="宋体" w:hAnsi="宋体" w:eastAsia="宋体" w:cs="宋体"/>
                <w:sz w:val="19"/>
              </w:rPr>
            </w:pPr>
          </w:p>
        </w:tc>
        <w:tc>
          <w:tcPr>
            <w:tcW w:w="673" w:type="dxa"/>
            <w:vAlign w:val="center"/>
          </w:tcPr>
          <w:p w14:paraId="6ECB14F0">
            <w:pPr>
              <w:jc w:val="center"/>
              <w:rPr>
                <w:rFonts w:hint="eastAsia" w:ascii="宋体" w:hAnsi="宋体" w:eastAsia="宋体" w:cs="宋体"/>
                <w:sz w:val="19"/>
              </w:rPr>
            </w:pPr>
          </w:p>
        </w:tc>
        <w:tc>
          <w:tcPr>
            <w:tcW w:w="873" w:type="dxa"/>
            <w:vAlign w:val="center"/>
          </w:tcPr>
          <w:p w14:paraId="458C7572">
            <w:pPr>
              <w:jc w:val="center"/>
              <w:rPr>
                <w:rFonts w:hint="eastAsia" w:ascii="宋体" w:hAnsi="宋体" w:eastAsia="宋体" w:cs="宋体"/>
                <w:sz w:val="19"/>
              </w:rPr>
            </w:pPr>
          </w:p>
        </w:tc>
        <w:tc>
          <w:tcPr>
            <w:tcW w:w="1422" w:type="dxa"/>
            <w:vAlign w:val="center"/>
          </w:tcPr>
          <w:p w14:paraId="5DD91D7F">
            <w:pPr>
              <w:jc w:val="center"/>
              <w:rPr>
                <w:rFonts w:hint="eastAsia" w:ascii="宋体" w:hAnsi="宋体" w:eastAsia="宋体" w:cs="宋体"/>
                <w:sz w:val="19"/>
              </w:rPr>
            </w:pPr>
          </w:p>
        </w:tc>
      </w:tr>
      <w:tr w14:paraId="1196A9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4A928B83">
            <w:pPr>
              <w:pStyle w:val="9"/>
              <w:rPr>
                <w:rFonts w:hint="eastAsia" w:ascii="宋体" w:hAnsi="宋体" w:eastAsia="宋体" w:cs="宋体"/>
              </w:rPr>
            </w:pPr>
          </w:p>
        </w:tc>
        <w:tc>
          <w:tcPr>
            <w:tcW w:w="1079" w:type="dxa"/>
            <w:vMerge w:val="continue"/>
            <w:tcBorders>
              <w:top w:val="single" w:color="auto" w:sz="4" w:space="0"/>
              <w:bottom w:val="nil"/>
            </w:tcBorders>
            <w:vAlign w:val="center"/>
          </w:tcPr>
          <w:p w14:paraId="36A1162E">
            <w:pPr>
              <w:jc w:val="center"/>
              <w:rPr>
                <w:rFonts w:hint="eastAsia" w:ascii="宋体" w:hAnsi="宋体" w:eastAsia="宋体" w:cs="宋体"/>
              </w:rPr>
            </w:pPr>
          </w:p>
        </w:tc>
        <w:tc>
          <w:tcPr>
            <w:tcW w:w="955" w:type="dxa"/>
            <w:tcBorders>
              <w:top w:val="single" w:color="auto" w:sz="4" w:space="0"/>
              <w:bottom w:val="nil"/>
            </w:tcBorders>
            <w:vAlign w:val="center"/>
          </w:tcPr>
          <w:p w14:paraId="61296310">
            <w:pPr>
              <w:keepNext w:val="0"/>
              <w:keepLines w:val="0"/>
              <w:widowControl/>
              <w:suppressLineNumbers w:val="0"/>
              <w:jc w:val="center"/>
              <w:textAlignment w:val="center"/>
              <w:rPr>
                <w:rFonts w:hint="eastAsia" w:ascii="宋体" w:hAnsi="宋体" w:eastAsia="宋体" w:cs="宋体"/>
              </w:rPr>
            </w:pPr>
            <w:r>
              <w:rPr>
                <w:rFonts w:hint="eastAsia" w:ascii="宋体" w:hAnsi="宋体" w:eastAsia="宋体" w:cs="宋体"/>
                <w:i w:val="0"/>
                <w:iCs w:val="0"/>
                <w:color w:val="000000"/>
                <w:kern w:val="0"/>
                <w:sz w:val="20"/>
                <w:szCs w:val="20"/>
                <w:u w:val="none"/>
                <w:lang w:val="en-US" w:eastAsia="zh-CN" w:bidi="ar"/>
              </w:rPr>
              <w:t>生态环境成本指标</w:t>
            </w:r>
          </w:p>
        </w:tc>
        <w:tc>
          <w:tcPr>
            <w:tcW w:w="1244" w:type="dxa"/>
            <w:tcBorders>
              <w:top w:val="single" w:color="auto" w:sz="4" w:space="0"/>
            </w:tcBorders>
            <w:vAlign w:val="center"/>
          </w:tcPr>
          <w:p w14:paraId="5093591A">
            <w:pPr>
              <w:rPr>
                <w:rFonts w:hint="eastAsia" w:ascii="宋体" w:hAnsi="宋体" w:eastAsia="宋体" w:cs="宋体"/>
                <w:sz w:val="19"/>
              </w:rPr>
            </w:pPr>
          </w:p>
        </w:tc>
        <w:tc>
          <w:tcPr>
            <w:tcW w:w="1244" w:type="dxa"/>
            <w:vAlign w:val="center"/>
          </w:tcPr>
          <w:p w14:paraId="03ACB402">
            <w:pPr>
              <w:jc w:val="center"/>
              <w:rPr>
                <w:rFonts w:hint="eastAsia" w:ascii="宋体" w:hAnsi="宋体" w:eastAsia="宋体" w:cs="宋体"/>
                <w:sz w:val="19"/>
              </w:rPr>
            </w:pPr>
          </w:p>
        </w:tc>
        <w:tc>
          <w:tcPr>
            <w:tcW w:w="1281" w:type="dxa"/>
            <w:vAlign w:val="center"/>
          </w:tcPr>
          <w:p w14:paraId="6A4B55D3">
            <w:pPr>
              <w:jc w:val="center"/>
              <w:rPr>
                <w:rFonts w:hint="eastAsia" w:ascii="宋体" w:hAnsi="宋体" w:eastAsia="宋体" w:cs="宋体"/>
                <w:sz w:val="19"/>
              </w:rPr>
            </w:pPr>
          </w:p>
        </w:tc>
        <w:tc>
          <w:tcPr>
            <w:tcW w:w="673" w:type="dxa"/>
            <w:vAlign w:val="center"/>
          </w:tcPr>
          <w:p w14:paraId="318BA48B">
            <w:pPr>
              <w:jc w:val="center"/>
              <w:rPr>
                <w:rFonts w:hint="eastAsia" w:ascii="宋体" w:hAnsi="宋体" w:eastAsia="宋体" w:cs="宋体"/>
                <w:sz w:val="19"/>
              </w:rPr>
            </w:pPr>
          </w:p>
        </w:tc>
        <w:tc>
          <w:tcPr>
            <w:tcW w:w="873" w:type="dxa"/>
            <w:vAlign w:val="center"/>
          </w:tcPr>
          <w:p w14:paraId="03CC33DF">
            <w:pPr>
              <w:jc w:val="center"/>
              <w:rPr>
                <w:rFonts w:hint="eastAsia" w:ascii="宋体" w:hAnsi="宋体" w:eastAsia="宋体" w:cs="宋体"/>
                <w:sz w:val="19"/>
              </w:rPr>
            </w:pPr>
          </w:p>
        </w:tc>
        <w:tc>
          <w:tcPr>
            <w:tcW w:w="1422" w:type="dxa"/>
            <w:vAlign w:val="center"/>
          </w:tcPr>
          <w:p w14:paraId="1C1718BC">
            <w:pPr>
              <w:jc w:val="center"/>
              <w:rPr>
                <w:rFonts w:hint="eastAsia" w:ascii="宋体" w:hAnsi="宋体" w:eastAsia="宋体" w:cs="宋体"/>
                <w:sz w:val="19"/>
              </w:rPr>
            </w:pPr>
          </w:p>
        </w:tc>
      </w:tr>
      <w:tr w14:paraId="4F1476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6887" w:type="dxa"/>
            <w:gridSpan w:val="6"/>
            <w:vAlign w:val="top"/>
          </w:tcPr>
          <w:p w14:paraId="14BD3C4F">
            <w:pPr>
              <w:spacing w:before="36" w:line="216" w:lineRule="auto"/>
              <w:ind w:left="3263"/>
              <w:rPr>
                <w:rFonts w:hint="eastAsia" w:ascii="宋体" w:hAnsi="宋体" w:eastAsia="宋体" w:cs="宋体"/>
                <w:sz w:val="19"/>
                <w:szCs w:val="19"/>
              </w:rPr>
            </w:pPr>
            <w:r>
              <w:rPr>
                <w:rFonts w:hint="eastAsia" w:ascii="宋体" w:hAnsi="宋体" w:eastAsia="宋体" w:cs="宋体"/>
                <w:spacing w:val="-1"/>
                <w:sz w:val="19"/>
                <w:szCs w:val="19"/>
              </w:rPr>
              <w:t>总分</w:t>
            </w:r>
          </w:p>
        </w:tc>
        <w:tc>
          <w:tcPr>
            <w:tcW w:w="673" w:type="dxa"/>
            <w:vAlign w:val="top"/>
          </w:tcPr>
          <w:p w14:paraId="7F5BC799">
            <w:pPr>
              <w:spacing w:before="67" w:line="195" w:lineRule="auto"/>
              <w:ind w:left="208"/>
              <w:jc w:val="center"/>
              <w:rPr>
                <w:rFonts w:hint="default" w:ascii="宋体" w:hAnsi="宋体" w:eastAsia="宋体" w:cs="宋体"/>
                <w:sz w:val="19"/>
                <w:szCs w:val="19"/>
                <w:lang w:val="en-US" w:eastAsia="zh-CN"/>
              </w:rPr>
            </w:pPr>
            <w:r>
              <w:rPr>
                <w:rFonts w:hint="eastAsia" w:ascii="宋体" w:hAnsi="宋体" w:eastAsia="宋体" w:cs="宋体"/>
                <w:spacing w:val="-4"/>
                <w:sz w:val="19"/>
                <w:szCs w:val="19"/>
                <w:lang w:val="en-US" w:eastAsia="zh-CN"/>
              </w:rPr>
              <w:t>100</w:t>
            </w:r>
          </w:p>
        </w:tc>
        <w:tc>
          <w:tcPr>
            <w:tcW w:w="873" w:type="dxa"/>
            <w:vAlign w:val="top"/>
          </w:tcPr>
          <w:p w14:paraId="5A7A5CDA">
            <w:pPr>
              <w:pStyle w:val="9"/>
              <w:jc w:val="center"/>
              <w:rPr>
                <w:rFonts w:hint="default" w:ascii="宋体" w:hAnsi="宋体" w:eastAsia="宋体" w:cs="宋体"/>
                <w:lang w:val="en-US" w:eastAsia="zh-CN"/>
              </w:rPr>
            </w:pPr>
            <w:r>
              <w:rPr>
                <w:rFonts w:hint="eastAsia" w:ascii="宋体" w:hAnsi="宋体" w:eastAsia="宋体" w:cs="宋体"/>
                <w:lang w:val="en-US" w:eastAsia="zh-CN"/>
              </w:rPr>
              <w:t>100</w:t>
            </w:r>
          </w:p>
        </w:tc>
        <w:tc>
          <w:tcPr>
            <w:tcW w:w="1422" w:type="dxa"/>
            <w:vAlign w:val="top"/>
          </w:tcPr>
          <w:p w14:paraId="26A9F93F">
            <w:pPr>
              <w:pStyle w:val="9"/>
              <w:rPr>
                <w:rFonts w:hint="eastAsia" w:ascii="宋体" w:hAnsi="宋体" w:eastAsia="宋体" w:cs="宋体"/>
              </w:rPr>
            </w:pPr>
          </w:p>
        </w:tc>
      </w:tr>
    </w:tbl>
    <w:p w14:paraId="0AA1D56A">
      <w:pPr>
        <w:spacing w:line="217" w:lineRule="auto"/>
        <w:rPr>
          <w:sz w:val="22"/>
          <w:szCs w:val="22"/>
        </w:rPr>
      </w:pPr>
      <w:bookmarkStart w:id="0" w:name="_GoBack"/>
      <w:bookmarkEnd w:id="0"/>
    </w:p>
    <w:p w14:paraId="0625C0E2">
      <w:pPr>
        <w:keepNext w:val="0"/>
        <w:keepLines w:val="0"/>
        <w:pageBreakBefore w:val="0"/>
        <w:widowControl w:val="0"/>
        <w:kinsoku/>
        <w:wordWrap/>
        <w:overflowPunct/>
        <w:topLinePunct w:val="0"/>
        <w:autoSpaceDE/>
        <w:autoSpaceDN/>
        <w:bidi w:val="0"/>
        <w:adjustRightInd/>
        <w:snapToGrid/>
        <w:jc w:val="left"/>
        <w:textAlignment w:val="auto"/>
        <w:rPr>
          <w:sz w:val="22"/>
          <w:szCs w:val="22"/>
        </w:rPr>
        <w:sectPr>
          <w:footerReference r:id="rId3" w:type="default"/>
          <w:pgSz w:w="11900" w:h="16833"/>
          <w:pgMar w:top="1430" w:right="1017" w:bottom="1445" w:left="1022" w:header="0" w:footer="1169" w:gutter="0"/>
          <w:pgNumType w:fmt="decimal"/>
          <w:cols w:space="720" w:num="1"/>
        </w:sectPr>
      </w:pPr>
      <w:r>
        <w:rPr>
          <w:rFonts w:hint="eastAsia" w:ascii="宋体" w:hAnsi="宋体" w:eastAsia="宋体" w:cs="宋体"/>
          <w:color w:val="000000"/>
          <w:spacing w:val="0"/>
          <w:position w:val="0"/>
          <w:sz w:val="23"/>
          <w:szCs w:val="23"/>
        </w:rPr>
        <w:t>单位负责人签字：</w:t>
      </w:r>
      <w:r>
        <w:rPr>
          <w:rFonts w:hint="eastAsia" w:ascii="宋体" w:hAnsi="宋体" w:eastAsia="宋体" w:cs="宋体"/>
          <w:color w:val="000000"/>
          <w:spacing w:val="0"/>
          <w:position w:val="0"/>
          <w:sz w:val="23"/>
          <w:szCs w:val="23"/>
          <w:lang w:val="en-US" w:eastAsia="zh-CN"/>
        </w:rPr>
        <w:t xml:space="preserve">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填表人：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 联系电话：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填报日期</w:t>
      </w:r>
      <w:r>
        <w:rPr>
          <w:rFonts w:hint="eastAsia" w:ascii="宋体" w:hAnsi="宋体" w:cs="宋体"/>
          <w:color w:val="000000"/>
          <w:spacing w:val="0"/>
          <w:position w:val="0"/>
          <w:sz w:val="23"/>
          <w:szCs w:val="23"/>
          <w:lang w:eastAsia="zh-CN"/>
        </w:rPr>
        <w:t>：</w:t>
      </w:r>
    </w:p>
    <w:p w14:paraId="3E38524B">
      <w:pPr>
        <w:spacing w:before="64" w:line="230" w:lineRule="auto"/>
        <w:rPr>
          <w:rFonts w:hint="eastAsia" w:ascii="Times New Roman" w:hAnsi="Times New Roman" w:eastAsia="黑体" w:cs="Times New Roman"/>
          <w:sz w:val="31"/>
          <w:szCs w:val="31"/>
          <w:lang w:eastAsia="zh-CN"/>
        </w:rPr>
      </w:pPr>
      <w:r>
        <w:rPr>
          <w:rFonts w:ascii="黑体" w:hAnsi="黑体" w:eastAsia="黑体" w:cs="黑体"/>
          <w:spacing w:val="-4"/>
          <w:sz w:val="31"/>
          <w:szCs w:val="31"/>
        </w:rPr>
        <w:t>附件</w:t>
      </w:r>
      <w:r>
        <w:rPr>
          <w:rFonts w:ascii="黑体" w:hAnsi="黑体" w:eastAsia="黑体" w:cs="黑体"/>
          <w:spacing w:val="-58"/>
          <w:sz w:val="31"/>
          <w:szCs w:val="31"/>
        </w:rPr>
        <w:t xml:space="preserve"> </w:t>
      </w:r>
      <w:r>
        <w:rPr>
          <w:rFonts w:hint="eastAsia" w:ascii="Times New Roman" w:hAnsi="Times New Roman" w:eastAsia="宋体" w:cs="Times New Roman"/>
          <w:spacing w:val="-4"/>
          <w:sz w:val="31"/>
          <w:szCs w:val="31"/>
          <w:lang w:val="en-US" w:eastAsia="zh-CN"/>
        </w:rPr>
        <w:t>4</w:t>
      </w:r>
    </w:p>
    <w:p w14:paraId="6E8F923A">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default" w:ascii="方正小标宋简体" w:hAnsi="方正小标宋简体" w:eastAsia="方正小标宋简体" w:cs="方正小标宋简体"/>
          <w:b w:val="0"/>
          <w:bCs w:val="0"/>
          <w:color w:val="000000"/>
          <w:spacing w:val="2"/>
          <w:sz w:val="44"/>
          <w:szCs w:val="44"/>
          <w:lang w:val="en-US" w:eastAsia="zh-CN"/>
        </w:rPr>
      </w:pPr>
    </w:p>
    <w:p w14:paraId="68D8C545">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default" w:ascii="方正小标宋简体" w:hAnsi="方正小标宋简体" w:eastAsia="方正小标宋简体" w:cs="方正小标宋简体"/>
          <w:b w:val="0"/>
          <w:bCs w:val="0"/>
          <w:color w:val="000000"/>
          <w:spacing w:val="2"/>
          <w:sz w:val="44"/>
          <w:szCs w:val="44"/>
          <w:lang w:val="en-US" w:eastAsia="zh-CN"/>
        </w:rPr>
      </w:pPr>
    </w:p>
    <w:p w14:paraId="386F3EC7">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default" w:ascii="方正小标宋简体" w:hAnsi="方正小标宋简体" w:eastAsia="方正小标宋简体" w:cs="方正小标宋简体"/>
          <w:b/>
          <w:bCs/>
          <w:color w:val="000000"/>
          <w:spacing w:val="2"/>
          <w:sz w:val="44"/>
          <w:szCs w:val="44"/>
          <w:lang w:val="en-US" w:eastAsia="zh-CN"/>
        </w:rPr>
      </w:pPr>
    </w:p>
    <w:p w14:paraId="74C56E5C">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宋体" w:hAnsi="宋体" w:eastAsia="宋体" w:cs="宋体"/>
          <w:b w:val="0"/>
          <w:bCs w:val="0"/>
          <w:color w:val="000000"/>
          <w:spacing w:val="2"/>
          <w:sz w:val="44"/>
          <w:szCs w:val="44"/>
          <w:lang w:val="en-US" w:eastAsia="zh-CN"/>
        </w:rPr>
      </w:pPr>
      <w:r>
        <w:rPr>
          <w:rFonts w:hint="eastAsia" w:ascii="宋体" w:hAnsi="宋体" w:eastAsia="宋体" w:cs="宋体"/>
          <w:b w:val="0"/>
          <w:bCs w:val="0"/>
          <w:color w:val="000000"/>
          <w:spacing w:val="2"/>
          <w:sz w:val="44"/>
          <w:szCs w:val="44"/>
          <w:lang w:val="en-US" w:eastAsia="zh-CN"/>
        </w:rPr>
        <w:t>2024年度岳阳楼区医疗保障局整体支出</w:t>
      </w:r>
    </w:p>
    <w:p w14:paraId="50268C82">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宋体" w:hAnsi="宋体" w:eastAsia="宋体" w:cs="宋体"/>
          <w:b w:val="0"/>
          <w:bCs w:val="0"/>
          <w:color w:val="000000"/>
          <w:spacing w:val="2"/>
          <w:sz w:val="44"/>
          <w:szCs w:val="44"/>
          <w:lang w:val="en-US" w:eastAsia="zh-CN"/>
        </w:rPr>
      </w:pPr>
      <w:r>
        <w:rPr>
          <w:rFonts w:hint="eastAsia" w:ascii="宋体" w:hAnsi="宋体" w:eastAsia="宋体" w:cs="宋体"/>
          <w:b w:val="0"/>
          <w:bCs w:val="0"/>
          <w:color w:val="000000"/>
          <w:spacing w:val="2"/>
          <w:sz w:val="44"/>
          <w:szCs w:val="44"/>
          <w:lang w:val="en-US" w:eastAsia="zh-CN"/>
        </w:rPr>
        <w:t>绩效自评报告</w:t>
      </w:r>
    </w:p>
    <w:p w14:paraId="68E68D1F">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b/>
          <w:bCs/>
          <w:color w:val="000000"/>
          <w:spacing w:val="0"/>
          <w:position w:val="0"/>
          <w:sz w:val="22"/>
          <w:szCs w:val="22"/>
          <w:lang w:val="en-US" w:eastAsia="zh-CN"/>
        </w:rPr>
      </w:pPr>
    </w:p>
    <w:p w14:paraId="672CF0DD">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b/>
          <w:bCs/>
          <w:color w:val="000000"/>
          <w:spacing w:val="0"/>
          <w:position w:val="0"/>
          <w:sz w:val="22"/>
          <w:szCs w:val="22"/>
          <w:lang w:val="en-US" w:eastAsia="zh-CN"/>
        </w:rPr>
      </w:pPr>
    </w:p>
    <w:p w14:paraId="35416A1A">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spacing w:val="0"/>
          <w:position w:val="0"/>
          <w:sz w:val="22"/>
          <w:szCs w:val="22"/>
          <w:lang w:val="en-US" w:eastAsia="zh-CN"/>
        </w:rPr>
      </w:pPr>
    </w:p>
    <w:p w14:paraId="70226B0C">
      <w:pPr>
        <w:rPr>
          <w:rFonts w:hint="eastAsia" w:eastAsia="仿宋_GB2312" w:cs="Times New Roman"/>
          <w:b/>
          <w:sz w:val="32"/>
        </w:rPr>
      </w:pPr>
    </w:p>
    <w:p w14:paraId="7E762EAE">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spacing w:val="0"/>
          <w:position w:val="0"/>
          <w:sz w:val="22"/>
          <w:szCs w:val="22"/>
          <w:lang w:val="en-US" w:eastAsia="zh-CN"/>
        </w:rPr>
      </w:pPr>
    </w:p>
    <w:p w14:paraId="36DEF8B7">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spacing w:val="0"/>
          <w:position w:val="0"/>
          <w:sz w:val="22"/>
          <w:szCs w:val="22"/>
          <w:lang w:val="en-US" w:eastAsia="zh-CN"/>
        </w:rPr>
      </w:pPr>
    </w:p>
    <w:p w14:paraId="1E282C62">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楷体_GB2312" w:hAnsi="楷体_GB2312" w:eastAsia="楷体_GB2312" w:cs="楷体_GB2312"/>
          <w:color w:val="000000"/>
          <w:spacing w:val="0"/>
          <w:position w:val="0"/>
          <w:sz w:val="36"/>
          <w:szCs w:val="36"/>
          <w:lang w:val="en-US" w:eastAsia="zh-CN"/>
        </w:rPr>
      </w:pPr>
    </w:p>
    <w:p w14:paraId="620539A6">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楷体_GB2312" w:hAnsi="楷体_GB2312" w:eastAsia="楷体_GB2312" w:cs="楷体_GB2312"/>
          <w:color w:val="000000"/>
          <w:spacing w:val="0"/>
          <w:position w:val="0"/>
          <w:sz w:val="36"/>
          <w:szCs w:val="36"/>
          <w:lang w:val="en-US" w:eastAsia="zh-CN"/>
        </w:rPr>
      </w:pPr>
    </w:p>
    <w:p w14:paraId="0F4A413E">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楷体_GB2312" w:hAnsi="楷体_GB2312" w:eastAsia="楷体_GB2312" w:cs="楷体_GB2312"/>
          <w:color w:val="000000"/>
          <w:spacing w:val="0"/>
          <w:position w:val="0"/>
          <w:sz w:val="36"/>
          <w:szCs w:val="36"/>
          <w:lang w:val="en-US" w:eastAsia="zh-CN"/>
        </w:rPr>
      </w:pPr>
    </w:p>
    <w:p w14:paraId="1F420E64">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楷体_GB2312" w:hAnsi="楷体_GB2312" w:eastAsia="楷体_GB2312" w:cs="楷体_GB2312"/>
          <w:color w:val="000000"/>
          <w:spacing w:val="0"/>
          <w:position w:val="0"/>
          <w:sz w:val="36"/>
          <w:szCs w:val="36"/>
          <w:lang w:val="en-US" w:eastAsia="zh-CN"/>
        </w:rPr>
      </w:pPr>
    </w:p>
    <w:p w14:paraId="3BF158E3">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楷体_GB2312" w:hAnsi="楷体_GB2312" w:eastAsia="楷体_GB2312" w:cs="楷体_GB2312"/>
          <w:color w:val="000000"/>
          <w:spacing w:val="0"/>
          <w:position w:val="0"/>
          <w:sz w:val="36"/>
          <w:szCs w:val="36"/>
          <w:lang w:val="en-US" w:eastAsia="zh-CN"/>
        </w:rPr>
      </w:pPr>
    </w:p>
    <w:p w14:paraId="08BB924A">
      <w:pPr>
        <w:keepNext w:val="0"/>
        <w:keepLines w:val="0"/>
        <w:pageBreakBefore w:val="0"/>
        <w:widowControl w:val="0"/>
        <w:kinsoku/>
        <w:wordWrap/>
        <w:overflowPunct/>
        <w:topLinePunct w:val="0"/>
        <w:autoSpaceDE/>
        <w:autoSpaceDN/>
        <w:bidi w:val="0"/>
        <w:adjustRightInd/>
        <w:snapToGrid/>
        <w:ind w:left="0"/>
        <w:jc w:val="both"/>
        <w:textAlignment w:val="auto"/>
        <w:rPr>
          <w:rFonts w:hint="eastAsia" w:ascii="楷体_GB2312" w:hAnsi="楷体_GB2312" w:eastAsia="楷体_GB2312" w:cs="楷体_GB2312"/>
          <w:color w:val="000000"/>
          <w:spacing w:val="0"/>
          <w:position w:val="0"/>
          <w:sz w:val="36"/>
          <w:szCs w:val="36"/>
          <w:lang w:val="en-US" w:eastAsia="zh-CN"/>
        </w:rPr>
      </w:pPr>
    </w:p>
    <w:p w14:paraId="117F026E">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楷体_GB2312" w:hAnsi="楷体_GB2312" w:eastAsia="楷体_GB2312" w:cs="楷体_GB2312"/>
          <w:color w:val="000000"/>
          <w:spacing w:val="0"/>
          <w:position w:val="0"/>
          <w:sz w:val="36"/>
          <w:szCs w:val="36"/>
          <w:lang w:val="en-US" w:eastAsia="zh-CN"/>
        </w:rPr>
      </w:pPr>
    </w:p>
    <w:p w14:paraId="542286C4">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楷体_GB2312" w:hAnsi="楷体_GB2312" w:eastAsia="楷体_GB2312" w:cs="楷体_GB2312"/>
          <w:color w:val="000000"/>
          <w:spacing w:val="0"/>
          <w:position w:val="0"/>
          <w:sz w:val="36"/>
          <w:szCs w:val="36"/>
          <w:lang w:val="en-US" w:eastAsia="zh-CN"/>
        </w:rPr>
      </w:pPr>
    </w:p>
    <w:p w14:paraId="73E018F2">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楷体_GB2312" w:hAnsi="楷体_GB2312" w:eastAsia="楷体_GB2312" w:cs="楷体_GB2312"/>
          <w:color w:val="000000"/>
          <w:spacing w:val="0"/>
          <w:position w:val="0"/>
          <w:sz w:val="36"/>
          <w:szCs w:val="36"/>
          <w:lang w:val="en-US" w:eastAsia="zh-CN"/>
        </w:rPr>
      </w:pPr>
      <w:r>
        <w:rPr>
          <w:rFonts w:hint="eastAsia" w:ascii="楷体_GB2312" w:hAnsi="楷体_GB2312" w:eastAsia="楷体_GB2312" w:cs="楷体_GB2312"/>
          <w:color w:val="000000"/>
          <w:spacing w:val="0"/>
          <w:position w:val="0"/>
          <w:sz w:val="36"/>
          <w:szCs w:val="36"/>
          <w:lang w:val="en-US" w:eastAsia="zh-CN"/>
        </w:rPr>
        <w:t>部门(单位)名称：   ( 盖 章 )</w:t>
      </w:r>
    </w:p>
    <w:p w14:paraId="1F26FF36">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楷体_GB2312" w:hAnsi="楷体_GB2312" w:eastAsia="楷体_GB2312" w:cs="楷体_GB2312"/>
          <w:color w:val="000000"/>
          <w:spacing w:val="0"/>
          <w:position w:val="0"/>
          <w:sz w:val="36"/>
          <w:szCs w:val="36"/>
          <w:lang w:val="en-US" w:eastAsia="zh-CN"/>
        </w:rPr>
      </w:pPr>
      <w:r>
        <w:rPr>
          <w:rFonts w:hint="eastAsia" w:ascii="楷体_GB2312" w:hAnsi="楷体_GB2312" w:eastAsia="楷体_GB2312" w:cs="楷体_GB2312"/>
          <w:color w:val="000000"/>
          <w:spacing w:val="0"/>
          <w:position w:val="0"/>
          <w:sz w:val="36"/>
          <w:szCs w:val="36"/>
          <w:lang w:val="en-US" w:eastAsia="zh-CN"/>
        </w:rPr>
        <w:t>2025年7月 30日</w:t>
      </w:r>
    </w:p>
    <w:p w14:paraId="229871F9">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楷体_GB2312" w:hAnsi="楷体_GB2312" w:eastAsia="楷体_GB2312" w:cs="楷体_GB2312"/>
          <w:color w:val="000000"/>
          <w:spacing w:val="0"/>
          <w:position w:val="0"/>
          <w:sz w:val="36"/>
          <w:szCs w:val="36"/>
          <w:lang w:val="en-US" w:eastAsia="zh-CN"/>
        </w:rPr>
      </w:pPr>
    </w:p>
    <w:p w14:paraId="76F6AE34">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宋体" w:hAnsi="宋体" w:eastAsia="宋体" w:cs="宋体"/>
          <w:b w:val="0"/>
          <w:bCs w:val="0"/>
          <w:color w:val="000000"/>
          <w:spacing w:val="0"/>
          <w:position w:val="0"/>
          <w:sz w:val="44"/>
          <w:szCs w:val="44"/>
          <w:lang w:val="en-US" w:eastAsia="zh-CN"/>
        </w:rPr>
      </w:pPr>
      <w:r>
        <w:rPr>
          <w:rFonts w:hint="eastAsia" w:ascii="宋体" w:hAnsi="宋体" w:eastAsia="宋体" w:cs="宋体"/>
          <w:b w:val="0"/>
          <w:bCs w:val="0"/>
          <w:color w:val="000000"/>
          <w:spacing w:val="0"/>
          <w:position w:val="0"/>
          <w:sz w:val="44"/>
          <w:szCs w:val="44"/>
          <w:lang w:val="en-US" w:eastAsia="zh-CN"/>
        </w:rPr>
        <w:t>2024年度岳阳楼区</w:t>
      </w:r>
      <w:r>
        <w:rPr>
          <w:rFonts w:hint="eastAsia" w:ascii="宋体" w:hAnsi="宋体" w:eastAsia="宋体" w:cs="宋体"/>
          <w:b w:val="0"/>
          <w:bCs w:val="0"/>
          <w:color w:val="000000"/>
          <w:spacing w:val="2"/>
          <w:sz w:val="44"/>
          <w:szCs w:val="44"/>
          <w:lang w:val="en-US" w:eastAsia="zh-CN"/>
        </w:rPr>
        <w:t>医疗保障局</w:t>
      </w:r>
      <w:r>
        <w:rPr>
          <w:rFonts w:hint="eastAsia" w:ascii="宋体" w:hAnsi="宋体" w:eastAsia="宋体" w:cs="宋体"/>
          <w:b w:val="0"/>
          <w:bCs w:val="0"/>
          <w:color w:val="000000"/>
          <w:spacing w:val="0"/>
          <w:position w:val="0"/>
          <w:sz w:val="44"/>
          <w:szCs w:val="44"/>
          <w:lang w:val="en-US" w:eastAsia="zh-CN"/>
        </w:rPr>
        <w:t>整体支出绩效自评报告</w:t>
      </w:r>
    </w:p>
    <w:p w14:paraId="5FA05466">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spacing w:val="0"/>
          <w:position w:val="0"/>
          <w:sz w:val="22"/>
          <w:szCs w:val="22"/>
          <w:lang w:val="en-US" w:eastAsia="zh-CN"/>
        </w:rPr>
      </w:pPr>
    </w:p>
    <w:p w14:paraId="5A923A46">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spacing w:val="0"/>
          <w:position w:val="0"/>
          <w:sz w:val="22"/>
          <w:szCs w:val="22"/>
          <w:lang w:val="en-US" w:eastAsia="zh-CN"/>
        </w:rPr>
      </w:pPr>
    </w:p>
    <w:p w14:paraId="06194C90">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spacing w:val="0"/>
          <w:position w:val="0"/>
          <w:sz w:val="22"/>
          <w:szCs w:val="22"/>
          <w:lang w:val="en-US" w:eastAsia="zh-CN"/>
        </w:rPr>
      </w:pPr>
    </w:p>
    <w:p w14:paraId="0C90070F">
      <w:pPr>
        <w:keepNext w:val="0"/>
        <w:keepLines w:val="0"/>
        <w:pageBreakBefore w:val="0"/>
        <w:widowControl w:val="0"/>
        <w:numPr>
          <w:ilvl w:val="0"/>
          <w:numId w:val="0"/>
        </w:numPr>
        <w:kinsoku/>
        <w:wordWrap/>
        <w:overflowPunct/>
        <w:topLinePunct w:val="0"/>
        <w:autoSpaceDE/>
        <w:autoSpaceDN/>
        <w:bidi w:val="0"/>
        <w:adjustRightInd/>
        <w:snapToGrid/>
        <w:ind w:left="0" w:leftChars="0" w:firstLine="640" w:firstLineChars="200"/>
        <w:jc w:val="left"/>
        <w:textAlignment w:val="auto"/>
        <w:rPr>
          <w:rFonts w:hint="eastAsia" w:ascii="黑体" w:hAnsi="黑体" w:eastAsia="黑体" w:cs="黑体"/>
          <w:color w:val="000000"/>
          <w:spacing w:val="0"/>
          <w:position w:val="0"/>
          <w:sz w:val="32"/>
          <w:szCs w:val="32"/>
          <w:lang w:val="en-US" w:eastAsia="zh-CN"/>
        </w:rPr>
      </w:pPr>
      <w:r>
        <w:rPr>
          <w:rFonts w:hint="eastAsia" w:ascii="黑体" w:hAnsi="黑体" w:eastAsia="黑体" w:cs="黑体"/>
          <w:color w:val="000000"/>
          <w:spacing w:val="0"/>
          <w:kern w:val="2"/>
          <w:position w:val="0"/>
          <w:sz w:val="32"/>
          <w:szCs w:val="32"/>
          <w:lang w:val="en-US" w:eastAsia="zh-CN" w:bidi="ar-SA"/>
        </w:rPr>
        <w:t>一、</w:t>
      </w:r>
      <w:r>
        <w:rPr>
          <w:rFonts w:hint="eastAsia" w:ascii="黑体" w:hAnsi="黑体" w:eastAsia="黑体" w:cs="黑体"/>
          <w:color w:val="000000"/>
          <w:spacing w:val="0"/>
          <w:position w:val="0"/>
          <w:sz w:val="32"/>
          <w:szCs w:val="32"/>
          <w:lang w:val="en-US" w:eastAsia="zh-CN"/>
        </w:rPr>
        <w:t>单位基本情况</w:t>
      </w:r>
    </w:p>
    <w:p w14:paraId="2C602DD7">
      <w:pPr>
        <w:numPr>
          <w:ilvl w:val="0"/>
          <w:numId w:val="0"/>
        </w:numPr>
        <w:ind w:left="0" w:leftChars="0" w:firstLine="640" w:firstLineChars="200"/>
        <w:rPr>
          <w:rFonts w:hint="eastAsia" w:ascii="仿宋" w:hAnsi="仿宋" w:eastAsia="仿宋" w:cs="仿宋"/>
          <w:sz w:val="24"/>
          <w:szCs w:val="24"/>
          <w:lang w:val="en-US" w:eastAsia="zh-CN"/>
        </w:rPr>
      </w:pPr>
      <w:r>
        <w:rPr>
          <w:rFonts w:hint="eastAsia" w:ascii="仿宋" w:hAnsi="仿宋" w:eastAsia="仿宋" w:cs="仿宋"/>
          <w:sz w:val="32"/>
          <w:szCs w:val="32"/>
          <w:lang w:val="en-US" w:eastAsia="zh-CN"/>
        </w:rPr>
        <w:t>岳阳楼区医疗保障局单位内设机构包括： 岳阳市岳阳楼区医疗保障局内设机构包括：本部门共有编制人数55人，实有人数55人。内设股室6个，分别为：办公室、财务法规股、待遇保障股、医药服务管理股、基金监管股、医药救助管理股。 </w:t>
      </w:r>
      <w:r>
        <w:rPr>
          <w:rFonts w:hint="eastAsia" w:ascii="仿宋" w:hAnsi="仿宋" w:eastAsia="仿宋" w:cs="仿宋_GB2312"/>
          <w:kern w:val="0"/>
          <w:sz w:val="32"/>
          <w:szCs w:val="32"/>
          <w:highlight w:val="none"/>
        </w:rPr>
        <w:t>区医疗保障局下设岳阳市岳阳楼区医疗保障事务中心，是参公事业单位，为副科级单位；岳阳市岳阳楼区医疗保障稽核中心，是公益一类事业单位，为正股级单位</w:t>
      </w:r>
    </w:p>
    <w:p w14:paraId="14A1C86B">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黑体" w:hAnsi="黑体" w:eastAsia="黑体" w:cs="黑体"/>
          <w:color w:val="000000"/>
          <w:spacing w:val="0"/>
          <w:position w:val="0"/>
          <w:sz w:val="32"/>
          <w:szCs w:val="32"/>
          <w:lang w:val="en-US" w:eastAsia="zh-CN"/>
        </w:rPr>
      </w:pPr>
      <w:r>
        <w:rPr>
          <w:rFonts w:hint="eastAsia" w:ascii="黑体" w:hAnsi="黑体" w:eastAsia="黑体" w:cs="黑体"/>
          <w:color w:val="000000"/>
          <w:spacing w:val="0"/>
          <w:position w:val="0"/>
          <w:sz w:val="32"/>
          <w:szCs w:val="32"/>
          <w:lang w:val="en-US" w:eastAsia="zh-CN"/>
        </w:rPr>
        <w:t>二、一般公共预算支出情况</w:t>
      </w:r>
    </w:p>
    <w:p w14:paraId="5658666F">
      <w:pPr>
        <w:keepNext w:val="0"/>
        <w:keepLines w:val="0"/>
        <w:pageBreakBefore w:val="0"/>
        <w:widowControl w:val="0"/>
        <w:kinsoku/>
        <w:wordWrap/>
        <w:overflowPunct/>
        <w:topLinePunct w:val="0"/>
        <w:autoSpaceDE/>
        <w:autoSpaceDN/>
        <w:bidi w:val="0"/>
        <w:adjustRightInd/>
        <w:snapToGrid/>
        <w:ind w:left="0" w:firstLine="643" w:firstLineChars="200"/>
        <w:jc w:val="left"/>
        <w:textAlignment w:val="auto"/>
        <w:rPr>
          <w:rFonts w:hint="eastAsia" w:ascii="楷体_GB2312" w:hAnsi="楷体_GB2312" w:eastAsia="楷体_GB2312" w:cs="楷体_GB2312"/>
          <w:b/>
          <w:bCs/>
          <w:color w:val="000000"/>
          <w:spacing w:val="0"/>
          <w:position w:val="0"/>
          <w:sz w:val="32"/>
          <w:szCs w:val="32"/>
          <w:lang w:val="en-US" w:eastAsia="zh-CN"/>
        </w:rPr>
      </w:pPr>
      <w:r>
        <w:rPr>
          <w:rFonts w:hint="eastAsia" w:ascii="楷体_GB2312" w:hAnsi="楷体_GB2312" w:eastAsia="楷体_GB2312" w:cs="楷体_GB2312"/>
          <w:b/>
          <w:bCs/>
          <w:color w:val="000000"/>
          <w:spacing w:val="0"/>
          <w:position w:val="0"/>
          <w:sz w:val="32"/>
          <w:szCs w:val="32"/>
          <w:lang w:val="en-US" w:eastAsia="zh-CN"/>
        </w:rPr>
        <w:t>(一)基本支出情况</w:t>
      </w:r>
    </w:p>
    <w:p w14:paraId="4855CA22">
      <w:pPr>
        <w:numPr>
          <w:ilvl w:val="0"/>
          <w:numId w:val="0"/>
        </w:numPr>
        <w:ind w:left="0" w:leftChars="0"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2024年全年基本支出772.59万元，其中：人员经费702.74万元，包含基本工资、津贴补贴、奖金、伙食补助费、绩效工资、机关事业单位基本养老保险缴费、职工基本医疗保险缴费、其他社会保障缴费、住房公积金、其他工资福利支出、对个人和家庭的补助；公用经费69.85万元，包含办公费、印刷费、水费、电费、工会经费、其他交通费用、其他商品和服务支出。</w:t>
      </w:r>
    </w:p>
    <w:p w14:paraId="522106B7">
      <w:pPr>
        <w:keepNext w:val="0"/>
        <w:keepLines w:val="0"/>
        <w:pageBreakBefore w:val="0"/>
        <w:widowControl w:val="0"/>
        <w:kinsoku/>
        <w:wordWrap/>
        <w:overflowPunct/>
        <w:topLinePunct w:val="0"/>
        <w:autoSpaceDE/>
        <w:autoSpaceDN/>
        <w:bidi w:val="0"/>
        <w:adjustRightInd/>
        <w:snapToGrid/>
        <w:ind w:left="0" w:firstLine="643" w:firstLineChars="200"/>
        <w:jc w:val="left"/>
        <w:textAlignment w:val="auto"/>
        <w:rPr>
          <w:rFonts w:hint="eastAsia" w:ascii="楷体_GB2312" w:hAnsi="楷体_GB2312" w:eastAsia="楷体_GB2312" w:cs="楷体_GB2312"/>
          <w:b/>
          <w:bCs/>
          <w:color w:val="000000"/>
          <w:spacing w:val="0"/>
          <w:position w:val="0"/>
          <w:sz w:val="32"/>
          <w:szCs w:val="32"/>
          <w:lang w:val="en-US" w:eastAsia="zh-CN"/>
        </w:rPr>
      </w:pPr>
      <w:r>
        <w:rPr>
          <w:rFonts w:hint="eastAsia" w:ascii="楷体_GB2312" w:hAnsi="楷体_GB2312" w:eastAsia="楷体_GB2312" w:cs="楷体_GB2312"/>
          <w:b/>
          <w:bCs/>
          <w:color w:val="000000"/>
          <w:spacing w:val="0"/>
          <w:position w:val="0"/>
          <w:sz w:val="32"/>
          <w:szCs w:val="32"/>
          <w:lang w:val="en-US" w:eastAsia="zh-CN"/>
        </w:rPr>
        <w:t>（二）项目支出情况</w:t>
      </w:r>
    </w:p>
    <w:p w14:paraId="6853201E">
      <w:pPr>
        <w:numPr>
          <w:ilvl w:val="0"/>
          <w:numId w:val="0"/>
        </w:numPr>
        <w:ind w:left="0" w:leftChars="0"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项目支出1423.36万元，其中：业务工作经费132.27万元，运行维护经费23.99万元，编外用工人员经费75万元，其他审批专项294.6万元，医疗救助专项897.5万元。</w:t>
      </w:r>
    </w:p>
    <w:p w14:paraId="5B4CFB34">
      <w:pPr>
        <w:keepNext w:val="0"/>
        <w:keepLines w:val="0"/>
        <w:pageBreakBefore w:val="0"/>
        <w:widowControl w:val="0"/>
        <w:numPr>
          <w:ilvl w:val="0"/>
          <w:numId w:val="0"/>
        </w:numPr>
        <w:kinsoku/>
        <w:wordWrap/>
        <w:overflowPunct/>
        <w:topLinePunct w:val="0"/>
        <w:autoSpaceDE/>
        <w:autoSpaceDN/>
        <w:bidi w:val="0"/>
        <w:adjustRightInd/>
        <w:snapToGrid/>
        <w:ind w:left="0" w:leftChars="0" w:firstLine="640" w:firstLineChars="200"/>
        <w:jc w:val="left"/>
        <w:textAlignment w:val="auto"/>
        <w:rPr>
          <w:rFonts w:hint="eastAsia" w:ascii="黑体" w:hAnsi="黑体" w:eastAsia="黑体" w:cs="黑体"/>
          <w:color w:val="000000"/>
          <w:spacing w:val="0"/>
          <w:position w:val="0"/>
          <w:sz w:val="32"/>
          <w:szCs w:val="32"/>
          <w:lang w:val="en-US" w:eastAsia="zh-CN"/>
        </w:rPr>
      </w:pPr>
      <w:r>
        <w:rPr>
          <w:rFonts w:hint="eastAsia" w:ascii="黑体" w:hAnsi="黑体" w:eastAsia="黑体" w:cs="黑体"/>
          <w:color w:val="000000"/>
          <w:spacing w:val="0"/>
          <w:position w:val="0"/>
          <w:sz w:val="32"/>
          <w:szCs w:val="32"/>
          <w:lang w:val="en-US" w:eastAsia="zh-CN"/>
        </w:rPr>
        <w:t>三、政府性基金预算支出情况</w:t>
      </w:r>
    </w:p>
    <w:p w14:paraId="6E2FEADA">
      <w:pPr>
        <w:numPr>
          <w:ilvl w:val="0"/>
          <w:numId w:val="0"/>
        </w:numPr>
        <w:ind w:left="0" w:leftChars="0"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我单位无政府性基金预算支出。</w:t>
      </w:r>
    </w:p>
    <w:p w14:paraId="38710A79">
      <w:pPr>
        <w:keepNext w:val="0"/>
        <w:keepLines w:val="0"/>
        <w:pageBreakBefore w:val="0"/>
        <w:widowControl w:val="0"/>
        <w:numPr>
          <w:ilvl w:val="0"/>
          <w:numId w:val="0"/>
        </w:numPr>
        <w:kinsoku/>
        <w:wordWrap/>
        <w:overflowPunct/>
        <w:topLinePunct w:val="0"/>
        <w:autoSpaceDE/>
        <w:autoSpaceDN/>
        <w:bidi w:val="0"/>
        <w:adjustRightInd/>
        <w:snapToGrid/>
        <w:ind w:left="0" w:leftChars="0" w:firstLine="640" w:firstLineChars="200"/>
        <w:jc w:val="left"/>
        <w:textAlignment w:val="auto"/>
        <w:rPr>
          <w:rFonts w:hint="eastAsia" w:ascii="黑体" w:hAnsi="黑体" w:eastAsia="黑体" w:cs="黑体"/>
          <w:color w:val="000000"/>
          <w:spacing w:val="0"/>
          <w:position w:val="0"/>
          <w:sz w:val="32"/>
          <w:szCs w:val="32"/>
          <w:lang w:val="en-US" w:eastAsia="zh-CN"/>
        </w:rPr>
      </w:pPr>
      <w:r>
        <w:rPr>
          <w:rFonts w:hint="eastAsia" w:ascii="黑体" w:hAnsi="黑体" w:eastAsia="黑体" w:cs="黑体"/>
          <w:color w:val="000000"/>
          <w:spacing w:val="0"/>
          <w:kern w:val="2"/>
          <w:position w:val="0"/>
          <w:sz w:val="32"/>
          <w:szCs w:val="32"/>
          <w:lang w:val="en-US" w:eastAsia="zh-CN" w:bidi="ar-SA"/>
        </w:rPr>
        <w:t>四、</w:t>
      </w:r>
      <w:r>
        <w:rPr>
          <w:rFonts w:hint="eastAsia" w:ascii="黑体" w:hAnsi="黑体" w:eastAsia="黑体" w:cs="黑体"/>
          <w:color w:val="000000"/>
          <w:spacing w:val="0"/>
          <w:position w:val="0"/>
          <w:sz w:val="32"/>
          <w:szCs w:val="32"/>
          <w:lang w:val="en-US" w:eastAsia="zh-CN"/>
        </w:rPr>
        <w:t>国有资本经营预算支出情况</w:t>
      </w:r>
    </w:p>
    <w:p w14:paraId="7A9D7D5F">
      <w:pPr>
        <w:numPr>
          <w:ilvl w:val="0"/>
          <w:numId w:val="0"/>
        </w:numPr>
        <w:ind w:left="0" w:leftChars="0"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我单位无国有资本经营预算支出。</w:t>
      </w:r>
    </w:p>
    <w:p w14:paraId="75688E12">
      <w:pPr>
        <w:keepNext w:val="0"/>
        <w:keepLines w:val="0"/>
        <w:pageBreakBefore w:val="0"/>
        <w:widowControl w:val="0"/>
        <w:numPr>
          <w:ilvl w:val="0"/>
          <w:numId w:val="0"/>
        </w:numPr>
        <w:kinsoku/>
        <w:wordWrap/>
        <w:overflowPunct/>
        <w:topLinePunct w:val="0"/>
        <w:autoSpaceDE/>
        <w:autoSpaceDN/>
        <w:bidi w:val="0"/>
        <w:adjustRightInd/>
        <w:snapToGrid/>
        <w:ind w:left="0" w:leftChars="0" w:firstLine="640" w:firstLineChars="200"/>
        <w:jc w:val="left"/>
        <w:textAlignment w:val="auto"/>
        <w:rPr>
          <w:rFonts w:hint="eastAsia" w:ascii="黑体" w:hAnsi="黑体" w:eastAsia="黑体" w:cs="黑体"/>
          <w:color w:val="000000"/>
          <w:spacing w:val="0"/>
          <w:position w:val="0"/>
          <w:sz w:val="32"/>
          <w:szCs w:val="32"/>
          <w:lang w:val="en-US" w:eastAsia="zh-CN"/>
        </w:rPr>
      </w:pPr>
      <w:r>
        <w:rPr>
          <w:rFonts w:hint="eastAsia" w:ascii="黑体" w:hAnsi="黑体" w:eastAsia="黑体" w:cs="黑体"/>
          <w:color w:val="000000"/>
          <w:spacing w:val="0"/>
          <w:kern w:val="2"/>
          <w:position w:val="0"/>
          <w:sz w:val="32"/>
          <w:szCs w:val="32"/>
          <w:lang w:val="en-US" w:eastAsia="zh-CN" w:bidi="ar-SA"/>
        </w:rPr>
        <w:t>五、</w:t>
      </w:r>
      <w:r>
        <w:rPr>
          <w:rFonts w:hint="eastAsia" w:ascii="黑体" w:hAnsi="黑体" w:eastAsia="黑体" w:cs="黑体"/>
          <w:color w:val="000000"/>
          <w:spacing w:val="0"/>
          <w:position w:val="0"/>
          <w:sz w:val="32"/>
          <w:szCs w:val="32"/>
          <w:lang w:val="en-US" w:eastAsia="zh-CN"/>
        </w:rPr>
        <w:t>社会保险基金预算支出情况</w:t>
      </w:r>
    </w:p>
    <w:p w14:paraId="071B2F3E">
      <w:pPr>
        <w:numPr>
          <w:ilvl w:val="0"/>
          <w:numId w:val="0"/>
        </w:numPr>
        <w:ind w:left="0" w:leftChars="0"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我单位无社会保险基金预算支出</w:t>
      </w:r>
    </w:p>
    <w:p w14:paraId="19B26D39">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黑体" w:hAnsi="黑体" w:eastAsia="黑体" w:cs="黑体"/>
          <w:color w:val="000000"/>
          <w:spacing w:val="0"/>
          <w:position w:val="0"/>
          <w:sz w:val="32"/>
          <w:szCs w:val="32"/>
          <w:lang w:val="en-US" w:eastAsia="zh-CN"/>
        </w:rPr>
      </w:pPr>
      <w:r>
        <w:rPr>
          <w:rFonts w:hint="eastAsia" w:ascii="黑体" w:hAnsi="黑体" w:eastAsia="黑体" w:cs="黑体"/>
          <w:color w:val="000000"/>
          <w:spacing w:val="0"/>
          <w:position w:val="0"/>
          <w:sz w:val="32"/>
          <w:szCs w:val="32"/>
          <w:lang w:val="en-US" w:eastAsia="zh-CN"/>
        </w:rPr>
        <w:t>六、部门整体支出绩效情况</w:t>
      </w:r>
    </w:p>
    <w:p w14:paraId="172402E1">
      <w:pPr>
        <w:keepNext w:val="0"/>
        <w:keepLines w:val="0"/>
        <w:pageBreakBefore w:val="0"/>
        <w:widowControl w:val="0"/>
        <w:numPr>
          <w:ilvl w:val="0"/>
          <w:numId w:val="0"/>
        </w:numPr>
        <w:kinsoku/>
        <w:wordWrap/>
        <w:overflowPunct/>
        <w:topLinePunct w:val="0"/>
        <w:autoSpaceDE/>
        <w:autoSpaceDN/>
        <w:bidi w:val="0"/>
        <w:adjustRightInd/>
        <w:spacing w:line="560" w:lineRule="exact"/>
        <w:ind w:left="-105" w:leftChars="-50" w:right="-105" w:rightChars="-50" w:firstLine="640" w:firstLineChars="200"/>
        <w:jc w:val="both"/>
        <w:textAlignment w:val="auto"/>
        <w:outlineLvl w:val="9"/>
        <w:rPr>
          <w:rFonts w:hint="eastAsia" w:ascii="黑体" w:hAnsi="黑体" w:eastAsia="黑体" w:cs="黑体"/>
          <w:sz w:val="32"/>
          <w:szCs w:val="32"/>
          <w:lang w:val="en-US" w:eastAsia="zh-CN"/>
        </w:rPr>
      </w:pPr>
      <w:r>
        <w:rPr>
          <w:rFonts w:hint="eastAsia" w:ascii="仿宋" w:hAnsi="仿宋" w:eastAsia="仿宋" w:cs="仿宋"/>
          <w:sz w:val="32"/>
          <w:szCs w:val="32"/>
        </w:rPr>
        <w:t>今年以来</w:t>
      </w:r>
      <w:r>
        <w:rPr>
          <w:rFonts w:hint="eastAsia" w:ascii="仿宋" w:hAnsi="仿宋" w:eastAsia="仿宋" w:cs="仿宋"/>
          <w:color w:val="333333"/>
          <w:sz w:val="32"/>
          <w:szCs w:val="32"/>
          <w:shd w:val="clear" w:color="auto" w:fill="FFFFFF"/>
        </w:rPr>
        <w:t>，</w:t>
      </w:r>
      <w:r>
        <w:rPr>
          <w:rFonts w:hint="eastAsia" w:ascii="仿宋" w:hAnsi="仿宋" w:eastAsia="仿宋" w:cs="仿宋"/>
          <w:sz w:val="32"/>
          <w:szCs w:val="32"/>
        </w:rPr>
        <w:t>在区委、区政府</w:t>
      </w:r>
      <w:r>
        <w:rPr>
          <w:rFonts w:hint="eastAsia" w:ascii="仿宋" w:hAnsi="仿宋" w:eastAsia="仿宋" w:cs="仿宋"/>
          <w:sz w:val="32"/>
          <w:szCs w:val="32"/>
          <w:lang w:val="en-US" w:eastAsia="zh-CN"/>
        </w:rPr>
        <w:t>和上级主管部门的有力指</w:t>
      </w:r>
      <w:r>
        <w:rPr>
          <w:rFonts w:hint="eastAsia" w:ascii="仿宋" w:hAnsi="仿宋" w:eastAsia="仿宋" w:cs="仿宋"/>
          <w:sz w:val="32"/>
          <w:szCs w:val="32"/>
        </w:rPr>
        <w:t>导下，我区医疗保障工作始终坚持以习近平新时代中国特色社会主义思想为指引，严格落实党中央、省委、市委的决策部署。着力提升全区参保群众的基本医疗保障水平，着力推进</w:t>
      </w:r>
      <w:r>
        <w:rPr>
          <w:rFonts w:hint="eastAsia" w:ascii="仿宋" w:hAnsi="仿宋" w:eastAsia="仿宋" w:cs="仿宋"/>
          <w:sz w:val="32"/>
          <w:szCs w:val="32"/>
          <w:lang w:val="en-US" w:eastAsia="zh-CN"/>
        </w:rPr>
        <w:t>我区</w:t>
      </w:r>
      <w:r>
        <w:rPr>
          <w:rFonts w:hint="eastAsia" w:ascii="仿宋" w:hAnsi="仿宋" w:eastAsia="仿宋" w:cs="仿宋"/>
          <w:sz w:val="32"/>
          <w:szCs w:val="32"/>
        </w:rPr>
        <w:t>医疗保障事业高质量发展</w:t>
      </w:r>
      <w:r>
        <w:rPr>
          <w:rFonts w:hint="eastAsia" w:ascii="仿宋" w:hAnsi="仿宋" w:eastAsia="仿宋" w:cs="仿宋"/>
          <w:color w:val="333333"/>
          <w:sz w:val="32"/>
          <w:szCs w:val="32"/>
          <w:shd w:val="clear" w:color="auto" w:fill="FFFFFF"/>
        </w:rPr>
        <w:t>。现将</w:t>
      </w:r>
      <w:r>
        <w:rPr>
          <w:rFonts w:hint="eastAsia" w:ascii="仿宋" w:hAnsi="仿宋" w:eastAsia="仿宋" w:cs="仿宋"/>
          <w:color w:val="333333"/>
          <w:sz w:val="32"/>
          <w:szCs w:val="32"/>
          <w:shd w:val="clear" w:color="auto" w:fill="FFFFFF"/>
          <w:lang w:val="en-US" w:eastAsia="zh-CN"/>
        </w:rPr>
        <w:t>2024</w:t>
      </w:r>
      <w:r>
        <w:rPr>
          <w:rFonts w:hint="eastAsia" w:ascii="仿宋" w:hAnsi="仿宋" w:eastAsia="仿宋" w:cs="仿宋"/>
          <w:color w:val="333333"/>
          <w:sz w:val="32"/>
          <w:szCs w:val="32"/>
          <w:shd w:val="clear" w:color="auto" w:fill="FFFFFF"/>
        </w:rPr>
        <w:t>年</w:t>
      </w:r>
      <w:r>
        <w:rPr>
          <w:rFonts w:hint="eastAsia" w:ascii="仿宋" w:hAnsi="仿宋" w:eastAsia="仿宋" w:cs="仿宋"/>
          <w:color w:val="333333"/>
          <w:sz w:val="32"/>
          <w:szCs w:val="32"/>
          <w:shd w:val="clear" w:color="auto" w:fill="FFFFFF"/>
          <w:lang w:val="en-US" w:eastAsia="zh-CN"/>
        </w:rPr>
        <w:t>度</w:t>
      </w:r>
      <w:r>
        <w:rPr>
          <w:rFonts w:hint="eastAsia" w:ascii="仿宋" w:hAnsi="仿宋" w:eastAsia="仿宋" w:cs="仿宋"/>
          <w:color w:val="333333"/>
          <w:sz w:val="32"/>
          <w:szCs w:val="32"/>
          <w:shd w:val="clear" w:color="auto" w:fill="FFFFFF"/>
        </w:rPr>
        <w:t>工作开展情况总结如下</w:t>
      </w:r>
      <w:r>
        <w:rPr>
          <w:rFonts w:hint="eastAsia" w:ascii="仿宋" w:hAnsi="仿宋" w:eastAsia="仿宋" w:cs="仿宋"/>
          <w:color w:val="333333"/>
          <w:sz w:val="32"/>
          <w:szCs w:val="32"/>
          <w:shd w:val="clear" w:color="auto" w:fill="FFFFFF"/>
          <w:lang w:eastAsia="zh-CN"/>
        </w:rPr>
        <w:t>。</w:t>
      </w:r>
    </w:p>
    <w:p w14:paraId="0FBD8EEB">
      <w:pPr>
        <w:keepNext w:val="0"/>
        <w:keepLines w:val="0"/>
        <w:pageBreakBefore w:val="0"/>
        <w:widowControl w:val="0"/>
        <w:numPr>
          <w:ilvl w:val="0"/>
          <w:numId w:val="0"/>
        </w:numPr>
        <w:kinsoku/>
        <w:wordWrap/>
        <w:overflowPunct/>
        <w:topLinePunct w:val="0"/>
        <w:autoSpaceDE/>
        <w:autoSpaceDN/>
        <w:bidi w:val="0"/>
        <w:adjustRightInd/>
        <w:spacing w:line="560" w:lineRule="exact"/>
        <w:ind w:left="-105" w:leftChars="-50" w:right="-105" w:rightChars="-50"/>
        <w:jc w:val="both"/>
        <w:textAlignment w:val="auto"/>
        <w:outlineLvl w:val="9"/>
        <w:rPr>
          <w:rFonts w:hint="eastAsia" w:ascii="仿宋" w:hAnsi="仿宋" w:eastAsia="仿宋" w:cs="仿宋"/>
          <w:sz w:val="32"/>
          <w:szCs w:val="32"/>
          <w:lang w:val="en-US" w:eastAsia="zh-CN"/>
        </w:rPr>
      </w:pPr>
      <w:r>
        <w:rPr>
          <w:rFonts w:hint="eastAsia" w:ascii="黑体" w:hAnsi="黑体" w:eastAsia="黑体" w:cs="黑体"/>
          <w:sz w:val="32"/>
          <w:szCs w:val="32"/>
          <w:lang w:val="en-US" w:eastAsia="zh-CN"/>
        </w:rPr>
        <w:t xml:space="preserve">    （一）2024年度工作完成情况</w:t>
      </w:r>
    </w:p>
    <w:p w14:paraId="37D799B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105" w:leftChars="-50" w:right="-105" w:rightChars="-50" w:firstLine="640" w:firstLineChars="200"/>
        <w:jc w:val="both"/>
        <w:textAlignment w:val="auto"/>
        <w:outlineLvl w:val="9"/>
        <w:rPr>
          <w:rFonts w:hint="eastAsia" w:ascii="仿宋_GB2312" w:hAnsi="宋体" w:eastAsia="仿宋_GB2312" w:cs="宋体"/>
          <w:color w:val="000000"/>
          <w:sz w:val="32"/>
          <w:szCs w:val="32"/>
          <w:lang w:val="en-US" w:eastAsia="zh-CN"/>
        </w:rPr>
      </w:pPr>
      <w:r>
        <w:rPr>
          <w:rFonts w:hint="eastAsia" w:ascii="仿宋_GB2312" w:hAnsi="宋体" w:eastAsia="仿宋_GB2312" w:cs="宋体"/>
          <w:color w:val="000000"/>
          <w:sz w:val="32"/>
          <w:szCs w:val="32"/>
        </w:rPr>
        <w:t>近</w:t>
      </w:r>
      <w:r>
        <w:rPr>
          <w:rFonts w:hint="eastAsia" w:ascii="仿宋_GB2312" w:hAnsi="宋体" w:eastAsia="仿宋_GB2312" w:cs="宋体"/>
          <w:color w:val="000000"/>
          <w:sz w:val="32"/>
          <w:szCs w:val="32"/>
          <w:lang w:val="en-US" w:eastAsia="zh-CN"/>
        </w:rPr>
        <w:t>三</w:t>
      </w:r>
      <w:r>
        <w:rPr>
          <w:rFonts w:hint="eastAsia" w:ascii="仿宋_GB2312" w:hAnsi="宋体" w:eastAsia="仿宋_GB2312" w:cs="宋体"/>
          <w:color w:val="auto"/>
          <w:sz w:val="32"/>
          <w:szCs w:val="32"/>
        </w:rPr>
        <w:t>年，全区居民医保参保人数</w:t>
      </w:r>
      <w:r>
        <w:rPr>
          <w:rFonts w:hint="eastAsia" w:ascii="仿宋_GB2312" w:hAnsi="宋体" w:eastAsia="仿宋_GB2312" w:cs="宋体"/>
          <w:color w:val="auto"/>
          <w:sz w:val="32"/>
          <w:szCs w:val="32"/>
          <w:lang w:val="en-US" w:eastAsia="zh-CN"/>
        </w:rPr>
        <w:t>逐年</w:t>
      </w:r>
      <w:r>
        <w:rPr>
          <w:rFonts w:hint="eastAsia" w:ascii="仿宋_GB2312" w:hAnsi="宋体" w:eastAsia="仿宋_GB2312" w:cs="宋体"/>
          <w:color w:val="auto"/>
          <w:sz w:val="32"/>
          <w:szCs w:val="32"/>
        </w:rPr>
        <w:t>走高，从202</w:t>
      </w:r>
      <w:r>
        <w:rPr>
          <w:rFonts w:hint="eastAsia" w:ascii="仿宋_GB2312" w:hAnsi="宋体" w:eastAsia="仿宋_GB2312" w:cs="宋体"/>
          <w:color w:val="auto"/>
          <w:sz w:val="32"/>
          <w:szCs w:val="32"/>
          <w:lang w:val="en-US" w:eastAsia="zh-CN"/>
        </w:rPr>
        <w:t>2</w:t>
      </w:r>
      <w:r>
        <w:rPr>
          <w:rFonts w:hint="eastAsia" w:ascii="仿宋_GB2312" w:hAnsi="宋体" w:eastAsia="仿宋_GB2312" w:cs="宋体"/>
          <w:color w:val="auto"/>
          <w:sz w:val="32"/>
          <w:szCs w:val="32"/>
        </w:rPr>
        <w:t>年度的36.5万</w:t>
      </w:r>
      <w:r>
        <w:rPr>
          <w:rFonts w:hint="eastAsia" w:ascii="仿宋_GB2312" w:hAnsi="宋体" w:eastAsia="仿宋_GB2312" w:cs="宋体"/>
          <w:color w:val="auto"/>
          <w:sz w:val="32"/>
          <w:szCs w:val="32"/>
          <w:lang w:eastAsia="zh-CN"/>
        </w:rPr>
        <w:t>人</w:t>
      </w:r>
      <w:r>
        <w:rPr>
          <w:rFonts w:hint="eastAsia" w:ascii="仿宋_GB2312" w:hAnsi="宋体" w:eastAsia="仿宋_GB2312" w:cs="宋体"/>
          <w:color w:val="auto"/>
          <w:sz w:val="32"/>
          <w:szCs w:val="32"/>
        </w:rPr>
        <w:t>增长到了2024年度</w:t>
      </w:r>
      <w:r>
        <w:rPr>
          <w:rFonts w:hint="eastAsia" w:ascii="仿宋_GB2312" w:hAnsi="宋体" w:eastAsia="仿宋_GB2312" w:cs="宋体"/>
          <w:color w:val="auto"/>
          <w:sz w:val="32"/>
          <w:szCs w:val="32"/>
          <w:lang w:eastAsia="zh-CN"/>
        </w:rPr>
        <w:t>的</w:t>
      </w:r>
      <w:r>
        <w:rPr>
          <w:rFonts w:hint="eastAsia" w:ascii="仿宋_GB2312" w:hAnsi="宋体" w:eastAsia="仿宋_GB2312" w:cs="宋体"/>
          <w:color w:val="auto"/>
          <w:sz w:val="32"/>
          <w:szCs w:val="32"/>
        </w:rPr>
        <w:t>39.</w:t>
      </w:r>
      <w:r>
        <w:rPr>
          <w:rFonts w:hint="eastAsia" w:ascii="仿宋_GB2312" w:hAnsi="宋体" w:eastAsia="仿宋_GB2312" w:cs="宋体"/>
          <w:color w:val="000000"/>
          <w:sz w:val="32"/>
          <w:szCs w:val="32"/>
        </w:rPr>
        <w:t>7万</w:t>
      </w:r>
      <w:r>
        <w:rPr>
          <w:rFonts w:hint="eastAsia" w:ascii="仿宋_GB2312" w:hAnsi="宋体" w:eastAsia="仿宋_GB2312" w:cs="宋体"/>
          <w:color w:val="000000"/>
          <w:sz w:val="32"/>
          <w:szCs w:val="32"/>
          <w:lang w:eastAsia="zh-CN"/>
        </w:rPr>
        <w:t>人</w:t>
      </w:r>
      <w:r>
        <w:rPr>
          <w:rFonts w:hint="eastAsia" w:ascii="仿宋_GB2312" w:hAnsi="宋体" w:eastAsia="仿宋_GB2312" w:cs="宋体"/>
          <w:color w:val="000000"/>
          <w:sz w:val="32"/>
          <w:szCs w:val="32"/>
        </w:rPr>
        <w:t>，</w:t>
      </w:r>
      <w:r>
        <w:rPr>
          <w:rFonts w:hint="eastAsia" w:ascii="仿宋_GB2312" w:hAnsi="宋体" w:eastAsia="仿宋_GB2312" w:cs="宋体"/>
          <w:color w:val="auto"/>
          <w:sz w:val="32"/>
          <w:szCs w:val="32"/>
        </w:rPr>
        <w:t>完成了医保参保</w:t>
      </w:r>
      <w:r>
        <w:rPr>
          <w:rFonts w:hint="eastAsia" w:ascii="仿宋_GB2312" w:hAnsi="宋体" w:eastAsia="仿宋_GB2312" w:cs="宋体"/>
          <w:color w:val="auto"/>
          <w:sz w:val="32"/>
          <w:szCs w:val="32"/>
          <w:lang w:val="en-US" w:eastAsia="zh-CN"/>
        </w:rPr>
        <w:t>任务</w:t>
      </w:r>
      <w:r>
        <w:rPr>
          <w:rFonts w:hint="eastAsia" w:ascii="仿宋_GB2312" w:hAnsi="宋体" w:eastAsia="仿宋_GB2312" w:cs="宋体"/>
          <w:color w:val="auto"/>
          <w:sz w:val="32"/>
          <w:szCs w:val="32"/>
        </w:rPr>
        <w:t>。</w:t>
      </w:r>
      <w:r>
        <w:rPr>
          <w:rFonts w:hint="eastAsia" w:ascii="仿宋_GB2312" w:hAnsi="宋体" w:eastAsia="仿宋_GB2312" w:cs="宋体"/>
          <w:color w:val="auto"/>
          <w:sz w:val="32"/>
          <w:szCs w:val="32"/>
          <w:lang w:val="en-US" w:eastAsia="zh-CN"/>
        </w:rPr>
        <w:t>2025年度城乡居民医保集中缴费期已于2024年12月31日截止，</w:t>
      </w:r>
      <w:r>
        <w:rPr>
          <w:rFonts w:hint="eastAsia" w:ascii="仿宋" w:hAnsi="仿宋" w:eastAsia="仿宋" w:cs="仿宋"/>
          <w:sz w:val="32"/>
          <w:szCs w:val="32"/>
        </w:rPr>
        <w:t>全区</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含原经开区</w:t>
      </w:r>
      <w:r>
        <w:rPr>
          <w:rFonts w:hint="eastAsia" w:ascii="仿宋" w:hAnsi="仿宋" w:eastAsia="仿宋" w:cs="仿宋"/>
          <w:sz w:val="32"/>
          <w:szCs w:val="32"/>
          <w:lang w:eastAsia="zh-CN"/>
        </w:rPr>
        <w:t>）</w:t>
      </w:r>
      <w:r>
        <w:rPr>
          <w:rFonts w:hint="eastAsia" w:ascii="仿宋" w:hAnsi="仿宋" w:eastAsia="仿宋" w:cs="仿宋"/>
          <w:sz w:val="32"/>
          <w:szCs w:val="32"/>
        </w:rPr>
        <w:t>共完成</w:t>
      </w:r>
      <w:r>
        <w:rPr>
          <w:rFonts w:hint="eastAsia" w:ascii="仿宋" w:hAnsi="仿宋" w:eastAsia="仿宋" w:cs="仿宋"/>
          <w:color w:val="000000"/>
          <w:sz w:val="32"/>
          <w:szCs w:val="32"/>
          <w:lang w:val="en-US" w:eastAsia="zh-CN"/>
        </w:rPr>
        <w:t>565083</w:t>
      </w:r>
      <w:r>
        <w:rPr>
          <w:rFonts w:hint="eastAsia" w:ascii="仿宋" w:hAnsi="仿宋" w:eastAsia="仿宋" w:cs="仿宋"/>
          <w:color w:val="000000"/>
          <w:sz w:val="32"/>
          <w:szCs w:val="32"/>
        </w:rPr>
        <w:t>人，为全区最低</w:t>
      </w:r>
      <w:r>
        <w:rPr>
          <w:rFonts w:hint="eastAsia" w:ascii="仿宋" w:hAnsi="仿宋" w:eastAsia="仿宋" w:cs="仿宋"/>
          <w:color w:val="000000"/>
          <w:sz w:val="32"/>
          <w:szCs w:val="32"/>
          <w:lang w:val="en-US" w:eastAsia="zh-CN"/>
        </w:rPr>
        <w:t>目标</w:t>
      </w:r>
      <w:r>
        <w:rPr>
          <w:rFonts w:hint="eastAsia" w:ascii="仿宋" w:hAnsi="仿宋" w:eastAsia="仿宋" w:cs="仿宋"/>
          <w:color w:val="000000"/>
          <w:sz w:val="32"/>
          <w:szCs w:val="32"/>
        </w:rPr>
        <w:t>人数55151</w:t>
      </w:r>
      <w:r>
        <w:rPr>
          <w:rFonts w:hint="eastAsia" w:ascii="仿宋" w:hAnsi="仿宋" w:eastAsia="仿宋" w:cs="仿宋"/>
          <w:color w:val="000000"/>
          <w:sz w:val="32"/>
          <w:szCs w:val="32"/>
          <w:lang w:val="en-US" w:eastAsia="zh-CN"/>
        </w:rPr>
        <w:t>2</w:t>
      </w:r>
      <w:r>
        <w:rPr>
          <w:rFonts w:hint="eastAsia" w:ascii="仿宋" w:hAnsi="仿宋" w:eastAsia="仿宋" w:cs="仿宋"/>
          <w:color w:val="000000"/>
          <w:sz w:val="32"/>
          <w:szCs w:val="32"/>
        </w:rPr>
        <w:t>的</w:t>
      </w:r>
      <w:r>
        <w:rPr>
          <w:rFonts w:hint="eastAsia" w:ascii="仿宋" w:hAnsi="仿宋" w:eastAsia="仿宋" w:cs="仿宋"/>
          <w:color w:val="000000"/>
          <w:sz w:val="32"/>
          <w:szCs w:val="32"/>
          <w:lang w:val="en-US" w:eastAsia="zh-CN"/>
        </w:rPr>
        <w:t>102.46</w:t>
      </w:r>
      <w:r>
        <w:rPr>
          <w:rFonts w:hint="eastAsia" w:ascii="仿宋" w:hAnsi="仿宋" w:eastAsia="仿宋" w:cs="仿宋"/>
          <w:color w:val="000000"/>
          <w:sz w:val="32"/>
          <w:szCs w:val="32"/>
        </w:rPr>
        <w:t>%</w:t>
      </w:r>
      <w:r>
        <w:rPr>
          <w:rFonts w:hint="eastAsia" w:ascii="仿宋" w:hAnsi="仿宋" w:eastAsia="仿宋" w:cs="仿宋"/>
          <w:color w:val="000000"/>
          <w:sz w:val="32"/>
          <w:szCs w:val="32"/>
          <w:lang w:eastAsia="zh-CN"/>
        </w:rPr>
        <w:t>。</w:t>
      </w:r>
      <w:r>
        <w:rPr>
          <w:rFonts w:hint="eastAsia" w:ascii="仿宋_GB2312" w:hAnsi="宋体" w:eastAsia="仿宋_GB2312" w:cs="宋体"/>
          <w:color w:val="000000"/>
          <w:sz w:val="32"/>
          <w:szCs w:val="32"/>
          <w:lang w:val="en-US" w:eastAsia="zh-CN"/>
        </w:rPr>
        <w:t>征缴工作的稳</w:t>
      </w:r>
      <w:r>
        <w:rPr>
          <w:rFonts w:hint="eastAsia" w:ascii="仿宋_GB2312" w:hAnsi="宋体" w:eastAsia="仿宋_GB2312" w:cs="宋体"/>
          <w:color w:val="auto"/>
          <w:sz w:val="32"/>
          <w:szCs w:val="32"/>
          <w:lang w:val="en-US" w:eastAsia="zh-CN"/>
        </w:rPr>
        <w:t>步提升</w:t>
      </w:r>
      <w:r>
        <w:rPr>
          <w:rFonts w:hint="eastAsia" w:ascii="仿宋_GB2312" w:hAnsi="宋体" w:eastAsia="仿宋_GB2312" w:cs="宋体"/>
          <w:color w:val="000000"/>
          <w:sz w:val="32"/>
          <w:szCs w:val="32"/>
        </w:rPr>
        <w:t>主要得益于</w:t>
      </w:r>
      <w:r>
        <w:rPr>
          <w:rFonts w:hint="eastAsia" w:ascii="仿宋_GB2312" w:hAnsi="宋体" w:eastAsia="仿宋_GB2312" w:cs="宋体"/>
          <w:color w:val="000000"/>
          <w:sz w:val="32"/>
          <w:szCs w:val="32"/>
          <w:lang w:val="en-US" w:eastAsia="zh-CN"/>
        </w:rPr>
        <w:t>上级指导部门的精心指导和</w:t>
      </w:r>
      <w:r>
        <w:rPr>
          <w:rFonts w:hint="eastAsia" w:ascii="仿宋_GB2312" w:hAnsi="宋体" w:eastAsia="仿宋_GB2312" w:cs="宋体"/>
          <w:color w:val="000000"/>
          <w:sz w:val="32"/>
          <w:szCs w:val="32"/>
        </w:rPr>
        <w:t>区委区政府的顶格重视、统筹调度，得益于街道（乡）和相关部门的通力协作、极致作为</w:t>
      </w:r>
      <w:r>
        <w:rPr>
          <w:rFonts w:hint="eastAsia" w:ascii="仿宋_GB2312" w:hAnsi="宋体" w:eastAsia="仿宋_GB2312" w:cs="宋体"/>
          <w:color w:val="000000"/>
          <w:sz w:val="32"/>
          <w:szCs w:val="32"/>
          <w:lang w:eastAsia="zh-CN"/>
        </w:rPr>
        <w:t>。</w:t>
      </w:r>
      <w:r>
        <w:rPr>
          <w:rFonts w:hint="eastAsia" w:ascii="仿宋_GB2312" w:hAnsi="宋体" w:eastAsia="仿宋_GB2312" w:cs="宋体"/>
          <w:color w:val="000000"/>
          <w:sz w:val="32"/>
          <w:szCs w:val="32"/>
          <w:lang w:val="en-US" w:eastAsia="zh-CN"/>
        </w:rPr>
        <w:t xml:space="preserve">     </w:t>
      </w:r>
    </w:p>
    <w:p w14:paraId="3DD312D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105" w:leftChars="-50" w:right="-105" w:rightChars="-50" w:firstLine="643" w:firstLineChars="200"/>
        <w:jc w:val="both"/>
        <w:textAlignment w:val="auto"/>
        <w:outlineLvl w:val="9"/>
        <w:rPr>
          <w:rFonts w:hint="eastAsia" w:ascii="仿宋" w:hAnsi="仿宋" w:eastAsia="仿宋" w:cs="仿宋"/>
          <w:sz w:val="32"/>
          <w:szCs w:val="32"/>
          <w:lang w:val="en-US" w:eastAsia="zh-CN"/>
        </w:rPr>
      </w:pPr>
      <w:r>
        <w:rPr>
          <w:rFonts w:hint="eastAsia" w:ascii="楷体" w:hAnsi="楷体" w:eastAsia="楷体" w:cs="楷体"/>
          <w:b/>
          <w:bCs/>
          <w:color w:val="000000"/>
          <w:sz w:val="32"/>
          <w:szCs w:val="32"/>
          <w:lang w:val="en-US" w:eastAsia="zh-CN"/>
        </w:rPr>
        <w:t>1、基金收支情况</w:t>
      </w:r>
    </w:p>
    <w:p w14:paraId="65A20FA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105" w:rightChars="-50"/>
        <w:jc w:val="both"/>
        <w:textAlignment w:val="auto"/>
        <w:outlineLvl w:val="9"/>
        <w:rPr>
          <w:rFonts w:hint="eastAsia" w:ascii="仿宋_GB2312" w:hAnsi="仿宋_GB2312" w:eastAsia="仿宋_GB2312" w:cs="仿宋_GB2312"/>
          <w:b/>
          <w:bCs/>
          <w:color w:val="auto"/>
          <w:sz w:val="32"/>
          <w:szCs w:val="32"/>
          <w:lang w:val="en-US" w:eastAsia="zh-CN"/>
        </w:rPr>
      </w:pPr>
      <w:r>
        <w:rPr>
          <w:rFonts w:hint="eastAsia" w:ascii="仿宋" w:hAnsi="仿宋" w:eastAsia="仿宋" w:cs="仿宋"/>
          <w:color w:val="333333"/>
          <w:sz w:val="32"/>
          <w:szCs w:val="32"/>
          <w:shd w:val="clear" w:color="auto" w:fill="FFFFFF"/>
          <w:lang w:val="en-US" w:eastAsia="zh-CN"/>
        </w:rPr>
        <w:t xml:space="preserve">   截至2024年12月底，城镇职工基本医疗保险统筹收入10925.39万元，个人账户收入11282.60万元；基本医疗保险支出10562.54万元，个人账户支出6817.35万元；公务员收入842.80万元，支出601.12万元；大病互助收入1530.73万元，大病费支出684.53万元；统筹累计结余25440.29万元，个人账户累计结余5273.80万元，公务员累计结余389.04万元，大病累计结余1408.92万元。城乡居民医疗保险收入54281.22万元，支出31241.89万元，累计结余68793.33万元。</w:t>
      </w:r>
    </w:p>
    <w:p w14:paraId="7742AEF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105" w:leftChars="-50" w:right="-105" w:rightChars="-50" w:firstLine="643" w:firstLineChars="200"/>
        <w:jc w:val="both"/>
        <w:textAlignment w:val="auto"/>
        <w:outlineLvl w:val="9"/>
        <w:rPr>
          <w:rFonts w:hint="eastAsia" w:ascii="楷体" w:hAnsi="楷体" w:eastAsia="楷体" w:cs="楷体"/>
          <w:b/>
          <w:bCs/>
          <w:color w:val="000000"/>
          <w:sz w:val="32"/>
          <w:szCs w:val="32"/>
          <w:lang w:val="en-US" w:eastAsia="zh-CN"/>
        </w:rPr>
      </w:pPr>
      <w:r>
        <w:rPr>
          <w:rFonts w:hint="eastAsia" w:ascii="楷体" w:hAnsi="楷体" w:eastAsia="楷体" w:cs="楷体"/>
          <w:b/>
          <w:bCs/>
          <w:color w:val="000000"/>
          <w:sz w:val="32"/>
          <w:szCs w:val="32"/>
          <w:lang w:val="en-US" w:eastAsia="zh-CN"/>
        </w:rPr>
        <w:t>2、待遇享受情况</w:t>
      </w:r>
    </w:p>
    <w:p w14:paraId="744979FC">
      <w:pPr>
        <w:keepNext w:val="0"/>
        <w:keepLines w:val="0"/>
        <w:pageBreakBefore w:val="0"/>
        <w:widowControl w:val="0"/>
        <w:numPr>
          <w:ilvl w:val="0"/>
          <w:numId w:val="0"/>
        </w:numPr>
        <w:kinsoku/>
        <w:wordWrap/>
        <w:overflowPunct/>
        <w:topLinePunct w:val="0"/>
        <w:autoSpaceDE/>
        <w:autoSpaceDN/>
        <w:bidi w:val="0"/>
        <w:adjustRightInd/>
        <w:spacing w:line="560" w:lineRule="exact"/>
        <w:ind w:right="-105" w:rightChars="-50" w:firstLine="643"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（1）住院结算。</w:t>
      </w:r>
      <w:r>
        <w:rPr>
          <w:rFonts w:hint="eastAsia" w:ascii="仿宋_GB2312" w:hAnsi="仿宋_GB2312" w:eastAsia="仿宋_GB2312" w:cs="仿宋_GB2312"/>
          <w:color w:val="auto"/>
          <w:sz w:val="32"/>
          <w:szCs w:val="32"/>
          <w:lang w:val="en-US" w:eastAsia="zh-CN"/>
        </w:rPr>
        <w:t>住院结算共80780人次，住院总费用55720.7万元，统筹支付总费用28456.71万元。其中职工住院结算10937人次，住院总费用9042.09万元，统筹支付5692.54万元；居民住院结算69843人次，住院总费用46678.61万元，统筹支付总费用22764.17万元。</w:t>
      </w:r>
    </w:p>
    <w:p w14:paraId="25FEB63E">
      <w:pPr>
        <w:numPr>
          <w:ilvl w:val="0"/>
          <w:numId w:val="0"/>
        </w:numPr>
        <w:ind w:firstLine="643" w:firstLineChars="200"/>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（2）生育保险。</w:t>
      </w:r>
      <w:r>
        <w:rPr>
          <w:rFonts w:hint="eastAsia" w:ascii="仿宋_GB2312" w:hAnsi="仿宋_GB2312" w:eastAsia="仿宋_GB2312" w:cs="仿宋_GB2312"/>
          <w:color w:val="auto"/>
          <w:sz w:val="32"/>
          <w:szCs w:val="32"/>
          <w:lang w:val="en-US" w:eastAsia="zh-CN"/>
        </w:rPr>
        <w:t>职工生育门诊报销570人次，基金支付34.8万元。居民生育门诊报销855人次，基金支付35.98万元。异地生育住院职工32人次，医疗费总额21.09万元，基金支付9.77万元。居民异地生育住院126人次，医疗费总额6.41万元，基金支付3.87万元。职工生育津贴318人，金额684.34万元。</w:t>
      </w:r>
    </w:p>
    <w:p w14:paraId="7A5300CC">
      <w:pPr>
        <w:numPr>
          <w:ilvl w:val="0"/>
          <w:numId w:val="0"/>
        </w:numPr>
        <w:ind w:firstLine="643" w:firstLineChars="200"/>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（3）大病保险。</w:t>
      </w:r>
      <w:r>
        <w:rPr>
          <w:rFonts w:hint="eastAsia" w:ascii="仿宋_GB2312" w:hAnsi="仿宋_GB2312" w:eastAsia="仿宋_GB2312" w:cs="仿宋_GB2312"/>
          <w:color w:val="auto"/>
          <w:sz w:val="32"/>
          <w:szCs w:val="32"/>
          <w:lang w:val="en-US" w:eastAsia="zh-CN"/>
        </w:rPr>
        <w:t xml:space="preserve">居民大病二次共追补4834人次，追补金额2595.33万元；职工大病追补585人次，追补金额571.57万元。  </w:t>
      </w:r>
    </w:p>
    <w:p w14:paraId="13EB40AE">
      <w:pPr>
        <w:numPr>
          <w:ilvl w:val="0"/>
          <w:numId w:val="0"/>
        </w:numPr>
        <w:ind w:firstLine="643"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（4）异地联网结算。</w:t>
      </w:r>
      <w:r>
        <w:rPr>
          <w:rFonts w:hint="eastAsia" w:ascii="仿宋_GB2312" w:hAnsi="仿宋_GB2312" w:eastAsia="仿宋_GB2312" w:cs="仿宋_GB2312"/>
          <w:color w:val="auto"/>
          <w:sz w:val="32"/>
          <w:szCs w:val="32"/>
          <w:lang w:val="en-US" w:eastAsia="zh-CN"/>
        </w:rPr>
        <w:t xml:space="preserve">作为参保地，异地就医备案审核通过2772人次，其中省内异地备案审核 439人次，跨省异地备案审核通过2333次。作为就医地，为来岳参保人员在医疗机构提供直接结算，截止11月，异地住院共计670人次，基金支付152.03 万元。异地门诊17268人次，基金支付338.85 万元。异地购药31925人次，基金支付306.47 万元。                                                                         </w:t>
      </w:r>
    </w:p>
    <w:p w14:paraId="2EEB7753">
      <w:pPr>
        <w:numPr>
          <w:ilvl w:val="0"/>
          <w:numId w:val="0"/>
        </w:numPr>
        <w:ind w:firstLine="643"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（5）中心报账。</w:t>
      </w:r>
      <w:r>
        <w:rPr>
          <w:rFonts w:hint="eastAsia" w:ascii="仿宋_GB2312" w:hAnsi="仿宋_GB2312" w:eastAsia="仿宋_GB2312" w:cs="仿宋_GB2312"/>
          <w:color w:val="auto"/>
          <w:sz w:val="32"/>
          <w:szCs w:val="32"/>
          <w:lang w:val="en-US" w:eastAsia="zh-CN"/>
        </w:rPr>
        <w:t>居民异地就医中心报销334人次，基金支付241.14万元；职工异地就医中心报销30人次，基金支付 34.45万元。</w:t>
      </w:r>
    </w:p>
    <w:p w14:paraId="3FCA95FE">
      <w:pPr>
        <w:numPr>
          <w:ilvl w:val="0"/>
          <w:numId w:val="0"/>
        </w:numPr>
        <w:ind w:firstLine="643"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（6）普通门诊。</w:t>
      </w:r>
      <w:r>
        <w:rPr>
          <w:rFonts w:hint="eastAsia" w:ascii="仿宋_GB2312" w:hAnsi="仿宋_GB2312" w:eastAsia="仿宋_GB2312" w:cs="仿宋_GB2312"/>
          <w:color w:val="auto"/>
          <w:sz w:val="32"/>
          <w:szCs w:val="32"/>
          <w:lang w:val="en-US" w:eastAsia="zh-CN"/>
        </w:rPr>
        <w:t>居民普通门诊待遇享受520431人次。总费用4450.18万元，基金支出2453.42万元；居民生育门诊1623人次，基金支出61.51万元。职工生育门诊1192人次，统筹支出34.05万元：职工普通门诊待遇享受177788人次，总费用4686.97万元，基金支出1392.9万元。</w:t>
      </w:r>
    </w:p>
    <w:p w14:paraId="7FB7F6A3">
      <w:pPr>
        <w:numPr>
          <w:ilvl w:val="0"/>
          <w:numId w:val="0"/>
        </w:numPr>
        <w:ind w:firstLine="643"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（7）异地就医基金清算工作。</w:t>
      </w:r>
      <w:r>
        <w:rPr>
          <w:rFonts w:hint="eastAsia" w:ascii="仿宋_GB2312" w:hAnsi="仿宋_GB2312" w:eastAsia="仿宋_GB2312" w:cs="仿宋_GB2312"/>
          <w:color w:val="auto"/>
          <w:sz w:val="32"/>
          <w:szCs w:val="32"/>
          <w:lang w:val="en-US" w:eastAsia="zh-CN"/>
        </w:rPr>
        <w:t>在市局带领下及时完成异地就医基金清算工作，跨省异地住院清算至10月份，清算支持基金2572.23万。省内异地住院清算至10月份，清算支持基金3559.25万元。</w:t>
      </w:r>
    </w:p>
    <w:p w14:paraId="3CFCDB07">
      <w:pPr>
        <w:numPr>
          <w:ilvl w:val="0"/>
          <w:numId w:val="0"/>
        </w:numPr>
        <w:ind w:firstLine="643"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（8）特殊门诊。</w:t>
      </w:r>
      <w:r>
        <w:rPr>
          <w:rFonts w:hint="eastAsia" w:ascii="仿宋_GB2312" w:hAnsi="仿宋_GB2312" w:eastAsia="仿宋_GB2312" w:cs="仿宋_GB2312"/>
          <w:color w:val="auto"/>
          <w:sz w:val="32"/>
          <w:szCs w:val="32"/>
          <w:lang w:val="en-US" w:eastAsia="zh-CN"/>
        </w:rPr>
        <w:t>居民特门待遇享受61031人次，其中新增2485人，医保报销2507.19万；职工特门待遇享受234624人次，其中新增461人，医保报销1127.12万元。</w:t>
      </w:r>
    </w:p>
    <w:p w14:paraId="60ACD880">
      <w:pPr>
        <w:numPr>
          <w:ilvl w:val="0"/>
          <w:numId w:val="0"/>
        </w:numPr>
        <w:ind w:firstLine="643"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（9）“双通道”待遇。</w:t>
      </w:r>
      <w:r>
        <w:rPr>
          <w:rFonts w:hint="eastAsia" w:ascii="仿宋_GB2312" w:hAnsi="仿宋_GB2312" w:eastAsia="仿宋_GB2312" w:cs="仿宋_GB2312"/>
          <w:color w:val="auto"/>
          <w:sz w:val="32"/>
          <w:szCs w:val="32"/>
          <w:lang w:val="en-US" w:eastAsia="zh-CN"/>
        </w:rPr>
        <w:t>居民“双通道”待遇享受9091人次，医保报销1620.48万元；职工“双通道”待遇享受2171人次，医保报销388.35万元；</w:t>
      </w:r>
    </w:p>
    <w:p w14:paraId="42AEA461">
      <w:pPr>
        <w:numPr>
          <w:ilvl w:val="0"/>
          <w:numId w:val="0"/>
        </w:numPr>
        <w:ind w:firstLine="643"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（10）“两病”专项保障。</w:t>
      </w:r>
      <w:r>
        <w:rPr>
          <w:rFonts w:hint="eastAsia" w:ascii="仿宋_GB2312" w:hAnsi="仿宋_GB2312" w:eastAsia="仿宋_GB2312" w:cs="仿宋_GB2312"/>
          <w:color w:val="auto"/>
          <w:sz w:val="32"/>
          <w:szCs w:val="32"/>
          <w:lang w:val="en-US" w:eastAsia="zh-CN"/>
        </w:rPr>
        <w:t xml:space="preserve">全区纳入规范化管理的高血压患者7625人，糖尿病患者3935人。其中，高血压门诊就诊18127人次，总费用151.64万元，统筹支付99.37万元；糖尿病门诊就诊11932人次，总费用148.41万元，统筹支付96.66万元。 </w:t>
      </w:r>
    </w:p>
    <w:p w14:paraId="5FBC1757">
      <w:pPr>
        <w:numPr>
          <w:ilvl w:val="0"/>
          <w:numId w:val="0"/>
        </w:numPr>
        <w:ind w:firstLine="643"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（11）医疗救助工作。</w:t>
      </w:r>
      <w:r>
        <w:rPr>
          <w:rFonts w:hint="eastAsia" w:ascii="仿宋_GB2312" w:hAnsi="仿宋_GB2312" w:eastAsia="仿宋_GB2312" w:cs="仿宋_GB2312"/>
          <w:color w:val="auto"/>
          <w:sz w:val="32"/>
          <w:szCs w:val="32"/>
          <w:lang w:val="en-US" w:eastAsia="zh-CN"/>
        </w:rPr>
        <w:t>截至2024年12月底，有效保障特殊人员参保16794人，共计参保资金425.011万元；“一站式”住院医疗救助6829人次，发放救助资金1245.64万元；门诊医疗救助6144人次，发放救助资金179.87万元；三类救助100人次，救助金额118.98万元；再救助16人，救助金额7.07万元。目前已完成医疗救助29883人次，完成年度任务数（21700人次）的137%。</w:t>
      </w:r>
    </w:p>
    <w:p w14:paraId="0A53F355">
      <w:pPr>
        <w:numPr>
          <w:ilvl w:val="0"/>
          <w:numId w:val="0"/>
        </w:numPr>
        <w:ind w:firstLine="643"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（12）乡村振兴工作。</w:t>
      </w:r>
      <w:r>
        <w:rPr>
          <w:rFonts w:hint="eastAsia" w:ascii="仿宋" w:hAnsi="仿宋" w:eastAsia="仿宋" w:cs="仿宋"/>
          <w:sz w:val="32"/>
          <w:szCs w:val="32"/>
          <w:lang w:val="en-US" w:eastAsia="zh-CN"/>
        </w:rPr>
        <w:t>巩固拓展脱贫攻坚成果同乡村振兴有效衔接工作，区医保局把工作重点放在了力保三个100%：一是确保帮扶对象医保参保100%，二是确保住了院的帮扶对象按标准予以救助和再救助100%，三是确保符合特门申办条件和门诊治疗救助标准的帮扶对象100%享受相应待遇。全局采取全员参与、干部包户的方式，截至2024年12月，全区2934户帮扶对象的逐户逐人摸排已完成。</w:t>
      </w:r>
    </w:p>
    <w:p w14:paraId="522E2042">
      <w:pPr>
        <w:keepNext w:val="0"/>
        <w:keepLines w:val="0"/>
        <w:pageBreakBefore w:val="0"/>
        <w:widowControl w:val="0"/>
        <w:numPr>
          <w:ilvl w:val="0"/>
          <w:numId w:val="0"/>
        </w:numPr>
        <w:kinsoku/>
        <w:wordWrap/>
        <w:overflowPunct/>
        <w:topLinePunct w:val="0"/>
        <w:autoSpaceDE/>
        <w:autoSpaceDN/>
        <w:bidi w:val="0"/>
        <w:adjustRightInd/>
        <w:spacing w:line="560" w:lineRule="exact"/>
        <w:ind w:left="-105" w:leftChars="-50" w:right="-105" w:rightChars="-50" w:firstLine="643" w:firstLineChars="200"/>
        <w:textAlignment w:val="auto"/>
        <w:outlineLvl w:val="9"/>
        <w:rPr>
          <w:rFonts w:hint="eastAsia" w:ascii="楷体" w:hAnsi="楷体" w:eastAsia="楷体" w:cs="楷体"/>
          <w:b/>
          <w:bCs/>
          <w:color w:val="000000"/>
          <w:sz w:val="32"/>
          <w:szCs w:val="32"/>
          <w:lang w:val="en-US" w:eastAsia="zh-CN"/>
        </w:rPr>
      </w:pPr>
      <w:r>
        <w:rPr>
          <w:rFonts w:hint="eastAsia" w:ascii="楷体" w:hAnsi="楷体" w:eastAsia="楷体" w:cs="楷体"/>
          <w:b/>
          <w:bCs/>
          <w:color w:val="000000"/>
          <w:sz w:val="32"/>
          <w:szCs w:val="32"/>
          <w:lang w:val="en-US" w:eastAsia="zh-CN"/>
        </w:rPr>
        <w:t>3、基金监管工作</w:t>
      </w:r>
    </w:p>
    <w:p w14:paraId="17F1FB78">
      <w:pPr>
        <w:keepNext w:val="0"/>
        <w:keepLines w:val="0"/>
        <w:pageBreakBefore w:val="0"/>
        <w:widowControl w:val="0"/>
        <w:kinsoku/>
        <w:wordWrap/>
        <w:overflowPunct/>
        <w:topLinePunct w:val="0"/>
        <w:autoSpaceDE/>
        <w:autoSpaceDN/>
        <w:bidi w:val="0"/>
        <w:adjustRightInd/>
        <w:snapToGrid/>
        <w:spacing w:line="560" w:lineRule="exact"/>
        <w:ind w:left="-105" w:leftChars="-50" w:right="-105" w:rightChars="-50" w:firstLine="643" w:firstLineChars="200"/>
        <w:textAlignment w:val="auto"/>
        <w:outlineLvl w:val="9"/>
        <w:rPr>
          <w:rFonts w:hint="eastAsia" w:ascii="仿宋_GB2312" w:hAnsi="宋体" w:eastAsia="仿宋_GB2312" w:cs="宋体"/>
          <w:b w:val="0"/>
          <w:bCs w:val="0"/>
          <w:color w:val="FF0000"/>
          <w:sz w:val="32"/>
          <w:szCs w:val="32"/>
          <w:lang w:val="en-US" w:eastAsia="zh-CN"/>
        </w:rPr>
      </w:pPr>
      <w:r>
        <w:rPr>
          <w:rFonts w:hint="eastAsia" w:ascii="楷体" w:hAnsi="楷体" w:eastAsia="楷体" w:cs="楷体"/>
          <w:b/>
          <w:bCs/>
          <w:color w:val="000000"/>
          <w:sz w:val="32"/>
          <w:szCs w:val="32"/>
        </w:rPr>
        <w:t>在“管好”上下严功夫，医保监管更为密实。</w:t>
      </w:r>
      <w:r>
        <w:rPr>
          <w:rFonts w:hint="eastAsia" w:ascii="仿宋_GB2312" w:hAnsi="宋体" w:eastAsia="仿宋_GB2312" w:cs="宋体"/>
          <w:b/>
          <w:bCs/>
          <w:color w:val="000000"/>
          <w:sz w:val="32"/>
          <w:szCs w:val="32"/>
        </w:rPr>
        <w:t>严明立场。</w:t>
      </w:r>
      <w:r>
        <w:rPr>
          <w:rFonts w:hint="eastAsia" w:ascii="仿宋" w:hAnsi="仿宋" w:eastAsia="仿宋" w:cs="仿宋"/>
          <w:color w:val="000000"/>
          <w:sz w:val="32"/>
          <w:szCs w:val="32"/>
        </w:rPr>
        <w:t>在监管上，全局始终坚持加大“严”的力度，</w:t>
      </w:r>
      <w:r>
        <w:rPr>
          <w:rFonts w:hint="eastAsia" w:ascii="仿宋" w:hAnsi="仿宋" w:eastAsia="仿宋" w:cs="仿宋"/>
          <w:sz w:val="32"/>
          <w:szCs w:val="32"/>
        </w:rPr>
        <w:t>“查”的宽度和“纠”的深度，坚持对6</w:t>
      </w:r>
      <w:r>
        <w:rPr>
          <w:rFonts w:hint="eastAsia" w:ascii="仿宋" w:hAnsi="仿宋" w:eastAsia="仿宋" w:cs="仿宋"/>
          <w:sz w:val="32"/>
          <w:szCs w:val="32"/>
          <w:lang w:val="en-US" w:eastAsia="zh-CN"/>
        </w:rPr>
        <w:t>28</w:t>
      </w:r>
      <w:r>
        <w:rPr>
          <w:rFonts w:hint="eastAsia" w:ascii="仿宋" w:hAnsi="仿宋" w:eastAsia="仿宋" w:cs="仿宋"/>
          <w:sz w:val="32"/>
          <w:szCs w:val="32"/>
        </w:rPr>
        <w:t>家两定医药机构年度监管全覆盖，</w:t>
      </w:r>
      <w:r>
        <w:rPr>
          <w:rFonts w:hint="eastAsia" w:ascii="仿宋" w:hAnsi="仿宋" w:eastAsia="仿宋" w:cs="仿宋"/>
          <w:color w:val="000000"/>
          <w:sz w:val="32"/>
          <w:szCs w:val="32"/>
        </w:rPr>
        <w:t>根据所发现问题的不同程度，采取解除服务协议、中止医保协议、整改、约谈、不予支付、责令退回、扣付违约金、罚款等多种方式严实到位。</w:t>
      </w:r>
      <w:r>
        <w:rPr>
          <w:rFonts w:hint="eastAsia" w:ascii="仿宋_GB2312" w:hAnsi="宋体" w:eastAsia="仿宋_GB2312" w:cs="宋体"/>
          <w:b/>
          <w:bCs/>
          <w:color w:val="000000"/>
          <w:sz w:val="32"/>
          <w:szCs w:val="32"/>
        </w:rPr>
        <w:t>讲透政策。</w:t>
      </w:r>
      <w:r>
        <w:rPr>
          <w:rFonts w:hint="eastAsia" w:ascii="仿宋_GB2312" w:hAnsi="宋体" w:eastAsia="仿宋_GB2312" w:cs="宋体"/>
          <w:b w:val="0"/>
          <w:bCs w:val="0"/>
          <w:color w:val="000000"/>
          <w:sz w:val="32"/>
          <w:szCs w:val="32"/>
          <w:lang w:val="en-US" w:eastAsia="zh-CN"/>
        </w:rPr>
        <w:t>2024</w:t>
      </w:r>
      <w:r>
        <w:rPr>
          <w:rFonts w:hint="eastAsia" w:ascii="仿宋" w:hAnsi="仿宋" w:eastAsia="仿宋" w:cs="仿宋"/>
          <w:b w:val="0"/>
          <w:bCs w:val="0"/>
          <w:sz w:val="32"/>
          <w:szCs w:val="32"/>
        </w:rPr>
        <w:t>年</w:t>
      </w:r>
      <w:r>
        <w:rPr>
          <w:rFonts w:hint="eastAsia" w:ascii="仿宋" w:hAnsi="仿宋" w:eastAsia="仿宋" w:cs="仿宋"/>
          <w:b w:val="0"/>
          <w:bCs w:val="0"/>
          <w:color w:val="000000"/>
          <w:sz w:val="32"/>
          <w:szCs w:val="32"/>
        </w:rPr>
        <w:t>4</w:t>
      </w:r>
      <w:r>
        <w:rPr>
          <w:rFonts w:hint="eastAsia" w:ascii="仿宋" w:hAnsi="仿宋" w:eastAsia="仿宋" w:cs="仿宋"/>
          <w:color w:val="000000"/>
          <w:sz w:val="32"/>
          <w:szCs w:val="32"/>
        </w:rPr>
        <w:t>月开展“基金监管集中宣传月”活动，</w:t>
      </w:r>
      <w:r>
        <w:rPr>
          <w:rFonts w:hint="eastAsia" w:ascii="仿宋" w:hAnsi="仿宋" w:eastAsia="仿宋" w:cs="仿宋"/>
          <w:color w:val="000000"/>
          <w:sz w:val="32"/>
          <w:szCs w:val="32"/>
          <w:lang w:val="en-US" w:eastAsia="zh-CN"/>
        </w:rPr>
        <w:t>通过</w:t>
      </w:r>
      <w:r>
        <w:rPr>
          <w:rFonts w:hint="eastAsia" w:ascii="仿宋" w:hAnsi="仿宋" w:eastAsia="仿宋" w:cs="仿宋"/>
          <w:color w:val="000000"/>
          <w:sz w:val="32"/>
          <w:szCs w:val="32"/>
        </w:rPr>
        <w:t>观警示教育片</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lang w:val="en-US" w:eastAsia="zh-CN"/>
        </w:rPr>
        <w:t>听专家</w:t>
      </w:r>
      <w:r>
        <w:rPr>
          <w:rFonts w:hint="eastAsia" w:ascii="仿宋" w:hAnsi="仿宋" w:eastAsia="仿宋" w:cs="仿宋"/>
          <w:color w:val="000000"/>
          <w:sz w:val="32"/>
          <w:szCs w:val="32"/>
        </w:rPr>
        <w:t>解读</w:t>
      </w:r>
      <w:r>
        <w:rPr>
          <w:rFonts w:hint="eastAsia" w:ascii="仿宋" w:hAnsi="仿宋" w:eastAsia="仿宋" w:cs="仿宋"/>
          <w:color w:val="000000"/>
          <w:sz w:val="32"/>
          <w:szCs w:val="32"/>
          <w:lang w:val="en-US" w:eastAsia="zh-CN"/>
        </w:rPr>
        <w:t>政策文件、</w:t>
      </w:r>
      <w:r>
        <w:rPr>
          <w:rFonts w:hint="eastAsia" w:ascii="仿宋" w:hAnsi="仿宋" w:eastAsia="仿宋" w:cs="仿宋"/>
          <w:color w:val="000000"/>
          <w:sz w:val="32"/>
          <w:szCs w:val="32"/>
        </w:rPr>
        <w:t>签承诺书</w:t>
      </w:r>
      <w:r>
        <w:rPr>
          <w:rFonts w:hint="eastAsia" w:ascii="仿宋" w:hAnsi="仿宋" w:eastAsia="仿宋" w:cs="仿宋"/>
          <w:color w:val="000000"/>
          <w:sz w:val="32"/>
          <w:szCs w:val="32"/>
          <w:lang w:val="en-US" w:eastAsia="zh-CN"/>
        </w:rPr>
        <w:t>等多种方式</w:t>
      </w:r>
      <w:r>
        <w:rPr>
          <w:rFonts w:hint="eastAsia" w:ascii="仿宋" w:hAnsi="仿宋" w:eastAsia="仿宋" w:cs="仿宋"/>
          <w:color w:val="000000"/>
          <w:sz w:val="32"/>
          <w:szCs w:val="32"/>
        </w:rPr>
        <w:t>，持续向医药机构负责人传递</w:t>
      </w:r>
      <w:r>
        <w:rPr>
          <w:rFonts w:hint="eastAsia" w:ascii="仿宋" w:hAnsi="仿宋" w:eastAsia="仿宋" w:cs="仿宋"/>
          <w:color w:val="000000"/>
          <w:sz w:val="32"/>
          <w:szCs w:val="32"/>
          <w:lang w:val="en-US" w:eastAsia="zh-CN"/>
        </w:rPr>
        <w:t>严的氛围、管的力度。</w:t>
      </w:r>
      <w:r>
        <w:rPr>
          <w:rFonts w:hint="eastAsia" w:ascii="仿宋_GB2312" w:hAnsi="宋体" w:eastAsia="仿宋_GB2312" w:cs="宋体"/>
          <w:b/>
          <w:bCs/>
          <w:color w:val="000000"/>
          <w:sz w:val="32"/>
          <w:szCs w:val="32"/>
        </w:rPr>
        <w:t>合力检查。</w:t>
      </w:r>
      <w:r>
        <w:rPr>
          <w:rFonts w:hint="eastAsia" w:ascii="仿宋_GB2312" w:hAnsi="宋体" w:eastAsia="仿宋_GB2312" w:cs="宋体"/>
          <w:b w:val="0"/>
          <w:bCs w:val="0"/>
          <w:color w:val="000000"/>
          <w:sz w:val="32"/>
          <w:szCs w:val="32"/>
          <w:lang w:val="en-US" w:eastAsia="zh-CN"/>
        </w:rPr>
        <w:t>2024年来，共不予支付医保基金约76.84万元，自查自纠和责令退回医保基金约62.39万元，行政处罚约20.23万元。</w:t>
      </w:r>
    </w:p>
    <w:p w14:paraId="7612514D">
      <w:pPr>
        <w:numPr>
          <w:ilvl w:val="0"/>
          <w:numId w:val="0"/>
        </w:numPr>
        <w:ind w:firstLine="643" w:firstLineChars="200"/>
        <w:rPr>
          <w:rFonts w:hint="eastAsia" w:ascii="黑体" w:hAnsi="黑体" w:eastAsia="黑体" w:cs="黑体"/>
          <w:kern w:val="2"/>
          <w:sz w:val="32"/>
          <w:szCs w:val="32"/>
          <w:lang w:val="en-US" w:eastAsia="zh-CN" w:bidi="ar-SA"/>
        </w:rPr>
      </w:pPr>
      <w:r>
        <w:rPr>
          <w:rFonts w:hint="eastAsia" w:ascii="黑体" w:hAnsi="黑体" w:eastAsia="黑体" w:cs="黑体"/>
          <w:b/>
          <w:bCs/>
          <w:kern w:val="2"/>
          <w:sz w:val="32"/>
          <w:szCs w:val="32"/>
          <w:lang w:val="en-US" w:eastAsia="zh-CN" w:bidi="ar-SA"/>
        </w:rPr>
        <w:t>（二）</w:t>
      </w:r>
      <w:r>
        <w:rPr>
          <w:rFonts w:hint="eastAsia" w:ascii="黑体" w:hAnsi="黑体" w:eastAsia="黑体" w:cs="黑体"/>
          <w:kern w:val="2"/>
          <w:sz w:val="32"/>
          <w:szCs w:val="32"/>
          <w:lang w:val="en-US" w:eastAsia="zh-CN" w:bidi="ar-SA"/>
        </w:rPr>
        <w:t>特色亮点工作</w:t>
      </w:r>
    </w:p>
    <w:p w14:paraId="622D6686">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right="-105" w:rightChars="-50" w:firstLine="643" w:firstLineChars="200"/>
        <w:jc w:val="left"/>
        <w:textAlignment w:val="auto"/>
        <w:outlineLvl w:val="9"/>
        <w:rPr>
          <w:rFonts w:hint="eastAsia" w:ascii="仿宋_GB2312" w:hAnsi="仿宋_GB2312" w:eastAsia="仿宋_GB2312" w:cs="仿宋_GB2312"/>
          <w:b/>
          <w:bCs/>
          <w:kern w:val="2"/>
          <w:sz w:val="32"/>
          <w:szCs w:val="32"/>
          <w:lang w:val="en-US" w:eastAsia="zh-CN"/>
        </w:rPr>
      </w:pPr>
      <w:r>
        <w:rPr>
          <w:rFonts w:hint="eastAsia" w:ascii="楷体" w:hAnsi="楷体" w:eastAsia="楷体" w:cs="楷体"/>
          <w:b/>
          <w:bCs/>
          <w:color w:val="auto"/>
          <w:kern w:val="2"/>
          <w:sz w:val="32"/>
          <w:szCs w:val="32"/>
          <w:lang w:val="en-US" w:eastAsia="zh-CN" w:bidi="ar-SA"/>
        </w:rPr>
        <w:t>1、开通门慢特疾病续办网办。</w:t>
      </w:r>
      <w:r>
        <w:rPr>
          <w:rFonts w:hint="eastAsia" w:ascii="仿宋_GB2312" w:hAnsi="仿宋_GB2312" w:eastAsia="仿宋_GB2312" w:cs="仿宋_GB2312"/>
          <w:b w:val="0"/>
          <w:bCs w:val="0"/>
          <w:kern w:val="2"/>
          <w:sz w:val="32"/>
          <w:szCs w:val="32"/>
          <w:lang w:val="en-US" w:eastAsia="zh-CN"/>
        </w:rPr>
        <w:t>为进一步优化医保服务提升行政效能，方便门诊慢特病患者更好享受医保待遇，岳阳楼区简化门诊慢特病复审流程，对高血压3级、糖尿病、冠心病等31个门诊慢特病续办理实行线上延期申请。符合条件的特门患者可在特门到期前2个月进行线上申请续办，无需线下重复提交评审资料。同时，为进一步做好门诊慢特病申请资料管理，我局组织对242家定点医药机构进行业务指导培训。目前，已</w:t>
      </w:r>
      <w:r>
        <w:rPr>
          <w:rFonts w:hint="eastAsia" w:ascii="仿宋_GB2312" w:hAnsi="仿宋_GB2312" w:eastAsia="仿宋_GB2312" w:cs="仿宋_GB2312"/>
          <w:b w:val="0"/>
          <w:bCs w:val="0"/>
          <w:color w:val="000000"/>
          <w:kern w:val="2"/>
          <w:sz w:val="32"/>
          <w:szCs w:val="32"/>
          <w:lang w:val="en-US" w:eastAsia="zh-CN"/>
        </w:rPr>
        <w:t>有569人次采</w:t>
      </w:r>
      <w:r>
        <w:rPr>
          <w:rFonts w:hint="eastAsia" w:ascii="仿宋_GB2312" w:hAnsi="仿宋_GB2312" w:eastAsia="仿宋_GB2312" w:cs="仿宋_GB2312"/>
          <w:b w:val="0"/>
          <w:bCs w:val="0"/>
          <w:kern w:val="2"/>
          <w:sz w:val="32"/>
          <w:szCs w:val="32"/>
          <w:lang w:val="en-US" w:eastAsia="zh-CN"/>
        </w:rPr>
        <w:t>用线上申请门诊慢特病复审，并审核通过。</w:t>
      </w:r>
    </w:p>
    <w:p w14:paraId="41A0A4AA">
      <w:pPr>
        <w:keepNext w:val="0"/>
        <w:keepLines w:val="0"/>
        <w:pageBreakBefore w:val="0"/>
        <w:widowControl w:val="0"/>
        <w:kinsoku/>
        <w:wordWrap/>
        <w:overflowPunct/>
        <w:topLinePunct w:val="0"/>
        <w:autoSpaceDE/>
        <w:autoSpaceDN/>
        <w:bidi w:val="0"/>
        <w:adjustRightInd/>
        <w:spacing w:line="560" w:lineRule="exact"/>
        <w:ind w:firstLine="643" w:firstLineChars="200"/>
        <w:textAlignment w:val="auto"/>
        <w:outlineLvl w:val="9"/>
        <w:rPr>
          <w:rFonts w:hint="eastAsia" w:ascii="仿宋" w:hAnsi="仿宋" w:eastAsia="仿宋" w:cs="仿宋"/>
          <w:b/>
          <w:bCs/>
          <w:sz w:val="32"/>
          <w:szCs w:val="32"/>
        </w:rPr>
      </w:pPr>
      <w:r>
        <w:rPr>
          <w:rFonts w:hint="eastAsia" w:ascii="楷体" w:hAnsi="楷体" w:eastAsia="楷体" w:cs="楷体"/>
          <w:b/>
          <w:bCs/>
          <w:i w:val="0"/>
          <w:caps w:val="0"/>
          <w:color w:val="333333"/>
          <w:spacing w:val="0"/>
          <w:sz w:val="32"/>
          <w:szCs w:val="32"/>
          <w:shd w:val="clear" w:color="auto" w:fill="auto"/>
          <w:lang w:val="en-US" w:eastAsia="zh-CN"/>
        </w:rPr>
        <w:t>2、开展</w:t>
      </w:r>
      <w:r>
        <w:rPr>
          <w:rFonts w:hint="eastAsia" w:ascii="楷体" w:hAnsi="楷体" w:eastAsia="楷体" w:cs="楷体"/>
          <w:b/>
          <w:bCs/>
          <w:color w:val="auto"/>
          <w:sz w:val="32"/>
          <w:szCs w:val="32"/>
          <w:lang w:val="en-US" w:eastAsia="zh-CN"/>
        </w:rPr>
        <w:t>“医保群英荟”——线上面对面轮训活动。</w:t>
      </w:r>
      <w:r>
        <w:rPr>
          <w:rFonts w:hint="eastAsia" w:ascii="仿宋" w:hAnsi="仿宋" w:eastAsia="仿宋" w:cs="仿宋"/>
          <w:b w:val="0"/>
          <w:bCs w:val="0"/>
          <w:sz w:val="32"/>
          <w:szCs w:val="32"/>
          <w:lang w:val="en-US" w:eastAsia="zh-CN"/>
        </w:rPr>
        <w:t>为</w:t>
      </w:r>
      <w:r>
        <w:rPr>
          <w:rFonts w:hint="eastAsia" w:ascii="仿宋_GB2312" w:hAnsi="仿宋_GB2312" w:eastAsia="仿宋_GB2312" w:cs="仿宋_GB2312"/>
          <w:b w:val="0"/>
          <w:bCs w:val="0"/>
          <w:color w:val="auto"/>
          <w:sz w:val="32"/>
          <w:szCs w:val="32"/>
          <w:lang w:val="en-US" w:eastAsia="zh-CN"/>
        </w:rPr>
        <w:t>推进医疗保障经办服务网络建设</w:t>
      </w:r>
      <w:r>
        <w:rPr>
          <w:rFonts w:hint="eastAsia" w:ascii="仿宋" w:hAnsi="仿宋" w:eastAsia="仿宋" w:cs="仿宋"/>
          <w:b w:val="0"/>
          <w:bCs w:val="0"/>
          <w:sz w:val="32"/>
          <w:szCs w:val="32"/>
          <w:lang w:val="en-US" w:eastAsia="zh-CN"/>
        </w:rPr>
        <w:t>，进一步</w:t>
      </w:r>
      <w:r>
        <w:rPr>
          <w:rFonts w:hint="eastAsia" w:ascii="仿宋_GB2312" w:hAnsi="仿宋_GB2312" w:eastAsia="仿宋_GB2312" w:cs="仿宋_GB2312"/>
          <w:b w:val="0"/>
          <w:bCs w:val="0"/>
          <w:color w:val="auto"/>
          <w:sz w:val="32"/>
          <w:szCs w:val="32"/>
          <w:lang w:val="en-US" w:eastAsia="zh-CN"/>
        </w:rPr>
        <w:t>提高基层医保经办能力，我局组织开展“医保群英荟”——线上面对面轮训活动，首场轮训于6月27日开讲。活动主要以医保政务服务为主要内容，由区医保局业务骨干组建的“医保群英荟”服务团队</w:t>
      </w:r>
      <w:r>
        <w:rPr>
          <w:rFonts w:hint="eastAsia" w:ascii="仿宋" w:hAnsi="仿宋" w:eastAsia="仿宋" w:cs="仿宋"/>
          <w:b w:val="0"/>
          <w:bCs w:val="0"/>
          <w:sz w:val="32"/>
          <w:szCs w:val="32"/>
          <w:lang w:val="en-US" w:eastAsia="zh-CN"/>
        </w:rPr>
        <w:t>通过政务</w:t>
      </w:r>
      <w:r>
        <w:rPr>
          <w:rFonts w:hint="eastAsia" w:ascii="Times New Roman" w:hAnsi="Times New Roman" w:eastAsia="仿宋_GB2312" w:cs="Times New Roman"/>
          <w:b w:val="0"/>
          <w:bCs w:val="0"/>
          <w:sz w:val="32"/>
          <w:szCs w:val="32"/>
        </w:rPr>
        <w:t>“云视讯”</w:t>
      </w:r>
      <w:r>
        <w:rPr>
          <w:rFonts w:hint="eastAsia" w:ascii="Times New Roman" w:hAnsi="Times New Roman" w:eastAsia="仿宋_GB2312" w:cs="Times New Roman"/>
          <w:b w:val="0"/>
          <w:bCs w:val="0"/>
          <w:sz w:val="32"/>
          <w:szCs w:val="32"/>
          <w:lang w:val="en-US" w:eastAsia="zh-CN"/>
        </w:rPr>
        <w:t>系统</w:t>
      </w:r>
      <w:r>
        <w:rPr>
          <w:rFonts w:hint="eastAsia" w:ascii="仿宋" w:hAnsi="仿宋" w:eastAsia="仿宋" w:cs="仿宋"/>
          <w:b w:val="0"/>
          <w:bCs w:val="0"/>
          <w:sz w:val="32"/>
          <w:szCs w:val="32"/>
          <w:lang w:val="en-US" w:eastAsia="zh-CN"/>
        </w:rPr>
        <w:t>视频连线的方式</w:t>
      </w:r>
      <w:r>
        <w:rPr>
          <w:rFonts w:hint="eastAsia" w:ascii="仿宋" w:hAnsi="仿宋" w:eastAsia="仿宋" w:cs="仿宋"/>
          <w:b w:val="0"/>
          <w:bCs w:val="0"/>
          <w:sz w:val="32"/>
          <w:szCs w:val="32"/>
          <w:lang w:eastAsia="zh-CN"/>
        </w:rPr>
        <w:t>进行相关</w:t>
      </w:r>
      <w:r>
        <w:rPr>
          <w:rFonts w:hint="eastAsia" w:ascii="仿宋" w:hAnsi="仿宋" w:eastAsia="仿宋" w:cs="仿宋"/>
          <w:b w:val="0"/>
          <w:bCs w:val="0"/>
          <w:sz w:val="32"/>
          <w:szCs w:val="32"/>
          <w:lang w:val="en-US" w:eastAsia="zh-CN"/>
        </w:rPr>
        <w:t>政策宣讲、案例解析、操作演示、</w:t>
      </w:r>
      <w:r>
        <w:rPr>
          <w:rFonts w:hint="eastAsia" w:ascii="仿宋" w:hAnsi="仿宋" w:eastAsia="仿宋" w:cs="仿宋"/>
          <w:b w:val="0"/>
          <w:bCs w:val="0"/>
          <w:sz w:val="32"/>
          <w:szCs w:val="32"/>
        </w:rPr>
        <w:t>交流研讨和</w:t>
      </w:r>
      <w:r>
        <w:rPr>
          <w:rFonts w:hint="eastAsia" w:ascii="仿宋" w:hAnsi="仿宋" w:eastAsia="仿宋" w:cs="仿宋"/>
          <w:b w:val="0"/>
          <w:bCs w:val="0"/>
          <w:sz w:val="32"/>
          <w:szCs w:val="32"/>
          <w:lang w:eastAsia="zh-CN"/>
        </w:rPr>
        <w:t>办理指导。</w:t>
      </w:r>
      <w:r>
        <w:rPr>
          <w:rFonts w:hint="eastAsia" w:ascii="仿宋" w:hAnsi="仿宋" w:eastAsia="仿宋" w:cs="仿宋"/>
          <w:b w:val="0"/>
          <w:bCs w:val="0"/>
          <w:sz w:val="32"/>
          <w:szCs w:val="32"/>
        </w:rPr>
        <w:t>以一事一议的方式高效解决问题，达到解决一例，指导一片的良好效果。</w:t>
      </w:r>
      <w:r>
        <w:rPr>
          <w:rFonts w:hint="eastAsia" w:ascii="仿宋" w:hAnsi="仿宋" w:eastAsia="仿宋" w:cs="仿宋"/>
          <w:b w:val="0"/>
          <w:bCs w:val="0"/>
          <w:sz w:val="32"/>
          <w:szCs w:val="32"/>
          <w:lang w:val="en-US" w:eastAsia="zh-CN"/>
        </w:rPr>
        <w:t>轮训系列活动将</w:t>
      </w:r>
      <w:r>
        <w:rPr>
          <w:rFonts w:hint="eastAsia" w:ascii="仿宋" w:hAnsi="仿宋" w:eastAsia="仿宋" w:cs="仿宋"/>
          <w:b w:val="0"/>
          <w:bCs w:val="0"/>
          <w:sz w:val="32"/>
          <w:szCs w:val="32"/>
        </w:rPr>
        <w:t>以每月一次一主题的</w:t>
      </w:r>
      <w:r>
        <w:rPr>
          <w:rFonts w:hint="eastAsia" w:ascii="仿宋" w:hAnsi="仿宋" w:eastAsia="仿宋" w:cs="仿宋"/>
          <w:b w:val="0"/>
          <w:bCs w:val="0"/>
          <w:sz w:val="32"/>
          <w:szCs w:val="32"/>
          <w:lang w:eastAsia="zh-CN"/>
        </w:rPr>
        <w:t>形</w:t>
      </w:r>
      <w:r>
        <w:rPr>
          <w:rFonts w:hint="eastAsia" w:ascii="仿宋" w:hAnsi="仿宋" w:eastAsia="仿宋" w:cs="仿宋"/>
          <w:b w:val="0"/>
          <w:bCs w:val="0"/>
          <w:sz w:val="32"/>
          <w:szCs w:val="32"/>
        </w:rPr>
        <w:t>式开展，</w:t>
      </w:r>
      <w:r>
        <w:rPr>
          <w:rFonts w:hint="eastAsia" w:ascii="仿宋" w:hAnsi="仿宋" w:eastAsia="仿宋" w:cs="仿宋"/>
          <w:b w:val="0"/>
          <w:bCs w:val="0"/>
          <w:sz w:val="32"/>
          <w:szCs w:val="32"/>
          <w:lang w:eastAsia="zh-CN"/>
        </w:rPr>
        <w:t>贯穿全年</w:t>
      </w:r>
      <w:r>
        <w:rPr>
          <w:rFonts w:hint="eastAsia" w:ascii="仿宋" w:hAnsi="仿宋" w:eastAsia="仿宋" w:cs="仿宋"/>
          <w:b w:val="0"/>
          <w:bCs w:val="0"/>
          <w:sz w:val="32"/>
          <w:szCs w:val="32"/>
        </w:rPr>
        <w:t>，</w:t>
      </w:r>
      <w:r>
        <w:rPr>
          <w:rFonts w:hint="eastAsia" w:ascii="仿宋" w:hAnsi="仿宋" w:eastAsia="仿宋" w:cs="仿宋"/>
          <w:b w:val="0"/>
          <w:bCs w:val="0"/>
          <w:sz w:val="32"/>
          <w:szCs w:val="32"/>
          <w:lang w:eastAsia="zh-CN"/>
        </w:rPr>
        <w:t>从而</w:t>
      </w:r>
      <w:r>
        <w:rPr>
          <w:rFonts w:hint="eastAsia" w:ascii="仿宋" w:hAnsi="仿宋" w:eastAsia="仿宋" w:cs="仿宋"/>
          <w:b w:val="0"/>
          <w:bCs w:val="0"/>
          <w:sz w:val="32"/>
          <w:szCs w:val="32"/>
        </w:rPr>
        <w:t>有效推进“群英断是非”工作法在医保领域的运用，</w:t>
      </w:r>
      <w:r>
        <w:rPr>
          <w:rFonts w:hint="eastAsia" w:ascii="仿宋" w:hAnsi="仿宋" w:eastAsia="仿宋" w:cs="仿宋"/>
          <w:b w:val="0"/>
          <w:bCs w:val="0"/>
          <w:sz w:val="32"/>
          <w:szCs w:val="32"/>
          <w:lang w:eastAsia="zh-CN"/>
        </w:rPr>
        <w:t>以培训会的方式荟萃医保工作群英，</w:t>
      </w:r>
      <w:r>
        <w:rPr>
          <w:rFonts w:hint="eastAsia" w:ascii="仿宋" w:hAnsi="仿宋" w:eastAsia="仿宋" w:cs="仿宋"/>
          <w:b w:val="0"/>
          <w:bCs w:val="0"/>
          <w:sz w:val="32"/>
          <w:szCs w:val="32"/>
        </w:rPr>
        <w:t>精心培育区、乡街、社区“医保群英荟”三级经办服务队伍，进一步提高基层医保经办能力，让</w:t>
      </w:r>
      <w:r>
        <w:rPr>
          <w:rFonts w:hint="eastAsia" w:ascii="仿宋" w:hAnsi="仿宋" w:eastAsia="仿宋" w:cs="仿宋"/>
          <w:b w:val="0"/>
          <w:bCs w:val="0"/>
          <w:sz w:val="32"/>
          <w:szCs w:val="32"/>
          <w:lang w:eastAsia="zh-CN"/>
        </w:rPr>
        <w:t>医保群英</w:t>
      </w:r>
      <w:r>
        <w:rPr>
          <w:rFonts w:hint="eastAsia" w:ascii="仿宋" w:hAnsi="仿宋" w:eastAsia="仿宋" w:cs="仿宋"/>
          <w:b w:val="0"/>
          <w:bCs w:val="0"/>
          <w:sz w:val="32"/>
          <w:szCs w:val="32"/>
        </w:rPr>
        <w:t>对医保政策和业务“会宣传”“会解答”“会办理”“会服务”，有力解决我区居民群众在医保领域“急难愁盼”的问题。</w:t>
      </w:r>
    </w:p>
    <w:p w14:paraId="32E1FEA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105" w:leftChars="-50" w:right="-105" w:rightChars="-50" w:firstLine="643" w:firstLineChars="200"/>
        <w:jc w:val="both"/>
        <w:textAlignment w:val="auto"/>
        <w:outlineLvl w:val="9"/>
        <w:rPr>
          <w:rFonts w:hint="eastAsia" w:ascii="仿宋" w:hAnsi="仿宋" w:eastAsia="仿宋" w:cs="仿宋"/>
          <w:b w:val="0"/>
          <w:bCs w:val="0"/>
          <w:color w:val="000000"/>
          <w:sz w:val="24"/>
          <w:szCs w:val="24"/>
          <w:lang w:val="en-US" w:eastAsia="zh-CN"/>
        </w:rPr>
      </w:pPr>
      <w:r>
        <w:rPr>
          <w:rFonts w:hint="eastAsia" w:ascii="楷体" w:hAnsi="楷体" w:eastAsia="楷体" w:cs="楷体"/>
          <w:b/>
          <w:bCs/>
          <w:color w:val="000000"/>
          <w:sz w:val="32"/>
          <w:szCs w:val="32"/>
          <w:lang w:val="en-US" w:eastAsia="zh-CN"/>
        </w:rPr>
        <w:t>3、政策宣传多维覆盖。</w:t>
      </w:r>
      <w:r>
        <w:rPr>
          <w:rFonts w:hint="eastAsia" w:ascii="仿宋" w:hAnsi="仿宋" w:eastAsia="仿宋" w:cs="仿宋"/>
          <w:b w:val="0"/>
          <w:bCs w:val="0"/>
          <w:color w:val="000000"/>
          <w:sz w:val="32"/>
          <w:szCs w:val="32"/>
          <w:lang w:val="en-US" w:eastAsia="zh-CN"/>
        </w:rPr>
        <w:t>区医保局一直致力于探索以群众喜闻乐见的方式开展医保惠民政策宣传，近几年所拍摄的“滕子京穿越历史”系列在群众中反响良好。2024年，在国家医保局组织的第2期“医保好声音”宣传大赛中，岳阳楼区参赛作品“医保带来的安全感，可比霸道总裁给的强多了”获评全国县区级一等奖，并被国家医保局作为全国首个展播作品在公众号发布，省局官微同步转载。</w:t>
      </w:r>
    </w:p>
    <w:p w14:paraId="0F80630D">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黑体" w:hAnsi="黑体" w:eastAsia="黑体" w:cs="黑体"/>
          <w:color w:val="000000"/>
          <w:spacing w:val="0"/>
          <w:position w:val="0"/>
          <w:sz w:val="32"/>
          <w:szCs w:val="32"/>
          <w:lang w:val="en-US" w:eastAsia="zh-CN"/>
        </w:rPr>
      </w:pPr>
      <w:r>
        <w:rPr>
          <w:rFonts w:hint="eastAsia" w:ascii="黑体" w:hAnsi="黑体" w:eastAsia="黑体" w:cs="黑体"/>
          <w:color w:val="000000"/>
          <w:spacing w:val="0"/>
          <w:position w:val="0"/>
          <w:sz w:val="32"/>
          <w:szCs w:val="32"/>
          <w:lang w:val="en-US" w:eastAsia="zh-CN"/>
        </w:rPr>
        <w:t>七、存在的问题及原因分析</w:t>
      </w:r>
    </w:p>
    <w:p w14:paraId="0FE7130D">
      <w:pPr>
        <w:keepNext w:val="0"/>
        <w:keepLines w:val="0"/>
        <w:pageBreakBefore w:val="0"/>
        <w:widowControl w:val="0"/>
        <w:numPr>
          <w:ilvl w:val="0"/>
          <w:numId w:val="0"/>
        </w:numPr>
        <w:tabs>
          <w:tab w:val="left" w:pos="1947"/>
        </w:tabs>
        <w:kinsoku/>
        <w:wordWrap/>
        <w:overflowPunct/>
        <w:topLinePunct w:val="0"/>
        <w:autoSpaceDE/>
        <w:autoSpaceDN/>
        <w:bidi w:val="0"/>
        <w:adjustRightInd/>
        <w:snapToGrid/>
        <w:spacing w:line="560" w:lineRule="exact"/>
        <w:ind w:right="0" w:rightChars="0" w:firstLine="643" w:firstLineChars="200"/>
        <w:jc w:val="left"/>
        <w:textAlignment w:val="auto"/>
        <w:rPr>
          <w:rFonts w:hint="eastAsia" w:ascii="仿宋" w:hAnsi="仿宋" w:eastAsia="仿宋" w:cs="仿宋"/>
          <w:b w:val="0"/>
          <w:bCs w:val="0"/>
          <w:color w:val="auto"/>
          <w:sz w:val="32"/>
          <w:szCs w:val="32"/>
          <w:lang w:val="en-US" w:eastAsia="zh-CN"/>
        </w:rPr>
      </w:pPr>
      <w:r>
        <w:rPr>
          <w:rFonts w:hint="eastAsia" w:ascii="楷体" w:hAnsi="楷体" w:eastAsia="楷体" w:cs="楷体"/>
          <w:b/>
          <w:bCs/>
          <w:i w:val="0"/>
          <w:caps w:val="0"/>
          <w:color w:val="auto"/>
          <w:spacing w:val="0"/>
          <w:sz w:val="32"/>
          <w:szCs w:val="32"/>
          <w:shd w:val="clear" w:color="auto" w:fill="auto"/>
          <w:lang w:val="en-US" w:eastAsia="zh-CN"/>
        </w:rPr>
        <w:t>（一）人员编制配置严重不足。</w:t>
      </w:r>
      <w:r>
        <w:rPr>
          <w:rFonts w:hint="eastAsia" w:ascii="仿宋" w:hAnsi="仿宋" w:eastAsia="仿宋" w:cs="仿宋"/>
          <w:b w:val="0"/>
          <w:bCs w:val="0"/>
          <w:color w:val="auto"/>
          <w:sz w:val="32"/>
          <w:szCs w:val="32"/>
          <w:lang w:val="en-US" w:eastAsia="zh-CN"/>
        </w:rPr>
        <w:t>全局在编人员55人，劳务派遣人员15人。我局自2019年设立以来，先后有7人调出，4人退休，1人改非，1人死亡。由于编制严重不足，干部职级晋升和人员招录、调入严重受限。</w:t>
      </w:r>
    </w:p>
    <w:p w14:paraId="226A05EC">
      <w:pPr>
        <w:keepNext w:val="0"/>
        <w:keepLines w:val="0"/>
        <w:pageBreakBefore w:val="0"/>
        <w:widowControl w:val="0"/>
        <w:numPr>
          <w:ilvl w:val="0"/>
          <w:numId w:val="0"/>
        </w:numPr>
        <w:tabs>
          <w:tab w:val="left" w:pos="1947"/>
        </w:tabs>
        <w:kinsoku/>
        <w:wordWrap/>
        <w:overflowPunct/>
        <w:topLinePunct w:val="0"/>
        <w:autoSpaceDE/>
        <w:autoSpaceDN/>
        <w:bidi w:val="0"/>
        <w:adjustRightInd/>
        <w:snapToGrid/>
        <w:spacing w:line="560" w:lineRule="exact"/>
        <w:ind w:right="0" w:rightChars="0" w:firstLine="643" w:firstLineChars="200"/>
        <w:jc w:val="left"/>
        <w:textAlignment w:val="auto"/>
        <w:rPr>
          <w:rFonts w:hint="eastAsia" w:ascii="仿宋" w:hAnsi="仿宋" w:eastAsia="仿宋" w:cs="仿宋"/>
          <w:b w:val="0"/>
          <w:bCs w:val="0"/>
          <w:color w:val="auto"/>
          <w:sz w:val="32"/>
          <w:szCs w:val="32"/>
          <w:lang w:val="en-US" w:eastAsia="zh-CN"/>
        </w:rPr>
      </w:pPr>
      <w:r>
        <w:rPr>
          <w:rFonts w:hint="eastAsia" w:ascii="楷体" w:hAnsi="楷体" w:eastAsia="楷体" w:cs="楷体"/>
          <w:b/>
          <w:bCs/>
          <w:i w:val="0"/>
          <w:caps w:val="0"/>
          <w:color w:val="auto"/>
          <w:spacing w:val="0"/>
          <w:sz w:val="32"/>
          <w:szCs w:val="32"/>
          <w:shd w:val="clear" w:color="auto" w:fill="auto"/>
          <w:lang w:val="en-US" w:eastAsia="zh-CN"/>
        </w:rPr>
        <w:t>（二）干部队伍年龄结构老化。</w:t>
      </w:r>
      <w:r>
        <w:rPr>
          <w:rFonts w:hint="eastAsia" w:ascii="仿宋" w:hAnsi="仿宋" w:eastAsia="仿宋" w:cs="仿宋"/>
          <w:b w:val="0"/>
          <w:bCs w:val="0"/>
          <w:color w:val="auto"/>
          <w:sz w:val="32"/>
          <w:szCs w:val="32"/>
          <w:lang w:val="en-US" w:eastAsia="zh-CN"/>
        </w:rPr>
        <w:t>55名在编人员，30岁以下仅1人，46岁以上有20人，年龄结构老化，干事活力严重不够。接下来5年内，将有10名干部陆续退休，后备干部人才储备不足，干部队伍结构出现周期性老化循环、“青黄不接”断档现象，容易导致干部工作总是处于被动应付状态，难以跟上医疗保障事业发展步伐。</w:t>
      </w:r>
    </w:p>
    <w:p w14:paraId="1AD2E8FB">
      <w:pPr>
        <w:keepNext w:val="0"/>
        <w:keepLines w:val="0"/>
        <w:pageBreakBefore w:val="0"/>
        <w:widowControl w:val="0"/>
        <w:numPr>
          <w:ilvl w:val="0"/>
          <w:numId w:val="0"/>
        </w:numPr>
        <w:tabs>
          <w:tab w:val="left" w:pos="1947"/>
        </w:tabs>
        <w:kinsoku/>
        <w:wordWrap/>
        <w:overflowPunct/>
        <w:topLinePunct w:val="0"/>
        <w:autoSpaceDE/>
        <w:autoSpaceDN/>
        <w:bidi w:val="0"/>
        <w:adjustRightInd/>
        <w:snapToGrid/>
        <w:spacing w:line="560" w:lineRule="exact"/>
        <w:ind w:right="0" w:rightChars="0" w:firstLine="643" w:firstLineChars="200"/>
        <w:jc w:val="left"/>
        <w:textAlignment w:val="auto"/>
        <w:rPr>
          <w:rFonts w:hint="eastAsia" w:ascii="仿宋" w:hAnsi="仿宋" w:eastAsia="仿宋" w:cs="仿宋"/>
          <w:b w:val="0"/>
          <w:bCs w:val="0"/>
          <w:color w:val="auto"/>
          <w:sz w:val="32"/>
          <w:szCs w:val="32"/>
          <w:lang w:val="en-US" w:eastAsia="zh-CN"/>
        </w:rPr>
      </w:pPr>
      <w:r>
        <w:rPr>
          <w:rFonts w:hint="eastAsia" w:ascii="楷体" w:hAnsi="楷体" w:eastAsia="楷体" w:cs="楷体"/>
          <w:b/>
          <w:bCs/>
          <w:i w:val="0"/>
          <w:caps w:val="0"/>
          <w:color w:val="auto"/>
          <w:spacing w:val="0"/>
          <w:sz w:val="32"/>
          <w:szCs w:val="32"/>
          <w:shd w:val="clear" w:color="auto" w:fill="auto"/>
          <w:lang w:val="en-US" w:eastAsia="zh-CN"/>
        </w:rPr>
        <w:t>（三）医学专业人才缺乏。</w:t>
      </w:r>
      <w:r>
        <w:rPr>
          <w:rFonts w:hint="eastAsia" w:ascii="仿宋" w:hAnsi="仿宋" w:eastAsia="仿宋" w:cs="仿宋"/>
          <w:b w:val="0"/>
          <w:bCs w:val="0"/>
          <w:color w:val="auto"/>
          <w:sz w:val="32"/>
          <w:szCs w:val="32"/>
          <w:lang w:val="en-US" w:eastAsia="zh-CN"/>
        </w:rPr>
        <w:t>开展医保工作所需要的专业技术人才中，通过系统学习、正规院校毕业的人才缺乏，高学历人才缺乏，本科生</w:t>
      </w:r>
      <w:r>
        <w:rPr>
          <w:rFonts w:hint="eastAsia" w:ascii="仿宋" w:hAnsi="仿宋" w:eastAsia="仿宋" w:cs="仿宋"/>
          <w:b w:val="0"/>
          <w:bCs w:val="0"/>
          <w:color w:val="auto"/>
          <w:sz w:val="32"/>
          <w:szCs w:val="32"/>
          <w:lang w:val="en-US" w:eastAsia="zh-Hans"/>
        </w:rPr>
        <w:t>占比不高</w:t>
      </w:r>
      <w:r>
        <w:rPr>
          <w:rFonts w:hint="eastAsia" w:ascii="仿宋" w:hAnsi="仿宋" w:eastAsia="仿宋" w:cs="仿宋"/>
          <w:b w:val="0"/>
          <w:bCs w:val="0"/>
          <w:color w:val="auto"/>
          <w:sz w:val="32"/>
          <w:szCs w:val="32"/>
          <w:lang w:val="en-US" w:eastAsia="zh-CN"/>
        </w:rPr>
        <w:t>，中坚技术骨干缺乏，</w:t>
      </w:r>
      <w:r>
        <w:rPr>
          <w:rFonts w:hint="eastAsia" w:ascii="仿宋" w:hAnsi="仿宋" w:eastAsia="仿宋" w:cs="仿宋"/>
          <w:b w:val="0"/>
          <w:bCs w:val="0"/>
          <w:color w:val="auto"/>
          <w:sz w:val="32"/>
          <w:szCs w:val="32"/>
          <w:lang w:val="en-US" w:eastAsia="zh-Hans"/>
        </w:rPr>
        <w:t>部分大龄干部</w:t>
      </w:r>
      <w:r>
        <w:rPr>
          <w:rFonts w:hint="eastAsia" w:ascii="仿宋" w:hAnsi="仿宋" w:eastAsia="仿宋" w:cs="仿宋"/>
          <w:b w:val="0"/>
          <w:bCs w:val="0"/>
          <w:color w:val="auto"/>
          <w:sz w:val="32"/>
          <w:szCs w:val="32"/>
          <w:lang w:val="en-US" w:eastAsia="zh-CN"/>
        </w:rPr>
        <w:t>知识结构老化，又因身体、年龄因素学习能力下降。</w:t>
      </w:r>
    </w:p>
    <w:p w14:paraId="0127E388">
      <w:pPr>
        <w:keepNext w:val="0"/>
        <w:keepLines w:val="0"/>
        <w:pageBreakBefore w:val="0"/>
        <w:widowControl w:val="0"/>
        <w:numPr>
          <w:ilvl w:val="0"/>
          <w:numId w:val="1"/>
        </w:numPr>
        <w:kinsoku/>
        <w:wordWrap/>
        <w:overflowPunct/>
        <w:topLinePunct w:val="0"/>
        <w:autoSpaceDE/>
        <w:autoSpaceDN/>
        <w:bidi w:val="0"/>
        <w:adjustRightInd/>
        <w:snapToGrid/>
        <w:ind w:left="0" w:firstLine="640" w:firstLineChars="200"/>
        <w:jc w:val="left"/>
        <w:textAlignment w:val="auto"/>
        <w:rPr>
          <w:rFonts w:hint="eastAsia" w:ascii="黑体" w:hAnsi="黑体" w:eastAsia="黑体" w:cs="黑体"/>
          <w:color w:val="000000"/>
          <w:spacing w:val="0"/>
          <w:position w:val="0"/>
          <w:sz w:val="32"/>
          <w:szCs w:val="32"/>
          <w:lang w:val="en-US" w:eastAsia="zh-CN"/>
        </w:rPr>
      </w:pPr>
      <w:r>
        <w:rPr>
          <w:rFonts w:hint="eastAsia" w:ascii="黑体" w:hAnsi="黑体" w:eastAsia="黑体" w:cs="黑体"/>
          <w:color w:val="000000"/>
          <w:spacing w:val="0"/>
          <w:position w:val="0"/>
          <w:sz w:val="32"/>
          <w:szCs w:val="32"/>
          <w:lang w:val="en-US" w:eastAsia="zh-CN"/>
        </w:rPr>
        <w:t>下一步改进措施</w:t>
      </w:r>
    </w:p>
    <w:p w14:paraId="60D9625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105" w:leftChars="-50" w:right="-105" w:rightChars="-50" w:firstLine="643" w:firstLineChars="200"/>
        <w:textAlignment w:val="auto"/>
        <w:outlineLvl w:val="9"/>
        <w:rPr>
          <w:rFonts w:hint="eastAsia" w:ascii="仿宋" w:hAnsi="仿宋" w:eastAsia="仿宋" w:cs="仿宋"/>
          <w:color w:val="auto"/>
          <w:sz w:val="32"/>
          <w:szCs w:val="32"/>
          <w:lang w:val="en-US" w:eastAsia="zh-CN"/>
        </w:rPr>
      </w:pPr>
      <w:r>
        <w:rPr>
          <w:rFonts w:hint="eastAsia" w:ascii="楷体" w:hAnsi="楷体" w:eastAsia="楷体" w:cs="楷体"/>
          <w:b/>
          <w:bCs/>
          <w:color w:val="auto"/>
          <w:sz w:val="32"/>
          <w:szCs w:val="32"/>
          <w:lang w:val="en-US" w:eastAsia="zh-CN"/>
        </w:rPr>
        <w:t>（一）持续推进“群英断是非”工作法在医保领域落地落实。</w:t>
      </w:r>
      <w:r>
        <w:rPr>
          <w:rFonts w:hint="eastAsia" w:ascii="仿宋_GB2312" w:hAnsi="仿宋_GB2312" w:eastAsia="仿宋_GB2312" w:cs="仿宋_GB2312"/>
          <w:color w:val="auto"/>
          <w:sz w:val="32"/>
          <w:szCs w:val="32"/>
          <w:lang w:val="en-US" w:eastAsia="zh-CN"/>
        </w:rPr>
        <w:t>依托区数据局“云视讯”平台，常态化开展“医保群英荟--线上面对面”轮训交流活动，联手市局壮大全市“医保群英荟”服务团队，联合开展医保政务直播活动。并将同步开展“医保群英荟--线下面对面”现场答疑服务活动，积极培养</w:t>
      </w:r>
      <w:r>
        <w:rPr>
          <w:rFonts w:hint="eastAsia" w:ascii="仿宋" w:hAnsi="仿宋" w:eastAsia="仿宋" w:cs="仿宋"/>
          <w:color w:val="auto"/>
          <w:sz w:val="32"/>
          <w:szCs w:val="32"/>
          <w:lang w:val="en-US" w:eastAsia="zh-CN"/>
        </w:rPr>
        <w:t>各级医保专干强化业务学习、提升服务能力、优化服务方式，培育及时响应群众需求、解决群众难题的“医保群英”。</w:t>
      </w:r>
    </w:p>
    <w:p w14:paraId="20720027">
      <w:pPr>
        <w:keepNext w:val="0"/>
        <w:keepLines w:val="0"/>
        <w:pageBreakBefore w:val="0"/>
        <w:widowControl w:val="0"/>
        <w:kinsoku/>
        <w:wordWrap/>
        <w:overflowPunct/>
        <w:topLinePunct w:val="0"/>
        <w:autoSpaceDE/>
        <w:autoSpaceDN/>
        <w:bidi w:val="0"/>
        <w:adjustRightInd/>
        <w:snapToGrid/>
        <w:spacing w:line="560" w:lineRule="exact"/>
        <w:ind w:left="-105" w:leftChars="-50" w:right="-105" w:rightChars="-50" w:firstLine="643" w:firstLineChars="200"/>
        <w:textAlignment w:val="auto"/>
        <w:outlineLvl w:val="9"/>
        <w:rPr>
          <w:rFonts w:hint="eastAsia" w:ascii="仿宋" w:hAnsi="仿宋" w:eastAsia="仿宋" w:cs="仿宋"/>
          <w:color w:val="auto"/>
          <w:sz w:val="32"/>
          <w:szCs w:val="32"/>
          <w:lang w:val="en-US" w:eastAsia="zh-CN"/>
        </w:rPr>
      </w:pPr>
      <w:r>
        <w:rPr>
          <w:rFonts w:hint="eastAsia" w:ascii="楷体" w:hAnsi="楷体" w:eastAsia="楷体" w:cs="楷体"/>
          <w:b/>
          <w:bCs/>
          <w:sz w:val="32"/>
          <w:szCs w:val="32"/>
          <w:lang w:val="en-US" w:eastAsia="zh-CN"/>
        </w:rPr>
        <w:t>（二）持续做好高效办成一件事工作，进一步升级服务质量。</w:t>
      </w:r>
      <w:r>
        <w:rPr>
          <w:rFonts w:hint="eastAsia" w:ascii="仿宋_GB2312" w:hAnsi="仿宋_GB2312" w:eastAsia="仿宋_GB2312" w:cs="仿宋_GB2312"/>
          <w:sz w:val="32"/>
          <w:szCs w:val="32"/>
          <w:lang w:val="en-US" w:eastAsia="zh-CN"/>
        </w:rPr>
        <w:t>继续优化、推广、拓宽现有“就医一件事”、“出生一件事”等高效办成一件事的基础上，做好“就医报销一件事”配套服务，进一步健全服务体系，拓展服务内容，优化办事体验，不断提升群众医保获得感。</w:t>
      </w:r>
    </w:p>
    <w:p w14:paraId="2FCB289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105" w:leftChars="-50" w:right="-105" w:rightChars="-50" w:firstLine="643" w:firstLineChars="200"/>
        <w:jc w:val="both"/>
        <w:textAlignment w:val="auto"/>
        <w:outlineLvl w:val="9"/>
        <w:rPr>
          <w:rFonts w:hint="eastAsia" w:ascii="仿宋" w:hAnsi="仿宋" w:eastAsia="仿宋" w:cs="仿宋"/>
          <w:color w:val="000000"/>
          <w:sz w:val="32"/>
          <w:szCs w:val="32"/>
          <w:lang w:val="en-US" w:eastAsia="zh-CN"/>
        </w:rPr>
      </w:pPr>
      <w:r>
        <w:rPr>
          <w:rFonts w:hint="eastAsia" w:ascii="楷体" w:hAnsi="楷体" w:eastAsia="楷体" w:cs="楷体"/>
          <w:b/>
          <w:bCs/>
          <w:kern w:val="2"/>
          <w:sz w:val="32"/>
          <w:szCs w:val="32"/>
          <w:lang w:val="en-US" w:eastAsia="zh-CN" w:bidi="ar-SA"/>
        </w:rPr>
        <w:t>（三）持续加大医保基金监管力度。</w:t>
      </w:r>
      <w:r>
        <w:rPr>
          <w:rFonts w:hint="eastAsia" w:ascii="仿宋_GB2312" w:hAnsi="Times New Roman" w:eastAsia="仿宋_GB2312" w:cs="Times New Roman"/>
          <w:color w:val="000000"/>
          <w:sz w:val="32"/>
          <w:szCs w:val="32"/>
          <w:u w:val="none" w:color="auto"/>
        </w:rPr>
        <w:t>加强</w:t>
      </w:r>
      <w:r>
        <w:rPr>
          <w:rFonts w:hint="eastAsia" w:ascii="仿宋_GB2312" w:hAnsi="Times New Roman" w:eastAsia="仿宋_GB2312" w:cs="Times New Roman"/>
          <w:color w:val="000000"/>
          <w:sz w:val="32"/>
          <w:szCs w:val="32"/>
          <w:u w:val="none" w:color="auto"/>
          <w:lang w:val="en-US" w:eastAsia="zh-CN"/>
        </w:rPr>
        <w:t>监管</w:t>
      </w:r>
      <w:r>
        <w:rPr>
          <w:rFonts w:hint="eastAsia" w:ascii="仿宋_GB2312" w:hAnsi="Times New Roman" w:eastAsia="仿宋_GB2312" w:cs="Times New Roman"/>
          <w:color w:val="000000"/>
          <w:sz w:val="32"/>
          <w:szCs w:val="32"/>
          <w:u w:val="none" w:color="auto"/>
        </w:rPr>
        <w:t>队伍建设，</w:t>
      </w:r>
      <w:r>
        <w:rPr>
          <w:rFonts w:hint="eastAsia" w:ascii="仿宋" w:hAnsi="仿宋" w:eastAsia="仿宋" w:cs="仿宋"/>
          <w:b w:val="0"/>
          <w:bCs w:val="0"/>
          <w:kern w:val="2"/>
          <w:sz w:val="32"/>
          <w:szCs w:val="32"/>
          <w:lang w:val="en-US" w:eastAsia="zh-CN" w:bidi="ar-SA"/>
        </w:rPr>
        <w:t>聚焦重点领域、重点对象，核查问题线索及疑点数据，全面开展自查自纠及专项检查，引导行业自律，规范诊疗服务。加强部门协同，开展联合整治检查，建立政策共享、线索共享、结果共享的协同信息共享机制，共同维护医保基金安全。持续推进医保基金监管信息化建设，特别是加大智能监管平台建设、</w:t>
      </w:r>
      <w:r>
        <w:rPr>
          <w:rFonts w:hint="eastAsia" w:ascii="仿宋" w:hAnsi="仿宋" w:eastAsia="仿宋" w:cs="仿宋"/>
          <w:strike w:val="0"/>
          <w:dstrike w:val="0"/>
          <w:color w:val="auto"/>
          <w:sz w:val="32"/>
          <w:szCs w:val="32"/>
          <w:lang w:val="en-US" w:eastAsia="zh-CN"/>
        </w:rPr>
        <w:t>风险监测、三级经办服务网络提质改造、智慧医保建设等方面工作力度。</w:t>
      </w:r>
    </w:p>
    <w:p w14:paraId="01DD490F">
      <w:pPr>
        <w:keepNext w:val="0"/>
        <w:keepLines w:val="0"/>
        <w:pageBreakBefore w:val="0"/>
        <w:widowControl w:val="0"/>
        <w:numPr>
          <w:ilvl w:val="0"/>
          <w:numId w:val="1"/>
        </w:numPr>
        <w:kinsoku/>
        <w:wordWrap/>
        <w:overflowPunct/>
        <w:topLinePunct w:val="0"/>
        <w:autoSpaceDE/>
        <w:autoSpaceDN/>
        <w:bidi w:val="0"/>
        <w:adjustRightInd/>
        <w:snapToGrid/>
        <w:ind w:left="0" w:leftChars="0" w:firstLine="640" w:firstLineChars="200"/>
        <w:jc w:val="left"/>
        <w:textAlignment w:val="auto"/>
        <w:rPr>
          <w:rFonts w:hint="eastAsia" w:ascii="黑体" w:hAnsi="黑体" w:eastAsia="黑体" w:cs="黑体"/>
          <w:color w:val="000000"/>
          <w:spacing w:val="0"/>
          <w:position w:val="0"/>
          <w:sz w:val="32"/>
          <w:szCs w:val="32"/>
          <w:lang w:val="en-US" w:eastAsia="zh-CN"/>
        </w:rPr>
      </w:pPr>
      <w:r>
        <w:rPr>
          <w:rFonts w:hint="eastAsia" w:ascii="黑体" w:hAnsi="黑体" w:eastAsia="黑体" w:cs="黑体"/>
          <w:color w:val="000000"/>
          <w:spacing w:val="0"/>
          <w:position w:val="0"/>
          <w:sz w:val="32"/>
          <w:szCs w:val="32"/>
          <w:lang w:val="en-US" w:eastAsia="zh-CN"/>
        </w:rPr>
        <w:t>其他需要说明的情况</w:t>
      </w:r>
    </w:p>
    <w:p w14:paraId="6891142B">
      <w:pPr>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无</w:t>
      </w:r>
    </w:p>
    <w:p w14:paraId="0BAAE164">
      <w:pPr>
        <w:keepNext w:val="0"/>
        <w:keepLines w:val="0"/>
        <w:pageBreakBefore w:val="0"/>
        <w:widowControl w:val="0"/>
        <w:kinsoku/>
        <w:wordWrap/>
        <w:overflowPunct/>
        <w:topLinePunct w:val="0"/>
        <w:autoSpaceDE/>
        <w:autoSpaceDN/>
        <w:bidi w:val="0"/>
        <w:adjustRightInd/>
        <w:snapToGrid/>
        <w:spacing w:before="0" w:beforeAutospacing="0" w:after="1" w:afterAutospacing="0" w:line="0" w:lineRule="atLeast"/>
        <w:textAlignment w:val="auto"/>
        <w:rPr>
          <w:rFonts w:hint="eastAsia" w:ascii="方正仿宋_GB2312" w:hAnsi="方正仿宋_GB2312" w:eastAsia="方正仿宋_GB2312" w:cs="方正仿宋_GB2312"/>
          <w:snapToGrid w:val="0"/>
          <w:color w:val="000000"/>
          <w:spacing w:val="20"/>
          <w:kern w:val="0"/>
          <w:sz w:val="32"/>
          <w:szCs w:val="32"/>
          <w:lang w:eastAsia="zh-CN"/>
        </w:rPr>
      </w:pPr>
    </w:p>
    <w:sectPr>
      <w:footerReference r:id="rId4" w:type="default"/>
      <w:pgSz w:w="11906" w:h="16838"/>
      <w:pgMar w:top="1701" w:right="1701" w:bottom="1701" w:left="170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80FAB9D-51A3-4FCB-9EE1-194F49BCEA1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2" w:fontKey="{0C9716B4-E7DC-40D6-A044-BB6CECEE2D4B}"/>
  </w:font>
  <w:font w:name="方正小标宋简体">
    <w:panose1 w:val="02010600010101010101"/>
    <w:charset w:val="86"/>
    <w:family w:val="auto"/>
    <w:pitch w:val="default"/>
    <w:sig w:usb0="00000001" w:usb1="080E0000" w:usb2="00000000" w:usb3="00000000" w:csb0="00040000" w:csb1="00000000"/>
    <w:embedRegular r:id="rId3" w:fontKey="{7380E5A3-0F1E-42C5-B5E1-BD213EA7D997}"/>
  </w:font>
  <w:font w:name="新宋体">
    <w:panose1 w:val="02010609030101010101"/>
    <w:charset w:val="86"/>
    <w:family w:val="auto"/>
    <w:pitch w:val="default"/>
    <w:sig w:usb0="00000203" w:usb1="288F0000" w:usb2="00000006" w:usb3="00000000" w:csb0="00040001" w:csb1="00000000"/>
    <w:embedRegular r:id="rId4" w:fontKey="{D1AC9F4B-D314-41EF-A590-E54B50AEE5F7}"/>
  </w:font>
  <w:font w:name="仿宋_GB2312">
    <w:altName w:val="仿宋"/>
    <w:panose1 w:val="02010609030101010101"/>
    <w:charset w:val="86"/>
    <w:family w:val="auto"/>
    <w:pitch w:val="default"/>
    <w:sig w:usb0="00000000" w:usb1="00000000" w:usb2="00000000" w:usb3="00000000" w:csb0="00040000" w:csb1="00000000"/>
    <w:embedRegular r:id="rId5" w:fontKey="{057FFC5E-AB02-4FC3-BDFE-1FEC4F3A1400}"/>
  </w:font>
  <w:font w:name="楷体_GB2312">
    <w:altName w:val="楷体"/>
    <w:panose1 w:val="02010609030101010101"/>
    <w:charset w:val="86"/>
    <w:family w:val="auto"/>
    <w:pitch w:val="default"/>
    <w:sig w:usb0="00000000" w:usb1="00000000" w:usb2="00000000" w:usb3="00000000" w:csb0="00040000" w:csb1="00000000"/>
    <w:embedRegular r:id="rId6" w:fontKey="{CFDBE421-C181-44E9-A0FE-C6975695B290}"/>
  </w:font>
  <w:font w:name="楷体">
    <w:panose1 w:val="02010609060101010101"/>
    <w:charset w:val="86"/>
    <w:family w:val="auto"/>
    <w:pitch w:val="default"/>
    <w:sig w:usb0="800002BF" w:usb1="38CF7CFA" w:usb2="00000016" w:usb3="00000000" w:csb0="00040001" w:csb1="00000000"/>
    <w:embedRegular r:id="rId7" w:fontKey="{913193DE-72DF-48CB-9900-6BAD8AE60149}"/>
  </w:font>
  <w:font w:name="方正仿宋_GB2312">
    <w:panose1 w:val="02000000000000000000"/>
    <w:charset w:val="86"/>
    <w:family w:val="auto"/>
    <w:pitch w:val="default"/>
    <w:sig w:usb0="A00002BF" w:usb1="184F6CFA" w:usb2="00000012" w:usb3="00000000" w:csb0="00040001" w:csb1="00000000"/>
    <w:embedRegular r:id="rId8" w:fontKey="{350D1281-DBE2-4922-BC34-0557EC8BA879}"/>
  </w:font>
  <w:font w:name="WPSEMBED1">
    <w:panose1 w:val="02010600010101010101"/>
    <w:charset w:val="86"/>
    <w:family w:val="auto"/>
    <w:pitch w:val="default"/>
    <w:sig w:usb0="00000001" w:usb1="080E0000" w:usb2="00000000" w:usb3="00000000" w:csb0="00040000" w:csb1="00000000"/>
  </w:font>
  <w:font w:name="KSOFF9CBECC6">
    <w:panose1 w:val="02010609060101010101"/>
    <w:charset w:val="86"/>
    <w:family w:val="auto"/>
    <w:pitch w:val="default"/>
    <w:sig w:usb0="00000001" w:usb1="00000000" w:usb2="00000000" w:usb3="00000000" w:csb0="00040001" w:csb1="00000000"/>
  </w:font>
  <w:font w:name="KSOFF9CC612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7CF81F">
    <w:pPr>
      <w:pStyle w:val="2"/>
      <w:spacing w:before="1" w:line="174" w:lineRule="auto"/>
      <w:ind w:left="574"/>
      <w:rPr>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08E4D37">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jHpww4AgAAb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mMenDDgCAABvBAAADgAAAAAAAAABACAAAAAfAQAAZHJzL2Uyb0RvYy54&#10;bWxQSwUGAAAAAAYABgBZAQAAyQUAAAAA&#10;">
              <v:fill on="f" focussize="0,0"/>
              <v:stroke on="f" weight="0.5pt"/>
              <v:imagedata o:title=""/>
              <o:lock v:ext="edit" aspectratio="f"/>
              <v:textbox inset="0mm,0mm,0mm,0mm" style="mso-fit-shape-to-text:t;">
                <w:txbxContent>
                  <w:p w14:paraId="708E4D37">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690EC9">
    <w:pPr>
      <w:pStyle w:val="2"/>
      <w:spacing w:before="1" w:line="174" w:lineRule="auto"/>
      <w:jc w:val="right"/>
      <w:rPr>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5ED3CF">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525ED3CF">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B0A977"/>
    <w:multiLevelType w:val="singleLevel"/>
    <w:tmpl w:val="B0B0A977"/>
    <w:lvl w:ilvl="0" w:tentative="0">
      <w:start w:val="8"/>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MwMmJlYzJhMzIwMmQ1NjY3N2FiZmZhNTZiNzgxM2YifQ=="/>
  </w:docVars>
  <w:rsids>
    <w:rsidRoot w:val="76284CE1"/>
    <w:rsid w:val="000A3765"/>
    <w:rsid w:val="001D7282"/>
    <w:rsid w:val="0039081D"/>
    <w:rsid w:val="0049022E"/>
    <w:rsid w:val="005E6ECB"/>
    <w:rsid w:val="00665E2F"/>
    <w:rsid w:val="006B5224"/>
    <w:rsid w:val="00744EA1"/>
    <w:rsid w:val="009419CA"/>
    <w:rsid w:val="00955854"/>
    <w:rsid w:val="009C7330"/>
    <w:rsid w:val="00A00FBB"/>
    <w:rsid w:val="00A04D3F"/>
    <w:rsid w:val="00BF0721"/>
    <w:rsid w:val="00C03795"/>
    <w:rsid w:val="00CE3756"/>
    <w:rsid w:val="00D27A74"/>
    <w:rsid w:val="00D61779"/>
    <w:rsid w:val="00E831C8"/>
    <w:rsid w:val="00EF287A"/>
    <w:rsid w:val="010408F9"/>
    <w:rsid w:val="01057CDE"/>
    <w:rsid w:val="010B4A82"/>
    <w:rsid w:val="01192786"/>
    <w:rsid w:val="01201E6A"/>
    <w:rsid w:val="01273801"/>
    <w:rsid w:val="012D57C0"/>
    <w:rsid w:val="012E7568"/>
    <w:rsid w:val="013D4B60"/>
    <w:rsid w:val="01457029"/>
    <w:rsid w:val="014900E3"/>
    <w:rsid w:val="014F5749"/>
    <w:rsid w:val="01521E95"/>
    <w:rsid w:val="015A2163"/>
    <w:rsid w:val="016F21B8"/>
    <w:rsid w:val="01727F7E"/>
    <w:rsid w:val="0174459A"/>
    <w:rsid w:val="01764DBE"/>
    <w:rsid w:val="017F63CD"/>
    <w:rsid w:val="01806F8C"/>
    <w:rsid w:val="0182483A"/>
    <w:rsid w:val="01863406"/>
    <w:rsid w:val="018D011E"/>
    <w:rsid w:val="019614B0"/>
    <w:rsid w:val="019C71AC"/>
    <w:rsid w:val="01AD7721"/>
    <w:rsid w:val="01BF00AB"/>
    <w:rsid w:val="01BF03AA"/>
    <w:rsid w:val="01C01DA9"/>
    <w:rsid w:val="01C0309B"/>
    <w:rsid w:val="01C33E74"/>
    <w:rsid w:val="01D455F9"/>
    <w:rsid w:val="01DF3C26"/>
    <w:rsid w:val="01E10DA6"/>
    <w:rsid w:val="01E21810"/>
    <w:rsid w:val="01EE0A2C"/>
    <w:rsid w:val="01F40CD9"/>
    <w:rsid w:val="0200044D"/>
    <w:rsid w:val="020354FE"/>
    <w:rsid w:val="020654E4"/>
    <w:rsid w:val="020C72F8"/>
    <w:rsid w:val="02121B7C"/>
    <w:rsid w:val="021813DE"/>
    <w:rsid w:val="021B6B30"/>
    <w:rsid w:val="02363BD8"/>
    <w:rsid w:val="023809F7"/>
    <w:rsid w:val="02431066"/>
    <w:rsid w:val="02595CF1"/>
    <w:rsid w:val="025C47D6"/>
    <w:rsid w:val="0263675C"/>
    <w:rsid w:val="02656E75"/>
    <w:rsid w:val="0266462D"/>
    <w:rsid w:val="027431E5"/>
    <w:rsid w:val="027B3E53"/>
    <w:rsid w:val="0293597A"/>
    <w:rsid w:val="029733CF"/>
    <w:rsid w:val="029C7AF4"/>
    <w:rsid w:val="02AC5088"/>
    <w:rsid w:val="02B544DB"/>
    <w:rsid w:val="02C1651C"/>
    <w:rsid w:val="02CB5D99"/>
    <w:rsid w:val="02D74331"/>
    <w:rsid w:val="02F61D91"/>
    <w:rsid w:val="02FC4679"/>
    <w:rsid w:val="02FE5E0A"/>
    <w:rsid w:val="0306777B"/>
    <w:rsid w:val="03232977"/>
    <w:rsid w:val="03311EC2"/>
    <w:rsid w:val="033450C0"/>
    <w:rsid w:val="033464D9"/>
    <w:rsid w:val="034346D0"/>
    <w:rsid w:val="0343627E"/>
    <w:rsid w:val="0347190C"/>
    <w:rsid w:val="034760CE"/>
    <w:rsid w:val="03487959"/>
    <w:rsid w:val="034E42E9"/>
    <w:rsid w:val="03505BE1"/>
    <w:rsid w:val="0360169B"/>
    <w:rsid w:val="036132DD"/>
    <w:rsid w:val="036D41A2"/>
    <w:rsid w:val="037B1E0D"/>
    <w:rsid w:val="037E0A06"/>
    <w:rsid w:val="037F229C"/>
    <w:rsid w:val="03911277"/>
    <w:rsid w:val="039A540B"/>
    <w:rsid w:val="03A6732C"/>
    <w:rsid w:val="03BD010E"/>
    <w:rsid w:val="03BD6500"/>
    <w:rsid w:val="03E2685C"/>
    <w:rsid w:val="03E4032C"/>
    <w:rsid w:val="03E66326"/>
    <w:rsid w:val="03E704ED"/>
    <w:rsid w:val="03F30B89"/>
    <w:rsid w:val="03FF6E0F"/>
    <w:rsid w:val="0404259A"/>
    <w:rsid w:val="04051601"/>
    <w:rsid w:val="04053773"/>
    <w:rsid w:val="04094307"/>
    <w:rsid w:val="04150B3B"/>
    <w:rsid w:val="042645BA"/>
    <w:rsid w:val="04327F62"/>
    <w:rsid w:val="04344800"/>
    <w:rsid w:val="04360B4B"/>
    <w:rsid w:val="043A4600"/>
    <w:rsid w:val="043B5C60"/>
    <w:rsid w:val="045F666C"/>
    <w:rsid w:val="0460075C"/>
    <w:rsid w:val="04613BEE"/>
    <w:rsid w:val="04675C34"/>
    <w:rsid w:val="046C0B29"/>
    <w:rsid w:val="047B7C52"/>
    <w:rsid w:val="04816E5C"/>
    <w:rsid w:val="048924DD"/>
    <w:rsid w:val="04914D95"/>
    <w:rsid w:val="0495144B"/>
    <w:rsid w:val="04AC07A1"/>
    <w:rsid w:val="04BE5465"/>
    <w:rsid w:val="04C63115"/>
    <w:rsid w:val="04C804CE"/>
    <w:rsid w:val="04CF5236"/>
    <w:rsid w:val="04CF5AF0"/>
    <w:rsid w:val="04D24FF1"/>
    <w:rsid w:val="04DD0C76"/>
    <w:rsid w:val="04DE1BAB"/>
    <w:rsid w:val="04E21643"/>
    <w:rsid w:val="04E411E4"/>
    <w:rsid w:val="04F37BBA"/>
    <w:rsid w:val="05085366"/>
    <w:rsid w:val="05145F64"/>
    <w:rsid w:val="051F6284"/>
    <w:rsid w:val="052878D5"/>
    <w:rsid w:val="052E0171"/>
    <w:rsid w:val="053B4CA5"/>
    <w:rsid w:val="054037EF"/>
    <w:rsid w:val="054E7FFF"/>
    <w:rsid w:val="055F3A4C"/>
    <w:rsid w:val="05621117"/>
    <w:rsid w:val="056D275D"/>
    <w:rsid w:val="057B382F"/>
    <w:rsid w:val="058C5045"/>
    <w:rsid w:val="059C7C89"/>
    <w:rsid w:val="05A50C70"/>
    <w:rsid w:val="05B525CA"/>
    <w:rsid w:val="05BD57AA"/>
    <w:rsid w:val="05C4448F"/>
    <w:rsid w:val="05C861BC"/>
    <w:rsid w:val="05DB04A3"/>
    <w:rsid w:val="05E616EC"/>
    <w:rsid w:val="05EC1380"/>
    <w:rsid w:val="061439B5"/>
    <w:rsid w:val="06146BAF"/>
    <w:rsid w:val="06286BB6"/>
    <w:rsid w:val="06405E9C"/>
    <w:rsid w:val="064D5380"/>
    <w:rsid w:val="064E0F6B"/>
    <w:rsid w:val="06517717"/>
    <w:rsid w:val="065E4BB4"/>
    <w:rsid w:val="065F1D56"/>
    <w:rsid w:val="06617309"/>
    <w:rsid w:val="06650E6A"/>
    <w:rsid w:val="066A7BFC"/>
    <w:rsid w:val="06755979"/>
    <w:rsid w:val="067740D2"/>
    <w:rsid w:val="06854A05"/>
    <w:rsid w:val="068878CA"/>
    <w:rsid w:val="068B5259"/>
    <w:rsid w:val="06986D10"/>
    <w:rsid w:val="069D7E4F"/>
    <w:rsid w:val="06A14716"/>
    <w:rsid w:val="06A91E40"/>
    <w:rsid w:val="06B917BB"/>
    <w:rsid w:val="06C90184"/>
    <w:rsid w:val="06C9437B"/>
    <w:rsid w:val="06E54070"/>
    <w:rsid w:val="06ED564C"/>
    <w:rsid w:val="06F22A7B"/>
    <w:rsid w:val="06F6561A"/>
    <w:rsid w:val="06FB3015"/>
    <w:rsid w:val="07023424"/>
    <w:rsid w:val="07043735"/>
    <w:rsid w:val="07047818"/>
    <w:rsid w:val="0725074E"/>
    <w:rsid w:val="073045A9"/>
    <w:rsid w:val="07313C60"/>
    <w:rsid w:val="07331F0A"/>
    <w:rsid w:val="073336CE"/>
    <w:rsid w:val="073404AB"/>
    <w:rsid w:val="073556E3"/>
    <w:rsid w:val="07560FC4"/>
    <w:rsid w:val="076912F0"/>
    <w:rsid w:val="076971BD"/>
    <w:rsid w:val="076D43AE"/>
    <w:rsid w:val="077323CA"/>
    <w:rsid w:val="0775145F"/>
    <w:rsid w:val="077C65FF"/>
    <w:rsid w:val="0780202B"/>
    <w:rsid w:val="078C68F4"/>
    <w:rsid w:val="07967DE0"/>
    <w:rsid w:val="07970994"/>
    <w:rsid w:val="07A56559"/>
    <w:rsid w:val="07B913B4"/>
    <w:rsid w:val="07BA1C6A"/>
    <w:rsid w:val="07BD44A3"/>
    <w:rsid w:val="07CE6155"/>
    <w:rsid w:val="07CF5D4A"/>
    <w:rsid w:val="07D80559"/>
    <w:rsid w:val="07DD0289"/>
    <w:rsid w:val="07E11DA2"/>
    <w:rsid w:val="07E40515"/>
    <w:rsid w:val="07EE6091"/>
    <w:rsid w:val="08017E70"/>
    <w:rsid w:val="08031468"/>
    <w:rsid w:val="0805190B"/>
    <w:rsid w:val="081C150E"/>
    <w:rsid w:val="082A5F7E"/>
    <w:rsid w:val="08391F38"/>
    <w:rsid w:val="083A18D9"/>
    <w:rsid w:val="083F4318"/>
    <w:rsid w:val="08455D8D"/>
    <w:rsid w:val="084735B5"/>
    <w:rsid w:val="0848472A"/>
    <w:rsid w:val="084D20E7"/>
    <w:rsid w:val="08502EAB"/>
    <w:rsid w:val="085D6BB3"/>
    <w:rsid w:val="08640DB3"/>
    <w:rsid w:val="08674899"/>
    <w:rsid w:val="08754155"/>
    <w:rsid w:val="08761316"/>
    <w:rsid w:val="087B77E7"/>
    <w:rsid w:val="087D3D34"/>
    <w:rsid w:val="0889236C"/>
    <w:rsid w:val="088E051E"/>
    <w:rsid w:val="08935A7B"/>
    <w:rsid w:val="089E48C0"/>
    <w:rsid w:val="08B2314B"/>
    <w:rsid w:val="08B86E95"/>
    <w:rsid w:val="08C11C0B"/>
    <w:rsid w:val="08D059DD"/>
    <w:rsid w:val="08DC08E7"/>
    <w:rsid w:val="09267767"/>
    <w:rsid w:val="092D1C9E"/>
    <w:rsid w:val="09377E5E"/>
    <w:rsid w:val="09383E9F"/>
    <w:rsid w:val="0939426E"/>
    <w:rsid w:val="093F4975"/>
    <w:rsid w:val="09504F8C"/>
    <w:rsid w:val="095D034D"/>
    <w:rsid w:val="09616470"/>
    <w:rsid w:val="096C76C1"/>
    <w:rsid w:val="096F66FB"/>
    <w:rsid w:val="09835AC1"/>
    <w:rsid w:val="09906B28"/>
    <w:rsid w:val="09912E95"/>
    <w:rsid w:val="099C1A23"/>
    <w:rsid w:val="09A948AF"/>
    <w:rsid w:val="09AC2A76"/>
    <w:rsid w:val="09B04837"/>
    <w:rsid w:val="09C00408"/>
    <w:rsid w:val="09C95891"/>
    <w:rsid w:val="09CC42F5"/>
    <w:rsid w:val="09CF2A1E"/>
    <w:rsid w:val="09D8005F"/>
    <w:rsid w:val="09DC0AEC"/>
    <w:rsid w:val="09EB635B"/>
    <w:rsid w:val="09F2166E"/>
    <w:rsid w:val="09FD61A8"/>
    <w:rsid w:val="0A002E0D"/>
    <w:rsid w:val="0A0D0FD1"/>
    <w:rsid w:val="0A140987"/>
    <w:rsid w:val="0A241A5C"/>
    <w:rsid w:val="0A2E3566"/>
    <w:rsid w:val="0A320A98"/>
    <w:rsid w:val="0A3229D0"/>
    <w:rsid w:val="0A393280"/>
    <w:rsid w:val="0A47534A"/>
    <w:rsid w:val="0A5F2DF9"/>
    <w:rsid w:val="0A5F2F6C"/>
    <w:rsid w:val="0A651782"/>
    <w:rsid w:val="0A670B4E"/>
    <w:rsid w:val="0A6A6AB3"/>
    <w:rsid w:val="0A7012BD"/>
    <w:rsid w:val="0A851E03"/>
    <w:rsid w:val="0A90261C"/>
    <w:rsid w:val="0A920429"/>
    <w:rsid w:val="0A985A6F"/>
    <w:rsid w:val="0A9A250C"/>
    <w:rsid w:val="0A9E1A51"/>
    <w:rsid w:val="0AA808AF"/>
    <w:rsid w:val="0AAA0E94"/>
    <w:rsid w:val="0ABD142C"/>
    <w:rsid w:val="0AC644AE"/>
    <w:rsid w:val="0ACB61B4"/>
    <w:rsid w:val="0ACD4157"/>
    <w:rsid w:val="0AE22D30"/>
    <w:rsid w:val="0AE964B0"/>
    <w:rsid w:val="0B163034"/>
    <w:rsid w:val="0B1D5B5D"/>
    <w:rsid w:val="0B1F5B6D"/>
    <w:rsid w:val="0B2F4AF7"/>
    <w:rsid w:val="0B3312B6"/>
    <w:rsid w:val="0B4064B3"/>
    <w:rsid w:val="0B42766B"/>
    <w:rsid w:val="0B6E529C"/>
    <w:rsid w:val="0B701D27"/>
    <w:rsid w:val="0B7245CE"/>
    <w:rsid w:val="0B943886"/>
    <w:rsid w:val="0B9C3CD1"/>
    <w:rsid w:val="0BAA6B12"/>
    <w:rsid w:val="0BAD3E30"/>
    <w:rsid w:val="0BB324D8"/>
    <w:rsid w:val="0BB672C7"/>
    <w:rsid w:val="0BC07BBF"/>
    <w:rsid w:val="0BC429EF"/>
    <w:rsid w:val="0BCE65D1"/>
    <w:rsid w:val="0BD25918"/>
    <w:rsid w:val="0BD60937"/>
    <w:rsid w:val="0BD912A4"/>
    <w:rsid w:val="0BDB65EC"/>
    <w:rsid w:val="0BE135FA"/>
    <w:rsid w:val="0BE800E8"/>
    <w:rsid w:val="0BEE4F6B"/>
    <w:rsid w:val="0C03261E"/>
    <w:rsid w:val="0C0439FA"/>
    <w:rsid w:val="0C0B17DF"/>
    <w:rsid w:val="0C0F382B"/>
    <w:rsid w:val="0C1110C3"/>
    <w:rsid w:val="0C160980"/>
    <w:rsid w:val="0C1B4EF7"/>
    <w:rsid w:val="0C1C297E"/>
    <w:rsid w:val="0C1D4988"/>
    <w:rsid w:val="0C25768D"/>
    <w:rsid w:val="0C297E69"/>
    <w:rsid w:val="0C3840B9"/>
    <w:rsid w:val="0C55038F"/>
    <w:rsid w:val="0C6B7DF9"/>
    <w:rsid w:val="0C6E2A56"/>
    <w:rsid w:val="0C7A708D"/>
    <w:rsid w:val="0C8E7AF0"/>
    <w:rsid w:val="0C9D6ABD"/>
    <w:rsid w:val="0CA954B5"/>
    <w:rsid w:val="0CC37237"/>
    <w:rsid w:val="0CCA7495"/>
    <w:rsid w:val="0CD16BA2"/>
    <w:rsid w:val="0CDE4E30"/>
    <w:rsid w:val="0CEC1B65"/>
    <w:rsid w:val="0CEE7B51"/>
    <w:rsid w:val="0CF0652B"/>
    <w:rsid w:val="0D012A51"/>
    <w:rsid w:val="0D0736AA"/>
    <w:rsid w:val="0D094F84"/>
    <w:rsid w:val="0D0A7E4B"/>
    <w:rsid w:val="0D117883"/>
    <w:rsid w:val="0D280615"/>
    <w:rsid w:val="0D2879E0"/>
    <w:rsid w:val="0D2C07EB"/>
    <w:rsid w:val="0D2F57DE"/>
    <w:rsid w:val="0D353632"/>
    <w:rsid w:val="0D392C4E"/>
    <w:rsid w:val="0D3F766A"/>
    <w:rsid w:val="0D422DA4"/>
    <w:rsid w:val="0D482FA9"/>
    <w:rsid w:val="0D485348"/>
    <w:rsid w:val="0D4A4299"/>
    <w:rsid w:val="0D4A5004"/>
    <w:rsid w:val="0D4E2C38"/>
    <w:rsid w:val="0D5C636E"/>
    <w:rsid w:val="0D5F1E28"/>
    <w:rsid w:val="0D60389B"/>
    <w:rsid w:val="0D660AC7"/>
    <w:rsid w:val="0D671080"/>
    <w:rsid w:val="0D6F7952"/>
    <w:rsid w:val="0D783B34"/>
    <w:rsid w:val="0D81754C"/>
    <w:rsid w:val="0D8B354C"/>
    <w:rsid w:val="0DBE13B1"/>
    <w:rsid w:val="0DBE6AB7"/>
    <w:rsid w:val="0DBF116A"/>
    <w:rsid w:val="0DC00E38"/>
    <w:rsid w:val="0DC73CBD"/>
    <w:rsid w:val="0DC8400B"/>
    <w:rsid w:val="0DD34552"/>
    <w:rsid w:val="0DDB14CA"/>
    <w:rsid w:val="0DE03EAA"/>
    <w:rsid w:val="0DE12394"/>
    <w:rsid w:val="0DE14775"/>
    <w:rsid w:val="0DE818F6"/>
    <w:rsid w:val="0DF15D7D"/>
    <w:rsid w:val="0DF36262"/>
    <w:rsid w:val="0E11550B"/>
    <w:rsid w:val="0E1E619E"/>
    <w:rsid w:val="0E2325E3"/>
    <w:rsid w:val="0E267F81"/>
    <w:rsid w:val="0E364ED8"/>
    <w:rsid w:val="0E365DE9"/>
    <w:rsid w:val="0E4822EE"/>
    <w:rsid w:val="0E4E185D"/>
    <w:rsid w:val="0E522FBE"/>
    <w:rsid w:val="0E5D141B"/>
    <w:rsid w:val="0E8648D6"/>
    <w:rsid w:val="0E8C08DC"/>
    <w:rsid w:val="0E8E43C0"/>
    <w:rsid w:val="0E914AF4"/>
    <w:rsid w:val="0E964CBE"/>
    <w:rsid w:val="0E9A391F"/>
    <w:rsid w:val="0E9F1954"/>
    <w:rsid w:val="0EA84420"/>
    <w:rsid w:val="0EB05323"/>
    <w:rsid w:val="0EB73157"/>
    <w:rsid w:val="0EBE40CB"/>
    <w:rsid w:val="0EC36A56"/>
    <w:rsid w:val="0EC62499"/>
    <w:rsid w:val="0ECE4E6F"/>
    <w:rsid w:val="0ED86777"/>
    <w:rsid w:val="0EDA5C56"/>
    <w:rsid w:val="0EE57112"/>
    <w:rsid w:val="0EFE4287"/>
    <w:rsid w:val="0F0A7BB7"/>
    <w:rsid w:val="0F0D525E"/>
    <w:rsid w:val="0F2A2A37"/>
    <w:rsid w:val="0F2E6C95"/>
    <w:rsid w:val="0F4675CA"/>
    <w:rsid w:val="0F471A79"/>
    <w:rsid w:val="0F500384"/>
    <w:rsid w:val="0F517477"/>
    <w:rsid w:val="0F5B4015"/>
    <w:rsid w:val="0F6071C8"/>
    <w:rsid w:val="0F69565A"/>
    <w:rsid w:val="0F7B0394"/>
    <w:rsid w:val="0FA00CB6"/>
    <w:rsid w:val="0FA434D3"/>
    <w:rsid w:val="0FB16CA3"/>
    <w:rsid w:val="0FB471F7"/>
    <w:rsid w:val="0FC95C51"/>
    <w:rsid w:val="0FC965F5"/>
    <w:rsid w:val="0FCD6B4B"/>
    <w:rsid w:val="0FCF7138"/>
    <w:rsid w:val="0FD35AB6"/>
    <w:rsid w:val="0FE017B9"/>
    <w:rsid w:val="0FE04B17"/>
    <w:rsid w:val="0FEC2891"/>
    <w:rsid w:val="0FF71EB7"/>
    <w:rsid w:val="0FFB7051"/>
    <w:rsid w:val="0FFE76A9"/>
    <w:rsid w:val="10117AD0"/>
    <w:rsid w:val="101A4154"/>
    <w:rsid w:val="101B1E3F"/>
    <w:rsid w:val="101F7761"/>
    <w:rsid w:val="10213FA0"/>
    <w:rsid w:val="10225AB2"/>
    <w:rsid w:val="102D74F0"/>
    <w:rsid w:val="102E6601"/>
    <w:rsid w:val="103D5CB0"/>
    <w:rsid w:val="1043497A"/>
    <w:rsid w:val="104B6B58"/>
    <w:rsid w:val="10733B4F"/>
    <w:rsid w:val="107C029A"/>
    <w:rsid w:val="108449FF"/>
    <w:rsid w:val="108A0CDB"/>
    <w:rsid w:val="108B34B0"/>
    <w:rsid w:val="108F1E83"/>
    <w:rsid w:val="109E2943"/>
    <w:rsid w:val="10C8346E"/>
    <w:rsid w:val="10EF4366"/>
    <w:rsid w:val="10FB7C4C"/>
    <w:rsid w:val="10FE6AB1"/>
    <w:rsid w:val="1112624E"/>
    <w:rsid w:val="11153798"/>
    <w:rsid w:val="11170F69"/>
    <w:rsid w:val="11195AAD"/>
    <w:rsid w:val="11297158"/>
    <w:rsid w:val="112C3426"/>
    <w:rsid w:val="11422B48"/>
    <w:rsid w:val="114B2C9B"/>
    <w:rsid w:val="114D3E70"/>
    <w:rsid w:val="11535CDA"/>
    <w:rsid w:val="115D78BB"/>
    <w:rsid w:val="116001E2"/>
    <w:rsid w:val="11793618"/>
    <w:rsid w:val="11813452"/>
    <w:rsid w:val="118D5183"/>
    <w:rsid w:val="11911A30"/>
    <w:rsid w:val="11913DD4"/>
    <w:rsid w:val="11961E43"/>
    <w:rsid w:val="11987ED2"/>
    <w:rsid w:val="119969A0"/>
    <w:rsid w:val="11A05C8F"/>
    <w:rsid w:val="11A5446B"/>
    <w:rsid w:val="11A91B68"/>
    <w:rsid w:val="11B76464"/>
    <w:rsid w:val="11BC2DF3"/>
    <w:rsid w:val="11C43676"/>
    <w:rsid w:val="11EA3CA0"/>
    <w:rsid w:val="11F10C7F"/>
    <w:rsid w:val="11F403BB"/>
    <w:rsid w:val="11FA6A1C"/>
    <w:rsid w:val="12062D4C"/>
    <w:rsid w:val="120B6973"/>
    <w:rsid w:val="12116853"/>
    <w:rsid w:val="12155876"/>
    <w:rsid w:val="12183A1B"/>
    <w:rsid w:val="121A16F7"/>
    <w:rsid w:val="122A11A6"/>
    <w:rsid w:val="123D1BD2"/>
    <w:rsid w:val="123D55BF"/>
    <w:rsid w:val="123E3733"/>
    <w:rsid w:val="123E6D4D"/>
    <w:rsid w:val="12403BC7"/>
    <w:rsid w:val="12435B35"/>
    <w:rsid w:val="12453349"/>
    <w:rsid w:val="125613C2"/>
    <w:rsid w:val="125D4EF7"/>
    <w:rsid w:val="12637C4E"/>
    <w:rsid w:val="126D5B06"/>
    <w:rsid w:val="127030C8"/>
    <w:rsid w:val="127A7569"/>
    <w:rsid w:val="1284452B"/>
    <w:rsid w:val="128E58D8"/>
    <w:rsid w:val="129728AA"/>
    <w:rsid w:val="12AD6FA8"/>
    <w:rsid w:val="12B310FA"/>
    <w:rsid w:val="12B7582D"/>
    <w:rsid w:val="12C621E8"/>
    <w:rsid w:val="12CF0716"/>
    <w:rsid w:val="12D95227"/>
    <w:rsid w:val="12E33197"/>
    <w:rsid w:val="12EE0E7E"/>
    <w:rsid w:val="12EE1C9C"/>
    <w:rsid w:val="12F37AE6"/>
    <w:rsid w:val="12F863E6"/>
    <w:rsid w:val="13094CA6"/>
    <w:rsid w:val="13140815"/>
    <w:rsid w:val="13185FEC"/>
    <w:rsid w:val="132156D8"/>
    <w:rsid w:val="132911E2"/>
    <w:rsid w:val="132C647D"/>
    <w:rsid w:val="133868AE"/>
    <w:rsid w:val="135120D8"/>
    <w:rsid w:val="135133AE"/>
    <w:rsid w:val="136B7A0D"/>
    <w:rsid w:val="136C145A"/>
    <w:rsid w:val="13776D50"/>
    <w:rsid w:val="137B3EE1"/>
    <w:rsid w:val="139404F9"/>
    <w:rsid w:val="13A55CD5"/>
    <w:rsid w:val="13B654E3"/>
    <w:rsid w:val="13B819E6"/>
    <w:rsid w:val="13BC4189"/>
    <w:rsid w:val="13C169EC"/>
    <w:rsid w:val="13CA717D"/>
    <w:rsid w:val="13CE022A"/>
    <w:rsid w:val="13DF25B8"/>
    <w:rsid w:val="13E2403C"/>
    <w:rsid w:val="13FF3EF7"/>
    <w:rsid w:val="14047D3B"/>
    <w:rsid w:val="140C7BCE"/>
    <w:rsid w:val="141A00EA"/>
    <w:rsid w:val="14394A85"/>
    <w:rsid w:val="143A1FCF"/>
    <w:rsid w:val="1441725F"/>
    <w:rsid w:val="14430D66"/>
    <w:rsid w:val="14470936"/>
    <w:rsid w:val="14477E65"/>
    <w:rsid w:val="14710CBF"/>
    <w:rsid w:val="14791934"/>
    <w:rsid w:val="147D213D"/>
    <w:rsid w:val="14A04833"/>
    <w:rsid w:val="14B12779"/>
    <w:rsid w:val="14B37576"/>
    <w:rsid w:val="14BD7ADB"/>
    <w:rsid w:val="14C5688E"/>
    <w:rsid w:val="14DB1415"/>
    <w:rsid w:val="14E83CF0"/>
    <w:rsid w:val="14F4219E"/>
    <w:rsid w:val="150135C1"/>
    <w:rsid w:val="15190FE8"/>
    <w:rsid w:val="151C632A"/>
    <w:rsid w:val="151D053F"/>
    <w:rsid w:val="152E4EB1"/>
    <w:rsid w:val="153A7503"/>
    <w:rsid w:val="153E3566"/>
    <w:rsid w:val="154034C3"/>
    <w:rsid w:val="15560B2D"/>
    <w:rsid w:val="15691ED9"/>
    <w:rsid w:val="156B6CDB"/>
    <w:rsid w:val="157165EA"/>
    <w:rsid w:val="15726626"/>
    <w:rsid w:val="15781F39"/>
    <w:rsid w:val="15820278"/>
    <w:rsid w:val="1585593D"/>
    <w:rsid w:val="15931764"/>
    <w:rsid w:val="15A42FA4"/>
    <w:rsid w:val="15A6418F"/>
    <w:rsid w:val="15AA091B"/>
    <w:rsid w:val="15BC6BD3"/>
    <w:rsid w:val="15C454F7"/>
    <w:rsid w:val="15CF095E"/>
    <w:rsid w:val="15DA784E"/>
    <w:rsid w:val="15DB017B"/>
    <w:rsid w:val="15E6370B"/>
    <w:rsid w:val="15E84717"/>
    <w:rsid w:val="15EC04AB"/>
    <w:rsid w:val="15EE2D2E"/>
    <w:rsid w:val="160F0091"/>
    <w:rsid w:val="16144614"/>
    <w:rsid w:val="162029BF"/>
    <w:rsid w:val="1623520D"/>
    <w:rsid w:val="163E3AB2"/>
    <w:rsid w:val="165044C3"/>
    <w:rsid w:val="165E3F72"/>
    <w:rsid w:val="166A5620"/>
    <w:rsid w:val="166D0110"/>
    <w:rsid w:val="167050F1"/>
    <w:rsid w:val="16713DA7"/>
    <w:rsid w:val="16797776"/>
    <w:rsid w:val="16813168"/>
    <w:rsid w:val="16872436"/>
    <w:rsid w:val="16952546"/>
    <w:rsid w:val="16AB3FBF"/>
    <w:rsid w:val="16AC1654"/>
    <w:rsid w:val="16B12C6E"/>
    <w:rsid w:val="16BF0789"/>
    <w:rsid w:val="16CC2AB0"/>
    <w:rsid w:val="16CD5BA2"/>
    <w:rsid w:val="16D42F73"/>
    <w:rsid w:val="16DA34D2"/>
    <w:rsid w:val="16DA4E41"/>
    <w:rsid w:val="16DE4297"/>
    <w:rsid w:val="16E53AFA"/>
    <w:rsid w:val="16ED6FC0"/>
    <w:rsid w:val="16F042AC"/>
    <w:rsid w:val="16F626B5"/>
    <w:rsid w:val="16FB005D"/>
    <w:rsid w:val="16FC4F3B"/>
    <w:rsid w:val="171630EB"/>
    <w:rsid w:val="17171C62"/>
    <w:rsid w:val="172B5BB7"/>
    <w:rsid w:val="17435DB3"/>
    <w:rsid w:val="174849B3"/>
    <w:rsid w:val="174F5CC1"/>
    <w:rsid w:val="175075E0"/>
    <w:rsid w:val="175D3461"/>
    <w:rsid w:val="175F4C67"/>
    <w:rsid w:val="175F580B"/>
    <w:rsid w:val="17665207"/>
    <w:rsid w:val="17794395"/>
    <w:rsid w:val="177C00C2"/>
    <w:rsid w:val="178D50A9"/>
    <w:rsid w:val="178F0FE3"/>
    <w:rsid w:val="17AD14F4"/>
    <w:rsid w:val="17B85018"/>
    <w:rsid w:val="17E339CC"/>
    <w:rsid w:val="17F33C57"/>
    <w:rsid w:val="181D4FAC"/>
    <w:rsid w:val="182B38C1"/>
    <w:rsid w:val="18351597"/>
    <w:rsid w:val="18353961"/>
    <w:rsid w:val="18410FBC"/>
    <w:rsid w:val="18474510"/>
    <w:rsid w:val="184B31F7"/>
    <w:rsid w:val="184F1D16"/>
    <w:rsid w:val="1852374B"/>
    <w:rsid w:val="185315CB"/>
    <w:rsid w:val="185629F1"/>
    <w:rsid w:val="18574E71"/>
    <w:rsid w:val="18685D91"/>
    <w:rsid w:val="186C6CBA"/>
    <w:rsid w:val="187D1579"/>
    <w:rsid w:val="188F0DAB"/>
    <w:rsid w:val="18905464"/>
    <w:rsid w:val="18910B5C"/>
    <w:rsid w:val="18987644"/>
    <w:rsid w:val="18A62960"/>
    <w:rsid w:val="18B037F0"/>
    <w:rsid w:val="18BD3DC4"/>
    <w:rsid w:val="18C149F3"/>
    <w:rsid w:val="18C30CAC"/>
    <w:rsid w:val="18D233DB"/>
    <w:rsid w:val="18DB15F9"/>
    <w:rsid w:val="18DC433F"/>
    <w:rsid w:val="18DD0C18"/>
    <w:rsid w:val="18DE4BF6"/>
    <w:rsid w:val="18EC1CA5"/>
    <w:rsid w:val="18F23C9D"/>
    <w:rsid w:val="18F554AB"/>
    <w:rsid w:val="18FE49D5"/>
    <w:rsid w:val="18FF6899"/>
    <w:rsid w:val="190F3527"/>
    <w:rsid w:val="19100497"/>
    <w:rsid w:val="19183CAC"/>
    <w:rsid w:val="19252A63"/>
    <w:rsid w:val="192F135C"/>
    <w:rsid w:val="193964B7"/>
    <w:rsid w:val="1945717D"/>
    <w:rsid w:val="19483398"/>
    <w:rsid w:val="19521C94"/>
    <w:rsid w:val="195657BB"/>
    <w:rsid w:val="196B19EB"/>
    <w:rsid w:val="19717C66"/>
    <w:rsid w:val="1984763E"/>
    <w:rsid w:val="198B615B"/>
    <w:rsid w:val="198E7C2B"/>
    <w:rsid w:val="199945D5"/>
    <w:rsid w:val="199B5065"/>
    <w:rsid w:val="199F0F71"/>
    <w:rsid w:val="19A81829"/>
    <w:rsid w:val="19A90CE8"/>
    <w:rsid w:val="19AA6528"/>
    <w:rsid w:val="19BD63E6"/>
    <w:rsid w:val="19C17BC9"/>
    <w:rsid w:val="19C17E7E"/>
    <w:rsid w:val="19CC1CA7"/>
    <w:rsid w:val="19D37D58"/>
    <w:rsid w:val="19DD0438"/>
    <w:rsid w:val="1A035F2C"/>
    <w:rsid w:val="1A056605"/>
    <w:rsid w:val="1A0A04E6"/>
    <w:rsid w:val="1A1B07E2"/>
    <w:rsid w:val="1A213466"/>
    <w:rsid w:val="1A3F3F76"/>
    <w:rsid w:val="1A4B4BAE"/>
    <w:rsid w:val="1A5F35C0"/>
    <w:rsid w:val="1A734275"/>
    <w:rsid w:val="1A7C4FE0"/>
    <w:rsid w:val="1A8006B2"/>
    <w:rsid w:val="1A8439F7"/>
    <w:rsid w:val="1A8D640E"/>
    <w:rsid w:val="1A974192"/>
    <w:rsid w:val="1AAC2E83"/>
    <w:rsid w:val="1AB73785"/>
    <w:rsid w:val="1ACA62AD"/>
    <w:rsid w:val="1ACF41BD"/>
    <w:rsid w:val="1ADA675E"/>
    <w:rsid w:val="1AE11CDA"/>
    <w:rsid w:val="1AF22AE0"/>
    <w:rsid w:val="1AF761DE"/>
    <w:rsid w:val="1B051CF0"/>
    <w:rsid w:val="1B107EC2"/>
    <w:rsid w:val="1B113A6D"/>
    <w:rsid w:val="1B144B8D"/>
    <w:rsid w:val="1B17013D"/>
    <w:rsid w:val="1B1B14D3"/>
    <w:rsid w:val="1B1F6AF1"/>
    <w:rsid w:val="1B250DAE"/>
    <w:rsid w:val="1B2A34EB"/>
    <w:rsid w:val="1B2B0F4C"/>
    <w:rsid w:val="1B2D1349"/>
    <w:rsid w:val="1B2D2734"/>
    <w:rsid w:val="1B3860E1"/>
    <w:rsid w:val="1B3E57C3"/>
    <w:rsid w:val="1B3F36F6"/>
    <w:rsid w:val="1B422830"/>
    <w:rsid w:val="1B4B369E"/>
    <w:rsid w:val="1B5271D4"/>
    <w:rsid w:val="1B553FF2"/>
    <w:rsid w:val="1B6206C5"/>
    <w:rsid w:val="1B640388"/>
    <w:rsid w:val="1B6D7C0D"/>
    <w:rsid w:val="1B754AD4"/>
    <w:rsid w:val="1B7B2822"/>
    <w:rsid w:val="1B8001A9"/>
    <w:rsid w:val="1B84594F"/>
    <w:rsid w:val="1B884364"/>
    <w:rsid w:val="1B901B23"/>
    <w:rsid w:val="1BA912AB"/>
    <w:rsid w:val="1BBB6A31"/>
    <w:rsid w:val="1BBF449B"/>
    <w:rsid w:val="1BC45375"/>
    <w:rsid w:val="1BC74329"/>
    <w:rsid w:val="1BC90A36"/>
    <w:rsid w:val="1BD0347B"/>
    <w:rsid w:val="1BD07E66"/>
    <w:rsid w:val="1BD40AF3"/>
    <w:rsid w:val="1BD802A4"/>
    <w:rsid w:val="1BDF236A"/>
    <w:rsid w:val="1BE02AE0"/>
    <w:rsid w:val="1BED7DB9"/>
    <w:rsid w:val="1BEF444D"/>
    <w:rsid w:val="1BF279FE"/>
    <w:rsid w:val="1BF80892"/>
    <w:rsid w:val="1C0435DD"/>
    <w:rsid w:val="1C044A22"/>
    <w:rsid w:val="1C0500B1"/>
    <w:rsid w:val="1C165874"/>
    <w:rsid w:val="1C1D4C3D"/>
    <w:rsid w:val="1C212C7F"/>
    <w:rsid w:val="1C3A6458"/>
    <w:rsid w:val="1C416491"/>
    <w:rsid w:val="1C4C28F3"/>
    <w:rsid w:val="1C51648E"/>
    <w:rsid w:val="1C71314E"/>
    <w:rsid w:val="1C737230"/>
    <w:rsid w:val="1C74154B"/>
    <w:rsid w:val="1C7F7983"/>
    <w:rsid w:val="1C82672C"/>
    <w:rsid w:val="1C89138D"/>
    <w:rsid w:val="1C8E76D2"/>
    <w:rsid w:val="1C937172"/>
    <w:rsid w:val="1C975C4B"/>
    <w:rsid w:val="1CA27BB1"/>
    <w:rsid w:val="1CAC542E"/>
    <w:rsid w:val="1CAF7DCF"/>
    <w:rsid w:val="1CB07D7A"/>
    <w:rsid w:val="1CDA4D56"/>
    <w:rsid w:val="1CDD3551"/>
    <w:rsid w:val="1CF810AC"/>
    <w:rsid w:val="1D0B3755"/>
    <w:rsid w:val="1D0F7711"/>
    <w:rsid w:val="1D1034ED"/>
    <w:rsid w:val="1D124C24"/>
    <w:rsid w:val="1D2C6C65"/>
    <w:rsid w:val="1D325684"/>
    <w:rsid w:val="1D3A0AE7"/>
    <w:rsid w:val="1D402518"/>
    <w:rsid w:val="1D4E7169"/>
    <w:rsid w:val="1D554265"/>
    <w:rsid w:val="1D5A53AE"/>
    <w:rsid w:val="1D6722E2"/>
    <w:rsid w:val="1D69344A"/>
    <w:rsid w:val="1D69418F"/>
    <w:rsid w:val="1D6B31E8"/>
    <w:rsid w:val="1D6B7F83"/>
    <w:rsid w:val="1D745F75"/>
    <w:rsid w:val="1D776C3D"/>
    <w:rsid w:val="1D870C08"/>
    <w:rsid w:val="1D8B7F05"/>
    <w:rsid w:val="1D90796E"/>
    <w:rsid w:val="1D95321A"/>
    <w:rsid w:val="1DA80CFE"/>
    <w:rsid w:val="1DB85E5C"/>
    <w:rsid w:val="1DBB71A4"/>
    <w:rsid w:val="1DC46662"/>
    <w:rsid w:val="1DCA5E3A"/>
    <w:rsid w:val="1DCF5405"/>
    <w:rsid w:val="1DD75183"/>
    <w:rsid w:val="1DD97409"/>
    <w:rsid w:val="1DDE2626"/>
    <w:rsid w:val="1DDF66A8"/>
    <w:rsid w:val="1DEC54EC"/>
    <w:rsid w:val="1DF4614E"/>
    <w:rsid w:val="1DFD7C50"/>
    <w:rsid w:val="1E080AB5"/>
    <w:rsid w:val="1E0E0D58"/>
    <w:rsid w:val="1E2A197B"/>
    <w:rsid w:val="1E35255F"/>
    <w:rsid w:val="1E3C5A5F"/>
    <w:rsid w:val="1E475D36"/>
    <w:rsid w:val="1E4E24A0"/>
    <w:rsid w:val="1E4E25AD"/>
    <w:rsid w:val="1E502588"/>
    <w:rsid w:val="1E53413D"/>
    <w:rsid w:val="1E550992"/>
    <w:rsid w:val="1E5A7A32"/>
    <w:rsid w:val="1E607FAB"/>
    <w:rsid w:val="1E671817"/>
    <w:rsid w:val="1E6C3B44"/>
    <w:rsid w:val="1E7A4122"/>
    <w:rsid w:val="1E8879EE"/>
    <w:rsid w:val="1E8B1F3C"/>
    <w:rsid w:val="1E8C3A6D"/>
    <w:rsid w:val="1EB95D76"/>
    <w:rsid w:val="1EC02D79"/>
    <w:rsid w:val="1EC54236"/>
    <w:rsid w:val="1ED464CA"/>
    <w:rsid w:val="1EDA5DF7"/>
    <w:rsid w:val="1EDB3703"/>
    <w:rsid w:val="1EED4A44"/>
    <w:rsid w:val="1EF21DDF"/>
    <w:rsid w:val="1EF57ED7"/>
    <w:rsid w:val="1EFA39EA"/>
    <w:rsid w:val="1F00206F"/>
    <w:rsid w:val="1F0177DA"/>
    <w:rsid w:val="1F031993"/>
    <w:rsid w:val="1F10474A"/>
    <w:rsid w:val="1F18467A"/>
    <w:rsid w:val="1F232A42"/>
    <w:rsid w:val="1F2645A8"/>
    <w:rsid w:val="1F2A3ED5"/>
    <w:rsid w:val="1F3E6318"/>
    <w:rsid w:val="1F4B71B8"/>
    <w:rsid w:val="1F4C39A9"/>
    <w:rsid w:val="1F5665AD"/>
    <w:rsid w:val="1F587E94"/>
    <w:rsid w:val="1F5C044F"/>
    <w:rsid w:val="1F692382"/>
    <w:rsid w:val="1F843502"/>
    <w:rsid w:val="1F8815CD"/>
    <w:rsid w:val="1F8D1995"/>
    <w:rsid w:val="1F935BDD"/>
    <w:rsid w:val="1F963600"/>
    <w:rsid w:val="1F9730E6"/>
    <w:rsid w:val="1FA87477"/>
    <w:rsid w:val="1FBC2C9C"/>
    <w:rsid w:val="1FDE0273"/>
    <w:rsid w:val="1FDE31D9"/>
    <w:rsid w:val="1FE90789"/>
    <w:rsid w:val="1FEF73C9"/>
    <w:rsid w:val="1FF26468"/>
    <w:rsid w:val="2000702C"/>
    <w:rsid w:val="20020491"/>
    <w:rsid w:val="203C7C11"/>
    <w:rsid w:val="20421AEB"/>
    <w:rsid w:val="20471AED"/>
    <w:rsid w:val="20487E48"/>
    <w:rsid w:val="204E17C3"/>
    <w:rsid w:val="20655F7F"/>
    <w:rsid w:val="20666EBF"/>
    <w:rsid w:val="206F239E"/>
    <w:rsid w:val="207D78ED"/>
    <w:rsid w:val="2086258B"/>
    <w:rsid w:val="20A45C99"/>
    <w:rsid w:val="20AD18F5"/>
    <w:rsid w:val="20B76E81"/>
    <w:rsid w:val="20B77D0F"/>
    <w:rsid w:val="20BB288C"/>
    <w:rsid w:val="20C03064"/>
    <w:rsid w:val="20C419AD"/>
    <w:rsid w:val="20D06EB4"/>
    <w:rsid w:val="20D52CFA"/>
    <w:rsid w:val="20E40557"/>
    <w:rsid w:val="20E802FE"/>
    <w:rsid w:val="20EF04D3"/>
    <w:rsid w:val="21013191"/>
    <w:rsid w:val="21056F05"/>
    <w:rsid w:val="21096190"/>
    <w:rsid w:val="210C69CF"/>
    <w:rsid w:val="21107C1A"/>
    <w:rsid w:val="21127D2B"/>
    <w:rsid w:val="21131E57"/>
    <w:rsid w:val="2114000C"/>
    <w:rsid w:val="21191092"/>
    <w:rsid w:val="21237D51"/>
    <w:rsid w:val="213018E1"/>
    <w:rsid w:val="21333486"/>
    <w:rsid w:val="21392BC1"/>
    <w:rsid w:val="21431802"/>
    <w:rsid w:val="21440A2D"/>
    <w:rsid w:val="21463D2C"/>
    <w:rsid w:val="2151198F"/>
    <w:rsid w:val="215D4059"/>
    <w:rsid w:val="216B652A"/>
    <w:rsid w:val="2172070D"/>
    <w:rsid w:val="2176212A"/>
    <w:rsid w:val="217750CC"/>
    <w:rsid w:val="217B2C80"/>
    <w:rsid w:val="217D2EA2"/>
    <w:rsid w:val="21851E83"/>
    <w:rsid w:val="21861507"/>
    <w:rsid w:val="218976A0"/>
    <w:rsid w:val="219020E3"/>
    <w:rsid w:val="21916EE8"/>
    <w:rsid w:val="2193486E"/>
    <w:rsid w:val="219A308D"/>
    <w:rsid w:val="219F5834"/>
    <w:rsid w:val="21A35D48"/>
    <w:rsid w:val="21A61FC4"/>
    <w:rsid w:val="21C12688"/>
    <w:rsid w:val="21C25E7D"/>
    <w:rsid w:val="21CC4855"/>
    <w:rsid w:val="21D00C81"/>
    <w:rsid w:val="21D5565C"/>
    <w:rsid w:val="21E233A3"/>
    <w:rsid w:val="21E23F6C"/>
    <w:rsid w:val="21E345FD"/>
    <w:rsid w:val="21EA057E"/>
    <w:rsid w:val="21F21CEB"/>
    <w:rsid w:val="21FF72DA"/>
    <w:rsid w:val="22171E1E"/>
    <w:rsid w:val="22187DB8"/>
    <w:rsid w:val="22212872"/>
    <w:rsid w:val="222E7877"/>
    <w:rsid w:val="223818AB"/>
    <w:rsid w:val="22383B4D"/>
    <w:rsid w:val="223A777D"/>
    <w:rsid w:val="22466CD3"/>
    <w:rsid w:val="22546D45"/>
    <w:rsid w:val="225D1D49"/>
    <w:rsid w:val="225D33C8"/>
    <w:rsid w:val="226239FE"/>
    <w:rsid w:val="22626562"/>
    <w:rsid w:val="226A76AE"/>
    <w:rsid w:val="226D4FDF"/>
    <w:rsid w:val="22733EB6"/>
    <w:rsid w:val="228E0402"/>
    <w:rsid w:val="22906578"/>
    <w:rsid w:val="22973E77"/>
    <w:rsid w:val="229D6FB8"/>
    <w:rsid w:val="22A94C09"/>
    <w:rsid w:val="22AB58F3"/>
    <w:rsid w:val="22AD616A"/>
    <w:rsid w:val="22BC7FA6"/>
    <w:rsid w:val="22BF1067"/>
    <w:rsid w:val="22C13FD4"/>
    <w:rsid w:val="22C24771"/>
    <w:rsid w:val="22CB0895"/>
    <w:rsid w:val="23033650"/>
    <w:rsid w:val="231527D7"/>
    <w:rsid w:val="23185AD8"/>
    <w:rsid w:val="23336451"/>
    <w:rsid w:val="23474320"/>
    <w:rsid w:val="23492735"/>
    <w:rsid w:val="235B5F37"/>
    <w:rsid w:val="235C3EA6"/>
    <w:rsid w:val="23604810"/>
    <w:rsid w:val="236C6787"/>
    <w:rsid w:val="23830488"/>
    <w:rsid w:val="23932D47"/>
    <w:rsid w:val="23A46F6A"/>
    <w:rsid w:val="23BE4330"/>
    <w:rsid w:val="23BF0A62"/>
    <w:rsid w:val="23C263BB"/>
    <w:rsid w:val="23C63733"/>
    <w:rsid w:val="23D50A64"/>
    <w:rsid w:val="23DC6F4C"/>
    <w:rsid w:val="23DD2202"/>
    <w:rsid w:val="23F70746"/>
    <w:rsid w:val="23FC0268"/>
    <w:rsid w:val="23FD05F9"/>
    <w:rsid w:val="240B4621"/>
    <w:rsid w:val="241061D3"/>
    <w:rsid w:val="24114322"/>
    <w:rsid w:val="24122F3C"/>
    <w:rsid w:val="24181A61"/>
    <w:rsid w:val="241A4D23"/>
    <w:rsid w:val="241E5871"/>
    <w:rsid w:val="243178A0"/>
    <w:rsid w:val="243309E7"/>
    <w:rsid w:val="244328F6"/>
    <w:rsid w:val="2449493A"/>
    <w:rsid w:val="245032E9"/>
    <w:rsid w:val="24536196"/>
    <w:rsid w:val="24626203"/>
    <w:rsid w:val="247573F6"/>
    <w:rsid w:val="247A4BE7"/>
    <w:rsid w:val="24806762"/>
    <w:rsid w:val="24814D5C"/>
    <w:rsid w:val="24831C33"/>
    <w:rsid w:val="248601CB"/>
    <w:rsid w:val="24917BA8"/>
    <w:rsid w:val="24970D37"/>
    <w:rsid w:val="24981483"/>
    <w:rsid w:val="249A04A2"/>
    <w:rsid w:val="249B0370"/>
    <w:rsid w:val="24A24A93"/>
    <w:rsid w:val="24A24AC6"/>
    <w:rsid w:val="24AB311D"/>
    <w:rsid w:val="24AD6CC9"/>
    <w:rsid w:val="24B93055"/>
    <w:rsid w:val="24BC603F"/>
    <w:rsid w:val="24C252E5"/>
    <w:rsid w:val="24C93BB5"/>
    <w:rsid w:val="24CE311C"/>
    <w:rsid w:val="24D02E03"/>
    <w:rsid w:val="24DE5A93"/>
    <w:rsid w:val="24E41611"/>
    <w:rsid w:val="25010438"/>
    <w:rsid w:val="250F44FD"/>
    <w:rsid w:val="2514288A"/>
    <w:rsid w:val="25174EE8"/>
    <w:rsid w:val="251A2540"/>
    <w:rsid w:val="251E60DE"/>
    <w:rsid w:val="255061EE"/>
    <w:rsid w:val="2558779F"/>
    <w:rsid w:val="256609A5"/>
    <w:rsid w:val="25781237"/>
    <w:rsid w:val="25790FBA"/>
    <w:rsid w:val="257A6914"/>
    <w:rsid w:val="25865BCB"/>
    <w:rsid w:val="2588530F"/>
    <w:rsid w:val="25905E50"/>
    <w:rsid w:val="259111BD"/>
    <w:rsid w:val="25963B5D"/>
    <w:rsid w:val="25963C8A"/>
    <w:rsid w:val="25AB3731"/>
    <w:rsid w:val="25B464A2"/>
    <w:rsid w:val="25B506E6"/>
    <w:rsid w:val="25BA0209"/>
    <w:rsid w:val="25E62DA9"/>
    <w:rsid w:val="25F465E7"/>
    <w:rsid w:val="25F6641C"/>
    <w:rsid w:val="25F74FA1"/>
    <w:rsid w:val="25FB06C7"/>
    <w:rsid w:val="25FC3091"/>
    <w:rsid w:val="25FD11FA"/>
    <w:rsid w:val="25FE31C8"/>
    <w:rsid w:val="25FF0B51"/>
    <w:rsid w:val="25FF3210"/>
    <w:rsid w:val="260661B7"/>
    <w:rsid w:val="2611098A"/>
    <w:rsid w:val="26271890"/>
    <w:rsid w:val="26371347"/>
    <w:rsid w:val="264221C6"/>
    <w:rsid w:val="26480112"/>
    <w:rsid w:val="265A3D3E"/>
    <w:rsid w:val="265D3370"/>
    <w:rsid w:val="26666555"/>
    <w:rsid w:val="268B7C99"/>
    <w:rsid w:val="268C4A4A"/>
    <w:rsid w:val="26942039"/>
    <w:rsid w:val="26970A98"/>
    <w:rsid w:val="269A7501"/>
    <w:rsid w:val="26A04681"/>
    <w:rsid w:val="26A3584F"/>
    <w:rsid w:val="26A66B0A"/>
    <w:rsid w:val="26A73989"/>
    <w:rsid w:val="26A86D42"/>
    <w:rsid w:val="26B76DC5"/>
    <w:rsid w:val="26C30557"/>
    <w:rsid w:val="26C60C42"/>
    <w:rsid w:val="26CB2EBC"/>
    <w:rsid w:val="26CB4B73"/>
    <w:rsid w:val="26D96FF9"/>
    <w:rsid w:val="26E25DEA"/>
    <w:rsid w:val="26E34A7B"/>
    <w:rsid w:val="26E9756C"/>
    <w:rsid w:val="26FA4570"/>
    <w:rsid w:val="271F0CE3"/>
    <w:rsid w:val="27217FF0"/>
    <w:rsid w:val="27242893"/>
    <w:rsid w:val="273612F4"/>
    <w:rsid w:val="27445146"/>
    <w:rsid w:val="274E2EE0"/>
    <w:rsid w:val="27673AA1"/>
    <w:rsid w:val="27722B9A"/>
    <w:rsid w:val="27742391"/>
    <w:rsid w:val="277602F5"/>
    <w:rsid w:val="278038CA"/>
    <w:rsid w:val="27C02FCA"/>
    <w:rsid w:val="27C33BB0"/>
    <w:rsid w:val="27C55F98"/>
    <w:rsid w:val="27CC0CD0"/>
    <w:rsid w:val="27D071BC"/>
    <w:rsid w:val="27D108B2"/>
    <w:rsid w:val="27D4538F"/>
    <w:rsid w:val="27DD3821"/>
    <w:rsid w:val="27DE15AE"/>
    <w:rsid w:val="27E03A2F"/>
    <w:rsid w:val="27E96237"/>
    <w:rsid w:val="27F506B1"/>
    <w:rsid w:val="27FD1E4C"/>
    <w:rsid w:val="28083AAF"/>
    <w:rsid w:val="280D297A"/>
    <w:rsid w:val="282705F3"/>
    <w:rsid w:val="28276A98"/>
    <w:rsid w:val="282D426D"/>
    <w:rsid w:val="283F0D93"/>
    <w:rsid w:val="28467CC2"/>
    <w:rsid w:val="284A4950"/>
    <w:rsid w:val="285710C8"/>
    <w:rsid w:val="285C4BAF"/>
    <w:rsid w:val="285D0F42"/>
    <w:rsid w:val="28703320"/>
    <w:rsid w:val="287643B1"/>
    <w:rsid w:val="289539A5"/>
    <w:rsid w:val="289F019A"/>
    <w:rsid w:val="28BB307C"/>
    <w:rsid w:val="28CC6ED5"/>
    <w:rsid w:val="28D96244"/>
    <w:rsid w:val="28F010D9"/>
    <w:rsid w:val="28F05C88"/>
    <w:rsid w:val="29082E70"/>
    <w:rsid w:val="291343EF"/>
    <w:rsid w:val="29166F16"/>
    <w:rsid w:val="292E77DA"/>
    <w:rsid w:val="29394AFC"/>
    <w:rsid w:val="294D5371"/>
    <w:rsid w:val="295867A0"/>
    <w:rsid w:val="295A0917"/>
    <w:rsid w:val="295A5964"/>
    <w:rsid w:val="29626133"/>
    <w:rsid w:val="296A2440"/>
    <w:rsid w:val="29702C6A"/>
    <w:rsid w:val="29753F13"/>
    <w:rsid w:val="298756CC"/>
    <w:rsid w:val="29A81FA5"/>
    <w:rsid w:val="29AB297C"/>
    <w:rsid w:val="29C535D7"/>
    <w:rsid w:val="29C65905"/>
    <w:rsid w:val="29CD16A4"/>
    <w:rsid w:val="29D478FA"/>
    <w:rsid w:val="29DA5777"/>
    <w:rsid w:val="29DF2425"/>
    <w:rsid w:val="29E40890"/>
    <w:rsid w:val="29E46D67"/>
    <w:rsid w:val="29FF4754"/>
    <w:rsid w:val="2A0E6FDD"/>
    <w:rsid w:val="2A142C99"/>
    <w:rsid w:val="2A1E4871"/>
    <w:rsid w:val="2A214539"/>
    <w:rsid w:val="2A2E251E"/>
    <w:rsid w:val="2A367BB2"/>
    <w:rsid w:val="2A3B610C"/>
    <w:rsid w:val="2A3D54FD"/>
    <w:rsid w:val="2A410FE5"/>
    <w:rsid w:val="2A596631"/>
    <w:rsid w:val="2A5A05BF"/>
    <w:rsid w:val="2A5F2983"/>
    <w:rsid w:val="2A601F6F"/>
    <w:rsid w:val="2A650F1C"/>
    <w:rsid w:val="2A6609C7"/>
    <w:rsid w:val="2A7A07C0"/>
    <w:rsid w:val="2A7D5993"/>
    <w:rsid w:val="2A840846"/>
    <w:rsid w:val="2AB17620"/>
    <w:rsid w:val="2AB30FEA"/>
    <w:rsid w:val="2AB657B1"/>
    <w:rsid w:val="2AC91866"/>
    <w:rsid w:val="2AC96251"/>
    <w:rsid w:val="2ACB7242"/>
    <w:rsid w:val="2AE06477"/>
    <w:rsid w:val="2AE07913"/>
    <w:rsid w:val="2AE36CB1"/>
    <w:rsid w:val="2AEA3FC0"/>
    <w:rsid w:val="2AEA4AC4"/>
    <w:rsid w:val="2B0E64B5"/>
    <w:rsid w:val="2B110AE4"/>
    <w:rsid w:val="2B166BF6"/>
    <w:rsid w:val="2B2B0DE1"/>
    <w:rsid w:val="2B3E1E16"/>
    <w:rsid w:val="2B5674FC"/>
    <w:rsid w:val="2B5D0E3B"/>
    <w:rsid w:val="2B5E2134"/>
    <w:rsid w:val="2B6F3EEE"/>
    <w:rsid w:val="2B70774D"/>
    <w:rsid w:val="2B7D446F"/>
    <w:rsid w:val="2B8C50C7"/>
    <w:rsid w:val="2B8D4A3E"/>
    <w:rsid w:val="2B91310A"/>
    <w:rsid w:val="2B9269FD"/>
    <w:rsid w:val="2BA45334"/>
    <w:rsid w:val="2BCC1BD6"/>
    <w:rsid w:val="2BDF0CFB"/>
    <w:rsid w:val="2BE234F2"/>
    <w:rsid w:val="2BE33AA6"/>
    <w:rsid w:val="2BE40B44"/>
    <w:rsid w:val="2BEF68A7"/>
    <w:rsid w:val="2BF22DBE"/>
    <w:rsid w:val="2BF73785"/>
    <w:rsid w:val="2C0F23A5"/>
    <w:rsid w:val="2C0F30B3"/>
    <w:rsid w:val="2C1235EB"/>
    <w:rsid w:val="2C162BEC"/>
    <w:rsid w:val="2C1D2F77"/>
    <w:rsid w:val="2C2F0BC4"/>
    <w:rsid w:val="2C2F21D6"/>
    <w:rsid w:val="2C350DC5"/>
    <w:rsid w:val="2C391765"/>
    <w:rsid w:val="2C3D18DD"/>
    <w:rsid w:val="2C3D5EB9"/>
    <w:rsid w:val="2C4C0F0A"/>
    <w:rsid w:val="2C5254C3"/>
    <w:rsid w:val="2C532EF2"/>
    <w:rsid w:val="2C560C32"/>
    <w:rsid w:val="2C5C500F"/>
    <w:rsid w:val="2C67348C"/>
    <w:rsid w:val="2C686702"/>
    <w:rsid w:val="2C6E3526"/>
    <w:rsid w:val="2C6F1E54"/>
    <w:rsid w:val="2C763257"/>
    <w:rsid w:val="2C802F50"/>
    <w:rsid w:val="2C8A32B4"/>
    <w:rsid w:val="2C993631"/>
    <w:rsid w:val="2C9B7E11"/>
    <w:rsid w:val="2CA40E61"/>
    <w:rsid w:val="2CAA6D69"/>
    <w:rsid w:val="2CAC5EEF"/>
    <w:rsid w:val="2CAF1058"/>
    <w:rsid w:val="2CB32C99"/>
    <w:rsid w:val="2CBC36F5"/>
    <w:rsid w:val="2CC907F0"/>
    <w:rsid w:val="2CCC5126"/>
    <w:rsid w:val="2CDB3D10"/>
    <w:rsid w:val="2CF24D2C"/>
    <w:rsid w:val="2CF756B7"/>
    <w:rsid w:val="2CF9252D"/>
    <w:rsid w:val="2CF97782"/>
    <w:rsid w:val="2CFE30EF"/>
    <w:rsid w:val="2CFE33A0"/>
    <w:rsid w:val="2D0147F2"/>
    <w:rsid w:val="2D107154"/>
    <w:rsid w:val="2D143281"/>
    <w:rsid w:val="2D1C79F8"/>
    <w:rsid w:val="2D324177"/>
    <w:rsid w:val="2D4E073F"/>
    <w:rsid w:val="2D510DD6"/>
    <w:rsid w:val="2D5A7835"/>
    <w:rsid w:val="2D6578A0"/>
    <w:rsid w:val="2D6B21D3"/>
    <w:rsid w:val="2D6D2389"/>
    <w:rsid w:val="2D7343C9"/>
    <w:rsid w:val="2D9E60D7"/>
    <w:rsid w:val="2DA20908"/>
    <w:rsid w:val="2DB45073"/>
    <w:rsid w:val="2DB713DE"/>
    <w:rsid w:val="2DC72B92"/>
    <w:rsid w:val="2DE44256"/>
    <w:rsid w:val="2DE557EB"/>
    <w:rsid w:val="2DF54A22"/>
    <w:rsid w:val="2E0449DE"/>
    <w:rsid w:val="2E0E6D42"/>
    <w:rsid w:val="2E0F4249"/>
    <w:rsid w:val="2E2F0A58"/>
    <w:rsid w:val="2E301D0F"/>
    <w:rsid w:val="2E447583"/>
    <w:rsid w:val="2E4B4467"/>
    <w:rsid w:val="2E5520B9"/>
    <w:rsid w:val="2E5E24D0"/>
    <w:rsid w:val="2E63548C"/>
    <w:rsid w:val="2E640C1C"/>
    <w:rsid w:val="2E642D9D"/>
    <w:rsid w:val="2E6B523D"/>
    <w:rsid w:val="2E704114"/>
    <w:rsid w:val="2E7A08F9"/>
    <w:rsid w:val="2E7B33BD"/>
    <w:rsid w:val="2E96363C"/>
    <w:rsid w:val="2EAA0E75"/>
    <w:rsid w:val="2EAF7C29"/>
    <w:rsid w:val="2EB25D05"/>
    <w:rsid w:val="2EB86707"/>
    <w:rsid w:val="2EB97DD7"/>
    <w:rsid w:val="2EC92184"/>
    <w:rsid w:val="2ECD27F6"/>
    <w:rsid w:val="2EF97788"/>
    <w:rsid w:val="2F004E69"/>
    <w:rsid w:val="2F09010D"/>
    <w:rsid w:val="2F0E1C14"/>
    <w:rsid w:val="2F0F3B5B"/>
    <w:rsid w:val="2F24787C"/>
    <w:rsid w:val="2F306D92"/>
    <w:rsid w:val="2F366FC1"/>
    <w:rsid w:val="2F46135C"/>
    <w:rsid w:val="2F4A6DBB"/>
    <w:rsid w:val="2F4D295B"/>
    <w:rsid w:val="2F5034C7"/>
    <w:rsid w:val="2F583C3E"/>
    <w:rsid w:val="2F5E4FF7"/>
    <w:rsid w:val="2F625574"/>
    <w:rsid w:val="2F743362"/>
    <w:rsid w:val="2F783818"/>
    <w:rsid w:val="2FA3249D"/>
    <w:rsid w:val="2FA44A0B"/>
    <w:rsid w:val="2FAF57D0"/>
    <w:rsid w:val="2FC05B92"/>
    <w:rsid w:val="2FC70776"/>
    <w:rsid w:val="2FDE3BE4"/>
    <w:rsid w:val="2FE3743A"/>
    <w:rsid w:val="2FE74C6C"/>
    <w:rsid w:val="2FEB3FA9"/>
    <w:rsid w:val="2FEC1413"/>
    <w:rsid w:val="2FEF5C51"/>
    <w:rsid w:val="2FF817EF"/>
    <w:rsid w:val="301F1E0F"/>
    <w:rsid w:val="302E6295"/>
    <w:rsid w:val="30332040"/>
    <w:rsid w:val="303329F0"/>
    <w:rsid w:val="303818E5"/>
    <w:rsid w:val="303A25F6"/>
    <w:rsid w:val="303F1851"/>
    <w:rsid w:val="303F79AD"/>
    <w:rsid w:val="30492212"/>
    <w:rsid w:val="304C3A2B"/>
    <w:rsid w:val="30596318"/>
    <w:rsid w:val="30680BB0"/>
    <w:rsid w:val="306F339C"/>
    <w:rsid w:val="30762710"/>
    <w:rsid w:val="30814CF1"/>
    <w:rsid w:val="308E2433"/>
    <w:rsid w:val="308E4163"/>
    <w:rsid w:val="309F0234"/>
    <w:rsid w:val="309F57C7"/>
    <w:rsid w:val="30A03CD3"/>
    <w:rsid w:val="30AA77AB"/>
    <w:rsid w:val="30B422FB"/>
    <w:rsid w:val="30C20BA4"/>
    <w:rsid w:val="30C478ED"/>
    <w:rsid w:val="30D103F7"/>
    <w:rsid w:val="30D53AF8"/>
    <w:rsid w:val="30EC01FB"/>
    <w:rsid w:val="30ED591C"/>
    <w:rsid w:val="30F54D00"/>
    <w:rsid w:val="31026564"/>
    <w:rsid w:val="310A5122"/>
    <w:rsid w:val="31190557"/>
    <w:rsid w:val="312107CD"/>
    <w:rsid w:val="31210CA8"/>
    <w:rsid w:val="31215285"/>
    <w:rsid w:val="312D0344"/>
    <w:rsid w:val="31346C1B"/>
    <w:rsid w:val="3135421E"/>
    <w:rsid w:val="313806BA"/>
    <w:rsid w:val="314A407E"/>
    <w:rsid w:val="314F0693"/>
    <w:rsid w:val="31512995"/>
    <w:rsid w:val="31664C04"/>
    <w:rsid w:val="317038BB"/>
    <w:rsid w:val="317632AC"/>
    <w:rsid w:val="317958D0"/>
    <w:rsid w:val="317A5E86"/>
    <w:rsid w:val="318B34AE"/>
    <w:rsid w:val="318D218C"/>
    <w:rsid w:val="318E419A"/>
    <w:rsid w:val="31964319"/>
    <w:rsid w:val="319A32FE"/>
    <w:rsid w:val="31A31D34"/>
    <w:rsid w:val="31A4229E"/>
    <w:rsid w:val="31A53AB7"/>
    <w:rsid w:val="31A801F9"/>
    <w:rsid w:val="31C57FB2"/>
    <w:rsid w:val="31C932E2"/>
    <w:rsid w:val="31CC7EE5"/>
    <w:rsid w:val="31F61F62"/>
    <w:rsid w:val="32012AEE"/>
    <w:rsid w:val="320358D0"/>
    <w:rsid w:val="32052FE4"/>
    <w:rsid w:val="320B77FD"/>
    <w:rsid w:val="321166F2"/>
    <w:rsid w:val="321976B1"/>
    <w:rsid w:val="321D6876"/>
    <w:rsid w:val="3220390C"/>
    <w:rsid w:val="322121D9"/>
    <w:rsid w:val="322A1170"/>
    <w:rsid w:val="322B51BC"/>
    <w:rsid w:val="322F26BF"/>
    <w:rsid w:val="32313F22"/>
    <w:rsid w:val="32447DF8"/>
    <w:rsid w:val="324736B6"/>
    <w:rsid w:val="32565E63"/>
    <w:rsid w:val="32643522"/>
    <w:rsid w:val="326470BA"/>
    <w:rsid w:val="326D0D7C"/>
    <w:rsid w:val="326E42CA"/>
    <w:rsid w:val="32744A8B"/>
    <w:rsid w:val="32753DA5"/>
    <w:rsid w:val="32763BC7"/>
    <w:rsid w:val="32886DB3"/>
    <w:rsid w:val="32895C45"/>
    <w:rsid w:val="328C67A7"/>
    <w:rsid w:val="32983017"/>
    <w:rsid w:val="329D4B54"/>
    <w:rsid w:val="32A43D99"/>
    <w:rsid w:val="32B141E0"/>
    <w:rsid w:val="32B27592"/>
    <w:rsid w:val="32B44D2D"/>
    <w:rsid w:val="32BC5879"/>
    <w:rsid w:val="32C90A49"/>
    <w:rsid w:val="32FA2D7F"/>
    <w:rsid w:val="32FC6C4E"/>
    <w:rsid w:val="32FD73FC"/>
    <w:rsid w:val="330326BB"/>
    <w:rsid w:val="33085CC5"/>
    <w:rsid w:val="33100DE3"/>
    <w:rsid w:val="33262CBA"/>
    <w:rsid w:val="332901F1"/>
    <w:rsid w:val="332B323C"/>
    <w:rsid w:val="332E3189"/>
    <w:rsid w:val="3333740C"/>
    <w:rsid w:val="335B62EC"/>
    <w:rsid w:val="335E56AE"/>
    <w:rsid w:val="335E79BA"/>
    <w:rsid w:val="3360061D"/>
    <w:rsid w:val="336549AB"/>
    <w:rsid w:val="337174FF"/>
    <w:rsid w:val="33782709"/>
    <w:rsid w:val="338E0F57"/>
    <w:rsid w:val="3392025F"/>
    <w:rsid w:val="33A134F0"/>
    <w:rsid w:val="33A8285D"/>
    <w:rsid w:val="33AC1E29"/>
    <w:rsid w:val="33B17041"/>
    <w:rsid w:val="33B202F3"/>
    <w:rsid w:val="33B20F64"/>
    <w:rsid w:val="33CD3F6B"/>
    <w:rsid w:val="33D47319"/>
    <w:rsid w:val="33D740F0"/>
    <w:rsid w:val="33E33586"/>
    <w:rsid w:val="33E57A29"/>
    <w:rsid w:val="33EE53FA"/>
    <w:rsid w:val="33FD7485"/>
    <w:rsid w:val="33FF4DA0"/>
    <w:rsid w:val="34153577"/>
    <w:rsid w:val="34203CE1"/>
    <w:rsid w:val="342425FD"/>
    <w:rsid w:val="342D258E"/>
    <w:rsid w:val="34467089"/>
    <w:rsid w:val="34523AB5"/>
    <w:rsid w:val="34635CAD"/>
    <w:rsid w:val="346B4B47"/>
    <w:rsid w:val="346E4F77"/>
    <w:rsid w:val="34762AAC"/>
    <w:rsid w:val="348402A8"/>
    <w:rsid w:val="349A6F27"/>
    <w:rsid w:val="349C0953"/>
    <w:rsid w:val="349D307E"/>
    <w:rsid w:val="34B510BB"/>
    <w:rsid w:val="34BB2714"/>
    <w:rsid w:val="34C25EF7"/>
    <w:rsid w:val="34CC620E"/>
    <w:rsid w:val="34D20F28"/>
    <w:rsid w:val="34E22DC0"/>
    <w:rsid w:val="350233D4"/>
    <w:rsid w:val="35195F01"/>
    <w:rsid w:val="35313A72"/>
    <w:rsid w:val="35493C91"/>
    <w:rsid w:val="355C0228"/>
    <w:rsid w:val="356A29C5"/>
    <w:rsid w:val="35770D21"/>
    <w:rsid w:val="357800DF"/>
    <w:rsid w:val="358527FB"/>
    <w:rsid w:val="358B5BCF"/>
    <w:rsid w:val="358F51D7"/>
    <w:rsid w:val="359A77E8"/>
    <w:rsid w:val="35A1790B"/>
    <w:rsid w:val="35A45B99"/>
    <w:rsid w:val="35A84940"/>
    <w:rsid w:val="35B01090"/>
    <w:rsid w:val="35BE2E37"/>
    <w:rsid w:val="35BF7697"/>
    <w:rsid w:val="35DA3339"/>
    <w:rsid w:val="35DD2073"/>
    <w:rsid w:val="35DF75FB"/>
    <w:rsid w:val="35E918F1"/>
    <w:rsid w:val="35EB21A5"/>
    <w:rsid w:val="35F52D00"/>
    <w:rsid w:val="35FF153A"/>
    <w:rsid w:val="36013048"/>
    <w:rsid w:val="360339FD"/>
    <w:rsid w:val="3606622C"/>
    <w:rsid w:val="36077316"/>
    <w:rsid w:val="360D32F1"/>
    <w:rsid w:val="3613278E"/>
    <w:rsid w:val="361F5623"/>
    <w:rsid w:val="362B28B7"/>
    <w:rsid w:val="362C5C24"/>
    <w:rsid w:val="3631762B"/>
    <w:rsid w:val="36356D4F"/>
    <w:rsid w:val="36405687"/>
    <w:rsid w:val="36414112"/>
    <w:rsid w:val="364E4A7E"/>
    <w:rsid w:val="36543E79"/>
    <w:rsid w:val="365F3D60"/>
    <w:rsid w:val="36645530"/>
    <w:rsid w:val="36660320"/>
    <w:rsid w:val="366C7BA5"/>
    <w:rsid w:val="36723C5D"/>
    <w:rsid w:val="367851C1"/>
    <w:rsid w:val="369510BC"/>
    <w:rsid w:val="36973632"/>
    <w:rsid w:val="36A30194"/>
    <w:rsid w:val="36D21A02"/>
    <w:rsid w:val="36E85056"/>
    <w:rsid w:val="36EC7EB3"/>
    <w:rsid w:val="3708411D"/>
    <w:rsid w:val="370E0FEC"/>
    <w:rsid w:val="37104DEB"/>
    <w:rsid w:val="37166BDC"/>
    <w:rsid w:val="372C24A3"/>
    <w:rsid w:val="372D0977"/>
    <w:rsid w:val="372F66F4"/>
    <w:rsid w:val="37337382"/>
    <w:rsid w:val="373D28D9"/>
    <w:rsid w:val="374D0B4E"/>
    <w:rsid w:val="374D3C1C"/>
    <w:rsid w:val="374D5647"/>
    <w:rsid w:val="374F42A7"/>
    <w:rsid w:val="37506DBE"/>
    <w:rsid w:val="3759338C"/>
    <w:rsid w:val="375A30C5"/>
    <w:rsid w:val="37643EED"/>
    <w:rsid w:val="37654002"/>
    <w:rsid w:val="3770253F"/>
    <w:rsid w:val="377A7524"/>
    <w:rsid w:val="377C0259"/>
    <w:rsid w:val="378620B5"/>
    <w:rsid w:val="378E3E66"/>
    <w:rsid w:val="37AC0E75"/>
    <w:rsid w:val="37AC63CE"/>
    <w:rsid w:val="37C244FC"/>
    <w:rsid w:val="37CA1D15"/>
    <w:rsid w:val="37D95C79"/>
    <w:rsid w:val="37DC0098"/>
    <w:rsid w:val="37E75BE2"/>
    <w:rsid w:val="37E81F7B"/>
    <w:rsid w:val="37E82F8E"/>
    <w:rsid w:val="37E91E9F"/>
    <w:rsid w:val="37E920E0"/>
    <w:rsid w:val="37FB64C2"/>
    <w:rsid w:val="38026A1B"/>
    <w:rsid w:val="3807648B"/>
    <w:rsid w:val="38173CE1"/>
    <w:rsid w:val="38197832"/>
    <w:rsid w:val="381E7591"/>
    <w:rsid w:val="383903C6"/>
    <w:rsid w:val="383C423B"/>
    <w:rsid w:val="38415136"/>
    <w:rsid w:val="384D66AB"/>
    <w:rsid w:val="38551750"/>
    <w:rsid w:val="386C1D38"/>
    <w:rsid w:val="387A25A5"/>
    <w:rsid w:val="3887148F"/>
    <w:rsid w:val="38963295"/>
    <w:rsid w:val="389D2F53"/>
    <w:rsid w:val="38A945B7"/>
    <w:rsid w:val="38B15CF9"/>
    <w:rsid w:val="38B85753"/>
    <w:rsid w:val="38BD5663"/>
    <w:rsid w:val="38C241DB"/>
    <w:rsid w:val="38CC2A09"/>
    <w:rsid w:val="38D27745"/>
    <w:rsid w:val="38D677A2"/>
    <w:rsid w:val="38D770AE"/>
    <w:rsid w:val="38F1408E"/>
    <w:rsid w:val="38F70050"/>
    <w:rsid w:val="38FC33FC"/>
    <w:rsid w:val="38FD0E84"/>
    <w:rsid w:val="38FF1B5B"/>
    <w:rsid w:val="390273B1"/>
    <w:rsid w:val="390A1188"/>
    <w:rsid w:val="39137D16"/>
    <w:rsid w:val="39153767"/>
    <w:rsid w:val="39225CA9"/>
    <w:rsid w:val="3923070B"/>
    <w:rsid w:val="39296809"/>
    <w:rsid w:val="392C49BB"/>
    <w:rsid w:val="39381E2B"/>
    <w:rsid w:val="393A389E"/>
    <w:rsid w:val="3942282F"/>
    <w:rsid w:val="3953338B"/>
    <w:rsid w:val="39553940"/>
    <w:rsid w:val="396B7002"/>
    <w:rsid w:val="396C2A15"/>
    <w:rsid w:val="39707C30"/>
    <w:rsid w:val="39793DDC"/>
    <w:rsid w:val="39AC01F9"/>
    <w:rsid w:val="39B73BAC"/>
    <w:rsid w:val="39B7517F"/>
    <w:rsid w:val="39BA3B51"/>
    <w:rsid w:val="39C13165"/>
    <w:rsid w:val="39C20795"/>
    <w:rsid w:val="39DE3D2B"/>
    <w:rsid w:val="39E90E2B"/>
    <w:rsid w:val="39E94D86"/>
    <w:rsid w:val="39EA00A2"/>
    <w:rsid w:val="39F1638E"/>
    <w:rsid w:val="39FB1B18"/>
    <w:rsid w:val="3A001C79"/>
    <w:rsid w:val="3A03692D"/>
    <w:rsid w:val="3A1513BA"/>
    <w:rsid w:val="3A2E618D"/>
    <w:rsid w:val="3A3E52E7"/>
    <w:rsid w:val="3A4109A1"/>
    <w:rsid w:val="3A424466"/>
    <w:rsid w:val="3A604E19"/>
    <w:rsid w:val="3A742C8C"/>
    <w:rsid w:val="3A7B2702"/>
    <w:rsid w:val="3A896EEE"/>
    <w:rsid w:val="3AA07361"/>
    <w:rsid w:val="3AA85C09"/>
    <w:rsid w:val="3AAA2893"/>
    <w:rsid w:val="3AB6680E"/>
    <w:rsid w:val="3ABB15C7"/>
    <w:rsid w:val="3AD8279E"/>
    <w:rsid w:val="3AE11C0C"/>
    <w:rsid w:val="3AE30B6E"/>
    <w:rsid w:val="3AE73EDB"/>
    <w:rsid w:val="3AF008C9"/>
    <w:rsid w:val="3AF149C5"/>
    <w:rsid w:val="3AF713FA"/>
    <w:rsid w:val="3B08641D"/>
    <w:rsid w:val="3B0B1CA9"/>
    <w:rsid w:val="3B1B5EA6"/>
    <w:rsid w:val="3B1C7A19"/>
    <w:rsid w:val="3B2B5582"/>
    <w:rsid w:val="3B4234D4"/>
    <w:rsid w:val="3B647C84"/>
    <w:rsid w:val="3B7600B7"/>
    <w:rsid w:val="3B7622BA"/>
    <w:rsid w:val="3B7C1C88"/>
    <w:rsid w:val="3B7E779B"/>
    <w:rsid w:val="3B8107C8"/>
    <w:rsid w:val="3B8972AA"/>
    <w:rsid w:val="3B8B4BF7"/>
    <w:rsid w:val="3BA219B8"/>
    <w:rsid w:val="3BA96003"/>
    <w:rsid w:val="3BAC5E63"/>
    <w:rsid w:val="3BB67BA7"/>
    <w:rsid w:val="3BC205BC"/>
    <w:rsid w:val="3BC61A51"/>
    <w:rsid w:val="3BC74A4B"/>
    <w:rsid w:val="3BCD08A7"/>
    <w:rsid w:val="3BDF089F"/>
    <w:rsid w:val="3BDF1D94"/>
    <w:rsid w:val="3BE14893"/>
    <w:rsid w:val="3BE63BAE"/>
    <w:rsid w:val="3BE8265C"/>
    <w:rsid w:val="3BE92A35"/>
    <w:rsid w:val="3BEB460F"/>
    <w:rsid w:val="3BEC1CB8"/>
    <w:rsid w:val="3BEF1DA2"/>
    <w:rsid w:val="3BF64635"/>
    <w:rsid w:val="3BF956C3"/>
    <w:rsid w:val="3C0E5CDB"/>
    <w:rsid w:val="3C195860"/>
    <w:rsid w:val="3C2F32D0"/>
    <w:rsid w:val="3C360DE6"/>
    <w:rsid w:val="3C361DB4"/>
    <w:rsid w:val="3C467833"/>
    <w:rsid w:val="3C4D3B02"/>
    <w:rsid w:val="3C553044"/>
    <w:rsid w:val="3C5B1D89"/>
    <w:rsid w:val="3C5C5193"/>
    <w:rsid w:val="3C652EF5"/>
    <w:rsid w:val="3C6C29B2"/>
    <w:rsid w:val="3C7412BD"/>
    <w:rsid w:val="3C85498F"/>
    <w:rsid w:val="3C8946A5"/>
    <w:rsid w:val="3C8E6C34"/>
    <w:rsid w:val="3C903393"/>
    <w:rsid w:val="3CA372A1"/>
    <w:rsid w:val="3CA600E0"/>
    <w:rsid w:val="3CB765A9"/>
    <w:rsid w:val="3CBA4326"/>
    <w:rsid w:val="3CBC0BE3"/>
    <w:rsid w:val="3CC4370D"/>
    <w:rsid w:val="3CC614DA"/>
    <w:rsid w:val="3CD01DA9"/>
    <w:rsid w:val="3CDA38F5"/>
    <w:rsid w:val="3CDD517D"/>
    <w:rsid w:val="3CE214AA"/>
    <w:rsid w:val="3CE33FC3"/>
    <w:rsid w:val="3CEA3B31"/>
    <w:rsid w:val="3CF66FA0"/>
    <w:rsid w:val="3CF9401E"/>
    <w:rsid w:val="3CFC6325"/>
    <w:rsid w:val="3D037D04"/>
    <w:rsid w:val="3D093C71"/>
    <w:rsid w:val="3D0F72F6"/>
    <w:rsid w:val="3D131752"/>
    <w:rsid w:val="3D1A22C0"/>
    <w:rsid w:val="3D294B1B"/>
    <w:rsid w:val="3D2B034D"/>
    <w:rsid w:val="3D2B37F6"/>
    <w:rsid w:val="3D4A6765"/>
    <w:rsid w:val="3D5A60CA"/>
    <w:rsid w:val="3D6677CE"/>
    <w:rsid w:val="3D736C38"/>
    <w:rsid w:val="3D957A51"/>
    <w:rsid w:val="3D9F26CD"/>
    <w:rsid w:val="3D9F4364"/>
    <w:rsid w:val="3DA702BF"/>
    <w:rsid w:val="3DA82F6E"/>
    <w:rsid w:val="3DA8529E"/>
    <w:rsid w:val="3DAC7FB0"/>
    <w:rsid w:val="3DB92106"/>
    <w:rsid w:val="3DBC1B09"/>
    <w:rsid w:val="3DCF457D"/>
    <w:rsid w:val="3DCF4793"/>
    <w:rsid w:val="3DD107B7"/>
    <w:rsid w:val="3DD36635"/>
    <w:rsid w:val="3DD96352"/>
    <w:rsid w:val="3DF169A7"/>
    <w:rsid w:val="3DF2399F"/>
    <w:rsid w:val="3DF40FE4"/>
    <w:rsid w:val="3DF650A4"/>
    <w:rsid w:val="3E0519AD"/>
    <w:rsid w:val="3E167168"/>
    <w:rsid w:val="3E214014"/>
    <w:rsid w:val="3E2A55D1"/>
    <w:rsid w:val="3E352F2A"/>
    <w:rsid w:val="3E46434D"/>
    <w:rsid w:val="3E4A1D40"/>
    <w:rsid w:val="3E4C287B"/>
    <w:rsid w:val="3E606251"/>
    <w:rsid w:val="3E633FD2"/>
    <w:rsid w:val="3E68503F"/>
    <w:rsid w:val="3E6A62CB"/>
    <w:rsid w:val="3E6F32D2"/>
    <w:rsid w:val="3E742C66"/>
    <w:rsid w:val="3E7E19E7"/>
    <w:rsid w:val="3E8572BF"/>
    <w:rsid w:val="3E917B82"/>
    <w:rsid w:val="3E9656A5"/>
    <w:rsid w:val="3E997463"/>
    <w:rsid w:val="3E997A46"/>
    <w:rsid w:val="3EA13331"/>
    <w:rsid w:val="3EA64DEB"/>
    <w:rsid w:val="3EA818D8"/>
    <w:rsid w:val="3EAD718B"/>
    <w:rsid w:val="3ECD5479"/>
    <w:rsid w:val="3ED3043A"/>
    <w:rsid w:val="3ED62B90"/>
    <w:rsid w:val="3EE34DD3"/>
    <w:rsid w:val="3EF11C3B"/>
    <w:rsid w:val="3EF434CC"/>
    <w:rsid w:val="3EF80CA3"/>
    <w:rsid w:val="3EFB6FF7"/>
    <w:rsid w:val="3EFF0A75"/>
    <w:rsid w:val="3F0224AF"/>
    <w:rsid w:val="3F054910"/>
    <w:rsid w:val="3F0F22BA"/>
    <w:rsid w:val="3F1054CE"/>
    <w:rsid w:val="3F120578"/>
    <w:rsid w:val="3F1E5BD7"/>
    <w:rsid w:val="3F2534F3"/>
    <w:rsid w:val="3F3755C8"/>
    <w:rsid w:val="3F3A1B65"/>
    <w:rsid w:val="3F3A5EB9"/>
    <w:rsid w:val="3F3D56DE"/>
    <w:rsid w:val="3F522210"/>
    <w:rsid w:val="3F5249E1"/>
    <w:rsid w:val="3F544AF6"/>
    <w:rsid w:val="3F5C361D"/>
    <w:rsid w:val="3F5D22C3"/>
    <w:rsid w:val="3F5E64F5"/>
    <w:rsid w:val="3F656E2C"/>
    <w:rsid w:val="3F6D5029"/>
    <w:rsid w:val="3F7D50E1"/>
    <w:rsid w:val="3F7F592D"/>
    <w:rsid w:val="3F92376D"/>
    <w:rsid w:val="3F9C1CD6"/>
    <w:rsid w:val="3FB035B9"/>
    <w:rsid w:val="3FB52E94"/>
    <w:rsid w:val="3FC45A80"/>
    <w:rsid w:val="3FD2348C"/>
    <w:rsid w:val="3FDE13B9"/>
    <w:rsid w:val="3FE029F1"/>
    <w:rsid w:val="3FE457AE"/>
    <w:rsid w:val="3FE57701"/>
    <w:rsid w:val="400141FF"/>
    <w:rsid w:val="400C4E03"/>
    <w:rsid w:val="400E630F"/>
    <w:rsid w:val="40126EBB"/>
    <w:rsid w:val="401A4D54"/>
    <w:rsid w:val="40262C07"/>
    <w:rsid w:val="404209E3"/>
    <w:rsid w:val="40451C67"/>
    <w:rsid w:val="404A1B2B"/>
    <w:rsid w:val="404A601E"/>
    <w:rsid w:val="404C52F4"/>
    <w:rsid w:val="4058593B"/>
    <w:rsid w:val="405C0FC1"/>
    <w:rsid w:val="406957E0"/>
    <w:rsid w:val="40733CBA"/>
    <w:rsid w:val="407A4DF7"/>
    <w:rsid w:val="40894B59"/>
    <w:rsid w:val="408B2442"/>
    <w:rsid w:val="40AF50ED"/>
    <w:rsid w:val="40B16CC2"/>
    <w:rsid w:val="40B81BAD"/>
    <w:rsid w:val="40BB2365"/>
    <w:rsid w:val="40C21A44"/>
    <w:rsid w:val="40C32C58"/>
    <w:rsid w:val="40C608EB"/>
    <w:rsid w:val="40D23962"/>
    <w:rsid w:val="40D61BC8"/>
    <w:rsid w:val="40DC4F1D"/>
    <w:rsid w:val="40DF2097"/>
    <w:rsid w:val="40E71ABD"/>
    <w:rsid w:val="40EF738A"/>
    <w:rsid w:val="41064063"/>
    <w:rsid w:val="411470C5"/>
    <w:rsid w:val="413C11C7"/>
    <w:rsid w:val="413C7EC8"/>
    <w:rsid w:val="41447F0E"/>
    <w:rsid w:val="414733E0"/>
    <w:rsid w:val="41487727"/>
    <w:rsid w:val="414C39D2"/>
    <w:rsid w:val="414D0C36"/>
    <w:rsid w:val="41542B77"/>
    <w:rsid w:val="4155040A"/>
    <w:rsid w:val="41566753"/>
    <w:rsid w:val="416A21FA"/>
    <w:rsid w:val="416B09D7"/>
    <w:rsid w:val="416F6A98"/>
    <w:rsid w:val="417D1E08"/>
    <w:rsid w:val="417D5552"/>
    <w:rsid w:val="41874A4B"/>
    <w:rsid w:val="4188208C"/>
    <w:rsid w:val="418B5DBD"/>
    <w:rsid w:val="419B51EE"/>
    <w:rsid w:val="41A1609B"/>
    <w:rsid w:val="41B11897"/>
    <w:rsid w:val="41C57D35"/>
    <w:rsid w:val="41E55C2A"/>
    <w:rsid w:val="41E659FB"/>
    <w:rsid w:val="41EA0D4C"/>
    <w:rsid w:val="41F34606"/>
    <w:rsid w:val="41F51213"/>
    <w:rsid w:val="4200399D"/>
    <w:rsid w:val="4205328D"/>
    <w:rsid w:val="420E20BD"/>
    <w:rsid w:val="421647B9"/>
    <w:rsid w:val="42214B6D"/>
    <w:rsid w:val="422425C9"/>
    <w:rsid w:val="42263E3B"/>
    <w:rsid w:val="422C70F1"/>
    <w:rsid w:val="42305330"/>
    <w:rsid w:val="42382F41"/>
    <w:rsid w:val="423C6CFA"/>
    <w:rsid w:val="42442693"/>
    <w:rsid w:val="424A7DF2"/>
    <w:rsid w:val="42616794"/>
    <w:rsid w:val="427102D5"/>
    <w:rsid w:val="4276696F"/>
    <w:rsid w:val="427B064E"/>
    <w:rsid w:val="42864D18"/>
    <w:rsid w:val="428670A3"/>
    <w:rsid w:val="428D1B97"/>
    <w:rsid w:val="42996825"/>
    <w:rsid w:val="429E0F2A"/>
    <w:rsid w:val="42A82444"/>
    <w:rsid w:val="42B5102C"/>
    <w:rsid w:val="42B608A5"/>
    <w:rsid w:val="42BC00C5"/>
    <w:rsid w:val="42BC6C8F"/>
    <w:rsid w:val="42C5446D"/>
    <w:rsid w:val="42CE5FC3"/>
    <w:rsid w:val="42E11334"/>
    <w:rsid w:val="42E94337"/>
    <w:rsid w:val="42F425C9"/>
    <w:rsid w:val="42F777C1"/>
    <w:rsid w:val="42FE6C02"/>
    <w:rsid w:val="43031943"/>
    <w:rsid w:val="431327F1"/>
    <w:rsid w:val="43182DB2"/>
    <w:rsid w:val="431E4B73"/>
    <w:rsid w:val="432D1B1D"/>
    <w:rsid w:val="43486471"/>
    <w:rsid w:val="43651E79"/>
    <w:rsid w:val="4368794F"/>
    <w:rsid w:val="437518D1"/>
    <w:rsid w:val="438D1E49"/>
    <w:rsid w:val="43AE105F"/>
    <w:rsid w:val="43B23B98"/>
    <w:rsid w:val="43B45DD9"/>
    <w:rsid w:val="43B525FE"/>
    <w:rsid w:val="43C80076"/>
    <w:rsid w:val="43CD4F82"/>
    <w:rsid w:val="43D8550E"/>
    <w:rsid w:val="43DC0C7D"/>
    <w:rsid w:val="43EA69D8"/>
    <w:rsid w:val="43EB414E"/>
    <w:rsid w:val="43EE020C"/>
    <w:rsid w:val="43F61357"/>
    <w:rsid w:val="440026EF"/>
    <w:rsid w:val="44172128"/>
    <w:rsid w:val="441805FD"/>
    <w:rsid w:val="44210C59"/>
    <w:rsid w:val="44390E25"/>
    <w:rsid w:val="443F6D81"/>
    <w:rsid w:val="44405E6B"/>
    <w:rsid w:val="44433468"/>
    <w:rsid w:val="44437F9F"/>
    <w:rsid w:val="44493A52"/>
    <w:rsid w:val="444F5C68"/>
    <w:rsid w:val="44613E6E"/>
    <w:rsid w:val="446A5324"/>
    <w:rsid w:val="447E7804"/>
    <w:rsid w:val="44943661"/>
    <w:rsid w:val="44950E83"/>
    <w:rsid w:val="44A05C5C"/>
    <w:rsid w:val="44AC3CFA"/>
    <w:rsid w:val="44AC7417"/>
    <w:rsid w:val="44B16853"/>
    <w:rsid w:val="44BE1DEF"/>
    <w:rsid w:val="44BF0A6C"/>
    <w:rsid w:val="44FD1CA4"/>
    <w:rsid w:val="450622C7"/>
    <w:rsid w:val="450A45A5"/>
    <w:rsid w:val="450D5FAD"/>
    <w:rsid w:val="45102D84"/>
    <w:rsid w:val="45172F07"/>
    <w:rsid w:val="451B12E9"/>
    <w:rsid w:val="451D5184"/>
    <w:rsid w:val="452809A3"/>
    <w:rsid w:val="452F3716"/>
    <w:rsid w:val="453C65FD"/>
    <w:rsid w:val="453D303F"/>
    <w:rsid w:val="454552DF"/>
    <w:rsid w:val="454B256E"/>
    <w:rsid w:val="455B779F"/>
    <w:rsid w:val="455D76E4"/>
    <w:rsid w:val="45646F33"/>
    <w:rsid w:val="45671007"/>
    <w:rsid w:val="456C331B"/>
    <w:rsid w:val="4583405B"/>
    <w:rsid w:val="45912351"/>
    <w:rsid w:val="45950308"/>
    <w:rsid w:val="45A26739"/>
    <w:rsid w:val="45AC3B2C"/>
    <w:rsid w:val="45B07140"/>
    <w:rsid w:val="45B3407C"/>
    <w:rsid w:val="45C43431"/>
    <w:rsid w:val="45DE711B"/>
    <w:rsid w:val="45EE3358"/>
    <w:rsid w:val="46066722"/>
    <w:rsid w:val="461976C3"/>
    <w:rsid w:val="461C0664"/>
    <w:rsid w:val="463D42BA"/>
    <w:rsid w:val="463F2C5B"/>
    <w:rsid w:val="4643274A"/>
    <w:rsid w:val="464E5898"/>
    <w:rsid w:val="46521A41"/>
    <w:rsid w:val="465D50F1"/>
    <w:rsid w:val="467700E2"/>
    <w:rsid w:val="46771C91"/>
    <w:rsid w:val="467E1F2C"/>
    <w:rsid w:val="467F06A4"/>
    <w:rsid w:val="4694259D"/>
    <w:rsid w:val="46974BEE"/>
    <w:rsid w:val="4698770F"/>
    <w:rsid w:val="46A64B43"/>
    <w:rsid w:val="46A87EB8"/>
    <w:rsid w:val="46AA5A85"/>
    <w:rsid w:val="46AC6264"/>
    <w:rsid w:val="46B16BA9"/>
    <w:rsid w:val="46B441C2"/>
    <w:rsid w:val="46BF0760"/>
    <w:rsid w:val="46C01696"/>
    <w:rsid w:val="46C52BE0"/>
    <w:rsid w:val="46CB099D"/>
    <w:rsid w:val="46D01F89"/>
    <w:rsid w:val="46D118AB"/>
    <w:rsid w:val="46DC3AA0"/>
    <w:rsid w:val="46F84006"/>
    <w:rsid w:val="470033AC"/>
    <w:rsid w:val="47081659"/>
    <w:rsid w:val="47123940"/>
    <w:rsid w:val="4726595C"/>
    <w:rsid w:val="47292AEA"/>
    <w:rsid w:val="472A74E5"/>
    <w:rsid w:val="4734181A"/>
    <w:rsid w:val="47600773"/>
    <w:rsid w:val="47661F26"/>
    <w:rsid w:val="476C29D6"/>
    <w:rsid w:val="476E25F3"/>
    <w:rsid w:val="47783B12"/>
    <w:rsid w:val="477D5156"/>
    <w:rsid w:val="477F2265"/>
    <w:rsid w:val="4783053A"/>
    <w:rsid w:val="47890AD6"/>
    <w:rsid w:val="478D2FF6"/>
    <w:rsid w:val="478F6037"/>
    <w:rsid w:val="4798720D"/>
    <w:rsid w:val="47A37CAA"/>
    <w:rsid w:val="47BF7C9C"/>
    <w:rsid w:val="47C2246C"/>
    <w:rsid w:val="47C40C58"/>
    <w:rsid w:val="47CA5F05"/>
    <w:rsid w:val="47D81075"/>
    <w:rsid w:val="47DA1720"/>
    <w:rsid w:val="47E11737"/>
    <w:rsid w:val="47E77D53"/>
    <w:rsid w:val="47EE48C0"/>
    <w:rsid w:val="47F35E3E"/>
    <w:rsid w:val="47FB766F"/>
    <w:rsid w:val="4803118B"/>
    <w:rsid w:val="48064E6E"/>
    <w:rsid w:val="4808575C"/>
    <w:rsid w:val="480B439D"/>
    <w:rsid w:val="48121CA2"/>
    <w:rsid w:val="48216C79"/>
    <w:rsid w:val="48234E9F"/>
    <w:rsid w:val="48267835"/>
    <w:rsid w:val="482F10F4"/>
    <w:rsid w:val="48396D65"/>
    <w:rsid w:val="483C2C0A"/>
    <w:rsid w:val="483F2EDB"/>
    <w:rsid w:val="48474DE5"/>
    <w:rsid w:val="48606A0B"/>
    <w:rsid w:val="486D78BB"/>
    <w:rsid w:val="486E4136"/>
    <w:rsid w:val="48741AB6"/>
    <w:rsid w:val="48915636"/>
    <w:rsid w:val="48985F31"/>
    <w:rsid w:val="48AC6E35"/>
    <w:rsid w:val="48B619BB"/>
    <w:rsid w:val="48BD43A0"/>
    <w:rsid w:val="48C53CF5"/>
    <w:rsid w:val="48C96968"/>
    <w:rsid w:val="48E977B9"/>
    <w:rsid w:val="48F84416"/>
    <w:rsid w:val="490874C4"/>
    <w:rsid w:val="491A6A98"/>
    <w:rsid w:val="491D4AAF"/>
    <w:rsid w:val="4926292B"/>
    <w:rsid w:val="492F22AB"/>
    <w:rsid w:val="49371235"/>
    <w:rsid w:val="49373210"/>
    <w:rsid w:val="494324F6"/>
    <w:rsid w:val="49455D20"/>
    <w:rsid w:val="49524E56"/>
    <w:rsid w:val="497B341F"/>
    <w:rsid w:val="49967AF4"/>
    <w:rsid w:val="49B415EE"/>
    <w:rsid w:val="49B63FD6"/>
    <w:rsid w:val="49BF4D00"/>
    <w:rsid w:val="49D1562B"/>
    <w:rsid w:val="49DE1EF5"/>
    <w:rsid w:val="49E579C4"/>
    <w:rsid w:val="49EA2381"/>
    <w:rsid w:val="49F033BE"/>
    <w:rsid w:val="49F43753"/>
    <w:rsid w:val="49F54A10"/>
    <w:rsid w:val="49F94CE9"/>
    <w:rsid w:val="49FE0E45"/>
    <w:rsid w:val="4A040938"/>
    <w:rsid w:val="4A0D0E28"/>
    <w:rsid w:val="4A106C64"/>
    <w:rsid w:val="4A11169A"/>
    <w:rsid w:val="4A1A0131"/>
    <w:rsid w:val="4A212635"/>
    <w:rsid w:val="4A2175B6"/>
    <w:rsid w:val="4A246FCD"/>
    <w:rsid w:val="4A250C92"/>
    <w:rsid w:val="4A3E56F1"/>
    <w:rsid w:val="4A3F0D79"/>
    <w:rsid w:val="4A4260CB"/>
    <w:rsid w:val="4A611E1A"/>
    <w:rsid w:val="4A7055A6"/>
    <w:rsid w:val="4A8C584B"/>
    <w:rsid w:val="4A906B51"/>
    <w:rsid w:val="4A9C47ED"/>
    <w:rsid w:val="4AA71D5E"/>
    <w:rsid w:val="4AAA6CA9"/>
    <w:rsid w:val="4AAC134C"/>
    <w:rsid w:val="4AC951F4"/>
    <w:rsid w:val="4AE008D2"/>
    <w:rsid w:val="4AE2639D"/>
    <w:rsid w:val="4B0B3617"/>
    <w:rsid w:val="4B110177"/>
    <w:rsid w:val="4B1525EA"/>
    <w:rsid w:val="4B1650A7"/>
    <w:rsid w:val="4B2815DF"/>
    <w:rsid w:val="4B2F0336"/>
    <w:rsid w:val="4B32137E"/>
    <w:rsid w:val="4B473F5E"/>
    <w:rsid w:val="4B49191E"/>
    <w:rsid w:val="4B507FB2"/>
    <w:rsid w:val="4B517DAB"/>
    <w:rsid w:val="4B647620"/>
    <w:rsid w:val="4B695935"/>
    <w:rsid w:val="4B696000"/>
    <w:rsid w:val="4B711FF6"/>
    <w:rsid w:val="4B775059"/>
    <w:rsid w:val="4B7A55E6"/>
    <w:rsid w:val="4B8021F7"/>
    <w:rsid w:val="4B82653E"/>
    <w:rsid w:val="4B894031"/>
    <w:rsid w:val="4B8C1A83"/>
    <w:rsid w:val="4B946154"/>
    <w:rsid w:val="4BAA6B1F"/>
    <w:rsid w:val="4BB04F28"/>
    <w:rsid w:val="4BB12731"/>
    <w:rsid w:val="4BB82C12"/>
    <w:rsid w:val="4BBD5933"/>
    <w:rsid w:val="4BC562A3"/>
    <w:rsid w:val="4BC7680D"/>
    <w:rsid w:val="4BD93A10"/>
    <w:rsid w:val="4BE10A59"/>
    <w:rsid w:val="4BE123D1"/>
    <w:rsid w:val="4BF90797"/>
    <w:rsid w:val="4BFF725A"/>
    <w:rsid w:val="4C045F2F"/>
    <w:rsid w:val="4C0A534C"/>
    <w:rsid w:val="4C0F01F9"/>
    <w:rsid w:val="4C12544B"/>
    <w:rsid w:val="4C270B31"/>
    <w:rsid w:val="4C2A719A"/>
    <w:rsid w:val="4C3202E6"/>
    <w:rsid w:val="4C3C6AE9"/>
    <w:rsid w:val="4C434C1E"/>
    <w:rsid w:val="4C496A36"/>
    <w:rsid w:val="4C5402B3"/>
    <w:rsid w:val="4C6370A1"/>
    <w:rsid w:val="4C667875"/>
    <w:rsid w:val="4C736886"/>
    <w:rsid w:val="4C7F7CEF"/>
    <w:rsid w:val="4C821AA7"/>
    <w:rsid w:val="4C944B0C"/>
    <w:rsid w:val="4CA43125"/>
    <w:rsid w:val="4CA74742"/>
    <w:rsid w:val="4CAC2A11"/>
    <w:rsid w:val="4CB01CB9"/>
    <w:rsid w:val="4CBE469F"/>
    <w:rsid w:val="4CCD33EA"/>
    <w:rsid w:val="4CCF426B"/>
    <w:rsid w:val="4CD061C1"/>
    <w:rsid w:val="4CE06178"/>
    <w:rsid w:val="4CE62DD9"/>
    <w:rsid w:val="4D033F9C"/>
    <w:rsid w:val="4D055E23"/>
    <w:rsid w:val="4D1740EA"/>
    <w:rsid w:val="4D222C22"/>
    <w:rsid w:val="4D2249C0"/>
    <w:rsid w:val="4D2433AC"/>
    <w:rsid w:val="4D4070B0"/>
    <w:rsid w:val="4D4A4A28"/>
    <w:rsid w:val="4D4F2FCB"/>
    <w:rsid w:val="4D570A24"/>
    <w:rsid w:val="4D5D7D7F"/>
    <w:rsid w:val="4D615067"/>
    <w:rsid w:val="4D6214C3"/>
    <w:rsid w:val="4D625C01"/>
    <w:rsid w:val="4D704F42"/>
    <w:rsid w:val="4D752D5C"/>
    <w:rsid w:val="4D817A82"/>
    <w:rsid w:val="4D8817F2"/>
    <w:rsid w:val="4D8F350E"/>
    <w:rsid w:val="4D924E46"/>
    <w:rsid w:val="4D9877E4"/>
    <w:rsid w:val="4DA91767"/>
    <w:rsid w:val="4DBB5A90"/>
    <w:rsid w:val="4DBD22E7"/>
    <w:rsid w:val="4DC73507"/>
    <w:rsid w:val="4DCF1CB4"/>
    <w:rsid w:val="4DDA6A5F"/>
    <w:rsid w:val="4DDB7205"/>
    <w:rsid w:val="4DDF772B"/>
    <w:rsid w:val="4DEB15AD"/>
    <w:rsid w:val="4DF87443"/>
    <w:rsid w:val="4E302009"/>
    <w:rsid w:val="4E325E79"/>
    <w:rsid w:val="4E370600"/>
    <w:rsid w:val="4E435024"/>
    <w:rsid w:val="4E4E7E80"/>
    <w:rsid w:val="4E534A5B"/>
    <w:rsid w:val="4E5C5562"/>
    <w:rsid w:val="4E5F22C6"/>
    <w:rsid w:val="4E5F69A8"/>
    <w:rsid w:val="4E655726"/>
    <w:rsid w:val="4E716700"/>
    <w:rsid w:val="4E753BE4"/>
    <w:rsid w:val="4E754A02"/>
    <w:rsid w:val="4E784630"/>
    <w:rsid w:val="4E7F4257"/>
    <w:rsid w:val="4E825AB6"/>
    <w:rsid w:val="4E8A7107"/>
    <w:rsid w:val="4E95725E"/>
    <w:rsid w:val="4E9A6CF9"/>
    <w:rsid w:val="4EA65FD0"/>
    <w:rsid w:val="4EA96F07"/>
    <w:rsid w:val="4EAD4E5F"/>
    <w:rsid w:val="4ED33DCB"/>
    <w:rsid w:val="4EE34782"/>
    <w:rsid w:val="4EE63F4F"/>
    <w:rsid w:val="4F007E65"/>
    <w:rsid w:val="4F0A1AF8"/>
    <w:rsid w:val="4F203D73"/>
    <w:rsid w:val="4F2072BE"/>
    <w:rsid w:val="4F27252E"/>
    <w:rsid w:val="4F2D457C"/>
    <w:rsid w:val="4F2D5E44"/>
    <w:rsid w:val="4F323E26"/>
    <w:rsid w:val="4F366689"/>
    <w:rsid w:val="4F3913E8"/>
    <w:rsid w:val="4F3B5197"/>
    <w:rsid w:val="4F4F457B"/>
    <w:rsid w:val="4F501419"/>
    <w:rsid w:val="4F594DAC"/>
    <w:rsid w:val="4F5E44D9"/>
    <w:rsid w:val="4F6C3F07"/>
    <w:rsid w:val="4F6E32DD"/>
    <w:rsid w:val="4F830574"/>
    <w:rsid w:val="4F8D5FB6"/>
    <w:rsid w:val="4F9753D7"/>
    <w:rsid w:val="4F9A078D"/>
    <w:rsid w:val="4F9D5157"/>
    <w:rsid w:val="4FA54804"/>
    <w:rsid w:val="4FBF34BA"/>
    <w:rsid w:val="4FC633C3"/>
    <w:rsid w:val="4FCA2B98"/>
    <w:rsid w:val="4FCB218A"/>
    <w:rsid w:val="4FCE7BAE"/>
    <w:rsid w:val="4FDD7B67"/>
    <w:rsid w:val="4FDF25A5"/>
    <w:rsid w:val="4FE42FCB"/>
    <w:rsid w:val="4FFB4FE1"/>
    <w:rsid w:val="500344EA"/>
    <w:rsid w:val="500B7B4C"/>
    <w:rsid w:val="502C2CA4"/>
    <w:rsid w:val="503C3296"/>
    <w:rsid w:val="5041577C"/>
    <w:rsid w:val="50476C20"/>
    <w:rsid w:val="504A5D02"/>
    <w:rsid w:val="504B0F0D"/>
    <w:rsid w:val="5050226F"/>
    <w:rsid w:val="50527689"/>
    <w:rsid w:val="505E6691"/>
    <w:rsid w:val="50640B3B"/>
    <w:rsid w:val="506633AA"/>
    <w:rsid w:val="507237E3"/>
    <w:rsid w:val="50911DB8"/>
    <w:rsid w:val="509336FE"/>
    <w:rsid w:val="50943033"/>
    <w:rsid w:val="509D389C"/>
    <w:rsid w:val="50A642FD"/>
    <w:rsid w:val="50AF647F"/>
    <w:rsid w:val="50BB317D"/>
    <w:rsid w:val="50C76AEB"/>
    <w:rsid w:val="50D06E68"/>
    <w:rsid w:val="50D37C72"/>
    <w:rsid w:val="50E00881"/>
    <w:rsid w:val="50E466DC"/>
    <w:rsid w:val="50E75A57"/>
    <w:rsid w:val="50EA1869"/>
    <w:rsid w:val="50F71D3E"/>
    <w:rsid w:val="50FD00F4"/>
    <w:rsid w:val="50FF056E"/>
    <w:rsid w:val="510F2A7F"/>
    <w:rsid w:val="512746EF"/>
    <w:rsid w:val="51283E4C"/>
    <w:rsid w:val="51291D35"/>
    <w:rsid w:val="512B3A7F"/>
    <w:rsid w:val="51300C4D"/>
    <w:rsid w:val="513049B1"/>
    <w:rsid w:val="5136300E"/>
    <w:rsid w:val="513B5867"/>
    <w:rsid w:val="51414399"/>
    <w:rsid w:val="515D5FD6"/>
    <w:rsid w:val="51633834"/>
    <w:rsid w:val="51653405"/>
    <w:rsid w:val="516A7012"/>
    <w:rsid w:val="51721A38"/>
    <w:rsid w:val="517D016D"/>
    <w:rsid w:val="51890449"/>
    <w:rsid w:val="518E3CF1"/>
    <w:rsid w:val="519B65FE"/>
    <w:rsid w:val="51A30823"/>
    <w:rsid w:val="51A45867"/>
    <w:rsid w:val="51AD7250"/>
    <w:rsid w:val="51CD43DD"/>
    <w:rsid w:val="51CE7CC8"/>
    <w:rsid w:val="51CF1465"/>
    <w:rsid w:val="51D1247D"/>
    <w:rsid w:val="51E3431D"/>
    <w:rsid w:val="51EC4955"/>
    <w:rsid w:val="51ED2CE3"/>
    <w:rsid w:val="51ED3290"/>
    <w:rsid w:val="51F067B7"/>
    <w:rsid w:val="51F266CE"/>
    <w:rsid w:val="51F76A27"/>
    <w:rsid w:val="51FE52B1"/>
    <w:rsid w:val="52077D46"/>
    <w:rsid w:val="521255C5"/>
    <w:rsid w:val="52187D0D"/>
    <w:rsid w:val="5225687C"/>
    <w:rsid w:val="522E046E"/>
    <w:rsid w:val="523547E0"/>
    <w:rsid w:val="52361B9C"/>
    <w:rsid w:val="52362A26"/>
    <w:rsid w:val="523B0BAD"/>
    <w:rsid w:val="523B7753"/>
    <w:rsid w:val="52416EAD"/>
    <w:rsid w:val="5249154C"/>
    <w:rsid w:val="524B7169"/>
    <w:rsid w:val="524D3789"/>
    <w:rsid w:val="524E301A"/>
    <w:rsid w:val="524F210B"/>
    <w:rsid w:val="5250515D"/>
    <w:rsid w:val="525852F2"/>
    <w:rsid w:val="525D267C"/>
    <w:rsid w:val="526921DD"/>
    <w:rsid w:val="527B1073"/>
    <w:rsid w:val="52915993"/>
    <w:rsid w:val="5297132B"/>
    <w:rsid w:val="529F28D8"/>
    <w:rsid w:val="529F6FBB"/>
    <w:rsid w:val="52B13290"/>
    <w:rsid w:val="52B90DC7"/>
    <w:rsid w:val="52C076EC"/>
    <w:rsid w:val="52C25708"/>
    <w:rsid w:val="52C315CC"/>
    <w:rsid w:val="52CC5ABE"/>
    <w:rsid w:val="52CD10CA"/>
    <w:rsid w:val="52CF6D34"/>
    <w:rsid w:val="52EB6F11"/>
    <w:rsid w:val="52F0249E"/>
    <w:rsid w:val="52FD6A32"/>
    <w:rsid w:val="530C74BB"/>
    <w:rsid w:val="530D6AAB"/>
    <w:rsid w:val="531973FC"/>
    <w:rsid w:val="53387CD2"/>
    <w:rsid w:val="53514ECE"/>
    <w:rsid w:val="5353575F"/>
    <w:rsid w:val="535B2E70"/>
    <w:rsid w:val="535C4E8B"/>
    <w:rsid w:val="535D5E4C"/>
    <w:rsid w:val="536270DB"/>
    <w:rsid w:val="536278AA"/>
    <w:rsid w:val="53673357"/>
    <w:rsid w:val="53676B5F"/>
    <w:rsid w:val="536E21FF"/>
    <w:rsid w:val="53707438"/>
    <w:rsid w:val="5385006E"/>
    <w:rsid w:val="538A4A6D"/>
    <w:rsid w:val="538C18DC"/>
    <w:rsid w:val="53910E70"/>
    <w:rsid w:val="53921BBC"/>
    <w:rsid w:val="53A771E4"/>
    <w:rsid w:val="53B2707B"/>
    <w:rsid w:val="53B45677"/>
    <w:rsid w:val="53C0579F"/>
    <w:rsid w:val="53D23CC3"/>
    <w:rsid w:val="53DD2466"/>
    <w:rsid w:val="53DE11D6"/>
    <w:rsid w:val="53DF7CBA"/>
    <w:rsid w:val="53E34323"/>
    <w:rsid w:val="53F40360"/>
    <w:rsid w:val="5407756C"/>
    <w:rsid w:val="540A5EE2"/>
    <w:rsid w:val="54191438"/>
    <w:rsid w:val="542247A4"/>
    <w:rsid w:val="5427381E"/>
    <w:rsid w:val="543B788E"/>
    <w:rsid w:val="5442060B"/>
    <w:rsid w:val="54447CBB"/>
    <w:rsid w:val="545062A7"/>
    <w:rsid w:val="545C3555"/>
    <w:rsid w:val="5461132F"/>
    <w:rsid w:val="54617320"/>
    <w:rsid w:val="547A28DC"/>
    <w:rsid w:val="54827775"/>
    <w:rsid w:val="548B2661"/>
    <w:rsid w:val="548C3C7E"/>
    <w:rsid w:val="54A656E0"/>
    <w:rsid w:val="54AC5134"/>
    <w:rsid w:val="54C505FF"/>
    <w:rsid w:val="54DE502D"/>
    <w:rsid w:val="54DE6078"/>
    <w:rsid w:val="54DF2784"/>
    <w:rsid w:val="54E86EBD"/>
    <w:rsid w:val="54F2526E"/>
    <w:rsid w:val="55075D9B"/>
    <w:rsid w:val="550B3CF8"/>
    <w:rsid w:val="55162F3C"/>
    <w:rsid w:val="55184BBF"/>
    <w:rsid w:val="551874CA"/>
    <w:rsid w:val="551E6A56"/>
    <w:rsid w:val="552006D3"/>
    <w:rsid w:val="552511A0"/>
    <w:rsid w:val="55301CB3"/>
    <w:rsid w:val="55327054"/>
    <w:rsid w:val="553A26BA"/>
    <w:rsid w:val="553D4226"/>
    <w:rsid w:val="554B637E"/>
    <w:rsid w:val="554D6204"/>
    <w:rsid w:val="5556054C"/>
    <w:rsid w:val="55667013"/>
    <w:rsid w:val="557B1A25"/>
    <w:rsid w:val="55862A42"/>
    <w:rsid w:val="55990578"/>
    <w:rsid w:val="55A56891"/>
    <w:rsid w:val="55AC66CB"/>
    <w:rsid w:val="55B71F92"/>
    <w:rsid w:val="55C33131"/>
    <w:rsid w:val="55CD41AB"/>
    <w:rsid w:val="55CD7903"/>
    <w:rsid w:val="55E172A0"/>
    <w:rsid w:val="55E24605"/>
    <w:rsid w:val="55F81C60"/>
    <w:rsid w:val="55FA0F14"/>
    <w:rsid w:val="56045286"/>
    <w:rsid w:val="56097F90"/>
    <w:rsid w:val="56107511"/>
    <w:rsid w:val="56133E90"/>
    <w:rsid w:val="561F369F"/>
    <w:rsid w:val="5625126F"/>
    <w:rsid w:val="562C3D93"/>
    <w:rsid w:val="56344B27"/>
    <w:rsid w:val="563D63AB"/>
    <w:rsid w:val="563F747D"/>
    <w:rsid w:val="56474D43"/>
    <w:rsid w:val="564C1D1D"/>
    <w:rsid w:val="565F1E2E"/>
    <w:rsid w:val="56652F8C"/>
    <w:rsid w:val="56670F45"/>
    <w:rsid w:val="5669554E"/>
    <w:rsid w:val="566F1BE2"/>
    <w:rsid w:val="567B004B"/>
    <w:rsid w:val="56812138"/>
    <w:rsid w:val="56815E63"/>
    <w:rsid w:val="56825178"/>
    <w:rsid w:val="568F784B"/>
    <w:rsid w:val="56A17AE8"/>
    <w:rsid w:val="56B1636C"/>
    <w:rsid w:val="56C62996"/>
    <w:rsid w:val="56C9634D"/>
    <w:rsid w:val="56D41BE8"/>
    <w:rsid w:val="56D54BC7"/>
    <w:rsid w:val="56E41BA7"/>
    <w:rsid w:val="56E768DE"/>
    <w:rsid w:val="56EC7A5D"/>
    <w:rsid w:val="56F424FF"/>
    <w:rsid w:val="56F4599D"/>
    <w:rsid w:val="56F57C47"/>
    <w:rsid w:val="570D0322"/>
    <w:rsid w:val="57180ACE"/>
    <w:rsid w:val="5718113B"/>
    <w:rsid w:val="571B61B6"/>
    <w:rsid w:val="57213E7D"/>
    <w:rsid w:val="5723561B"/>
    <w:rsid w:val="572362C9"/>
    <w:rsid w:val="572F37C6"/>
    <w:rsid w:val="573568EF"/>
    <w:rsid w:val="5736629C"/>
    <w:rsid w:val="574511BD"/>
    <w:rsid w:val="57540996"/>
    <w:rsid w:val="575B456D"/>
    <w:rsid w:val="576A3055"/>
    <w:rsid w:val="57802A35"/>
    <w:rsid w:val="57815555"/>
    <w:rsid w:val="57882730"/>
    <w:rsid w:val="578C3658"/>
    <w:rsid w:val="57947A7F"/>
    <w:rsid w:val="57AD7E3A"/>
    <w:rsid w:val="57B41ECF"/>
    <w:rsid w:val="57B66918"/>
    <w:rsid w:val="57B67E42"/>
    <w:rsid w:val="57BA5F2B"/>
    <w:rsid w:val="57BB3665"/>
    <w:rsid w:val="57BC796D"/>
    <w:rsid w:val="57BD6FCE"/>
    <w:rsid w:val="57CE5E8C"/>
    <w:rsid w:val="57D214D2"/>
    <w:rsid w:val="57DA1A42"/>
    <w:rsid w:val="57DD425E"/>
    <w:rsid w:val="57E7742D"/>
    <w:rsid w:val="57FD7EA9"/>
    <w:rsid w:val="58002D08"/>
    <w:rsid w:val="58057728"/>
    <w:rsid w:val="5813707A"/>
    <w:rsid w:val="58142903"/>
    <w:rsid w:val="581D1F94"/>
    <w:rsid w:val="582872BA"/>
    <w:rsid w:val="5829318A"/>
    <w:rsid w:val="582D7EE9"/>
    <w:rsid w:val="58312C61"/>
    <w:rsid w:val="583343BB"/>
    <w:rsid w:val="583439B3"/>
    <w:rsid w:val="583B5787"/>
    <w:rsid w:val="58567936"/>
    <w:rsid w:val="58595511"/>
    <w:rsid w:val="586759C7"/>
    <w:rsid w:val="586D4BE9"/>
    <w:rsid w:val="58905FCC"/>
    <w:rsid w:val="58AD7359"/>
    <w:rsid w:val="58C07CA9"/>
    <w:rsid w:val="58C5235F"/>
    <w:rsid w:val="58CB35D4"/>
    <w:rsid w:val="58DE5A38"/>
    <w:rsid w:val="58ED2719"/>
    <w:rsid w:val="58FA7B16"/>
    <w:rsid w:val="58FB22A6"/>
    <w:rsid w:val="59003437"/>
    <w:rsid w:val="59035499"/>
    <w:rsid w:val="590F3861"/>
    <w:rsid w:val="59182EE7"/>
    <w:rsid w:val="591D7A2A"/>
    <w:rsid w:val="5921212C"/>
    <w:rsid w:val="5935330C"/>
    <w:rsid w:val="59395687"/>
    <w:rsid w:val="59407518"/>
    <w:rsid w:val="594934AD"/>
    <w:rsid w:val="59591E8D"/>
    <w:rsid w:val="59652CA2"/>
    <w:rsid w:val="596F472F"/>
    <w:rsid w:val="5974345D"/>
    <w:rsid w:val="597534AA"/>
    <w:rsid w:val="59763334"/>
    <w:rsid w:val="598334E1"/>
    <w:rsid w:val="59951C91"/>
    <w:rsid w:val="59982867"/>
    <w:rsid w:val="59A11ED6"/>
    <w:rsid w:val="59AB0DFC"/>
    <w:rsid w:val="59C1557F"/>
    <w:rsid w:val="59C34F85"/>
    <w:rsid w:val="59C52481"/>
    <w:rsid w:val="59C8615E"/>
    <w:rsid w:val="59D41CD5"/>
    <w:rsid w:val="59E4715C"/>
    <w:rsid w:val="59E5799E"/>
    <w:rsid w:val="59E57E93"/>
    <w:rsid w:val="59E62F4F"/>
    <w:rsid w:val="59E771C2"/>
    <w:rsid w:val="59E84659"/>
    <w:rsid w:val="59FF2575"/>
    <w:rsid w:val="5A067BD8"/>
    <w:rsid w:val="5A0E45FA"/>
    <w:rsid w:val="5A174419"/>
    <w:rsid w:val="5A1C15DB"/>
    <w:rsid w:val="5A3279A1"/>
    <w:rsid w:val="5A344FB0"/>
    <w:rsid w:val="5A360707"/>
    <w:rsid w:val="5A440589"/>
    <w:rsid w:val="5A482568"/>
    <w:rsid w:val="5A5755C9"/>
    <w:rsid w:val="5A5A13C0"/>
    <w:rsid w:val="5A772EA3"/>
    <w:rsid w:val="5A7D29E6"/>
    <w:rsid w:val="5A7E3C77"/>
    <w:rsid w:val="5A821401"/>
    <w:rsid w:val="5A860D7B"/>
    <w:rsid w:val="5A8649B6"/>
    <w:rsid w:val="5A8A2B4B"/>
    <w:rsid w:val="5A9F5080"/>
    <w:rsid w:val="5AAB6618"/>
    <w:rsid w:val="5AC52E1B"/>
    <w:rsid w:val="5AE91049"/>
    <w:rsid w:val="5AEF582B"/>
    <w:rsid w:val="5B0B5334"/>
    <w:rsid w:val="5B1B7ACD"/>
    <w:rsid w:val="5B247C71"/>
    <w:rsid w:val="5B2A406A"/>
    <w:rsid w:val="5B2A7A78"/>
    <w:rsid w:val="5B392BD6"/>
    <w:rsid w:val="5B561D67"/>
    <w:rsid w:val="5B7416B3"/>
    <w:rsid w:val="5B741939"/>
    <w:rsid w:val="5B774FD6"/>
    <w:rsid w:val="5B814790"/>
    <w:rsid w:val="5B82237F"/>
    <w:rsid w:val="5B824855"/>
    <w:rsid w:val="5B856A19"/>
    <w:rsid w:val="5B88245B"/>
    <w:rsid w:val="5B8A0D7A"/>
    <w:rsid w:val="5B8B0F7C"/>
    <w:rsid w:val="5B9E05AD"/>
    <w:rsid w:val="5BA337D9"/>
    <w:rsid w:val="5BBB1AC4"/>
    <w:rsid w:val="5BE11C63"/>
    <w:rsid w:val="5BE663CF"/>
    <w:rsid w:val="5BF24E07"/>
    <w:rsid w:val="5BFB55EA"/>
    <w:rsid w:val="5C005C87"/>
    <w:rsid w:val="5C15792E"/>
    <w:rsid w:val="5C1A5869"/>
    <w:rsid w:val="5C2404DB"/>
    <w:rsid w:val="5C290BF2"/>
    <w:rsid w:val="5C4E1E1E"/>
    <w:rsid w:val="5C4F343B"/>
    <w:rsid w:val="5C54608B"/>
    <w:rsid w:val="5C6A79EB"/>
    <w:rsid w:val="5C912690"/>
    <w:rsid w:val="5C970365"/>
    <w:rsid w:val="5CA45389"/>
    <w:rsid w:val="5CB30BE8"/>
    <w:rsid w:val="5CCB04A2"/>
    <w:rsid w:val="5CCD7E04"/>
    <w:rsid w:val="5CCE6FEA"/>
    <w:rsid w:val="5CD51F6A"/>
    <w:rsid w:val="5CD54099"/>
    <w:rsid w:val="5CD6026B"/>
    <w:rsid w:val="5CE319F6"/>
    <w:rsid w:val="5CE41E2A"/>
    <w:rsid w:val="5CE42846"/>
    <w:rsid w:val="5CE9406B"/>
    <w:rsid w:val="5CEA2058"/>
    <w:rsid w:val="5CFD9166"/>
    <w:rsid w:val="5D130D14"/>
    <w:rsid w:val="5D3F028D"/>
    <w:rsid w:val="5D464016"/>
    <w:rsid w:val="5D563089"/>
    <w:rsid w:val="5D566DF5"/>
    <w:rsid w:val="5D5736EC"/>
    <w:rsid w:val="5D592213"/>
    <w:rsid w:val="5D7067ED"/>
    <w:rsid w:val="5D77660D"/>
    <w:rsid w:val="5D7A7C97"/>
    <w:rsid w:val="5D8637E3"/>
    <w:rsid w:val="5D8A240A"/>
    <w:rsid w:val="5D8A4019"/>
    <w:rsid w:val="5D9907FA"/>
    <w:rsid w:val="5DBC388C"/>
    <w:rsid w:val="5DC15F6D"/>
    <w:rsid w:val="5DC1666E"/>
    <w:rsid w:val="5DCD2A8F"/>
    <w:rsid w:val="5DCD4FAD"/>
    <w:rsid w:val="5DD45E20"/>
    <w:rsid w:val="5DD77F01"/>
    <w:rsid w:val="5DDB7AE1"/>
    <w:rsid w:val="5DF376B4"/>
    <w:rsid w:val="5DF40AE7"/>
    <w:rsid w:val="5DF974C4"/>
    <w:rsid w:val="5E150E16"/>
    <w:rsid w:val="5E156702"/>
    <w:rsid w:val="5E203BC5"/>
    <w:rsid w:val="5E284971"/>
    <w:rsid w:val="5E2C3CE8"/>
    <w:rsid w:val="5E361890"/>
    <w:rsid w:val="5E391380"/>
    <w:rsid w:val="5E480DBB"/>
    <w:rsid w:val="5E4B0589"/>
    <w:rsid w:val="5E532C32"/>
    <w:rsid w:val="5E6A778C"/>
    <w:rsid w:val="5E6B78B9"/>
    <w:rsid w:val="5E72530D"/>
    <w:rsid w:val="5E7B3471"/>
    <w:rsid w:val="5E811840"/>
    <w:rsid w:val="5E966108"/>
    <w:rsid w:val="5EAC620C"/>
    <w:rsid w:val="5EAF12A6"/>
    <w:rsid w:val="5EB56E43"/>
    <w:rsid w:val="5EBF60CC"/>
    <w:rsid w:val="5EBF6AA7"/>
    <w:rsid w:val="5ED82627"/>
    <w:rsid w:val="5EDB6E5E"/>
    <w:rsid w:val="5F050603"/>
    <w:rsid w:val="5F073AC0"/>
    <w:rsid w:val="5F0F5BF5"/>
    <w:rsid w:val="5F1070E5"/>
    <w:rsid w:val="5F137093"/>
    <w:rsid w:val="5F144956"/>
    <w:rsid w:val="5F2E4A29"/>
    <w:rsid w:val="5F335DCF"/>
    <w:rsid w:val="5F3B5980"/>
    <w:rsid w:val="5F475DFB"/>
    <w:rsid w:val="5F4A6912"/>
    <w:rsid w:val="5F5D3310"/>
    <w:rsid w:val="5F792AFF"/>
    <w:rsid w:val="5F7A7AD4"/>
    <w:rsid w:val="5F826595"/>
    <w:rsid w:val="5F901AC8"/>
    <w:rsid w:val="5F993F7A"/>
    <w:rsid w:val="5FA342D5"/>
    <w:rsid w:val="5FA40581"/>
    <w:rsid w:val="5FBF418B"/>
    <w:rsid w:val="5FC03F1C"/>
    <w:rsid w:val="5FC128D4"/>
    <w:rsid w:val="5FC577B3"/>
    <w:rsid w:val="5FCD2B9B"/>
    <w:rsid w:val="5FD02E83"/>
    <w:rsid w:val="5FE15D7D"/>
    <w:rsid w:val="5FED681E"/>
    <w:rsid w:val="5FFB751D"/>
    <w:rsid w:val="5FFC1DCE"/>
    <w:rsid w:val="600475A4"/>
    <w:rsid w:val="600B2CBA"/>
    <w:rsid w:val="600F19CA"/>
    <w:rsid w:val="600F2399"/>
    <w:rsid w:val="602423C7"/>
    <w:rsid w:val="603F2394"/>
    <w:rsid w:val="604407B5"/>
    <w:rsid w:val="60487E62"/>
    <w:rsid w:val="605A5C34"/>
    <w:rsid w:val="60630B92"/>
    <w:rsid w:val="606E4C0D"/>
    <w:rsid w:val="60734E0E"/>
    <w:rsid w:val="60811477"/>
    <w:rsid w:val="60844109"/>
    <w:rsid w:val="608E3005"/>
    <w:rsid w:val="6090580E"/>
    <w:rsid w:val="60935B47"/>
    <w:rsid w:val="60C76F62"/>
    <w:rsid w:val="60CE1254"/>
    <w:rsid w:val="60D321CB"/>
    <w:rsid w:val="60D467A9"/>
    <w:rsid w:val="60D96580"/>
    <w:rsid w:val="60EA12BA"/>
    <w:rsid w:val="60EB3CE8"/>
    <w:rsid w:val="60F05363"/>
    <w:rsid w:val="60F955EF"/>
    <w:rsid w:val="61034470"/>
    <w:rsid w:val="61041400"/>
    <w:rsid w:val="6108421E"/>
    <w:rsid w:val="610C08D6"/>
    <w:rsid w:val="611504BF"/>
    <w:rsid w:val="611758AE"/>
    <w:rsid w:val="61233B56"/>
    <w:rsid w:val="6129287D"/>
    <w:rsid w:val="6132559A"/>
    <w:rsid w:val="614A57AA"/>
    <w:rsid w:val="61535DEE"/>
    <w:rsid w:val="615628BC"/>
    <w:rsid w:val="6166167A"/>
    <w:rsid w:val="616B1A35"/>
    <w:rsid w:val="616D02E8"/>
    <w:rsid w:val="616E1A7D"/>
    <w:rsid w:val="617020C2"/>
    <w:rsid w:val="61755B39"/>
    <w:rsid w:val="617637D1"/>
    <w:rsid w:val="617A0C46"/>
    <w:rsid w:val="618A6F1A"/>
    <w:rsid w:val="618E3791"/>
    <w:rsid w:val="619952F0"/>
    <w:rsid w:val="61A33787"/>
    <w:rsid w:val="61A66AB4"/>
    <w:rsid w:val="61B94C34"/>
    <w:rsid w:val="61BC38FA"/>
    <w:rsid w:val="61BE0E4F"/>
    <w:rsid w:val="61C85E7F"/>
    <w:rsid w:val="61CD78CF"/>
    <w:rsid w:val="61D03DA9"/>
    <w:rsid w:val="61DA14FE"/>
    <w:rsid w:val="61E53D34"/>
    <w:rsid w:val="61E73697"/>
    <w:rsid w:val="61EE3162"/>
    <w:rsid w:val="61F62056"/>
    <w:rsid w:val="620208E6"/>
    <w:rsid w:val="62074A2F"/>
    <w:rsid w:val="620E46C5"/>
    <w:rsid w:val="620F37AC"/>
    <w:rsid w:val="621536B2"/>
    <w:rsid w:val="621C707C"/>
    <w:rsid w:val="621E0130"/>
    <w:rsid w:val="62271A32"/>
    <w:rsid w:val="62292F8A"/>
    <w:rsid w:val="622A199E"/>
    <w:rsid w:val="622D74F5"/>
    <w:rsid w:val="6245212D"/>
    <w:rsid w:val="6245710A"/>
    <w:rsid w:val="624B2E9D"/>
    <w:rsid w:val="624F2006"/>
    <w:rsid w:val="62504ABA"/>
    <w:rsid w:val="62510C1A"/>
    <w:rsid w:val="62550B75"/>
    <w:rsid w:val="625C5461"/>
    <w:rsid w:val="62607DE0"/>
    <w:rsid w:val="626F13F7"/>
    <w:rsid w:val="62757089"/>
    <w:rsid w:val="62893709"/>
    <w:rsid w:val="628F0475"/>
    <w:rsid w:val="629105C7"/>
    <w:rsid w:val="62A975CA"/>
    <w:rsid w:val="62AB5771"/>
    <w:rsid w:val="62AE05DB"/>
    <w:rsid w:val="62B60A29"/>
    <w:rsid w:val="62BA5EE7"/>
    <w:rsid w:val="62CD2097"/>
    <w:rsid w:val="62D572CD"/>
    <w:rsid w:val="62DD4B35"/>
    <w:rsid w:val="62F04E93"/>
    <w:rsid w:val="62F14EED"/>
    <w:rsid w:val="62F936F2"/>
    <w:rsid w:val="62FF3767"/>
    <w:rsid w:val="63074094"/>
    <w:rsid w:val="631F1A5C"/>
    <w:rsid w:val="63256E52"/>
    <w:rsid w:val="6337684E"/>
    <w:rsid w:val="63403C73"/>
    <w:rsid w:val="6351410B"/>
    <w:rsid w:val="635D4427"/>
    <w:rsid w:val="635F082F"/>
    <w:rsid w:val="63620A31"/>
    <w:rsid w:val="63710CD7"/>
    <w:rsid w:val="637D427E"/>
    <w:rsid w:val="63861A11"/>
    <w:rsid w:val="638E7A78"/>
    <w:rsid w:val="639A0C81"/>
    <w:rsid w:val="639A36B2"/>
    <w:rsid w:val="63A00543"/>
    <w:rsid w:val="63B31BEC"/>
    <w:rsid w:val="63BE2991"/>
    <w:rsid w:val="63D62DC2"/>
    <w:rsid w:val="63D672A4"/>
    <w:rsid w:val="63DD727B"/>
    <w:rsid w:val="63E900E8"/>
    <w:rsid w:val="63F105D2"/>
    <w:rsid w:val="63F14697"/>
    <w:rsid w:val="63F4037D"/>
    <w:rsid w:val="63F56D28"/>
    <w:rsid w:val="64003000"/>
    <w:rsid w:val="64020FD8"/>
    <w:rsid w:val="640B49C1"/>
    <w:rsid w:val="64107D36"/>
    <w:rsid w:val="64156CD8"/>
    <w:rsid w:val="643917C9"/>
    <w:rsid w:val="64413D22"/>
    <w:rsid w:val="64470699"/>
    <w:rsid w:val="644B6CD5"/>
    <w:rsid w:val="645571E4"/>
    <w:rsid w:val="645F56D4"/>
    <w:rsid w:val="646253D3"/>
    <w:rsid w:val="64627D01"/>
    <w:rsid w:val="646535AC"/>
    <w:rsid w:val="646F1D71"/>
    <w:rsid w:val="647214F9"/>
    <w:rsid w:val="6473435B"/>
    <w:rsid w:val="64864D44"/>
    <w:rsid w:val="64937DBE"/>
    <w:rsid w:val="649C0A5D"/>
    <w:rsid w:val="649E2AD6"/>
    <w:rsid w:val="64A01013"/>
    <w:rsid w:val="64A81CAF"/>
    <w:rsid w:val="64B83FE9"/>
    <w:rsid w:val="64C76164"/>
    <w:rsid w:val="64D3186F"/>
    <w:rsid w:val="64EF2266"/>
    <w:rsid w:val="64F33559"/>
    <w:rsid w:val="64FD2EEA"/>
    <w:rsid w:val="64FF1ABC"/>
    <w:rsid w:val="650B22E3"/>
    <w:rsid w:val="650E3520"/>
    <w:rsid w:val="651D0967"/>
    <w:rsid w:val="654069DE"/>
    <w:rsid w:val="65413B3E"/>
    <w:rsid w:val="654B3E81"/>
    <w:rsid w:val="6551078B"/>
    <w:rsid w:val="65547627"/>
    <w:rsid w:val="655555A6"/>
    <w:rsid w:val="655B28DC"/>
    <w:rsid w:val="655D3488"/>
    <w:rsid w:val="655F14F0"/>
    <w:rsid w:val="65660277"/>
    <w:rsid w:val="656E6D13"/>
    <w:rsid w:val="65990AED"/>
    <w:rsid w:val="65A573A0"/>
    <w:rsid w:val="65A63707"/>
    <w:rsid w:val="65A80F59"/>
    <w:rsid w:val="65AA319F"/>
    <w:rsid w:val="65AC5539"/>
    <w:rsid w:val="65BB595A"/>
    <w:rsid w:val="65C858A2"/>
    <w:rsid w:val="65E82859"/>
    <w:rsid w:val="65EA1755"/>
    <w:rsid w:val="65F22562"/>
    <w:rsid w:val="65F65692"/>
    <w:rsid w:val="66024F99"/>
    <w:rsid w:val="6602637E"/>
    <w:rsid w:val="66065E37"/>
    <w:rsid w:val="660A505D"/>
    <w:rsid w:val="660C7338"/>
    <w:rsid w:val="661055F7"/>
    <w:rsid w:val="66372459"/>
    <w:rsid w:val="66407FD5"/>
    <w:rsid w:val="664A1F46"/>
    <w:rsid w:val="665346CA"/>
    <w:rsid w:val="6661498D"/>
    <w:rsid w:val="6667571D"/>
    <w:rsid w:val="666B3926"/>
    <w:rsid w:val="66786477"/>
    <w:rsid w:val="667A19E6"/>
    <w:rsid w:val="667E5965"/>
    <w:rsid w:val="667F58D3"/>
    <w:rsid w:val="668C5B9C"/>
    <w:rsid w:val="66A421AD"/>
    <w:rsid w:val="66A601AC"/>
    <w:rsid w:val="66B21902"/>
    <w:rsid w:val="66C240B5"/>
    <w:rsid w:val="66C47E13"/>
    <w:rsid w:val="66C77BCC"/>
    <w:rsid w:val="66CF58C8"/>
    <w:rsid w:val="66D00FF0"/>
    <w:rsid w:val="66DF617E"/>
    <w:rsid w:val="66E50A5C"/>
    <w:rsid w:val="66E5305A"/>
    <w:rsid w:val="66FA0A76"/>
    <w:rsid w:val="66FA2904"/>
    <w:rsid w:val="66FE00E5"/>
    <w:rsid w:val="670314C2"/>
    <w:rsid w:val="670342D9"/>
    <w:rsid w:val="670A28DD"/>
    <w:rsid w:val="670C12ED"/>
    <w:rsid w:val="671300CD"/>
    <w:rsid w:val="671F2137"/>
    <w:rsid w:val="67256725"/>
    <w:rsid w:val="672C3BD3"/>
    <w:rsid w:val="67441F0C"/>
    <w:rsid w:val="674465E9"/>
    <w:rsid w:val="67456CEF"/>
    <w:rsid w:val="67530DBD"/>
    <w:rsid w:val="67594618"/>
    <w:rsid w:val="675B3954"/>
    <w:rsid w:val="675F4E37"/>
    <w:rsid w:val="676B6466"/>
    <w:rsid w:val="6776404D"/>
    <w:rsid w:val="679406A3"/>
    <w:rsid w:val="67954429"/>
    <w:rsid w:val="67A2383F"/>
    <w:rsid w:val="67B07AFB"/>
    <w:rsid w:val="67B26E00"/>
    <w:rsid w:val="67B74A0C"/>
    <w:rsid w:val="67BA3B34"/>
    <w:rsid w:val="67C47F84"/>
    <w:rsid w:val="67CC2C5F"/>
    <w:rsid w:val="67D14CFB"/>
    <w:rsid w:val="67D85572"/>
    <w:rsid w:val="67DD10E7"/>
    <w:rsid w:val="67E51A4F"/>
    <w:rsid w:val="67E81C89"/>
    <w:rsid w:val="67EF77E3"/>
    <w:rsid w:val="67F16AAB"/>
    <w:rsid w:val="67FF2225"/>
    <w:rsid w:val="68022928"/>
    <w:rsid w:val="68163291"/>
    <w:rsid w:val="68244FDF"/>
    <w:rsid w:val="682634A6"/>
    <w:rsid w:val="682824F4"/>
    <w:rsid w:val="68335612"/>
    <w:rsid w:val="683D75EE"/>
    <w:rsid w:val="683F6341"/>
    <w:rsid w:val="68413BF7"/>
    <w:rsid w:val="684A3899"/>
    <w:rsid w:val="68516552"/>
    <w:rsid w:val="685819BA"/>
    <w:rsid w:val="685D249D"/>
    <w:rsid w:val="68600066"/>
    <w:rsid w:val="6861776A"/>
    <w:rsid w:val="687222C2"/>
    <w:rsid w:val="6879445C"/>
    <w:rsid w:val="687A5897"/>
    <w:rsid w:val="687D194E"/>
    <w:rsid w:val="68945561"/>
    <w:rsid w:val="689D6C87"/>
    <w:rsid w:val="68A05E34"/>
    <w:rsid w:val="68AD0074"/>
    <w:rsid w:val="68CF78A2"/>
    <w:rsid w:val="68D4182F"/>
    <w:rsid w:val="68DA458B"/>
    <w:rsid w:val="68E565D8"/>
    <w:rsid w:val="68ED4DA7"/>
    <w:rsid w:val="68FC5EBD"/>
    <w:rsid w:val="690D65A1"/>
    <w:rsid w:val="69122538"/>
    <w:rsid w:val="69194FE8"/>
    <w:rsid w:val="691D6C1E"/>
    <w:rsid w:val="691F4315"/>
    <w:rsid w:val="692C2AEA"/>
    <w:rsid w:val="69383028"/>
    <w:rsid w:val="694D0C27"/>
    <w:rsid w:val="69544350"/>
    <w:rsid w:val="696740B2"/>
    <w:rsid w:val="696C0671"/>
    <w:rsid w:val="69703FA0"/>
    <w:rsid w:val="698455B8"/>
    <w:rsid w:val="69997B9C"/>
    <w:rsid w:val="69A53B11"/>
    <w:rsid w:val="69A84304"/>
    <w:rsid w:val="69AC5DA1"/>
    <w:rsid w:val="69B52A42"/>
    <w:rsid w:val="69B67148"/>
    <w:rsid w:val="69BE4DB3"/>
    <w:rsid w:val="69C36A1D"/>
    <w:rsid w:val="69CF0E91"/>
    <w:rsid w:val="69CF0ED8"/>
    <w:rsid w:val="69D02241"/>
    <w:rsid w:val="69D52B56"/>
    <w:rsid w:val="69D54DDD"/>
    <w:rsid w:val="69D96877"/>
    <w:rsid w:val="69DC0162"/>
    <w:rsid w:val="69E028D2"/>
    <w:rsid w:val="69E14758"/>
    <w:rsid w:val="69E47DEF"/>
    <w:rsid w:val="69E874BD"/>
    <w:rsid w:val="69ED52FE"/>
    <w:rsid w:val="69F31D1B"/>
    <w:rsid w:val="69F54308"/>
    <w:rsid w:val="69FC31CB"/>
    <w:rsid w:val="6A026A5C"/>
    <w:rsid w:val="6A0A7A54"/>
    <w:rsid w:val="6A0C706C"/>
    <w:rsid w:val="6A242290"/>
    <w:rsid w:val="6A2622A1"/>
    <w:rsid w:val="6A29523C"/>
    <w:rsid w:val="6A35577F"/>
    <w:rsid w:val="6A3A22EA"/>
    <w:rsid w:val="6A3B76D1"/>
    <w:rsid w:val="6A3F2D1D"/>
    <w:rsid w:val="6A592054"/>
    <w:rsid w:val="6A5C61DA"/>
    <w:rsid w:val="6A6F04CF"/>
    <w:rsid w:val="6A777087"/>
    <w:rsid w:val="6A807B72"/>
    <w:rsid w:val="6A820574"/>
    <w:rsid w:val="6A8D2838"/>
    <w:rsid w:val="6A9274CB"/>
    <w:rsid w:val="6A99048F"/>
    <w:rsid w:val="6AA077DB"/>
    <w:rsid w:val="6AA22738"/>
    <w:rsid w:val="6AA47C92"/>
    <w:rsid w:val="6AB909BB"/>
    <w:rsid w:val="6ABA0C51"/>
    <w:rsid w:val="6ABC136F"/>
    <w:rsid w:val="6ABD020C"/>
    <w:rsid w:val="6ABD3E18"/>
    <w:rsid w:val="6ADD6D64"/>
    <w:rsid w:val="6AE032BE"/>
    <w:rsid w:val="6AE24014"/>
    <w:rsid w:val="6AF12E6D"/>
    <w:rsid w:val="6AFA5927"/>
    <w:rsid w:val="6B0F06C2"/>
    <w:rsid w:val="6B2B6878"/>
    <w:rsid w:val="6B313A43"/>
    <w:rsid w:val="6B585A95"/>
    <w:rsid w:val="6B5C172C"/>
    <w:rsid w:val="6B633F4F"/>
    <w:rsid w:val="6B70680D"/>
    <w:rsid w:val="6B816F14"/>
    <w:rsid w:val="6B82736C"/>
    <w:rsid w:val="6B8A779B"/>
    <w:rsid w:val="6B947D7E"/>
    <w:rsid w:val="6BA94B8D"/>
    <w:rsid w:val="6BAD6C20"/>
    <w:rsid w:val="6BAF0432"/>
    <w:rsid w:val="6BB456BB"/>
    <w:rsid w:val="6BB62A44"/>
    <w:rsid w:val="6BC164A3"/>
    <w:rsid w:val="6BD2493B"/>
    <w:rsid w:val="6BD51433"/>
    <w:rsid w:val="6BE052CE"/>
    <w:rsid w:val="6BF2692A"/>
    <w:rsid w:val="6BF358A4"/>
    <w:rsid w:val="6C051F4E"/>
    <w:rsid w:val="6C096C12"/>
    <w:rsid w:val="6C1A5960"/>
    <w:rsid w:val="6C1F1AB4"/>
    <w:rsid w:val="6C304BD6"/>
    <w:rsid w:val="6C311D32"/>
    <w:rsid w:val="6C33740F"/>
    <w:rsid w:val="6C377C16"/>
    <w:rsid w:val="6C417EB8"/>
    <w:rsid w:val="6C467142"/>
    <w:rsid w:val="6C613F45"/>
    <w:rsid w:val="6C756221"/>
    <w:rsid w:val="6C7B08BB"/>
    <w:rsid w:val="6C816AF9"/>
    <w:rsid w:val="6C846694"/>
    <w:rsid w:val="6C947428"/>
    <w:rsid w:val="6C954D50"/>
    <w:rsid w:val="6CA21112"/>
    <w:rsid w:val="6CA841D2"/>
    <w:rsid w:val="6CB10385"/>
    <w:rsid w:val="6CDF0F3A"/>
    <w:rsid w:val="6CE47854"/>
    <w:rsid w:val="6CE72999"/>
    <w:rsid w:val="6D011AA2"/>
    <w:rsid w:val="6D0D25B8"/>
    <w:rsid w:val="6D1A2893"/>
    <w:rsid w:val="6D2A2544"/>
    <w:rsid w:val="6D490A6B"/>
    <w:rsid w:val="6D4E3368"/>
    <w:rsid w:val="6D5610FF"/>
    <w:rsid w:val="6D582A6D"/>
    <w:rsid w:val="6D604FD1"/>
    <w:rsid w:val="6D635FBA"/>
    <w:rsid w:val="6D6534EB"/>
    <w:rsid w:val="6D6972E3"/>
    <w:rsid w:val="6D6C0EA8"/>
    <w:rsid w:val="6D7025D5"/>
    <w:rsid w:val="6D732F9C"/>
    <w:rsid w:val="6D846F22"/>
    <w:rsid w:val="6D9239A2"/>
    <w:rsid w:val="6DA524EE"/>
    <w:rsid w:val="6DAE5920"/>
    <w:rsid w:val="6DB664EE"/>
    <w:rsid w:val="6DC325DE"/>
    <w:rsid w:val="6DC347C2"/>
    <w:rsid w:val="6DC64BAC"/>
    <w:rsid w:val="6DC91BE5"/>
    <w:rsid w:val="6DDA4BA3"/>
    <w:rsid w:val="6DF44C7C"/>
    <w:rsid w:val="6E037AD7"/>
    <w:rsid w:val="6E056523"/>
    <w:rsid w:val="6E074EC9"/>
    <w:rsid w:val="6E0F5F0C"/>
    <w:rsid w:val="6E160E52"/>
    <w:rsid w:val="6E2E569B"/>
    <w:rsid w:val="6E4064F1"/>
    <w:rsid w:val="6E4E39FC"/>
    <w:rsid w:val="6E5545BD"/>
    <w:rsid w:val="6E5D1964"/>
    <w:rsid w:val="6E614B19"/>
    <w:rsid w:val="6E616F13"/>
    <w:rsid w:val="6E7203E4"/>
    <w:rsid w:val="6E7369B5"/>
    <w:rsid w:val="6E7375B5"/>
    <w:rsid w:val="6E743900"/>
    <w:rsid w:val="6E7B3BEF"/>
    <w:rsid w:val="6E7B5CAB"/>
    <w:rsid w:val="6E7F3D55"/>
    <w:rsid w:val="6E80227A"/>
    <w:rsid w:val="6E936F9B"/>
    <w:rsid w:val="6EAA56FE"/>
    <w:rsid w:val="6EB37B5B"/>
    <w:rsid w:val="6EC1762C"/>
    <w:rsid w:val="6ED50081"/>
    <w:rsid w:val="6ED70BA2"/>
    <w:rsid w:val="6EDB7671"/>
    <w:rsid w:val="6EF77260"/>
    <w:rsid w:val="6F0B4C6A"/>
    <w:rsid w:val="6F226923"/>
    <w:rsid w:val="6F2302E3"/>
    <w:rsid w:val="6F314C13"/>
    <w:rsid w:val="6F382FA6"/>
    <w:rsid w:val="6F391F60"/>
    <w:rsid w:val="6F694006"/>
    <w:rsid w:val="6F6C5490"/>
    <w:rsid w:val="6F6D23E0"/>
    <w:rsid w:val="6F6D4CE5"/>
    <w:rsid w:val="6F6D6A5C"/>
    <w:rsid w:val="6F75014C"/>
    <w:rsid w:val="6F761900"/>
    <w:rsid w:val="6F9C52CB"/>
    <w:rsid w:val="6FA71AD5"/>
    <w:rsid w:val="6FAF2607"/>
    <w:rsid w:val="6FC328B5"/>
    <w:rsid w:val="6FD34CE8"/>
    <w:rsid w:val="6FD47D24"/>
    <w:rsid w:val="6FE17D06"/>
    <w:rsid w:val="6FEA289F"/>
    <w:rsid w:val="6FEC3757"/>
    <w:rsid w:val="6FF320BF"/>
    <w:rsid w:val="6FF536DD"/>
    <w:rsid w:val="6FF7301B"/>
    <w:rsid w:val="6FF96665"/>
    <w:rsid w:val="6FFD71B3"/>
    <w:rsid w:val="70092381"/>
    <w:rsid w:val="70093037"/>
    <w:rsid w:val="700D2412"/>
    <w:rsid w:val="70112883"/>
    <w:rsid w:val="70243856"/>
    <w:rsid w:val="702A055B"/>
    <w:rsid w:val="702C664F"/>
    <w:rsid w:val="703F2471"/>
    <w:rsid w:val="704A511A"/>
    <w:rsid w:val="704B4131"/>
    <w:rsid w:val="70531ED5"/>
    <w:rsid w:val="705A528C"/>
    <w:rsid w:val="7068062C"/>
    <w:rsid w:val="70797E89"/>
    <w:rsid w:val="707F47B3"/>
    <w:rsid w:val="70867905"/>
    <w:rsid w:val="70954F53"/>
    <w:rsid w:val="70971294"/>
    <w:rsid w:val="709F7185"/>
    <w:rsid w:val="709F7BD9"/>
    <w:rsid w:val="70A51792"/>
    <w:rsid w:val="70A92DC8"/>
    <w:rsid w:val="70A94A40"/>
    <w:rsid w:val="70B774F6"/>
    <w:rsid w:val="70BB13B4"/>
    <w:rsid w:val="70D80F32"/>
    <w:rsid w:val="70D97C76"/>
    <w:rsid w:val="70F12A55"/>
    <w:rsid w:val="70F76E40"/>
    <w:rsid w:val="710C1219"/>
    <w:rsid w:val="711337D0"/>
    <w:rsid w:val="711D7FAC"/>
    <w:rsid w:val="713173E8"/>
    <w:rsid w:val="71420658"/>
    <w:rsid w:val="7143472C"/>
    <w:rsid w:val="71440341"/>
    <w:rsid w:val="71531561"/>
    <w:rsid w:val="71597148"/>
    <w:rsid w:val="71693DCF"/>
    <w:rsid w:val="71715206"/>
    <w:rsid w:val="71743A1D"/>
    <w:rsid w:val="71774D56"/>
    <w:rsid w:val="71901CEF"/>
    <w:rsid w:val="719438F4"/>
    <w:rsid w:val="719D7F3F"/>
    <w:rsid w:val="71B55DFD"/>
    <w:rsid w:val="71B75A51"/>
    <w:rsid w:val="71B834E8"/>
    <w:rsid w:val="71BF4078"/>
    <w:rsid w:val="71D0750E"/>
    <w:rsid w:val="71D803D1"/>
    <w:rsid w:val="71DF4622"/>
    <w:rsid w:val="71E501C6"/>
    <w:rsid w:val="71F10578"/>
    <w:rsid w:val="71F40A44"/>
    <w:rsid w:val="71F56263"/>
    <w:rsid w:val="71FB6BC8"/>
    <w:rsid w:val="7202163F"/>
    <w:rsid w:val="72341FD3"/>
    <w:rsid w:val="72364FB6"/>
    <w:rsid w:val="723B04C8"/>
    <w:rsid w:val="724266AF"/>
    <w:rsid w:val="724E6817"/>
    <w:rsid w:val="725F40EB"/>
    <w:rsid w:val="72600D68"/>
    <w:rsid w:val="72604620"/>
    <w:rsid w:val="726B02C1"/>
    <w:rsid w:val="726D2C67"/>
    <w:rsid w:val="727C2338"/>
    <w:rsid w:val="72862316"/>
    <w:rsid w:val="729A0F74"/>
    <w:rsid w:val="72A21DB8"/>
    <w:rsid w:val="72A700F5"/>
    <w:rsid w:val="72BD1FAF"/>
    <w:rsid w:val="72BE7DA1"/>
    <w:rsid w:val="72C02A90"/>
    <w:rsid w:val="72EB23D5"/>
    <w:rsid w:val="72F03574"/>
    <w:rsid w:val="72F77CB6"/>
    <w:rsid w:val="72FA423D"/>
    <w:rsid w:val="73025BA4"/>
    <w:rsid w:val="731438BD"/>
    <w:rsid w:val="73216743"/>
    <w:rsid w:val="7327134F"/>
    <w:rsid w:val="732D5C49"/>
    <w:rsid w:val="733155C8"/>
    <w:rsid w:val="73403A1F"/>
    <w:rsid w:val="73407A23"/>
    <w:rsid w:val="73422D3C"/>
    <w:rsid w:val="735171FE"/>
    <w:rsid w:val="73625723"/>
    <w:rsid w:val="73661E78"/>
    <w:rsid w:val="736E3CD9"/>
    <w:rsid w:val="737007D9"/>
    <w:rsid w:val="738526B4"/>
    <w:rsid w:val="73861499"/>
    <w:rsid w:val="738B5B50"/>
    <w:rsid w:val="73AA53A0"/>
    <w:rsid w:val="73B04F6B"/>
    <w:rsid w:val="73D20D1A"/>
    <w:rsid w:val="73D53192"/>
    <w:rsid w:val="73E168D2"/>
    <w:rsid w:val="73E873C4"/>
    <w:rsid w:val="73EC193B"/>
    <w:rsid w:val="73F07AA4"/>
    <w:rsid w:val="74010DBC"/>
    <w:rsid w:val="74054701"/>
    <w:rsid w:val="740D2C3F"/>
    <w:rsid w:val="74135925"/>
    <w:rsid w:val="74176620"/>
    <w:rsid w:val="74262CDB"/>
    <w:rsid w:val="742827DB"/>
    <w:rsid w:val="7429075B"/>
    <w:rsid w:val="742D098E"/>
    <w:rsid w:val="742D6CA9"/>
    <w:rsid w:val="742E58A2"/>
    <w:rsid w:val="742F147C"/>
    <w:rsid w:val="74525628"/>
    <w:rsid w:val="74562CF1"/>
    <w:rsid w:val="745F06BF"/>
    <w:rsid w:val="746740F9"/>
    <w:rsid w:val="746C713B"/>
    <w:rsid w:val="747607E0"/>
    <w:rsid w:val="748D2368"/>
    <w:rsid w:val="749217E0"/>
    <w:rsid w:val="749D7B3F"/>
    <w:rsid w:val="74B22D8C"/>
    <w:rsid w:val="74C26B38"/>
    <w:rsid w:val="74C55FC1"/>
    <w:rsid w:val="74CC7EC1"/>
    <w:rsid w:val="74D06B63"/>
    <w:rsid w:val="74DA7552"/>
    <w:rsid w:val="74E41FDD"/>
    <w:rsid w:val="74EF6361"/>
    <w:rsid w:val="74F00D7B"/>
    <w:rsid w:val="74F347DF"/>
    <w:rsid w:val="74FA7FE6"/>
    <w:rsid w:val="74FD4A9B"/>
    <w:rsid w:val="75036430"/>
    <w:rsid w:val="750B11C6"/>
    <w:rsid w:val="750C3FF3"/>
    <w:rsid w:val="750E6C81"/>
    <w:rsid w:val="751D43A6"/>
    <w:rsid w:val="75230A9A"/>
    <w:rsid w:val="75367802"/>
    <w:rsid w:val="754163AB"/>
    <w:rsid w:val="75453AE1"/>
    <w:rsid w:val="754F4BAD"/>
    <w:rsid w:val="75533119"/>
    <w:rsid w:val="75573AC9"/>
    <w:rsid w:val="75595449"/>
    <w:rsid w:val="755B307D"/>
    <w:rsid w:val="7572283C"/>
    <w:rsid w:val="757D16FB"/>
    <w:rsid w:val="758641A3"/>
    <w:rsid w:val="758A08EA"/>
    <w:rsid w:val="758B283A"/>
    <w:rsid w:val="75BD313A"/>
    <w:rsid w:val="75BF09C7"/>
    <w:rsid w:val="75BF6D3D"/>
    <w:rsid w:val="75C97F23"/>
    <w:rsid w:val="75D0419D"/>
    <w:rsid w:val="75D800EB"/>
    <w:rsid w:val="75DC1EF4"/>
    <w:rsid w:val="75DD7BCA"/>
    <w:rsid w:val="75E17EDC"/>
    <w:rsid w:val="75E50837"/>
    <w:rsid w:val="75ED02CE"/>
    <w:rsid w:val="75EF5520"/>
    <w:rsid w:val="75EF6BD7"/>
    <w:rsid w:val="75F63713"/>
    <w:rsid w:val="75FE4A3C"/>
    <w:rsid w:val="761258D4"/>
    <w:rsid w:val="76134713"/>
    <w:rsid w:val="76143A54"/>
    <w:rsid w:val="76284CE1"/>
    <w:rsid w:val="762D6256"/>
    <w:rsid w:val="7637074A"/>
    <w:rsid w:val="763B63B0"/>
    <w:rsid w:val="764772A3"/>
    <w:rsid w:val="76741EF9"/>
    <w:rsid w:val="767B7960"/>
    <w:rsid w:val="767E0C6B"/>
    <w:rsid w:val="76826888"/>
    <w:rsid w:val="7691181B"/>
    <w:rsid w:val="76956794"/>
    <w:rsid w:val="769A6195"/>
    <w:rsid w:val="769F5EDA"/>
    <w:rsid w:val="76A44430"/>
    <w:rsid w:val="76A71FBB"/>
    <w:rsid w:val="76AA5D81"/>
    <w:rsid w:val="76AB50DC"/>
    <w:rsid w:val="76B50450"/>
    <w:rsid w:val="76BB316D"/>
    <w:rsid w:val="76BB3C83"/>
    <w:rsid w:val="76C80EC7"/>
    <w:rsid w:val="76EC260D"/>
    <w:rsid w:val="76F229DF"/>
    <w:rsid w:val="76F73D47"/>
    <w:rsid w:val="77006E1F"/>
    <w:rsid w:val="77032A24"/>
    <w:rsid w:val="770E4D00"/>
    <w:rsid w:val="771670C1"/>
    <w:rsid w:val="772C164B"/>
    <w:rsid w:val="772C16E9"/>
    <w:rsid w:val="772E1F8C"/>
    <w:rsid w:val="77316A71"/>
    <w:rsid w:val="773736A8"/>
    <w:rsid w:val="77534E09"/>
    <w:rsid w:val="77536779"/>
    <w:rsid w:val="77683E14"/>
    <w:rsid w:val="77734EA5"/>
    <w:rsid w:val="777E537D"/>
    <w:rsid w:val="777F5BFE"/>
    <w:rsid w:val="77A06542"/>
    <w:rsid w:val="77A922C9"/>
    <w:rsid w:val="77AC049C"/>
    <w:rsid w:val="77B23714"/>
    <w:rsid w:val="77BB772D"/>
    <w:rsid w:val="77C33F18"/>
    <w:rsid w:val="77D43FD2"/>
    <w:rsid w:val="77E22F48"/>
    <w:rsid w:val="77EA419F"/>
    <w:rsid w:val="77F03E2F"/>
    <w:rsid w:val="77FA155A"/>
    <w:rsid w:val="781137AD"/>
    <w:rsid w:val="781D13FA"/>
    <w:rsid w:val="78242C2B"/>
    <w:rsid w:val="782817E9"/>
    <w:rsid w:val="78360DEC"/>
    <w:rsid w:val="78402148"/>
    <w:rsid w:val="78555C26"/>
    <w:rsid w:val="7857093C"/>
    <w:rsid w:val="785A4EEE"/>
    <w:rsid w:val="78640057"/>
    <w:rsid w:val="786F115C"/>
    <w:rsid w:val="787755B6"/>
    <w:rsid w:val="78810787"/>
    <w:rsid w:val="78826969"/>
    <w:rsid w:val="788E3AAC"/>
    <w:rsid w:val="788F5DE7"/>
    <w:rsid w:val="78AB6B00"/>
    <w:rsid w:val="78B515B5"/>
    <w:rsid w:val="78BC6FFF"/>
    <w:rsid w:val="78C107B1"/>
    <w:rsid w:val="78C21620"/>
    <w:rsid w:val="78CE2D76"/>
    <w:rsid w:val="78EE2375"/>
    <w:rsid w:val="78FA244C"/>
    <w:rsid w:val="78FE1B78"/>
    <w:rsid w:val="79024116"/>
    <w:rsid w:val="790B5E4F"/>
    <w:rsid w:val="790D572F"/>
    <w:rsid w:val="7911339B"/>
    <w:rsid w:val="79233654"/>
    <w:rsid w:val="792C7D69"/>
    <w:rsid w:val="793E4F07"/>
    <w:rsid w:val="79455569"/>
    <w:rsid w:val="79470AE2"/>
    <w:rsid w:val="795123A8"/>
    <w:rsid w:val="79524E02"/>
    <w:rsid w:val="79535AC3"/>
    <w:rsid w:val="79620961"/>
    <w:rsid w:val="79815C5D"/>
    <w:rsid w:val="79987ED2"/>
    <w:rsid w:val="79AE1AE3"/>
    <w:rsid w:val="79AE77FB"/>
    <w:rsid w:val="79AF50E3"/>
    <w:rsid w:val="79B85AA8"/>
    <w:rsid w:val="79C342A8"/>
    <w:rsid w:val="79C34F9F"/>
    <w:rsid w:val="79C81B6A"/>
    <w:rsid w:val="79D46A29"/>
    <w:rsid w:val="79E83652"/>
    <w:rsid w:val="79EF6059"/>
    <w:rsid w:val="79FA50C7"/>
    <w:rsid w:val="7A074D7D"/>
    <w:rsid w:val="7A1053E1"/>
    <w:rsid w:val="7A17618B"/>
    <w:rsid w:val="7A177139"/>
    <w:rsid w:val="7A1E05C7"/>
    <w:rsid w:val="7A205516"/>
    <w:rsid w:val="7A3F1ABF"/>
    <w:rsid w:val="7A413A99"/>
    <w:rsid w:val="7A4609B6"/>
    <w:rsid w:val="7A4642A9"/>
    <w:rsid w:val="7A4972A5"/>
    <w:rsid w:val="7A4B4246"/>
    <w:rsid w:val="7A4B6B30"/>
    <w:rsid w:val="7A544A7B"/>
    <w:rsid w:val="7A5C009B"/>
    <w:rsid w:val="7A5D3D51"/>
    <w:rsid w:val="7A5F0CF7"/>
    <w:rsid w:val="7A6737D5"/>
    <w:rsid w:val="7A675EA5"/>
    <w:rsid w:val="7A6B3865"/>
    <w:rsid w:val="7A7041ED"/>
    <w:rsid w:val="7A832390"/>
    <w:rsid w:val="7A92679C"/>
    <w:rsid w:val="7A955810"/>
    <w:rsid w:val="7A985E92"/>
    <w:rsid w:val="7A9A1D5D"/>
    <w:rsid w:val="7A9C2E47"/>
    <w:rsid w:val="7AC019FF"/>
    <w:rsid w:val="7ACA6FB9"/>
    <w:rsid w:val="7AF406B1"/>
    <w:rsid w:val="7AF46C5F"/>
    <w:rsid w:val="7AF91BCC"/>
    <w:rsid w:val="7B0C5BAE"/>
    <w:rsid w:val="7B230651"/>
    <w:rsid w:val="7B2374FE"/>
    <w:rsid w:val="7B24476E"/>
    <w:rsid w:val="7B34342A"/>
    <w:rsid w:val="7B3873CB"/>
    <w:rsid w:val="7B412669"/>
    <w:rsid w:val="7B472446"/>
    <w:rsid w:val="7B4927AB"/>
    <w:rsid w:val="7B496993"/>
    <w:rsid w:val="7B6B35F1"/>
    <w:rsid w:val="7B763C81"/>
    <w:rsid w:val="7B783675"/>
    <w:rsid w:val="7B796807"/>
    <w:rsid w:val="7B8352C9"/>
    <w:rsid w:val="7BAA07E8"/>
    <w:rsid w:val="7BAB6832"/>
    <w:rsid w:val="7BAC2D3A"/>
    <w:rsid w:val="7BAE3C97"/>
    <w:rsid w:val="7BB16076"/>
    <w:rsid w:val="7BB46DB9"/>
    <w:rsid w:val="7BC12C72"/>
    <w:rsid w:val="7BD53F1A"/>
    <w:rsid w:val="7BD74454"/>
    <w:rsid w:val="7BE96DEC"/>
    <w:rsid w:val="7C0148DF"/>
    <w:rsid w:val="7C021A51"/>
    <w:rsid w:val="7C033C13"/>
    <w:rsid w:val="7C041A0F"/>
    <w:rsid w:val="7C110306"/>
    <w:rsid w:val="7C1A1B2C"/>
    <w:rsid w:val="7C1A63E7"/>
    <w:rsid w:val="7C212B8A"/>
    <w:rsid w:val="7C3C3809"/>
    <w:rsid w:val="7C3D66BC"/>
    <w:rsid w:val="7C6212C4"/>
    <w:rsid w:val="7C8464A1"/>
    <w:rsid w:val="7C9D2D7B"/>
    <w:rsid w:val="7CA26867"/>
    <w:rsid w:val="7CB43A8E"/>
    <w:rsid w:val="7CC106AB"/>
    <w:rsid w:val="7CCD289A"/>
    <w:rsid w:val="7CDF4250"/>
    <w:rsid w:val="7D09113D"/>
    <w:rsid w:val="7D0B1257"/>
    <w:rsid w:val="7D157A0E"/>
    <w:rsid w:val="7D1658AD"/>
    <w:rsid w:val="7D1B2E27"/>
    <w:rsid w:val="7D1D4159"/>
    <w:rsid w:val="7D243099"/>
    <w:rsid w:val="7D4071CA"/>
    <w:rsid w:val="7D4B3993"/>
    <w:rsid w:val="7D5F5E30"/>
    <w:rsid w:val="7D656BAD"/>
    <w:rsid w:val="7D680D06"/>
    <w:rsid w:val="7D6B45FB"/>
    <w:rsid w:val="7D6C208F"/>
    <w:rsid w:val="7D897D56"/>
    <w:rsid w:val="7D8F519C"/>
    <w:rsid w:val="7D9B14E5"/>
    <w:rsid w:val="7DA753B2"/>
    <w:rsid w:val="7DAA42B2"/>
    <w:rsid w:val="7DAA569A"/>
    <w:rsid w:val="7DAC0DCF"/>
    <w:rsid w:val="7DB025C3"/>
    <w:rsid w:val="7DB1501E"/>
    <w:rsid w:val="7DB31B42"/>
    <w:rsid w:val="7DB676D9"/>
    <w:rsid w:val="7DBE16CF"/>
    <w:rsid w:val="7DC37DE3"/>
    <w:rsid w:val="7DD45912"/>
    <w:rsid w:val="7DD93D26"/>
    <w:rsid w:val="7DF51E1E"/>
    <w:rsid w:val="7E01146C"/>
    <w:rsid w:val="7E0D4E8F"/>
    <w:rsid w:val="7E107D04"/>
    <w:rsid w:val="7E202441"/>
    <w:rsid w:val="7E214E29"/>
    <w:rsid w:val="7E2E0E57"/>
    <w:rsid w:val="7E304C9A"/>
    <w:rsid w:val="7E5341B1"/>
    <w:rsid w:val="7E5D785B"/>
    <w:rsid w:val="7E613E8F"/>
    <w:rsid w:val="7E616C7B"/>
    <w:rsid w:val="7E733A70"/>
    <w:rsid w:val="7E7B6F02"/>
    <w:rsid w:val="7E7C322C"/>
    <w:rsid w:val="7E8A0780"/>
    <w:rsid w:val="7E974F26"/>
    <w:rsid w:val="7EA574A2"/>
    <w:rsid w:val="7EAF5D14"/>
    <w:rsid w:val="7EBB0DC0"/>
    <w:rsid w:val="7EC42E15"/>
    <w:rsid w:val="7EC50C54"/>
    <w:rsid w:val="7ED11A3C"/>
    <w:rsid w:val="7ED91C72"/>
    <w:rsid w:val="7EEB5BB3"/>
    <w:rsid w:val="7EF05AD7"/>
    <w:rsid w:val="7EFA2ADA"/>
    <w:rsid w:val="7F1568D7"/>
    <w:rsid w:val="7F2E0D24"/>
    <w:rsid w:val="7F312E91"/>
    <w:rsid w:val="7F33645C"/>
    <w:rsid w:val="7F370B28"/>
    <w:rsid w:val="7F497F59"/>
    <w:rsid w:val="7F4E4DC2"/>
    <w:rsid w:val="7F5A577A"/>
    <w:rsid w:val="7F66205C"/>
    <w:rsid w:val="7F704CA4"/>
    <w:rsid w:val="7F8A0815"/>
    <w:rsid w:val="7F915ABD"/>
    <w:rsid w:val="7FA41496"/>
    <w:rsid w:val="7FA8327A"/>
    <w:rsid w:val="7FB12AEF"/>
    <w:rsid w:val="7FB32EED"/>
    <w:rsid w:val="7FB6358D"/>
    <w:rsid w:val="7FBF394E"/>
    <w:rsid w:val="7FD82F39"/>
    <w:rsid w:val="7FE076F1"/>
    <w:rsid w:val="7FF56F47"/>
    <w:rsid w:val="EBF78395"/>
    <w:rsid w:val="EFB350A0"/>
    <w:rsid w:val="F5D2BC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5"/>
      <w:szCs w:val="35"/>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customStyle="1" w:styleId="8">
    <w:name w:val="Table Normal"/>
    <w:unhideWhenUsed/>
    <w:qFormat/>
    <w:uiPriority w:val="0"/>
    <w:tblPr>
      <w:tblCellMar>
        <w:top w:w="0" w:type="dxa"/>
        <w:left w:w="0" w:type="dxa"/>
        <w:bottom w:w="0" w:type="dxa"/>
        <w:right w:w="0" w:type="dxa"/>
      </w:tblCellMar>
    </w:tblPr>
  </w:style>
  <w:style w:type="paragraph" w:customStyle="1" w:styleId="9">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5528</Words>
  <Characters>6419</Characters>
  <Lines>0</Lines>
  <Paragraphs>0</Paragraphs>
  <TotalTime>5</TotalTime>
  <ScaleCrop>false</ScaleCrop>
  <LinksUpToDate>false</LinksUpToDate>
  <CharactersWithSpaces>6576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2024-04-20T16:44:00Z</dcterms:created>
  <dc:creator>新一天</dc:creator>
  <cp:lastModifiedBy>阿朵</cp:lastModifiedBy>
  <dcterms:modified xsi:type="dcterms:W3CDTF">2026-07-29T08:02:15Z</dcterms:modified>
  <dc:title>附件1</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CF8ED2EFF28244AB8D49EC57F677C651_13</vt:lpwstr>
  </property>
  <property fmtid="{D5CDD505-2E9C-101B-9397-08002B2CF9AE}" pid="4" name="KSOTemplateDocerSaveRecord">
    <vt:lpwstr>eyJoZGlkIjoiZTQ2Yjk5NzBlNjIxNDhmODM4OGU0YzM5ZWM3YTY4OTAiLCJ1c2VySWQiOiI2MDE2NTg1ODEifQ==</vt:lpwstr>
  </property>
</Properties>
</file>