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95CCC">
      <w:pPr>
        <w:rPr>
          <w:rFonts w:hint="eastAsia" w:ascii="黑体" w:hAnsi="黑体" w:eastAsia="黑体" w:cs="黑体"/>
          <w:color w:val="000000"/>
          <w:spacing w:val="10"/>
          <w:sz w:val="32"/>
          <w:szCs w:val="32"/>
          <w:lang w:eastAsia="zh-CN"/>
        </w:rPr>
      </w:pPr>
      <w:r>
        <w:rPr>
          <w:rFonts w:hint="eastAsia" w:ascii="黑体" w:hAnsi="黑体" w:eastAsia="黑体" w:cs="黑体"/>
          <w:color w:val="000000"/>
          <w:spacing w:val="10"/>
          <w:sz w:val="32"/>
          <w:szCs w:val="32"/>
        </w:rPr>
        <w:t>附件</w:t>
      </w:r>
      <w:r>
        <w:rPr>
          <w:rFonts w:hint="eastAsia" w:ascii="黑体" w:hAnsi="黑体" w:eastAsia="黑体" w:cs="黑体"/>
          <w:color w:val="000000"/>
          <w:spacing w:val="10"/>
          <w:sz w:val="32"/>
          <w:szCs w:val="32"/>
          <w:lang w:val="en-US" w:eastAsia="zh-CN"/>
        </w:rPr>
        <w:t>1</w:t>
      </w:r>
    </w:p>
    <w:p w14:paraId="1235272C">
      <w:pPr>
        <w:spacing w:line="700" w:lineRule="exact"/>
        <w:jc w:val="center"/>
        <w:rPr>
          <w:rFonts w:ascii="方正小标宋简体" w:hAnsi="方正小标宋简体" w:eastAsia="方正小标宋简体" w:cs="方正小标宋简体"/>
          <w:color w:val="000000"/>
          <w:spacing w:val="2"/>
          <w:sz w:val="44"/>
          <w:szCs w:val="44"/>
        </w:rPr>
      </w:pPr>
      <w:r>
        <w:rPr>
          <w:rFonts w:hint="eastAsia" w:ascii="方正小标宋简体" w:hAnsi="方正小标宋简体" w:eastAsia="方正小标宋简体" w:cs="方正小标宋简体"/>
          <w:color w:val="000000"/>
          <w:spacing w:val="2"/>
          <w:sz w:val="42"/>
          <w:szCs w:val="42"/>
        </w:rPr>
        <w:t>2024年度预算单位整体支出绩效评价基础数据表</w:t>
      </w:r>
    </w:p>
    <w:p w14:paraId="76328651">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1FD93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ign w:val="center"/>
          </w:tcPr>
          <w:p w14:paraId="485481A5">
            <w:pPr>
              <w:spacing w:before="33" w:line="198" w:lineRule="auto"/>
              <w:ind w:right="118"/>
              <w:jc w:val="center"/>
              <w:rPr>
                <w:rFonts w:ascii="宋体" w:hAnsi="宋体" w:eastAsia="宋体" w:cs="宋体"/>
                <w:color w:val="000000"/>
                <w:spacing w:val="2"/>
                <w:sz w:val="24"/>
              </w:rPr>
            </w:pPr>
            <w:r>
              <w:rPr>
                <w:rFonts w:hint="eastAsia" w:ascii="宋体" w:hAnsi="宋体" w:eastAsia="宋体" w:cs="宋体"/>
                <w:color w:val="000000"/>
                <w:spacing w:val="2"/>
                <w:sz w:val="24"/>
              </w:rPr>
              <w:t>预算单位名称</w:t>
            </w:r>
          </w:p>
        </w:tc>
        <w:tc>
          <w:tcPr>
            <w:tcW w:w="5819" w:type="dxa"/>
            <w:gridSpan w:val="6"/>
            <w:noWrap/>
          </w:tcPr>
          <w:p w14:paraId="67832E65">
            <w:pPr>
              <w:spacing w:before="103" w:line="219" w:lineRule="auto"/>
              <w:ind w:left="708"/>
              <w:rPr>
                <w:rFonts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岳阳市岳阳楼区农产品综合检验检测中心</w:t>
            </w:r>
          </w:p>
        </w:tc>
      </w:tr>
      <w:tr w14:paraId="5AFED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tcPr>
          <w:p w14:paraId="7CD517E0">
            <w:pPr>
              <w:spacing w:before="262" w:line="219" w:lineRule="auto"/>
              <w:ind w:left="575"/>
              <w:jc w:val="left"/>
              <w:rPr>
                <w:rFonts w:ascii="宋体" w:hAnsi="宋体" w:eastAsia="宋体" w:cs="宋体"/>
                <w:color w:val="000000"/>
                <w:sz w:val="24"/>
              </w:rPr>
            </w:pPr>
            <w:r>
              <w:rPr>
                <w:rFonts w:hint="eastAsia" w:ascii="宋体" w:hAnsi="宋体" w:eastAsia="宋体" w:cs="宋体"/>
                <w:color w:val="000000"/>
                <w:spacing w:val="3"/>
                <w:sz w:val="24"/>
              </w:rPr>
              <w:t>财政供养人员情况(人)</w:t>
            </w:r>
          </w:p>
        </w:tc>
        <w:tc>
          <w:tcPr>
            <w:tcW w:w="1815" w:type="dxa"/>
            <w:gridSpan w:val="2"/>
            <w:noWrap/>
          </w:tcPr>
          <w:p w14:paraId="7974620C">
            <w:pPr>
              <w:spacing w:before="103" w:line="219" w:lineRule="auto"/>
              <w:jc w:val="center"/>
              <w:rPr>
                <w:rFonts w:ascii="宋体" w:hAnsi="宋体" w:eastAsia="宋体" w:cs="宋体"/>
                <w:color w:val="000000"/>
                <w:sz w:val="24"/>
              </w:rPr>
            </w:pPr>
            <w:r>
              <w:rPr>
                <w:rFonts w:hint="eastAsia" w:ascii="宋体" w:hAnsi="宋体" w:eastAsia="宋体" w:cs="宋体"/>
                <w:color w:val="000000"/>
                <w:spacing w:val="-3"/>
                <w:sz w:val="24"/>
              </w:rPr>
              <w:t>编制数</w:t>
            </w:r>
          </w:p>
        </w:tc>
        <w:tc>
          <w:tcPr>
            <w:tcW w:w="2325" w:type="dxa"/>
            <w:gridSpan w:val="2"/>
            <w:noWrap/>
          </w:tcPr>
          <w:p w14:paraId="09FF0487">
            <w:pPr>
              <w:spacing w:before="83" w:line="219" w:lineRule="auto"/>
              <w:jc w:val="center"/>
              <w:rPr>
                <w:rFonts w:ascii="宋体" w:hAnsi="宋体" w:eastAsia="宋体" w:cs="宋体"/>
                <w:color w:val="000000"/>
                <w:sz w:val="24"/>
              </w:rPr>
            </w:pPr>
            <w:r>
              <w:rPr>
                <w:rFonts w:hint="eastAsia" w:ascii="宋体" w:hAnsi="宋体" w:eastAsia="宋体" w:cs="宋体"/>
                <w:color w:val="000000"/>
                <w:spacing w:val="-1"/>
                <w:sz w:val="24"/>
              </w:rPr>
              <w:t>2024年实际在职人数</w:t>
            </w:r>
          </w:p>
        </w:tc>
        <w:tc>
          <w:tcPr>
            <w:tcW w:w="1679" w:type="dxa"/>
            <w:gridSpan w:val="2"/>
            <w:noWrap/>
          </w:tcPr>
          <w:p w14:paraId="128592E8">
            <w:pPr>
              <w:spacing w:before="103" w:line="219" w:lineRule="auto"/>
              <w:ind w:left="708"/>
              <w:rPr>
                <w:rFonts w:ascii="宋体" w:hAnsi="宋体" w:eastAsia="宋体" w:cs="宋体"/>
                <w:color w:val="000000"/>
                <w:sz w:val="24"/>
              </w:rPr>
            </w:pPr>
            <w:r>
              <w:rPr>
                <w:rFonts w:hint="eastAsia" w:ascii="宋体" w:hAnsi="宋体" w:eastAsia="宋体" w:cs="宋体"/>
                <w:color w:val="000000"/>
                <w:spacing w:val="-2"/>
                <w:sz w:val="24"/>
              </w:rPr>
              <w:t>控制率</w:t>
            </w:r>
          </w:p>
        </w:tc>
      </w:tr>
      <w:tr w14:paraId="4B331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tcPr>
          <w:p w14:paraId="39B41F5C">
            <w:pPr>
              <w:jc w:val="left"/>
              <w:rPr>
                <w:rFonts w:ascii="宋体" w:hAnsi="宋体" w:eastAsia="宋体" w:cs="宋体"/>
                <w:color w:val="000000"/>
                <w:sz w:val="24"/>
              </w:rPr>
            </w:pPr>
          </w:p>
        </w:tc>
        <w:tc>
          <w:tcPr>
            <w:tcW w:w="1815" w:type="dxa"/>
            <w:gridSpan w:val="2"/>
            <w:noWrap/>
          </w:tcPr>
          <w:p w14:paraId="1C2A3C8C">
            <w:pPr>
              <w:jc w:val="center"/>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24</w:t>
            </w:r>
          </w:p>
        </w:tc>
        <w:tc>
          <w:tcPr>
            <w:tcW w:w="2325" w:type="dxa"/>
            <w:gridSpan w:val="2"/>
            <w:noWrap/>
          </w:tcPr>
          <w:p w14:paraId="494FC749">
            <w:pPr>
              <w:jc w:val="center"/>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16</w:t>
            </w:r>
          </w:p>
        </w:tc>
        <w:tc>
          <w:tcPr>
            <w:tcW w:w="1679" w:type="dxa"/>
            <w:gridSpan w:val="2"/>
            <w:noWrap/>
          </w:tcPr>
          <w:p w14:paraId="5099D8A7">
            <w:pPr>
              <w:jc w:val="center"/>
              <w:rPr>
                <w:rFonts w:ascii="宋体" w:hAnsi="宋体" w:eastAsia="宋体" w:cs="宋体"/>
                <w:color w:val="000000"/>
                <w:sz w:val="24"/>
                <w:highlight w:val="none"/>
              </w:rPr>
            </w:pPr>
            <w:r>
              <w:rPr>
                <w:rFonts w:hint="eastAsia" w:ascii="宋体" w:hAnsi="宋体" w:eastAsia="宋体" w:cs="宋体"/>
                <w:color w:val="000000"/>
                <w:sz w:val="24"/>
                <w:highlight w:val="none"/>
                <w:lang w:val="en-US" w:eastAsia="zh-CN"/>
              </w:rPr>
              <w:t>66.67</w:t>
            </w:r>
            <w:r>
              <w:rPr>
                <w:rFonts w:hint="eastAsia" w:ascii="宋体" w:hAnsi="宋体" w:eastAsia="宋体" w:cs="宋体"/>
                <w:color w:val="000000"/>
                <w:sz w:val="24"/>
                <w:highlight w:val="none"/>
              </w:rPr>
              <w:t>%</w:t>
            </w:r>
          </w:p>
        </w:tc>
      </w:tr>
      <w:tr w14:paraId="73392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tcPr>
          <w:p w14:paraId="4848835B">
            <w:pPr>
              <w:spacing w:before="140" w:line="202" w:lineRule="auto"/>
              <w:ind w:left="684"/>
              <w:jc w:val="left"/>
              <w:rPr>
                <w:rFonts w:ascii="宋体" w:hAnsi="宋体" w:eastAsia="宋体" w:cs="宋体"/>
                <w:color w:val="000000"/>
                <w:sz w:val="24"/>
              </w:rPr>
            </w:pPr>
            <w:r>
              <w:rPr>
                <w:rFonts w:hint="eastAsia" w:ascii="宋体" w:hAnsi="宋体" w:eastAsia="宋体" w:cs="宋体"/>
                <w:color w:val="000000"/>
                <w:spacing w:val="4"/>
                <w:sz w:val="24"/>
              </w:rPr>
              <w:t>经费控制情况(万元)</w:t>
            </w:r>
          </w:p>
        </w:tc>
        <w:tc>
          <w:tcPr>
            <w:tcW w:w="1815" w:type="dxa"/>
            <w:gridSpan w:val="2"/>
            <w:noWrap/>
          </w:tcPr>
          <w:p w14:paraId="3CE8F6CD">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2023年决算数</w:t>
            </w:r>
          </w:p>
        </w:tc>
        <w:tc>
          <w:tcPr>
            <w:tcW w:w="2325" w:type="dxa"/>
            <w:gridSpan w:val="2"/>
            <w:noWrap/>
          </w:tcPr>
          <w:p w14:paraId="540B5D4C">
            <w:pPr>
              <w:spacing w:before="119" w:line="219" w:lineRule="auto"/>
              <w:jc w:val="center"/>
              <w:rPr>
                <w:rFonts w:ascii="宋体" w:hAnsi="宋体" w:eastAsia="宋体" w:cs="宋体"/>
                <w:color w:val="000000"/>
                <w:sz w:val="24"/>
              </w:rPr>
            </w:pPr>
            <w:r>
              <w:rPr>
                <w:rFonts w:hint="eastAsia" w:ascii="宋体" w:hAnsi="宋体" w:eastAsia="宋体" w:cs="宋体"/>
                <w:color w:val="000000"/>
                <w:spacing w:val="-2"/>
                <w:sz w:val="24"/>
              </w:rPr>
              <w:t>2024年预算数</w:t>
            </w:r>
          </w:p>
        </w:tc>
        <w:tc>
          <w:tcPr>
            <w:tcW w:w="1679" w:type="dxa"/>
            <w:gridSpan w:val="2"/>
            <w:noWrap/>
          </w:tcPr>
          <w:p w14:paraId="20FF128E">
            <w:pPr>
              <w:spacing w:before="76" w:line="219" w:lineRule="auto"/>
              <w:jc w:val="center"/>
              <w:rPr>
                <w:rFonts w:ascii="宋体" w:hAnsi="宋体" w:eastAsia="宋体" w:cs="宋体"/>
                <w:color w:val="000000"/>
                <w:sz w:val="24"/>
              </w:rPr>
            </w:pPr>
            <w:r>
              <w:rPr>
                <w:rFonts w:hint="eastAsia" w:ascii="宋体" w:hAnsi="宋体" w:eastAsia="宋体" w:cs="宋体"/>
                <w:color w:val="000000"/>
                <w:spacing w:val="-4"/>
                <w:sz w:val="24"/>
              </w:rPr>
              <w:t>2024年决算数</w:t>
            </w:r>
          </w:p>
        </w:tc>
      </w:tr>
      <w:tr w14:paraId="63039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457016DD">
            <w:pPr>
              <w:spacing w:before="141" w:line="202" w:lineRule="auto"/>
              <w:ind w:left="114"/>
              <w:jc w:val="left"/>
              <w:rPr>
                <w:rFonts w:ascii="宋体" w:hAnsi="宋体" w:eastAsia="宋体" w:cs="宋体"/>
                <w:color w:val="000000"/>
                <w:sz w:val="24"/>
              </w:rPr>
            </w:pPr>
            <w:r>
              <w:rPr>
                <w:rFonts w:hint="eastAsia" w:ascii="宋体" w:hAnsi="宋体" w:eastAsia="宋体" w:cs="宋体"/>
                <w:color w:val="000000"/>
                <w:spacing w:val="3"/>
                <w:sz w:val="24"/>
              </w:rPr>
              <w:t>三公经费</w:t>
            </w:r>
          </w:p>
        </w:tc>
        <w:tc>
          <w:tcPr>
            <w:tcW w:w="1815" w:type="dxa"/>
            <w:gridSpan w:val="2"/>
            <w:noWrap/>
            <w:vAlign w:val="center"/>
          </w:tcPr>
          <w:p w14:paraId="5B117849">
            <w:pPr>
              <w:jc w:val="center"/>
              <w:rPr>
                <w:rFonts w:hint="default" w:ascii="宋体" w:hAnsi="宋体" w:eastAsia="宋体" w:cs="宋体"/>
                <w:color w:val="000000"/>
                <w:sz w:val="24"/>
                <w:lang w:val="en-US"/>
              </w:rPr>
            </w:pPr>
            <w:r>
              <w:rPr>
                <w:rFonts w:hint="eastAsia" w:ascii="宋体" w:hAnsi="宋体" w:eastAsia="宋体" w:cs="宋体"/>
                <w:color w:val="000000"/>
                <w:sz w:val="24"/>
                <w:lang w:val="en-US" w:eastAsia="zh-CN"/>
              </w:rPr>
              <w:t>3.75</w:t>
            </w:r>
          </w:p>
        </w:tc>
        <w:tc>
          <w:tcPr>
            <w:tcW w:w="2325" w:type="dxa"/>
            <w:gridSpan w:val="2"/>
            <w:noWrap/>
            <w:vAlign w:val="center"/>
          </w:tcPr>
          <w:p w14:paraId="08DC0BE1">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3.3</w:t>
            </w:r>
          </w:p>
        </w:tc>
        <w:tc>
          <w:tcPr>
            <w:tcW w:w="1679" w:type="dxa"/>
            <w:gridSpan w:val="2"/>
            <w:noWrap/>
            <w:vAlign w:val="center"/>
          </w:tcPr>
          <w:p w14:paraId="6F7B3964">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3.22</w:t>
            </w:r>
          </w:p>
        </w:tc>
      </w:tr>
      <w:tr w14:paraId="05D4E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1D0D9DE8">
            <w:pPr>
              <w:spacing w:before="149" w:line="193" w:lineRule="auto"/>
              <w:ind w:left="414"/>
              <w:jc w:val="left"/>
              <w:rPr>
                <w:rFonts w:ascii="宋体" w:hAnsi="宋体" w:eastAsia="宋体" w:cs="宋体"/>
                <w:color w:val="000000"/>
                <w:sz w:val="24"/>
              </w:rPr>
            </w:pPr>
            <w:r>
              <w:rPr>
                <w:rFonts w:hint="eastAsia" w:ascii="宋体" w:hAnsi="宋体" w:eastAsia="宋体" w:cs="宋体"/>
                <w:color w:val="000000"/>
                <w:sz w:val="24"/>
              </w:rPr>
              <w:t>1、公务用车购置和维护经费</w:t>
            </w:r>
          </w:p>
        </w:tc>
        <w:tc>
          <w:tcPr>
            <w:tcW w:w="1815" w:type="dxa"/>
            <w:gridSpan w:val="2"/>
            <w:noWrap/>
            <w:vAlign w:val="center"/>
          </w:tcPr>
          <w:p w14:paraId="357B9495">
            <w:pPr>
              <w:jc w:val="center"/>
              <w:rPr>
                <w:rFonts w:hint="default" w:ascii="宋体" w:hAnsi="宋体" w:eastAsia="宋体" w:cs="宋体"/>
                <w:color w:val="000000"/>
                <w:sz w:val="24"/>
                <w:lang w:val="en-US"/>
              </w:rPr>
            </w:pPr>
            <w:r>
              <w:rPr>
                <w:rFonts w:hint="eastAsia" w:ascii="宋体" w:hAnsi="宋体" w:eastAsia="宋体" w:cs="宋体"/>
                <w:color w:val="000000"/>
                <w:sz w:val="24"/>
                <w:lang w:val="en-US" w:eastAsia="zh-CN"/>
              </w:rPr>
              <w:t>3.49</w:t>
            </w:r>
          </w:p>
        </w:tc>
        <w:tc>
          <w:tcPr>
            <w:tcW w:w="2325" w:type="dxa"/>
            <w:gridSpan w:val="2"/>
            <w:noWrap/>
            <w:vAlign w:val="center"/>
          </w:tcPr>
          <w:p w14:paraId="5A1A0B58">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3</w:t>
            </w:r>
          </w:p>
        </w:tc>
        <w:tc>
          <w:tcPr>
            <w:tcW w:w="1679" w:type="dxa"/>
            <w:gridSpan w:val="2"/>
            <w:noWrap/>
            <w:vAlign w:val="center"/>
          </w:tcPr>
          <w:p w14:paraId="0630A7DA">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2.98</w:t>
            </w:r>
          </w:p>
        </w:tc>
      </w:tr>
      <w:tr w14:paraId="2B4D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1B91F8F9">
            <w:pPr>
              <w:spacing w:before="81" w:line="219" w:lineRule="auto"/>
              <w:ind w:left="814"/>
              <w:jc w:val="left"/>
              <w:rPr>
                <w:rFonts w:ascii="宋体" w:hAnsi="宋体" w:eastAsia="宋体" w:cs="宋体"/>
                <w:color w:val="000000"/>
                <w:sz w:val="24"/>
              </w:rPr>
            </w:pPr>
            <w:r>
              <w:rPr>
                <w:rFonts w:hint="eastAsia" w:ascii="宋体" w:hAnsi="宋体" w:eastAsia="宋体" w:cs="宋体"/>
                <w:color w:val="000000"/>
                <w:spacing w:val="-2"/>
                <w:sz w:val="24"/>
              </w:rPr>
              <w:t>其中：公车购置</w:t>
            </w:r>
          </w:p>
        </w:tc>
        <w:tc>
          <w:tcPr>
            <w:tcW w:w="1815" w:type="dxa"/>
            <w:gridSpan w:val="2"/>
            <w:noWrap/>
            <w:vAlign w:val="center"/>
          </w:tcPr>
          <w:p w14:paraId="22E16035">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0</w:t>
            </w:r>
          </w:p>
        </w:tc>
        <w:tc>
          <w:tcPr>
            <w:tcW w:w="2325" w:type="dxa"/>
            <w:gridSpan w:val="2"/>
            <w:noWrap/>
            <w:vAlign w:val="center"/>
          </w:tcPr>
          <w:p w14:paraId="65D7662A">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0</w:t>
            </w:r>
          </w:p>
        </w:tc>
        <w:tc>
          <w:tcPr>
            <w:tcW w:w="1679" w:type="dxa"/>
            <w:gridSpan w:val="2"/>
            <w:noWrap/>
            <w:vAlign w:val="center"/>
          </w:tcPr>
          <w:p w14:paraId="08438F20">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0</w:t>
            </w:r>
          </w:p>
        </w:tc>
      </w:tr>
      <w:tr w14:paraId="4207B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tcPr>
          <w:p w14:paraId="1B1B7AB1">
            <w:pPr>
              <w:spacing w:before="91" w:line="219" w:lineRule="auto"/>
              <w:ind w:left="1424"/>
              <w:jc w:val="left"/>
              <w:rPr>
                <w:rFonts w:ascii="宋体" w:hAnsi="宋体" w:eastAsia="宋体" w:cs="宋体"/>
                <w:color w:val="000000"/>
                <w:sz w:val="24"/>
              </w:rPr>
            </w:pPr>
            <w:r>
              <w:rPr>
                <w:rFonts w:hint="eastAsia" w:ascii="宋体" w:hAnsi="宋体" w:eastAsia="宋体" w:cs="宋体"/>
                <w:color w:val="000000"/>
                <w:spacing w:val="2"/>
                <w:sz w:val="24"/>
              </w:rPr>
              <w:t>公车运行维护</w:t>
            </w:r>
          </w:p>
        </w:tc>
        <w:tc>
          <w:tcPr>
            <w:tcW w:w="1815" w:type="dxa"/>
            <w:gridSpan w:val="2"/>
            <w:noWrap/>
            <w:vAlign w:val="center"/>
          </w:tcPr>
          <w:p w14:paraId="58362047">
            <w:pPr>
              <w:jc w:val="center"/>
              <w:rPr>
                <w:rFonts w:hint="default" w:ascii="宋体" w:hAnsi="宋体" w:eastAsia="宋体" w:cs="宋体"/>
                <w:color w:val="000000"/>
                <w:sz w:val="24"/>
                <w:lang w:val="en-US"/>
              </w:rPr>
            </w:pPr>
            <w:r>
              <w:rPr>
                <w:rFonts w:hint="eastAsia" w:ascii="宋体" w:hAnsi="宋体" w:eastAsia="宋体" w:cs="宋体"/>
                <w:color w:val="000000"/>
                <w:sz w:val="24"/>
                <w:lang w:val="en-US" w:eastAsia="zh-CN"/>
              </w:rPr>
              <w:t>3.49</w:t>
            </w:r>
          </w:p>
        </w:tc>
        <w:tc>
          <w:tcPr>
            <w:tcW w:w="2325" w:type="dxa"/>
            <w:gridSpan w:val="2"/>
            <w:noWrap/>
            <w:vAlign w:val="center"/>
          </w:tcPr>
          <w:p w14:paraId="37813E69">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3</w:t>
            </w:r>
          </w:p>
        </w:tc>
        <w:tc>
          <w:tcPr>
            <w:tcW w:w="1679" w:type="dxa"/>
            <w:gridSpan w:val="2"/>
            <w:noWrap/>
            <w:vAlign w:val="center"/>
          </w:tcPr>
          <w:p w14:paraId="28DD3003">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2.98</w:t>
            </w:r>
          </w:p>
        </w:tc>
      </w:tr>
      <w:tr w14:paraId="4E744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tcPr>
          <w:p w14:paraId="7B8A6605">
            <w:pPr>
              <w:spacing w:before="81" w:line="220" w:lineRule="auto"/>
              <w:ind w:left="384"/>
              <w:jc w:val="left"/>
              <w:rPr>
                <w:rFonts w:ascii="宋体" w:hAnsi="宋体" w:eastAsia="宋体" w:cs="宋体"/>
                <w:color w:val="000000"/>
                <w:sz w:val="24"/>
              </w:rPr>
            </w:pPr>
            <w:r>
              <w:rPr>
                <w:rFonts w:hint="eastAsia" w:ascii="宋体" w:hAnsi="宋体" w:eastAsia="宋体" w:cs="宋体"/>
                <w:color w:val="000000"/>
                <w:spacing w:val="2"/>
                <w:sz w:val="24"/>
              </w:rPr>
              <w:t>2、出国经费</w:t>
            </w:r>
          </w:p>
        </w:tc>
        <w:tc>
          <w:tcPr>
            <w:tcW w:w="1815" w:type="dxa"/>
            <w:gridSpan w:val="2"/>
            <w:noWrap/>
            <w:vAlign w:val="center"/>
          </w:tcPr>
          <w:p w14:paraId="0F29C1F8">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w:t>
            </w:r>
          </w:p>
        </w:tc>
        <w:tc>
          <w:tcPr>
            <w:tcW w:w="2325" w:type="dxa"/>
            <w:gridSpan w:val="2"/>
            <w:noWrap/>
            <w:vAlign w:val="center"/>
          </w:tcPr>
          <w:p w14:paraId="1C99D152">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w:t>
            </w:r>
          </w:p>
        </w:tc>
        <w:tc>
          <w:tcPr>
            <w:tcW w:w="1679" w:type="dxa"/>
            <w:gridSpan w:val="2"/>
            <w:noWrap/>
            <w:vAlign w:val="center"/>
          </w:tcPr>
          <w:p w14:paraId="5058DA3E">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w:t>
            </w:r>
          </w:p>
        </w:tc>
      </w:tr>
      <w:tr w14:paraId="681DF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1DB3F5A5">
            <w:pPr>
              <w:spacing w:before="82"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3、公务接待</w:t>
            </w:r>
          </w:p>
        </w:tc>
        <w:tc>
          <w:tcPr>
            <w:tcW w:w="1815" w:type="dxa"/>
            <w:gridSpan w:val="2"/>
            <w:noWrap/>
            <w:vAlign w:val="center"/>
          </w:tcPr>
          <w:p w14:paraId="2AD7DCA7">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0.26</w:t>
            </w:r>
          </w:p>
        </w:tc>
        <w:tc>
          <w:tcPr>
            <w:tcW w:w="2325" w:type="dxa"/>
            <w:gridSpan w:val="2"/>
            <w:noWrap/>
            <w:vAlign w:val="center"/>
          </w:tcPr>
          <w:p w14:paraId="2059337E">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0.3</w:t>
            </w:r>
          </w:p>
        </w:tc>
        <w:tc>
          <w:tcPr>
            <w:tcW w:w="1679" w:type="dxa"/>
            <w:gridSpan w:val="2"/>
            <w:noWrap/>
            <w:vAlign w:val="center"/>
          </w:tcPr>
          <w:p w14:paraId="16E15F9A">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0.24</w:t>
            </w:r>
          </w:p>
        </w:tc>
      </w:tr>
      <w:tr w14:paraId="4CD54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6E6E556B">
            <w:pPr>
              <w:spacing w:before="143" w:line="200" w:lineRule="auto"/>
              <w:ind w:left="84"/>
              <w:jc w:val="left"/>
              <w:rPr>
                <w:rFonts w:ascii="宋体" w:hAnsi="宋体" w:eastAsia="宋体" w:cs="宋体"/>
                <w:color w:val="000000"/>
                <w:sz w:val="24"/>
              </w:rPr>
            </w:pPr>
            <w:r>
              <w:rPr>
                <w:rFonts w:hint="eastAsia" w:ascii="宋体" w:hAnsi="宋体" w:eastAsia="宋体" w:cs="宋体"/>
                <w:color w:val="000000"/>
                <w:spacing w:val="19"/>
                <w:sz w:val="24"/>
              </w:rPr>
              <w:t>项目支出：</w:t>
            </w:r>
          </w:p>
        </w:tc>
        <w:tc>
          <w:tcPr>
            <w:tcW w:w="1815" w:type="dxa"/>
            <w:gridSpan w:val="2"/>
            <w:noWrap/>
            <w:vAlign w:val="center"/>
          </w:tcPr>
          <w:p w14:paraId="17468383">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88</w:t>
            </w:r>
          </w:p>
        </w:tc>
        <w:tc>
          <w:tcPr>
            <w:tcW w:w="2325" w:type="dxa"/>
            <w:gridSpan w:val="2"/>
            <w:noWrap/>
            <w:vAlign w:val="center"/>
          </w:tcPr>
          <w:p w14:paraId="704E83B3">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81</w:t>
            </w:r>
          </w:p>
        </w:tc>
        <w:tc>
          <w:tcPr>
            <w:tcW w:w="1679" w:type="dxa"/>
            <w:gridSpan w:val="2"/>
            <w:noWrap/>
            <w:vAlign w:val="center"/>
          </w:tcPr>
          <w:p w14:paraId="4860A07C">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141.89</w:t>
            </w:r>
          </w:p>
        </w:tc>
      </w:tr>
      <w:tr w14:paraId="49EA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09E97937">
            <w:pPr>
              <w:spacing w:before="133" w:line="200" w:lineRule="auto"/>
              <w:ind w:left="384"/>
              <w:jc w:val="left"/>
              <w:rPr>
                <w:rFonts w:ascii="宋体" w:hAnsi="宋体" w:eastAsia="宋体" w:cs="宋体"/>
                <w:color w:val="000000"/>
                <w:sz w:val="24"/>
              </w:rPr>
            </w:pPr>
            <w:r>
              <w:rPr>
                <w:rFonts w:hint="eastAsia" w:ascii="宋体" w:hAnsi="宋体" w:eastAsia="宋体" w:cs="宋体"/>
                <w:color w:val="000000"/>
                <w:spacing w:val="1"/>
                <w:sz w:val="24"/>
              </w:rPr>
              <w:t>1、业务工作经费</w:t>
            </w:r>
          </w:p>
        </w:tc>
        <w:tc>
          <w:tcPr>
            <w:tcW w:w="1815" w:type="dxa"/>
            <w:gridSpan w:val="2"/>
            <w:noWrap/>
            <w:vAlign w:val="center"/>
          </w:tcPr>
          <w:p w14:paraId="0474226E">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88</w:t>
            </w:r>
          </w:p>
        </w:tc>
        <w:tc>
          <w:tcPr>
            <w:tcW w:w="2325" w:type="dxa"/>
            <w:gridSpan w:val="2"/>
            <w:noWrap/>
            <w:vAlign w:val="center"/>
          </w:tcPr>
          <w:p w14:paraId="7299F514">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81</w:t>
            </w:r>
          </w:p>
        </w:tc>
        <w:tc>
          <w:tcPr>
            <w:tcW w:w="1679" w:type="dxa"/>
            <w:gridSpan w:val="2"/>
            <w:noWrap/>
            <w:vAlign w:val="center"/>
          </w:tcPr>
          <w:p w14:paraId="6140BC94">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141.89</w:t>
            </w:r>
          </w:p>
        </w:tc>
      </w:tr>
      <w:tr w14:paraId="17513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tcPr>
          <w:p w14:paraId="74B09E78">
            <w:pPr>
              <w:spacing w:before="143" w:line="20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2、运行维护经费</w:t>
            </w:r>
          </w:p>
        </w:tc>
        <w:tc>
          <w:tcPr>
            <w:tcW w:w="1815" w:type="dxa"/>
            <w:gridSpan w:val="2"/>
            <w:noWrap/>
            <w:vAlign w:val="center"/>
          </w:tcPr>
          <w:p w14:paraId="0A5BF36F">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w:t>
            </w:r>
          </w:p>
        </w:tc>
        <w:tc>
          <w:tcPr>
            <w:tcW w:w="2325" w:type="dxa"/>
            <w:gridSpan w:val="2"/>
            <w:noWrap/>
            <w:vAlign w:val="center"/>
          </w:tcPr>
          <w:p w14:paraId="0BD7A299">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w:t>
            </w:r>
          </w:p>
        </w:tc>
        <w:tc>
          <w:tcPr>
            <w:tcW w:w="1679" w:type="dxa"/>
            <w:gridSpan w:val="2"/>
            <w:noWrap/>
            <w:vAlign w:val="center"/>
          </w:tcPr>
          <w:p w14:paraId="7F2694F1">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w:t>
            </w:r>
          </w:p>
        </w:tc>
      </w:tr>
      <w:tr w14:paraId="236B4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tcPr>
          <w:p w14:paraId="4C5C9534">
            <w:pPr>
              <w:spacing w:before="93" w:line="219" w:lineRule="auto"/>
              <w:ind w:firstLine="488" w:firstLineChars="200"/>
              <w:jc w:val="left"/>
              <w:rPr>
                <w:rFonts w:ascii="宋体" w:hAnsi="宋体" w:eastAsia="宋体" w:cs="宋体"/>
                <w:color w:val="000000"/>
                <w:sz w:val="24"/>
              </w:rPr>
            </w:pPr>
            <w:r>
              <w:rPr>
                <w:rFonts w:hint="eastAsia" w:ascii="宋体" w:hAnsi="宋体" w:eastAsia="宋体" w:cs="宋体"/>
                <w:color w:val="000000"/>
                <w:spacing w:val="2"/>
                <w:sz w:val="24"/>
              </w:rPr>
              <w:t>3、区级专项资金</w:t>
            </w:r>
            <w:r>
              <w:rPr>
                <w:rFonts w:hint="eastAsia" w:ascii="宋体" w:hAnsi="宋体" w:eastAsia="宋体" w:cs="宋体"/>
                <w:color w:val="000000"/>
                <w:spacing w:val="2"/>
                <w:szCs w:val="21"/>
              </w:rPr>
              <w:t>(一个专项一行)</w:t>
            </w:r>
          </w:p>
        </w:tc>
        <w:tc>
          <w:tcPr>
            <w:tcW w:w="1815" w:type="dxa"/>
            <w:gridSpan w:val="2"/>
            <w:noWrap/>
          </w:tcPr>
          <w:p w14:paraId="47ADF227">
            <w:pPr>
              <w:jc w:val="center"/>
              <w:rPr>
                <w:rFonts w:hint="eastAsia" w:ascii="宋体" w:hAnsi="宋体" w:eastAsia="宋体" w:cs="宋体"/>
                <w:color w:val="000000"/>
                <w:sz w:val="24"/>
                <w:lang w:val="en-US" w:eastAsia="zh-CN"/>
              </w:rPr>
            </w:pPr>
          </w:p>
        </w:tc>
        <w:tc>
          <w:tcPr>
            <w:tcW w:w="2325" w:type="dxa"/>
            <w:gridSpan w:val="2"/>
            <w:noWrap/>
          </w:tcPr>
          <w:p w14:paraId="62C2B89A">
            <w:pPr>
              <w:jc w:val="center"/>
              <w:rPr>
                <w:rFonts w:hint="eastAsia" w:ascii="宋体" w:hAnsi="宋体" w:eastAsia="宋体" w:cs="宋体"/>
                <w:color w:val="000000"/>
                <w:sz w:val="24"/>
                <w:lang w:val="en-US" w:eastAsia="zh-CN"/>
              </w:rPr>
            </w:pPr>
          </w:p>
        </w:tc>
        <w:tc>
          <w:tcPr>
            <w:tcW w:w="1679" w:type="dxa"/>
            <w:gridSpan w:val="2"/>
            <w:noWrap/>
          </w:tcPr>
          <w:p w14:paraId="207C32B9">
            <w:pPr>
              <w:jc w:val="center"/>
              <w:rPr>
                <w:rFonts w:hint="eastAsia" w:ascii="宋体" w:hAnsi="宋体" w:eastAsia="宋体" w:cs="宋体"/>
                <w:color w:val="000000"/>
                <w:sz w:val="24"/>
                <w:lang w:val="en-US" w:eastAsia="zh-CN"/>
              </w:rPr>
            </w:pPr>
          </w:p>
        </w:tc>
      </w:tr>
      <w:tr w14:paraId="3A99F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6ABDB20C">
            <w:pPr>
              <w:spacing w:before="85" w:line="220" w:lineRule="auto"/>
              <w:ind w:firstLine="492" w:firstLineChars="200"/>
              <w:jc w:val="left"/>
              <w:rPr>
                <w:rFonts w:ascii="宋体" w:hAnsi="宋体" w:eastAsia="宋体" w:cs="宋体"/>
                <w:color w:val="000000"/>
                <w:spacing w:val="3"/>
                <w:sz w:val="24"/>
              </w:rPr>
            </w:pPr>
            <w:r>
              <w:rPr>
                <w:rFonts w:hint="eastAsia" w:ascii="宋体" w:hAnsi="宋体" w:eastAsia="宋体" w:cs="宋体"/>
                <w:color w:val="000000"/>
                <w:spacing w:val="3"/>
                <w:sz w:val="24"/>
              </w:rPr>
              <w:t>4、上级转移支付</w:t>
            </w:r>
            <w:r>
              <w:rPr>
                <w:rFonts w:hint="eastAsia" w:ascii="宋体" w:hAnsi="宋体" w:eastAsia="宋体" w:cs="宋体"/>
                <w:color w:val="000000"/>
                <w:spacing w:val="2"/>
                <w:szCs w:val="21"/>
              </w:rPr>
              <w:t>(一个专项一行）</w:t>
            </w:r>
          </w:p>
        </w:tc>
        <w:tc>
          <w:tcPr>
            <w:tcW w:w="1815" w:type="dxa"/>
            <w:gridSpan w:val="2"/>
            <w:noWrap/>
          </w:tcPr>
          <w:p w14:paraId="374557F3">
            <w:pPr>
              <w:jc w:val="center"/>
              <w:rPr>
                <w:rFonts w:hint="eastAsia" w:ascii="宋体" w:hAnsi="宋体" w:eastAsia="宋体" w:cs="宋体"/>
                <w:color w:val="000000"/>
                <w:sz w:val="24"/>
                <w:lang w:val="en-US" w:eastAsia="zh-CN"/>
              </w:rPr>
            </w:pPr>
          </w:p>
        </w:tc>
        <w:tc>
          <w:tcPr>
            <w:tcW w:w="2325" w:type="dxa"/>
            <w:gridSpan w:val="2"/>
            <w:noWrap/>
          </w:tcPr>
          <w:p w14:paraId="3C33FBFB">
            <w:pPr>
              <w:jc w:val="center"/>
              <w:rPr>
                <w:rFonts w:hint="eastAsia" w:ascii="宋体" w:hAnsi="宋体" w:eastAsia="宋体" w:cs="宋体"/>
                <w:color w:val="000000"/>
                <w:sz w:val="24"/>
                <w:lang w:val="en-US" w:eastAsia="zh-CN"/>
              </w:rPr>
            </w:pPr>
          </w:p>
        </w:tc>
        <w:tc>
          <w:tcPr>
            <w:tcW w:w="1679" w:type="dxa"/>
            <w:gridSpan w:val="2"/>
            <w:noWrap/>
          </w:tcPr>
          <w:p w14:paraId="1D3755DF">
            <w:pPr>
              <w:jc w:val="center"/>
              <w:rPr>
                <w:rFonts w:hint="eastAsia" w:ascii="宋体" w:hAnsi="宋体" w:eastAsia="宋体" w:cs="宋体"/>
                <w:color w:val="000000"/>
                <w:sz w:val="24"/>
                <w:lang w:val="en-US" w:eastAsia="zh-CN"/>
              </w:rPr>
            </w:pPr>
          </w:p>
        </w:tc>
      </w:tr>
      <w:tr w14:paraId="39AF1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02B91024">
            <w:pPr>
              <w:spacing w:before="85" w:line="220" w:lineRule="auto"/>
              <w:ind w:left="94"/>
              <w:jc w:val="left"/>
              <w:rPr>
                <w:rFonts w:ascii="宋体" w:hAnsi="宋体" w:eastAsia="宋体" w:cs="宋体"/>
                <w:color w:val="000000"/>
                <w:sz w:val="24"/>
              </w:rPr>
            </w:pPr>
            <w:r>
              <w:rPr>
                <w:rFonts w:hint="eastAsia" w:ascii="宋体" w:hAnsi="宋体" w:eastAsia="宋体" w:cs="宋体"/>
                <w:color w:val="000000"/>
                <w:spacing w:val="3"/>
                <w:sz w:val="24"/>
              </w:rPr>
              <w:t>公用经费</w:t>
            </w:r>
          </w:p>
        </w:tc>
        <w:tc>
          <w:tcPr>
            <w:tcW w:w="1815" w:type="dxa"/>
            <w:gridSpan w:val="2"/>
            <w:noWrap/>
            <w:vAlign w:val="center"/>
          </w:tcPr>
          <w:p w14:paraId="6F64C5C6">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52.61</w:t>
            </w:r>
          </w:p>
        </w:tc>
        <w:tc>
          <w:tcPr>
            <w:tcW w:w="2325" w:type="dxa"/>
            <w:gridSpan w:val="2"/>
            <w:noWrap/>
            <w:vAlign w:val="center"/>
          </w:tcPr>
          <w:p w14:paraId="49A0A169">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19.80</w:t>
            </w:r>
          </w:p>
        </w:tc>
        <w:tc>
          <w:tcPr>
            <w:tcW w:w="1679" w:type="dxa"/>
            <w:gridSpan w:val="2"/>
            <w:noWrap/>
            <w:vAlign w:val="center"/>
          </w:tcPr>
          <w:p w14:paraId="771DDB8A">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18.46</w:t>
            </w:r>
          </w:p>
        </w:tc>
      </w:tr>
      <w:tr w14:paraId="00420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tcPr>
          <w:p w14:paraId="14B47DCB">
            <w:pPr>
              <w:spacing w:before="85" w:line="219" w:lineRule="auto"/>
              <w:ind w:left="384"/>
              <w:jc w:val="left"/>
              <w:rPr>
                <w:rFonts w:ascii="宋体" w:hAnsi="宋体" w:eastAsia="宋体" w:cs="宋体"/>
                <w:color w:val="000000"/>
                <w:sz w:val="24"/>
              </w:rPr>
            </w:pPr>
            <w:r>
              <w:rPr>
                <w:rFonts w:hint="eastAsia" w:ascii="宋体" w:hAnsi="宋体" w:eastAsia="宋体" w:cs="宋体"/>
                <w:color w:val="000000"/>
                <w:spacing w:val="1"/>
                <w:sz w:val="24"/>
              </w:rPr>
              <w:t>其中：办公经费</w:t>
            </w:r>
          </w:p>
        </w:tc>
        <w:tc>
          <w:tcPr>
            <w:tcW w:w="1815" w:type="dxa"/>
            <w:gridSpan w:val="2"/>
            <w:noWrap/>
            <w:vAlign w:val="center"/>
          </w:tcPr>
          <w:p w14:paraId="27F3066F">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3.18</w:t>
            </w:r>
          </w:p>
        </w:tc>
        <w:tc>
          <w:tcPr>
            <w:tcW w:w="2325" w:type="dxa"/>
            <w:gridSpan w:val="2"/>
            <w:noWrap/>
            <w:vAlign w:val="center"/>
          </w:tcPr>
          <w:p w14:paraId="0CD901C5">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1.5</w:t>
            </w:r>
          </w:p>
        </w:tc>
        <w:tc>
          <w:tcPr>
            <w:tcW w:w="1679" w:type="dxa"/>
            <w:gridSpan w:val="2"/>
            <w:noWrap/>
            <w:vAlign w:val="center"/>
          </w:tcPr>
          <w:p w14:paraId="52AC5AE3">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1.85</w:t>
            </w:r>
          </w:p>
        </w:tc>
      </w:tr>
      <w:tr w14:paraId="3E46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12E0764E">
            <w:pPr>
              <w:spacing w:before="135" w:line="198" w:lineRule="auto"/>
              <w:ind w:left="1114"/>
              <w:jc w:val="left"/>
              <w:rPr>
                <w:rFonts w:ascii="宋体" w:hAnsi="宋体" w:eastAsia="宋体" w:cs="宋体"/>
                <w:color w:val="000000"/>
                <w:sz w:val="24"/>
              </w:rPr>
            </w:pPr>
            <w:r>
              <w:rPr>
                <w:rFonts w:hint="eastAsia" w:ascii="宋体" w:hAnsi="宋体" w:eastAsia="宋体" w:cs="宋体"/>
                <w:color w:val="000000"/>
                <w:spacing w:val="1"/>
                <w:sz w:val="24"/>
              </w:rPr>
              <w:t>水费、电费、差旅费</w:t>
            </w:r>
          </w:p>
        </w:tc>
        <w:tc>
          <w:tcPr>
            <w:tcW w:w="1815" w:type="dxa"/>
            <w:gridSpan w:val="2"/>
            <w:noWrap/>
            <w:vAlign w:val="center"/>
          </w:tcPr>
          <w:p w14:paraId="61E39D66">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4.53</w:t>
            </w:r>
          </w:p>
        </w:tc>
        <w:tc>
          <w:tcPr>
            <w:tcW w:w="2325" w:type="dxa"/>
            <w:gridSpan w:val="2"/>
            <w:noWrap/>
            <w:vAlign w:val="center"/>
          </w:tcPr>
          <w:p w14:paraId="5F425FC9">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1.25</w:t>
            </w:r>
          </w:p>
        </w:tc>
        <w:tc>
          <w:tcPr>
            <w:tcW w:w="1679" w:type="dxa"/>
            <w:gridSpan w:val="2"/>
            <w:noWrap/>
            <w:vAlign w:val="center"/>
          </w:tcPr>
          <w:p w14:paraId="3EF6996D">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1.96</w:t>
            </w:r>
          </w:p>
        </w:tc>
      </w:tr>
      <w:tr w14:paraId="0B8F2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tcPr>
          <w:p w14:paraId="5E112617">
            <w:pPr>
              <w:spacing w:before="144" w:line="198" w:lineRule="auto"/>
              <w:ind w:left="1124"/>
              <w:jc w:val="left"/>
              <w:rPr>
                <w:rFonts w:ascii="宋体" w:hAnsi="宋体" w:eastAsia="宋体" w:cs="宋体"/>
                <w:color w:val="000000"/>
                <w:sz w:val="24"/>
              </w:rPr>
            </w:pPr>
            <w:r>
              <w:rPr>
                <w:rFonts w:hint="eastAsia" w:ascii="宋体" w:hAnsi="宋体" w:eastAsia="宋体" w:cs="宋体"/>
                <w:color w:val="000000"/>
                <w:spacing w:val="-1"/>
                <w:sz w:val="24"/>
              </w:rPr>
              <w:t>会议费、培训费</w:t>
            </w:r>
          </w:p>
        </w:tc>
        <w:tc>
          <w:tcPr>
            <w:tcW w:w="1815" w:type="dxa"/>
            <w:gridSpan w:val="2"/>
            <w:noWrap/>
            <w:vAlign w:val="center"/>
          </w:tcPr>
          <w:p w14:paraId="309B9BBC">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w:t>
            </w:r>
          </w:p>
        </w:tc>
        <w:tc>
          <w:tcPr>
            <w:tcW w:w="2325" w:type="dxa"/>
            <w:gridSpan w:val="2"/>
            <w:noWrap/>
            <w:vAlign w:val="center"/>
          </w:tcPr>
          <w:p w14:paraId="2F6E0D73">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0.43</w:t>
            </w:r>
          </w:p>
        </w:tc>
        <w:tc>
          <w:tcPr>
            <w:tcW w:w="1679" w:type="dxa"/>
            <w:gridSpan w:val="2"/>
            <w:noWrap/>
            <w:vAlign w:val="center"/>
          </w:tcPr>
          <w:p w14:paraId="69103028">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0.36</w:t>
            </w:r>
          </w:p>
        </w:tc>
      </w:tr>
      <w:tr w14:paraId="5ADFA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tcPr>
          <w:p w14:paraId="7135C94A">
            <w:pPr>
              <w:spacing w:before="145" w:line="189" w:lineRule="auto"/>
              <w:ind w:left="104"/>
              <w:jc w:val="left"/>
              <w:rPr>
                <w:rFonts w:ascii="宋体" w:hAnsi="宋体" w:eastAsia="宋体" w:cs="宋体"/>
                <w:color w:val="000000"/>
                <w:sz w:val="24"/>
              </w:rPr>
            </w:pPr>
            <w:r>
              <w:rPr>
                <w:rFonts w:hint="eastAsia" w:ascii="宋体" w:hAnsi="宋体" w:eastAsia="宋体" w:cs="宋体"/>
                <w:color w:val="000000"/>
                <w:spacing w:val="-1"/>
                <w:sz w:val="24"/>
              </w:rPr>
              <w:t>政府采购金额</w:t>
            </w:r>
          </w:p>
        </w:tc>
        <w:tc>
          <w:tcPr>
            <w:tcW w:w="1815" w:type="dxa"/>
            <w:gridSpan w:val="2"/>
            <w:noWrap/>
            <w:vAlign w:val="center"/>
          </w:tcPr>
          <w:p w14:paraId="39E0B19E">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78.53</w:t>
            </w:r>
          </w:p>
        </w:tc>
        <w:tc>
          <w:tcPr>
            <w:tcW w:w="2325" w:type="dxa"/>
            <w:gridSpan w:val="2"/>
            <w:noWrap/>
            <w:vAlign w:val="center"/>
          </w:tcPr>
          <w:p w14:paraId="6D279BE3">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97.80</w:t>
            </w:r>
            <w:bookmarkStart w:id="3" w:name="_GoBack"/>
            <w:bookmarkEnd w:id="3"/>
          </w:p>
        </w:tc>
        <w:tc>
          <w:tcPr>
            <w:tcW w:w="1679" w:type="dxa"/>
            <w:gridSpan w:val="2"/>
            <w:noWrap/>
            <w:vAlign w:val="center"/>
          </w:tcPr>
          <w:p w14:paraId="2A846D05">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77.72</w:t>
            </w:r>
          </w:p>
        </w:tc>
      </w:tr>
      <w:tr w14:paraId="4A5F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tcPr>
          <w:p w14:paraId="092CDA91">
            <w:pPr>
              <w:spacing w:before="145" w:line="198" w:lineRule="auto"/>
              <w:ind w:left="114"/>
              <w:jc w:val="left"/>
              <w:rPr>
                <w:rFonts w:ascii="宋体" w:hAnsi="宋体" w:eastAsia="宋体" w:cs="宋体"/>
                <w:color w:val="000000"/>
                <w:sz w:val="24"/>
              </w:rPr>
            </w:pPr>
            <w:r>
              <w:rPr>
                <w:rFonts w:hint="eastAsia" w:ascii="宋体" w:hAnsi="宋体" w:eastAsia="宋体" w:cs="宋体"/>
                <w:color w:val="000000"/>
                <w:spacing w:val="1"/>
                <w:sz w:val="24"/>
              </w:rPr>
              <w:t>部门基本支出预算调整</w:t>
            </w:r>
          </w:p>
        </w:tc>
        <w:tc>
          <w:tcPr>
            <w:tcW w:w="1815" w:type="dxa"/>
            <w:gridSpan w:val="2"/>
            <w:noWrap/>
          </w:tcPr>
          <w:p w14:paraId="5C421C3A">
            <w:pPr>
              <w:rPr>
                <w:rFonts w:ascii="宋体" w:hAnsi="宋体" w:eastAsia="宋体" w:cs="宋体"/>
                <w:color w:val="000000"/>
              </w:rPr>
            </w:pPr>
          </w:p>
        </w:tc>
        <w:tc>
          <w:tcPr>
            <w:tcW w:w="2325" w:type="dxa"/>
            <w:gridSpan w:val="2"/>
            <w:noWrap/>
          </w:tcPr>
          <w:p w14:paraId="4C597C61">
            <w:pPr>
              <w:rPr>
                <w:rFonts w:ascii="宋体" w:hAnsi="宋体" w:eastAsia="宋体" w:cs="宋体"/>
                <w:color w:val="000000"/>
              </w:rPr>
            </w:pPr>
          </w:p>
        </w:tc>
        <w:tc>
          <w:tcPr>
            <w:tcW w:w="1679" w:type="dxa"/>
            <w:gridSpan w:val="2"/>
            <w:noWrap/>
          </w:tcPr>
          <w:p w14:paraId="3E8F4401">
            <w:pPr>
              <w:rPr>
                <w:rFonts w:ascii="宋体" w:hAnsi="宋体" w:eastAsia="宋体" w:cs="宋体"/>
                <w:color w:val="000000"/>
              </w:rPr>
            </w:pPr>
          </w:p>
        </w:tc>
      </w:tr>
      <w:tr w14:paraId="6B46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ign w:val="center"/>
          </w:tcPr>
          <w:p w14:paraId="02142296">
            <w:pPr>
              <w:spacing w:before="65" w:line="390" w:lineRule="exact"/>
              <w:jc w:val="center"/>
              <w:rPr>
                <w:rFonts w:ascii="宋体" w:hAnsi="宋体" w:eastAsia="宋体" w:cs="宋体"/>
                <w:color w:val="000000"/>
                <w:sz w:val="24"/>
              </w:rPr>
            </w:pPr>
            <w:r>
              <w:rPr>
                <w:rFonts w:hint="eastAsia" w:ascii="宋体" w:hAnsi="宋体" w:eastAsia="宋体" w:cs="宋体"/>
                <w:color w:val="000000"/>
                <w:spacing w:val="-1"/>
                <w:position w:val="14"/>
                <w:sz w:val="24"/>
              </w:rPr>
              <w:t>楼堂馆所控制情况</w:t>
            </w:r>
          </w:p>
          <w:p w14:paraId="1ED2C14D">
            <w:pPr>
              <w:spacing w:line="219" w:lineRule="auto"/>
              <w:jc w:val="center"/>
              <w:rPr>
                <w:rFonts w:ascii="宋体" w:hAnsi="宋体" w:eastAsia="宋体" w:cs="宋体"/>
                <w:color w:val="000000"/>
                <w:sz w:val="24"/>
              </w:rPr>
            </w:pPr>
            <w:r>
              <w:rPr>
                <w:rFonts w:hint="eastAsia" w:ascii="宋体" w:hAnsi="宋体" w:eastAsia="宋体" w:cs="宋体"/>
                <w:color w:val="000000"/>
                <w:spacing w:val="3"/>
                <w:sz w:val="24"/>
              </w:rPr>
              <w:t>(202</w:t>
            </w:r>
            <w:r>
              <w:rPr>
                <w:rFonts w:hint="eastAsia" w:ascii="宋体" w:hAnsi="宋体" w:cs="宋体"/>
                <w:color w:val="000000"/>
                <w:spacing w:val="3"/>
                <w:sz w:val="24"/>
              </w:rPr>
              <w:t>4</w:t>
            </w:r>
            <w:r>
              <w:rPr>
                <w:rFonts w:hint="eastAsia" w:ascii="宋体" w:hAnsi="宋体" w:eastAsia="宋体" w:cs="宋体"/>
                <w:color w:val="000000"/>
                <w:spacing w:val="3"/>
                <w:sz w:val="24"/>
              </w:rPr>
              <w:t>年完工项目)</w:t>
            </w:r>
          </w:p>
        </w:tc>
        <w:tc>
          <w:tcPr>
            <w:tcW w:w="825" w:type="dxa"/>
            <w:noWrap/>
            <w:vAlign w:val="center"/>
          </w:tcPr>
          <w:p w14:paraId="6518A419">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批复规模</w:t>
            </w:r>
          </w:p>
          <w:p w14:paraId="480DB2D5">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(m²)</w:t>
            </w:r>
          </w:p>
        </w:tc>
        <w:tc>
          <w:tcPr>
            <w:tcW w:w="990" w:type="dxa"/>
            <w:noWrap/>
            <w:vAlign w:val="center"/>
          </w:tcPr>
          <w:p w14:paraId="2238D56F">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实际规</w:t>
            </w:r>
          </w:p>
          <w:p w14:paraId="753911E7">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模(m²)</w:t>
            </w:r>
          </w:p>
        </w:tc>
        <w:tc>
          <w:tcPr>
            <w:tcW w:w="1140" w:type="dxa"/>
            <w:noWrap/>
            <w:vAlign w:val="center"/>
          </w:tcPr>
          <w:p w14:paraId="6BB45AAA">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规模控制率</w:t>
            </w:r>
          </w:p>
        </w:tc>
        <w:tc>
          <w:tcPr>
            <w:tcW w:w="1185" w:type="dxa"/>
            <w:noWrap/>
            <w:vAlign w:val="center"/>
          </w:tcPr>
          <w:p w14:paraId="0F72E03B">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预算投资</w:t>
            </w:r>
          </w:p>
          <w:p w14:paraId="016D1CF0">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10" w:type="dxa"/>
            <w:noWrap/>
            <w:vAlign w:val="center"/>
          </w:tcPr>
          <w:p w14:paraId="5EA88E2E">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实际</w:t>
            </w:r>
          </w:p>
          <w:p w14:paraId="08CEE8B4">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w:t>
            </w:r>
          </w:p>
          <w:p w14:paraId="0B9BA233">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(万元)</w:t>
            </w:r>
          </w:p>
        </w:tc>
        <w:tc>
          <w:tcPr>
            <w:tcW w:w="869" w:type="dxa"/>
            <w:noWrap/>
            <w:vAlign w:val="center"/>
          </w:tcPr>
          <w:p w14:paraId="70CC3B24">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投资概</w:t>
            </w:r>
          </w:p>
          <w:p w14:paraId="585129E2">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算控制</w:t>
            </w:r>
          </w:p>
          <w:p w14:paraId="26EB1A68">
            <w:pPr>
              <w:spacing w:line="240" w:lineRule="exact"/>
              <w:jc w:val="center"/>
              <w:rPr>
                <w:rFonts w:ascii="宋体" w:hAnsi="宋体" w:eastAsia="宋体" w:cs="宋体"/>
                <w:color w:val="000000"/>
                <w:sz w:val="20"/>
                <w:szCs w:val="20"/>
              </w:rPr>
            </w:pPr>
            <w:r>
              <w:rPr>
                <w:rFonts w:hint="eastAsia" w:ascii="宋体" w:hAnsi="宋体" w:eastAsia="宋体" w:cs="宋体"/>
                <w:color w:val="000000"/>
                <w:sz w:val="20"/>
                <w:szCs w:val="20"/>
              </w:rPr>
              <w:t>率</w:t>
            </w:r>
          </w:p>
        </w:tc>
      </w:tr>
      <w:tr w14:paraId="62F16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tcPr>
          <w:p w14:paraId="455773FC">
            <w:pPr>
              <w:jc w:val="left"/>
              <w:rPr>
                <w:rFonts w:ascii="宋体" w:hAnsi="宋体" w:eastAsia="宋体" w:cs="宋体"/>
                <w:color w:val="000000"/>
                <w:sz w:val="24"/>
              </w:rPr>
            </w:pPr>
          </w:p>
        </w:tc>
        <w:tc>
          <w:tcPr>
            <w:tcW w:w="825" w:type="dxa"/>
            <w:noWrap/>
          </w:tcPr>
          <w:p w14:paraId="5D61F997">
            <w:pPr>
              <w:rPr>
                <w:rFonts w:ascii="宋体" w:hAnsi="宋体" w:eastAsia="宋体" w:cs="宋体"/>
                <w:color w:val="000000"/>
              </w:rPr>
            </w:pPr>
          </w:p>
        </w:tc>
        <w:tc>
          <w:tcPr>
            <w:tcW w:w="990" w:type="dxa"/>
            <w:noWrap/>
          </w:tcPr>
          <w:p w14:paraId="11E624A3">
            <w:pPr>
              <w:rPr>
                <w:rFonts w:ascii="宋体" w:hAnsi="宋体" w:eastAsia="宋体" w:cs="宋体"/>
                <w:color w:val="000000"/>
              </w:rPr>
            </w:pPr>
          </w:p>
        </w:tc>
        <w:tc>
          <w:tcPr>
            <w:tcW w:w="1140" w:type="dxa"/>
            <w:noWrap/>
          </w:tcPr>
          <w:p w14:paraId="07BAFCA6">
            <w:pPr>
              <w:rPr>
                <w:rFonts w:ascii="宋体" w:hAnsi="宋体" w:eastAsia="宋体" w:cs="宋体"/>
                <w:color w:val="000000"/>
              </w:rPr>
            </w:pPr>
          </w:p>
        </w:tc>
        <w:tc>
          <w:tcPr>
            <w:tcW w:w="1185" w:type="dxa"/>
            <w:noWrap/>
          </w:tcPr>
          <w:p w14:paraId="52435451">
            <w:pPr>
              <w:rPr>
                <w:rFonts w:ascii="宋体" w:hAnsi="宋体" w:eastAsia="宋体" w:cs="宋体"/>
                <w:color w:val="000000"/>
              </w:rPr>
            </w:pPr>
          </w:p>
        </w:tc>
        <w:tc>
          <w:tcPr>
            <w:tcW w:w="810" w:type="dxa"/>
            <w:noWrap/>
          </w:tcPr>
          <w:p w14:paraId="5D177BCC">
            <w:pPr>
              <w:rPr>
                <w:rFonts w:ascii="宋体" w:hAnsi="宋体" w:eastAsia="宋体" w:cs="宋体"/>
                <w:color w:val="000000"/>
              </w:rPr>
            </w:pPr>
          </w:p>
        </w:tc>
        <w:tc>
          <w:tcPr>
            <w:tcW w:w="869" w:type="dxa"/>
            <w:noWrap/>
          </w:tcPr>
          <w:p w14:paraId="4FD9731F">
            <w:pPr>
              <w:rPr>
                <w:rFonts w:ascii="宋体" w:hAnsi="宋体" w:eastAsia="宋体" w:cs="宋体"/>
                <w:color w:val="000000"/>
              </w:rPr>
            </w:pPr>
          </w:p>
        </w:tc>
      </w:tr>
      <w:tr w14:paraId="39D97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tcPr>
          <w:p w14:paraId="35320BD7">
            <w:pPr>
              <w:jc w:val="center"/>
              <w:rPr>
                <w:rFonts w:ascii="宋体" w:hAnsi="宋体" w:eastAsia="宋体" w:cs="宋体"/>
                <w:color w:val="000000"/>
                <w:sz w:val="24"/>
              </w:rPr>
            </w:pPr>
            <w:r>
              <w:rPr>
                <w:rFonts w:hint="eastAsia" w:ascii="宋体" w:hAnsi="宋体" w:eastAsia="宋体" w:cs="宋体"/>
                <w:color w:val="000000"/>
                <w:spacing w:val="1"/>
                <w:sz w:val="24"/>
              </w:rPr>
              <w:t>厉行节约保障措施</w:t>
            </w:r>
          </w:p>
        </w:tc>
        <w:tc>
          <w:tcPr>
            <w:tcW w:w="5819" w:type="dxa"/>
            <w:gridSpan w:val="6"/>
            <w:noWrap/>
          </w:tcPr>
          <w:p w14:paraId="765AEBF6">
            <w:pPr>
              <w:jc w:val="center"/>
              <w:rPr>
                <w:rFonts w:ascii="宋体" w:hAnsi="宋体" w:eastAsia="宋体" w:cs="宋体"/>
                <w:color w:val="000000"/>
              </w:rPr>
            </w:pPr>
            <w:r>
              <w:rPr>
                <w:rFonts w:hint="eastAsia" w:ascii="宋体" w:hAnsi="宋体" w:eastAsia="宋体" w:cs="宋体"/>
                <w:color w:val="000000"/>
              </w:rPr>
              <w:t>牢固树立“过紧日子”思想，严控“三公”经费</w:t>
            </w:r>
          </w:p>
        </w:tc>
      </w:tr>
    </w:tbl>
    <w:p w14:paraId="52D823D2">
      <w:pPr>
        <w:spacing w:line="410" w:lineRule="exact"/>
        <w:rPr>
          <w:rFonts w:ascii="宋体" w:hAnsi="宋体" w:eastAsia="宋体" w:cs="宋体"/>
          <w:color w:val="000000"/>
          <w:sz w:val="23"/>
          <w:szCs w:val="23"/>
        </w:rPr>
      </w:pPr>
    </w:p>
    <w:p w14:paraId="3D3D65D4">
      <w:pPr>
        <w:jc w:val="left"/>
        <w:rPr>
          <w:rFonts w:eastAsia="宋体"/>
          <w:sz w:val="28"/>
          <w:szCs w:val="28"/>
        </w:rPr>
        <w:sectPr>
          <w:footerReference r:id="rId3" w:type="default"/>
          <w:pgSz w:w="11900" w:h="16833"/>
          <w:pgMar w:top="1429" w:right="1106" w:bottom="1253" w:left="1111" w:header="0" w:footer="964" w:gutter="0"/>
          <w:cols w:space="0" w:num="1"/>
        </w:sectPr>
      </w:pPr>
    </w:p>
    <w:p w14:paraId="3A4BD666">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lang w:val="en-US" w:eastAsia="zh-CN"/>
        </w:rPr>
        <w:t>2</w:t>
      </w:r>
    </w:p>
    <w:p w14:paraId="49065CA6">
      <w:pPr>
        <w:spacing w:line="700" w:lineRule="exact"/>
        <w:jc w:val="center"/>
        <w:rPr>
          <w:rFonts w:ascii="方正小标宋简体" w:hAnsi="方正小标宋简体" w:eastAsia="方正小标宋简体" w:cs="方正小标宋简体"/>
          <w:color w:val="000000"/>
          <w:spacing w:val="2"/>
          <w:sz w:val="42"/>
          <w:szCs w:val="42"/>
        </w:rPr>
      </w:pPr>
      <w:r>
        <w:rPr>
          <w:rFonts w:hint="eastAsia" w:ascii="方正小标宋简体" w:hAnsi="方正小标宋简体" w:eastAsia="方正小标宋简体" w:cs="方正小标宋简体"/>
          <w:color w:val="000000"/>
          <w:spacing w:val="2"/>
          <w:sz w:val="42"/>
          <w:szCs w:val="42"/>
        </w:rPr>
        <w:t>2024年度预算单位整体支出绩效自评表</w:t>
      </w:r>
    </w:p>
    <w:p w14:paraId="12CAFA06">
      <w:pPr>
        <w:spacing w:line="132" w:lineRule="exact"/>
      </w:pPr>
    </w:p>
    <w:tbl>
      <w:tblPr>
        <w:tblStyle w:val="11"/>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19"/>
        <w:gridCol w:w="996"/>
        <w:gridCol w:w="1445"/>
        <w:gridCol w:w="1232"/>
        <w:gridCol w:w="1268"/>
        <w:gridCol w:w="716"/>
        <w:gridCol w:w="873"/>
        <w:gridCol w:w="1450"/>
      </w:tblGrid>
      <w:tr w14:paraId="3417C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99" w:type="dxa"/>
            <w:gridSpan w:val="3"/>
            <w:noWrap/>
          </w:tcPr>
          <w:p w14:paraId="15F07F9D">
            <w:pPr>
              <w:spacing w:before="24" w:line="208" w:lineRule="auto"/>
              <w:ind w:left="120" w:firstLine="412" w:firstLineChars="200"/>
              <w:rPr>
                <w:rFonts w:ascii="宋体" w:hAnsi="宋体" w:eastAsia="宋体" w:cs="宋体"/>
                <w:sz w:val="19"/>
                <w:szCs w:val="19"/>
              </w:rPr>
            </w:pPr>
            <w:r>
              <w:rPr>
                <w:rFonts w:hint="eastAsia" w:ascii="宋体" w:hAnsi="宋体" w:eastAsia="宋体" w:cs="宋体"/>
                <w:spacing w:val="8"/>
                <w:sz w:val="19"/>
                <w:szCs w:val="19"/>
              </w:rPr>
              <w:t>预算单位名称</w:t>
            </w:r>
          </w:p>
        </w:tc>
        <w:tc>
          <w:tcPr>
            <w:tcW w:w="6984" w:type="dxa"/>
            <w:gridSpan w:val="6"/>
            <w:noWrap/>
          </w:tcPr>
          <w:p w14:paraId="79D540A6">
            <w:pPr>
              <w:pStyle w:val="12"/>
              <w:spacing w:line="239" w:lineRule="exact"/>
              <w:rPr>
                <w:rFonts w:ascii="宋体" w:hAnsi="宋体" w:eastAsia="宋体" w:cs="宋体"/>
                <w:sz w:val="20"/>
                <w:lang w:eastAsia="zh-CN"/>
              </w:rPr>
            </w:pPr>
            <w:r>
              <w:rPr>
                <w:rFonts w:hint="eastAsia" w:ascii="宋体" w:hAnsi="宋体" w:eastAsia="宋体" w:cs="宋体"/>
                <w:sz w:val="20"/>
                <w:lang w:eastAsia="zh-CN"/>
              </w:rPr>
              <w:t>岳阳市岳阳楼区农产品综合检验检测中心</w:t>
            </w:r>
          </w:p>
        </w:tc>
      </w:tr>
      <w:tr w14:paraId="76B1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tcPr>
          <w:p w14:paraId="71764687">
            <w:pPr>
              <w:pStyle w:val="12"/>
              <w:spacing w:line="467" w:lineRule="auto"/>
              <w:rPr>
                <w:rFonts w:ascii="宋体" w:hAnsi="宋体" w:eastAsia="宋体" w:cs="宋体"/>
                <w:lang w:eastAsia="zh-CN"/>
              </w:rPr>
            </w:pPr>
          </w:p>
          <w:p w14:paraId="7811D5B3">
            <w:pPr>
              <w:spacing w:before="62" w:line="232" w:lineRule="auto"/>
              <w:ind w:left="144" w:right="144" w:firstLine="104"/>
              <w:rPr>
                <w:rFonts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算申请</w:t>
            </w:r>
            <w:r>
              <w:rPr>
                <w:rFonts w:hint="eastAsia" w:ascii="宋体" w:hAnsi="宋体" w:eastAsia="宋体" w:cs="宋体"/>
                <w:spacing w:val="7"/>
                <w:sz w:val="19"/>
                <w:szCs w:val="19"/>
              </w:rPr>
              <w:t>（万元）</w:t>
            </w:r>
          </w:p>
        </w:tc>
        <w:tc>
          <w:tcPr>
            <w:tcW w:w="2015" w:type="dxa"/>
            <w:gridSpan w:val="2"/>
            <w:noWrap/>
          </w:tcPr>
          <w:p w14:paraId="73D3F109">
            <w:pPr>
              <w:pStyle w:val="12"/>
              <w:spacing w:line="235" w:lineRule="exact"/>
              <w:rPr>
                <w:rFonts w:ascii="宋体" w:hAnsi="宋体" w:eastAsia="宋体" w:cs="宋体"/>
                <w:sz w:val="20"/>
                <w:lang w:eastAsia="zh-CN"/>
              </w:rPr>
            </w:pPr>
          </w:p>
        </w:tc>
        <w:tc>
          <w:tcPr>
            <w:tcW w:w="1445" w:type="dxa"/>
            <w:noWrap/>
          </w:tcPr>
          <w:p w14:paraId="7E3E6912">
            <w:pPr>
              <w:spacing w:before="20" w:line="208" w:lineRule="auto"/>
              <w:ind w:left="140"/>
              <w:rPr>
                <w:rFonts w:ascii="宋体" w:hAnsi="宋体" w:eastAsia="宋体" w:cs="宋体"/>
                <w:sz w:val="19"/>
                <w:szCs w:val="19"/>
              </w:rPr>
            </w:pPr>
            <w:r>
              <w:rPr>
                <w:rFonts w:hint="eastAsia" w:ascii="宋体" w:hAnsi="宋体" w:eastAsia="宋体" w:cs="宋体"/>
                <w:spacing w:val="7"/>
                <w:sz w:val="19"/>
                <w:szCs w:val="19"/>
              </w:rPr>
              <w:t>年初预算数</w:t>
            </w:r>
          </w:p>
        </w:tc>
        <w:tc>
          <w:tcPr>
            <w:tcW w:w="1232" w:type="dxa"/>
            <w:noWrap/>
          </w:tcPr>
          <w:p w14:paraId="04AD6E6F">
            <w:pPr>
              <w:spacing w:before="20" w:line="208" w:lineRule="auto"/>
              <w:ind w:left="159"/>
              <w:rPr>
                <w:rFonts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tcPr>
          <w:p w14:paraId="03B7A2B0">
            <w:pPr>
              <w:spacing w:before="20" w:line="208" w:lineRule="auto"/>
              <w:ind w:left="138"/>
              <w:rPr>
                <w:rFonts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tcPr>
          <w:p w14:paraId="3E2DB11B">
            <w:pPr>
              <w:spacing w:before="20" w:line="208" w:lineRule="auto"/>
              <w:ind w:left="166"/>
              <w:rPr>
                <w:rFonts w:ascii="宋体" w:hAnsi="宋体" w:eastAsia="宋体" w:cs="宋体"/>
                <w:sz w:val="19"/>
                <w:szCs w:val="19"/>
              </w:rPr>
            </w:pPr>
            <w:r>
              <w:rPr>
                <w:rFonts w:hint="eastAsia" w:ascii="宋体" w:hAnsi="宋体" w:eastAsia="宋体" w:cs="宋体"/>
                <w:spacing w:val="4"/>
                <w:sz w:val="19"/>
                <w:szCs w:val="19"/>
              </w:rPr>
              <w:t>分值</w:t>
            </w:r>
          </w:p>
        </w:tc>
        <w:tc>
          <w:tcPr>
            <w:tcW w:w="873" w:type="dxa"/>
            <w:noWrap/>
          </w:tcPr>
          <w:p w14:paraId="44116D5E">
            <w:pPr>
              <w:spacing w:before="20" w:line="208" w:lineRule="auto"/>
              <w:ind w:left="147"/>
              <w:rPr>
                <w:rFonts w:ascii="宋体" w:hAnsi="宋体" w:eastAsia="宋体" w:cs="宋体"/>
                <w:sz w:val="19"/>
                <w:szCs w:val="19"/>
              </w:rPr>
            </w:pPr>
            <w:r>
              <w:rPr>
                <w:rFonts w:hint="eastAsia" w:ascii="宋体" w:hAnsi="宋体" w:eastAsia="宋体" w:cs="宋体"/>
                <w:spacing w:val="5"/>
                <w:sz w:val="19"/>
                <w:szCs w:val="19"/>
              </w:rPr>
              <w:t>执行率</w:t>
            </w:r>
          </w:p>
        </w:tc>
        <w:tc>
          <w:tcPr>
            <w:tcW w:w="1450" w:type="dxa"/>
            <w:noWrap/>
          </w:tcPr>
          <w:p w14:paraId="0B7DB140">
            <w:pPr>
              <w:spacing w:before="20" w:line="208" w:lineRule="auto"/>
              <w:ind w:left="366"/>
              <w:rPr>
                <w:rFonts w:ascii="宋体" w:hAnsi="宋体" w:eastAsia="宋体" w:cs="宋体"/>
                <w:sz w:val="19"/>
                <w:szCs w:val="19"/>
              </w:rPr>
            </w:pPr>
            <w:r>
              <w:rPr>
                <w:rFonts w:hint="eastAsia" w:ascii="宋体" w:hAnsi="宋体" w:eastAsia="宋体" w:cs="宋体"/>
                <w:spacing w:val="-2"/>
                <w:sz w:val="19"/>
                <w:szCs w:val="19"/>
              </w:rPr>
              <w:t>自评得分</w:t>
            </w:r>
          </w:p>
        </w:tc>
      </w:tr>
      <w:tr w14:paraId="737B8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3ADF8D61">
            <w:pPr>
              <w:pStyle w:val="12"/>
              <w:rPr>
                <w:rFonts w:ascii="宋体" w:hAnsi="宋体" w:eastAsia="宋体" w:cs="宋体"/>
              </w:rPr>
            </w:pPr>
          </w:p>
        </w:tc>
        <w:tc>
          <w:tcPr>
            <w:tcW w:w="2015" w:type="dxa"/>
            <w:gridSpan w:val="2"/>
            <w:noWrap/>
          </w:tcPr>
          <w:p w14:paraId="0D81B0A7">
            <w:pPr>
              <w:spacing w:before="20" w:line="208" w:lineRule="auto"/>
              <w:ind w:left="463"/>
              <w:rPr>
                <w:rFonts w:ascii="宋体" w:hAnsi="宋体" w:eastAsia="宋体" w:cs="宋体"/>
                <w:sz w:val="19"/>
                <w:szCs w:val="19"/>
              </w:rPr>
            </w:pPr>
            <w:r>
              <w:rPr>
                <w:rFonts w:hint="eastAsia" w:ascii="宋体" w:hAnsi="宋体" w:eastAsia="宋体" w:cs="宋体"/>
                <w:spacing w:val="8"/>
                <w:sz w:val="19"/>
                <w:szCs w:val="19"/>
              </w:rPr>
              <w:t>年度资金总额</w:t>
            </w:r>
          </w:p>
        </w:tc>
        <w:tc>
          <w:tcPr>
            <w:tcW w:w="1445" w:type="dxa"/>
            <w:noWrap/>
          </w:tcPr>
          <w:p w14:paraId="6F823023">
            <w:pPr>
              <w:pStyle w:val="12"/>
              <w:spacing w:line="235" w:lineRule="exact"/>
              <w:rPr>
                <w:rFonts w:ascii="宋体" w:hAnsi="宋体" w:eastAsia="宋体" w:cs="宋体"/>
                <w:sz w:val="20"/>
                <w:lang w:eastAsia="zh-CN"/>
              </w:rPr>
            </w:pPr>
            <w:r>
              <w:rPr>
                <w:rFonts w:hint="eastAsia" w:ascii="宋体" w:hAnsi="宋体" w:eastAsia="宋体" w:cs="宋体"/>
                <w:sz w:val="20"/>
                <w:lang w:val="en-US" w:eastAsia="zh-CN"/>
              </w:rPr>
              <w:t>3</w:t>
            </w:r>
            <w:r>
              <w:rPr>
                <w:rFonts w:hint="eastAsia" w:ascii="宋体" w:hAnsi="宋体" w:eastAsia="宋体" w:cs="宋体"/>
                <w:sz w:val="20"/>
                <w:lang w:val="en-US" w:eastAsia="zh-CN"/>
              </w:rPr>
              <w:t>54.26</w:t>
            </w:r>
          </w:p>
        </w:tc>
        <w:tc>
          <w:tcPr>
            <w:tcW w:w="1232" w:type="dxa"/>
            <w:noWrap/>
          </w:tcPr>
          <w:p w14:paraId="37874193">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424.58</w:t>
            </w:r>
          </w:p>
        </w:tc>
        <w:tc>
          <w:tcPr>
            <w:tcW w:w="1268" w:type="dxa"/>
            <w:noWrap/>
          </w:tcPr>
          <w:p w14:paraId="746D6C55">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405.42</w:t>
            </w:r>
          </w:p>
        </w:tc>
        <w:tc>
          <w:tcPr>
            <w:tcW w:w="716" w:type="dxa"/>
            <w:noWrap/>
          </w:tcPr>
          <w:p w14:paraId="2F6B3C67">
            <w:pPr>
              <w:pStyle w:val="12"/>
              <w:spacing w:before="54" w:line="194" w:lineRule="auto"/>
              <w:ind w:left="270"/>
              <w:rPr>
                <w:rFonts w:ascii="宋体" w:hAnsi="宋体" w:eastAsia="宋体" w:cs="宋体"/>
                <w:sz w:val="19"/>
                <w:szCs w:val="19"/>
              </w:rPr>
            </w:pPr>
            <w:r>
              <w:rPr>
                <w:rFonts w:hint="eastAsia" w:ascii="宋体" w:hAnsi="宋体" w:eastAsia="宋体" w:cs="宋体"/>
                <w:b/>
                <w:bCs/>
                <w:spacing w:val="-10"/>
                <w:sz w:val="19"/>
                <w:szCs w:val="19"/>
              </w:rPr>
              <w:t>10</w:t>
            </w:r>
          </w:p>
        </w:tc>
        <w:tc>
          <w:tcPr>
            <w:tcW w:w="873" w:type="dxa"/>
            <w:noWrap/>
          </w:tcPr>
          <w:p w14:paraId="78803E98">
            <w:pPr>
              <w:pStyle w:val="12"/>
              <w:spacing w:line="235" w:lineRule="exact"/>
              <w:rPr>
                <w:rFonts w:ascii="宋体" w:hAnsi="宋体" w:eastAsia="宋体" w:cs="宋体"/>
                <w:sz w:val="20"/>
                <w:lang w:eastAsia="zh-CN"/>
              </w:rPr>
            </w:pPr>
            <w:r>
              <w:rPr>
                <w:rFonts w:hint="eastAsia" w:ascii="宋体" w:hAnsi="宋体" w:eastAsia="宋体" w:cs="宋体"/>
                <w:sz w:val="20"/>
                <w:lang w:eastAsia="zh-CN"/>
              </w:rPr>
              <w:t>95.48%</w:t>
            </w:r>
          </w:p>
        </w:tc>
        <w:tc>
          <w:tcPr>
            <w:tcW w:w="1450" w:type="dxa"/>
            <w:noWrap/>
          </w:tcPr>
          <w:p w14:paraId="6A06EC91">
            <w:pPr>
              <w:pStyle w:val="12"/>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9.55</w:t>
            </w:r>
          </w:p>
        </w:tc>
      </w:tr>
      <w:tr w14:paraId="06D4F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057EB073">
            <w:pPr>
              <w:pStyle w:val="12"/>
              <w:rPr>
                <w:rFonts w:ascii="宋体" w:hAnsi="宋体" w:eastAsia="宋体" w:cs="宋体"/>
              </w:rPr>
            </w:pPr>
          </w:p>
        </w:tc>
        <w:tc>
          <w:tcPr>
            <w:tcW w:w="4692" w:type="dxa"/>
            <w:gridSpan w:val="4"/>
            <w:noWrap/>
          </w:tcPr>
          <w:p w14:paraId="0DF6C379">
            <w:pPr>
              <w:spacing w:before="22" w:line="206" w:lineRule="auto"/>
              <w:ind w:left="111"/>
              <w:rPr>
                <w:rFonts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tcPr>
          <w:p w14:paraId="61E4ADFE">
            <w:pPr>
              <w:spacing w:before="22" w:line="206" w:lineRule="auto"/>
              <w:ind w:left="116"/>
              <w:rPr>
                <w:rFonts w:ascii="宋体" w:hAnsi="宋体" w:eastAsia="宋体" w:cs="宋体"/>
                <w:sz w:val="19"/>
                <w:szCs w:val="19"/>
              </w:rPr>
            </w:pPr>
            <w:r>
              <w:rPr>
                <w:rFonts w:hint="eastAsia" w:ascii="宋体" w:hAnsi="宋体" w:eastAsia="宋体" w:cs="宋体"/>
                <w:spacing w:val="2"/>
                <w:sz w:val="19"/>
                <w:szCs w:val="19"/>
              </w:rPr>
              <w:t>按支出性质分：</w:t>
            </w:r>
          </w:p>
        </w:tc>
      </w:tr>
      <w:tr w14:paraId="28EAD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06818509">
            <w:pPr>
              <w:pStyle w:val="12"/>
              <w:rPr>
                <w:rFonts w:ascii="宋体" w:hAnsi="宋体" w:eastAsia="宋体" w:cs="宋体"/>
              </w:rPr>
            </w:pPr>
          </w:p>
        </w:tc>
        <w:tc>
          <w:tcPr>
            <w:tcW w:w="4692" w:type="dxa"/>
            <w:gridSpan w:val="4"/>
            <w:noWrap/>
          </w:tcPr>
          <w:p w14:paraId="621D7531">
            <w:pPr>
              <w:spacing w:before="21" w:line="207" w:lineRule="auto"/>
              <w:ind w:left="312"/>
              <w:rPr>
                <w:rFonts w:ascii="宋体" w:hAnsi="宋体" w:eastAsia="宋体" w:cs="宋体"/>
                <w:sz w:val="19"/>
                <w:szCs w:val="19"/>
              </w:rPr>
            </w:pPr>
            <w:r>
              <w:rPr>
                <w:rFonts w:hint="eastAsia" w:ascii="宋体" w:hAnsi="宋体" w:eastAsia="宋体" w:cs="宋体"/>
                <w:spacing w:val="1"/>
                <w:sz w:val="19"/>
                <w:szCs w:val="19"/>
              </w:rPr>
              <w:t>其中：一般公共预算：369.47</w:t>
            </w:r>
          </w:p>
        </w:tc>
        <w:tc>
          <w:tcPr>
            <w:tcW w:w="4307" w:type="dxa"/>
            <w:gridSpan w:val="4"/>
            <w:noWrap/>
          </w:tcPr>
          <w:p w14:paraId="11019363">
            <w:pPr>
              <w:spacing w:before="21" w:line="207" w:lineRule="auto"/>
              <w:ind w:left="115"/>
              <w:rPr>
                <w:rFonts w:ascii="宋体" w:hAnsi="宋体" w:eastAsia="宋体" w:cs="宋体"/>
                <w:sz w:val="19"/>
                <w:szCs w:val="19"/>
              </w:rPr>
            </w:pPr>
            <w:r>
              <w:rPr>
                <w:rFonts w:hint="eastAsia" w:ascii="宋体" w:hAnsi="宋体" w:eastAsia="宋体" w:cs="宋体"/>
                <w:spacing w:val="2"/>
                <w:sz w:val="19"/>
                <w:szCs w:val="19"/>
              </w:rPr>
              <w:t>其中：基本支出：263.53</w:t>
            </w:r>
          </w:p>
        </w:tc>
      </w:tr>
      <w:tr w14:paraId="55149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05A4F8F7">
            <w:pPr>
              <w:pStyle w:val="12"/>
              <w:rPr>
                <w:rFonts w:ascii="宋体" w:hAnsi="宋体" w:eastAsia="宋体" w:cs="宋体"/>
              </w:rPr>
            </w:pPr>
          </w:p>
        </w:tc>
        <w:tc>
          <w:tcPr>
            <w:tcW w:w="4692" w:type="dxa"/>
            <w:gridSpan w:val="4"/>
            <w:noWrap/>
          </w:tcPr>
          <w:p w14:paraId="56EF608C">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p>
        </w:tc>
        <w:tc>
          <w:tcPr>
            <w:tcW w:w="4307" w:type="dxa"/>
            <w:gridSpan w:val="4"/>
            <w:noWrap/>
          </w:tcPr>
          <w:p w14:paraId="7FC07A38">
            <w:pPr>
              <w:spacing w:before="21" w:line="207" w:lineRule="auto"/>
              <w:ind w:left="717"/>
              <w:rPr>
                <w:rFonts w:ascii="宋体" w:hAnsi="宋体" w:eastAsia="宋体" w:cs="宋体"/>
                <w:sz w:val="19"/>
                <w:szCs w:val="19"/>
              </w:rPr>
            </w:pPr>
            <w:r>
              <w:rPr>
                <w:rFonts w:hint="eastAsia" w:ascii="宋体" w:hAnsi="宋体" w:eastAsia="宋体" w:cs="宋体"/>
                <w:spacing w:val="-3"/>
                <w:sz w:val="19"/>
                <w:szCs w:val="19"/>
              </w:rPr>
              <w:t>项目支出：141.89</w:t>
            </w:r>
          </w:p>
        </w:tc>
      </w:tr>
      <w:tr w14:paraId="7B56D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tcPr>
          <w:p w14:paraId="124B3104">
            <w:pPr>
              <w:pStyle w:val="12"/>
              <w:rPr>
                <w:rFonts w:ascii="宋体" w:hAnsi="宋体" w:eastAsia="宋体" w:cs="宋体"/>
              </w:rPr>
            </w:pPr>
          </w:p>
        </w:tc>
        <w:tc>
          <w:tcPr>
            <w:tcW w:w="4692" w:type="dxa"/>
            <w:gridSpan w:val="4"/>
            <w:noWrap/>
          </w:tcPr>
          <w:p w14:paraId="2BD0120C">
            <w:pPr>
              <w:spacing w:before="20" w:line="208" w:lineRule="auto"/>
              <w:ind w:left="115"/>
              <w:rPr>
                <w:rFonts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tcPr>
          <w:p w14:paraId="3B25654F">
            <w:pPr>
              <w:pStyle w:val="12"/>
              <w:spacing w:line="235" w:lineRule="exact"/>
              <w:rPr>
                <w:rFonts w:ascii="宋体" w:hAnsi="宋体" w:eastAsia="宋体" w:cs="宋体"/>
                <w:sz w:val="20"/>
                <w:lang w:eastAsia="zh-CN"/>
              </w:rPr>
            </w:pPr>
          </w:p>
        </w:tc>
      </w:tr>
      <w:tr w14:paraId="15CC7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tcPr>
          <w:p w14:paraId="6C2062BB">
            <w:pPr>
              <w:pStyle w:val="12"/>
              <w:rPr>
                <w:rFonts w:ascii="宋体" w:hAnsi="宋体" w:eastAsia="宋体" w:cs="宋体"/>
                <w:lang w:eastAsia="zh-CN"/>
              </w:rPr>
            </w:pPr>
          </w:p>
        </w:tc>
        <w:tc>
          <w:tcPr>
            <w:tcW w:w="4692" w:type="dxa"/>
            <w:gridSpan w:val="4"/>
            <w:noWrap/>
          </w:tcPr>
          <w:p w14:paraId="3D6CB169">
            <w:pPr>
              <w:spacing w:before="20" w:line="208" w:lineRule="auto"/>
              <w:ind w:left="1512"/>
              <w:rPr>
                <w:rFonts w:ascii="宋体" w:hAnsi="宋体" w:eastAsia="宋体" w:cs="宋体"/>
                <w:sz w:val="19"/>
                <w:szCs w:val="19"/>
              </w:rPr>
            </w:pPr>
            <w:r>
              <w:rPr>
                <w:rFonts w:hint="eastAsia" w:ascii="宋体" w:hAnsi="宋体" w:eastAsia="宋体" w:cs="宋体"/>
                <w:spacing w:val="-2"/>
                <w:sz w:val="19"/>
                <w:szCs w:val="19"/>
              </w:rPr>
              <w:t>其他资金：35.95</w:t>
            </w:r>
          </w:p>
        </w:tc>
        <w:tc>
          <w:tcPr>
            <w:tcW w:w="4307" w:type="dxa"/>
            <w:gridSpan w:val="4"/>
            <w:noWrap/>
          </w:tcPr>
          <w:p w14:paraId="7B08633D">
            <w:pPr>
              <w:pStyle w:val="12"/>
              <w:spacing w:line="235" w:lineRule="exact"/>
              <w:rPr>
                <w:rFonts w:ascii="宋体" w:hAnsi="宋体" w:eastAsia="宋体" w:cs="宋体"/>
                <w:sz w:val="20"/>
              </w:rPr>
            </w:pPr>
          </w:p>
        </w:tc>
      </w:tr>
      <w:tr w14:paraId="0CA4E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tcPr>
          <w:p w14:paraId="0BFF2A93">
            <w:pPr>
              <w:pStyle w:val="12"/>
              <w:spacing w:line="242" w:lineRule="auto"/>
              <w:rPr>
                <w:rFonts w:ascii="宋体" w:hAnsi="宋体" w:eastAsia="宋体" w:cs="宋体"/>
              </w:rPr>
            </w:pPr>
          </w:p>
          <w:p w14:paraId="324C1FC0">
            <w:pPr>
              <w:pStyle w:val="12"/>
              <w:spacing w:line="243" w:lineRule="auto"/>
              <w:rPr>
                <w:rFonts w:ascii="宋体" w:hAnsi="宋体" w:eastAsia="宋体" w:cs="宋体"/>
              </w:rPr>
            </w:pPr>
          </w:p>
          <w:p w14:paraId="338ECF3D">
            <w:pPr>
              <w:spacing w:before="62" w:line="230" w:lineRule="auto"/>
              <w:ind w:left="382" w:right="139" w:hanging="232"/>
              <w:rPr>
                <w:rFonts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4692" w:type="dxa"/>
            <w:gridSpan w:val="4"/>
            <w:noWrap/>
          </w:tcPr>
          <w:p w14:paraId="1F214DBC">
            <w:pPr>
              <w:spacing w:before="20" w:line="208" w:lineRule="auto"/>
              <w:ind w:left="1959"/>
              <w:rPr>
                <w:rFonts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tcPr>
          <w:p w14:paraId="10E7C40B">
            <w:pPr>
              <w:spacing w:before="20" w:line="208" w:lineRule="auto"/>
              <w:ind w:left="1567"/>
              <w:rPr>
                <w:rFonts w:ascii="宋体" w:hAnsi="宋体" w:eastAsia="宋体" w:cs="宋体"/>
                <w:sz w:val="19"/>
                <w:szCs w:val="19"/>
              </w:rPr>
            </w:pPr>
            <w:r>
              <w:rPr>
                <w:rFonts w:hint="eastAsia" w:ascii="宋体" w:hAnsi="宋体" w:eastAsia="宋体" w:cs="宋体"/>
                <w:spacing w:val="6"/>
                <w:sz w:val="19"/>
                <w:szCs w:val="19"/>
              </w:rPr>
              <w:t>实际完成情况</w:t>
            </w:r>
          </w:p>
        </w:tc>
      </w:tr>
      <w:tr w14:paraId="27BF6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9" w:hRule="atLeast"/>
        </w:trPr>
        <w:tc>
          <w:tcPr>
            <w:tcW w:w="1084" w:type="dxa"/>
            <w:vMerge w:val="continue"/>
            <w:tcBorders>
              <w:top w:val="nil"/>
            </w:tcBorders>
            <w:noWrap/>
          </w:tcPr>
          <w:p w14:paraId="06883FB8">
            <w:pPr>
              <w:pStyle w:val="12"/>
              <w:rPr>
                <w:rFonts w:ascii="宋体" w:hAnsi="宋体" w:eastAsia="宋体" w:cs="宋体"/>
              </w:rPr>
            </w:pPr>
          </w:p>
        </w:tc>
        <w:tc>
          <w:tcPr>
            <w:tcW w:w="4692" w:type="dxa"/>
            <w:gridSpan w:val="4"/>
            <w:noWrap/>
          </w:tcPr>
          <w:p w14:paraId="0D0F3858">
            <w:pPr>
              <w:pStyle w:val="12"/>
              <w:rPr>
                <w:rFonts w:hint="eastAsia" w:ascii="宋体" w:hAnsi="宋体" w:eastAsia="宋体" w:cs="宋体"/>
                <w:b w:val="0"/>
                <w:bCs w:val="0"/>
              </w:rPr>
            </w:pPr>
            <w:r>
              <w:rPr>
                <w:rFonts w:hint="eastAsia" w:ascii="宋体" w:hAnsi="宋体" w:eastAsia="宋体" w:cs="宋体"/>
                <w:b w:val="0"/>
                <w:bCs w:val="0"/>
              </w:rPr>
              <w:t>1、认真落实春秋两季动物防疫工作，加强兽医实验室检测力度，杜绝动物疫病的发生及扩散；</w:t>
            </w:r>
          </w:p>
          <w:p w14:paraId="45C6E3C7">
            <w:pPr>
              <w:pStyle w:val="12"/>
              <w:rPr>
                <w:rFonts w:hint="eastAsia" w:ascii="宋体" w:hAnsi="宋体" w:eastAsia="宋体" w:cs="宋体"/>
                <w:b w:val="0"/>
                <w:bCs w:val="0"/>
              </w:rPr>
            </w:pPr>
            <w:r>
              <w:rPr>
                <w:rFonts w:hint="eastAsia" w:ascii="宋体" w:hAnsi="宋体" w:eastAsia="宋体" w:cs="宋体"/>
                <w:b w:val="0"/>
                <w:bCs w:val="0"/>
              </w:rPr>
              <w:t>2、做好动物禽流感流感防控工作。同时，下发禽流感疫苗、消毒药品等防疫物资、发放宣传单；</w:t>
            </w:r>
          </w:p>
          <w:p w14:paraId="007FB649">
            <w:pPr>
              <w:pStyle w:val="12"/>
              <w:rPr>
                <w:rFonts w:hint="eastAsia" w:ascii="宋体" w:hAnsi="宋体" w:eastAsia="宋体" w:cs="宋体"/>
                <w:b w:val="0"/>
                <w:bCs w:val="0"/>
              </w:rPr>
            </w:pPr>
            <w:r>
              <w:rPr>
                <w:rFonts w:hint="eastAsia" w:ascii="宋体" w:hAnsi="宋体" w:eastAsia="宋体" w:cs="宋体"/>
                <w:b w:val="0"/>
                <w:bCs w:val="0"/>
              </w:rPr>
              <w:t>3、对汇康屠宰场屠宰生猪采取非洲猪瘟“批批检、全覆盖”监督工作，并且监督场方每次进行消毒工作，对入场所有畜禽产品进行检疫后进入流通环节销售。</w:t>
            </w:r>
          </w:p>
          <w:p w14:paraId="534C3FA4">
            <w:pPr>
              <w:pStyle w:val="12"/>
              <w:rPr>
                <w:rFonts w:hint="eastAsia" w:ascii="宋体" w:hAnsi="宋体" w:eastAsia="宋体" w:cs="宋体"/>
                <w:b w:val="0"/>
                <w:bCs w:val="0"/>
              </w:rPr>
            </w:pPr>
            <w:r>
              <w:rPr>
                <w:rFonts w:hint="eastAsia" w:ascii="宋体" w:hAnsi="宋体" w:eastAsia="宋体" w:cs="宋体"/>
                <w:b w:val="0"/>
                <w:bCs w:val="0"/>
              </w:rPr>
              <w:t xml:space="preserve">4、采集活禽血清样、口腔、泄殖腔、环境拭子送岳阳市动物疫病预防控制中心检测。                                            </w:t>
            </w:r>
          </w:p>
          <w:p w14:paraId="27F26D9E">
            <w:pPr>
              <w:pStyle w:val="12"/>
              <w:rPr>
                <w:rFonts w:hint="eastAsia" w:ascii="宋体" w:hAnsi="宋体" w:eastAsia="宋体" w:cs="宋体"/>
                <w:b w:val="0"/>
                <w:bCs w:val="0"/>
              </w:rPr>
            </w:pPr>
            <w:r>
              <w:rPr>
                <w:rFonts w:hint="eastAsia" w:ascii="宋体" w:hAnsi="宋体" w:eastAsia="宋体" w:cs="宋体"/>
                <w:b w:val="0"/>
                <w:bCs w:val="0"/>
              </w:rPr>
              <w:t>5、养殖环节，年初制订了详细的抽检方案和计划，及时下发给各乡镇，我中心多次到各乡镇进行专项督查，确保规模养殖场抽检覆盖面100%　；</w:t>
            </w:r>
          </w:p>
          <w:p w14:paraId="194AAC5F">
            <w:pPr>
              <w:pStyle w:val="12"/>
              <w:rPr>
                <w:rFonts w:hint="eastAsia" w:ascii="宋体" w:hAnsi="宋体" w:eastAsia="宋体" w:cs="宋体"/>
                <w:b w:val="0"/>
                <w:bCs w:val="0"/>
              </w:rPr>
            </w:pPr>
            <w:r>
              <w:rPr>
                <w:rFonts w:hint="eastAsia" w:ascii="宋体" w:hAnsi="宋体" w:eastAsia="宋体" w:cs="宋体"/>
                <w:b w:val="0"/>
                <w:bCs w:val="0"/>
              </w:rPr>
              <w:t>6、屠宰环节，生猪定点屠宰场实行“瘦肉精”监测严格按照屠宰量5%的要求规范开展了检测工作；</w:t>
            </w:r>
          </w:p>
          <w:p w14:paraId="14BE7FDC">
            <w:pPr>
              <w:pStyle w:val="12"/>
              <w:rPr>
                <w:rFonts w:hint="eastAsia" w:ascii="宋体" w:hAnsi="宋体" w:eastAsia="宋体" w:cs="宋体"/>
                <w:b w:val="0"/>
                <w:bCs w:val="0"/>
              </w:rPr>
            </w:pPr>
            <w:r>
              <w:rPr>
                <w:rFonts w:hint="eastAsia" w:ascii="宋体" w:hAnsi="宋体" w:eastAsia="宋体" w:cs="宋体"/>
                <w:b w:val="0"/>
                <w:bCs w:val="0"/>
              </w:rPr>
              <w:t>7、督促屠宰场、养殖业进行每天大清洗、大消毒；</w:t>
            </w:r>
          </w:p>
          <w:p w14:paraId="35CBF043">
            <w:pPr>
              <w:pStyle w:val="12"/>
              <w:rPr>
                <w:rFonts w:asciiTheme="majorEastAsia" w:hAnsiTheme="majorEastAsia" w:eastAsiaTheme="majorEastAsia" w:cstheme="majorEastAsia"/>
                <w:b w:val="0"/>
                <w:bCs w:val="0"/>
                <w:lang w:eastAsia="zh-CN"/>
              </w:rPr>
            </w:pPr>
            <w:r>
              <w:rPr>
                <w:rFonts w:hint="eastAsia" w:ascii="宋体" w:hAnsi="宋体" w:eastAsia="宋体" w:cs="宋体"/>
                <w:b w:val="0"/>
                <w:bCs w:val="0"/>
              </w:rPr>
              <w:t>8、每年完成300个蔬菜水果样品的例行监测和农药残留快速检测，300个样品的农药残留定量检测。</w:t>
            </w:r>
          </w:p>
        </w:tc>
        <w:tc>
          <w:tcPr>
            <w:tcW w:w="4307" w:type="dxa"/>
            <w:gridSpan w:val="4"/>
            <w:noWrap/>
          </w:tcPr>
          <w:p w14:paraId="7F2DD930">
            <w:pPr>
              <w:jc w:val="left"/>
              <w:rPr>
                <w:rFonts w:hint="eastAsia" w:ascii="宋体" w:hAnsi="宋体" w:eastAsia="宋体" w:cs="宋体"/>
                <w:b w:val="0"/>
                <w:bCs w:val="0"/>
                <w:lang w:val="en-US" w:eastAsia="zh-CN"/>
              </w:rPr>
            </w:pPr>
            <w:r>
              <w:rPr>
                <w:rFonts w:hint="eastAsia" w:ascii="宋体" w:hAnsi="宋体" w:eastAsia="宋体" w:cs="宋体"/>
                <w:b w:val="0"/>
                <w:bCs w:val="0"/>
                <w:lang w:val="en-US" w:eastAsia="zh-CN"/>
              </w:rPr>
              <w:t>1、全年屠宰检疫生猪12.26万头、牛马0.68万条、羊0.5万头，禽类5.5万羽，屠宰环节无害化处理生猪177头、废弃物无害化处理2.9万公斤，瘦肉精抽检0.6万份，监督场方非洲猪瘟自检11564份，检测结果均为阴性。</w:t>
            </w:r>
          </w:p>
          <w:p w14:paraId="63B7BC42">
            <w:pPr>
              <w:jc w:val="left"/>
              <w:rPr>
                <w:rFonts w:hint="eastAsia" w:ascii="宋体" w:hAnsi="宋体" w:eastAsia="宋体" w:cs="宋体"/>
                <w:b w:val="0"/>
                <w:bCs w:val="0"/>
                <w:lang w:val="en-US" w:eastAsia="zh-CN"/>
              </w:rPr>
            </w:pPr>
            <w:r>
              <w:rPr>
                <w:rFonts w:hint="eastAsia" w:ascii="宋体" w:hAnsi="宋体" w:eastAsia="宋体" w:cs="宋体"/>
                <w:b w:val="0"/>
                <w:bCs w:val="0"/>
                <w:lang w:val="en-US" w:eastAsia="zh-CN"/>
              </w:rPr>
              <w:t>2、畜禽群体免疫密度保持在90%以上，应免畜禽免疫密度达到100%，全面实施动物免疫标识达到100%。</w:t>
            </w:r>
          </w:p>
          <w:p w14:paraId="4FCDC182">
            <w:pPr>
              <w:jc w:val="left"/>
              <w:rPr>
                <w:rFonts w:ascii="仿宋_GB2312" w:hAnsi="仿宋_GB2312" w:eastAsia="仿宋_GB2312" w:cs="仿宋_GB2312"/>
                <w:b w:val="0"/>
                <w:bCs w:val="0"/>
                <w:sz w:val="11"/>
                <w:szCs w:val="11"/>
                <w:lang w:eastAsia="zh-CN"/>
              </w:rPr>
            </w:pPr>
            <w:r>
              <w:rPr>
                <w:rFonts w:hint="eastAsia" w:ascii="宋体" w:hAnsi="宋体" w:eastAsia="宋体" w:cs="宋体"/>
                <w:b w:val="0"/>
                <w:bCs w:val="0"/>
                <w:lang w:val="en-US" w:eastAsia="zh-CN"/>
              </w:rPr>
              <w:t>3、蔬菜农残检测工作，抽检蔬菜样品314个批次，合格率达到100%。完成农产品定量抽检共计300批次，经第三方公司检测全部合格。</w:t>
            </w:r>
          </w:p>
        </w:tc>
      </w:tr>
      <w:tr w14:paraId="45D5E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tcBorders>
              <w:bottom w:val="nil"/>
            </w:tcBorders>
            <w:noWrap/>
            <w:vAlign w:val="center"/>
          </w:tcPr>
          <w:p w14:paraId="454B327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绩效指标</w:t>
            </w:r>
          </w:p>
        </w:tc>
        <w:tc>
          <w:tcPr>
            <w:tcW w:w="1019" w:type="dxa"/>
            <w:noWrap/>
            <w:vAlign w:val="center"/>
          </w:tcPr>
          <w:p w14:paraId="32B29BE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996" w:type="dxa"/>
            <w:noWrap/>
            <w:vAlign w:val="center"/>
          </w:tcPr>
          <w:p w14:paraId="5CEB218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445" w:type="dxa"/>
            <w:noWrap/>
            <w:vAlign w:val="center"/>
          </w:tcPr>
          <w:p w14:paraId="00CA4D5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32" w:type="dxa"/>
            <w:noWrap/>
            <w:vAlign w:val="center"/>
          </w:tcPr>
          <w:p w14:paraId="2A3EA6F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68" w:type="dxa"/>
            <w:noWrap/>
            <w:vAlign w:val="center"/>
          </w:tcPr>
          <w:p w14:paraId="40F5789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16" w:type="dxa"/>
            <w:noWrap/>
            <w:vAlign w:val="center"/>
          </w:tcPr>
          <w:p w14:paraId="312BB06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873" w:type="dxa"/>
            <w:noWrap/>
            <w:vAlign w:val="center"/>
          </w:tcPr>
          <w:p w14:paraId="2A424F8C">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noWrap/>
            <w:vAlign w:val="center"/>
          </w:tcPr>
          <w:p w14:paraId="2297541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6EEA8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nil"/>
              <w:bottom w:val="nil"/>
            </w:tcBorders>
            <w:noWrap/>
            <w:vAlign w:val="center"/>
          </w:tcPr>
          <w:p w14:paraId="345CBA3C">
            <w:pPr>
              <w:keepNext w:val="0"/>
              <w:keepLines w:val="0"/>
              <w:widowControl/>
              <w:suppressLineNumbers w:val="0"/>
              <w:jc w:val="left"/>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绩效指标</w:t>
            </w:r>
          </w:p>
        </w:tc>
        <w:tc>
          <w:tcPr>
            <w:tcW w:w="1019" w:type="dxa"/>
            <w:vMerge w:val="restart"/>
            <w:tcBorders>
              <w:bottom w:val="nil"/>
            </w:tcBorders>
            <w:noWrap/>
            <w:vAlign w:val="center"/>
          </w:tcPr>
          <w:p w14:paraId="52707EE8">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产出指标</w:t>
            </w:r>
          </w:p>
        </w:tc>
        <w:tc>
          <w:tcPr>
            <w:tcW w:w="996" w:type="dxa"/>
            <w:vMerge w:val="restart"/>
            <w:tcBorders>
              <w:bottom w:val="nil"/>
            </w:tcBorders>
            <w:noWrap/>
            <w:vAlign w:val="center"/>
          </w:tcPr>
          <w:p w14:paraId="14550E1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数量指标</w:t>
            </w:r>
          </w:p>
        </w:tc>
        <w:tc>
          <w:tcPr>
            <w:tcW w:w="1445" w:type="dxa"/>
            <w:noWrap/>
            <w:vAlign w:val="center"/>
          </w:tcPr>
          <w:p w14:paraId="017A1A29">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农产品定量抽检任务完成率</w:t>
            </w:r>
          </w:p>
        </w:tc>
        <w:tc>
          <w:tcPr>
            <w:tcW w:w="1232" w:type="dxa"/>
            <w:noWrap/>
            <w:vAlign w:val="center"/>
          </w:tcPr>
          <w:p w14:paraId="3421772B">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100</w:t>
            </w:r>
          </w:p>
        </w:tc>
        <w:tc>
          <w:tcPr>
            <w:tcW w:w="1268" w:type="dxa"/>
            <w:noWrap/>
            <w:vAlign w:val="center"/>
          </w:tcPr>
          <w:p w14:paraId="12B6AE28">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ign w:val="center"/>
          </w:tcPr>
          <w:p w14:paraId="2A95DE3B">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4178D61F">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06F059FC">
            <w:pPr>
              <w:jc w:val="center"/>
              <w:rPr>
                <w:rFonts w:hint="eastAsia" w:ascii="宋体" w:hAnsi="宋体" w:eastAsia="宋体" w:cs="宋体"/>
                <w:sz w:val="20"/>
              </w:rPr>
            </w:pPr>
          </w:p>
        </w:tc>
      </w:tr>
      <w:tr w14:paraId="3A6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1441771C">
            <w:pPr>
              <w:rPr>
                <w:rFonts w:hint="eastAsia" w:ascii="宋体" w:hAnsi="宋体" w:eastAsia="宋体" w:cs="宋体"/>
              </w:rPr>
            </w:pPr>
          </w:p>
        </w:tc>
        <w:tc>
          <w:tcPr>
            <w:tcW w:w="1019" w:type="dxa"/>
            <w:vMerge w:val="continue"/>
            <w:tcBorders>
              <w:top w:val="nil"/>
              <w:bottom w:val="nil"/>
            </w:tcBorders>
            <w:noWrap/>
            <w:vAlign w:val="center"/>
          </w:tcPr>
          <w:p w14:paraId="7D5CB130">
            <w:pPr>
              <w:rPr>
                <w:rFonts w:hint="eastAsia" w:ascii="宋体" w:hAnsi="宋体" w:eastAsia="宋体" w:cs="宋体"/>
              </w:rPr>
            </w:pPr>
          </w:p>
        </w:tc>
        <w:tc>
          <w:tcPr>
            <w:tcW w:w="996" w:type="dxa"/>
            <w:vMerge w:val="continue"/>
            <w:tcBorders>
              <w:top w:val="nil"/>
              <w:bottom w:val="nil"/>
            </w:tcBorders>
            <w:noWrap/>
            <w:vAlign w:val="center"/>
          </w:tcPr>
          <w:p w14:paraId="41F2CAA6">
            <w:pPr>
              <w:rPr>
                <w:rFonts w:hint="eastAsia" w:ascii="宋体" w:hAnsi="宋体" w:eastAsia="宋体" w:cs="宋体"/>
              </w:rPr>
            </w:pPr>
          </w:p>
        </w:tc>
        <w:tc>
          <w:tcPr>
            <w:tcW w:w="1445" w:type="dxa"/>
            <w:noWrap/>
            <w:vAlign w:val="center"/>
          </w:tcPr>
          <w:p w14:paraId="585C6C39">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农产品农残快速检测任务完成率</w:t>
            </w:r>
          </w:p>
        </w:tc>
        <w:tc>
          <w:tcPr>
            <w:tcW w:w="1232" w:type="dxa"/>
            <w:noWrap/>
            <w:vAlign w:val="center"/>
          </w:tcPr>
          <w:p w14:paraId="7B30C6B8">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noWrap/>
            <w:vAlign w:val="center"/>
          </w:tcPr>
          <w:p w14:paraId="3E171BBC">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ign w:val="center"/>
          </w:tcPr>
          <w:p w14:paraId="6DB4E945">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40E9112A">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6D7D71C7">
            <w:pPr>
              <w:jc w:val="center"/>
              <w:rPr>
                <w:rFonts w:hint="eastAsia" w:ascii="宋体" w:hAnsi="宋体" w:eastAsia="宋体" w:cs="宋体"/>
                <w:sz w:val="20"/>
              </w:rPr>
            </w:pPr>
          </w:p>
        </w:tc>
      </w:tr>
      <w:tr w14:paraId="6DD87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84" w:type="dxa"/>
            <w:vMerge w:val="continue"/>
            <w:tcBorders>
              <w:top w:val="nil"/>
              <w:bottom w:val="nil"/>
            </w:tcBorders>
            <w:noWrap/>
            <w:vAlign w:val="center"/>
          </w:tcPr>
          <w:p w14:paraId="288E928C">
            <w:pPr>
              <w:rPr>
                <w:rFonts w:hint="eastAsia" w:ascii="宋体" w:hAnsi="宋体" w:eastAsia="宋体" w:cs="宋体"/>
              </w:rPr>
            </w:pPr>
          </w:p>
        </w:tc>
        <w:tc>
          <w:tcPr>
            <w:tcW w:w="1019" w:type="dxa"/>
            <w:vMerge w:val="continue"/>
            <w:tcBorders>
              <w:top w:val="nil"/>
              <w:bottom w:val="nil"/>
            </w:tcBorders>
            <w:noWrap/>
            <w:vAlign w:val="center"/>
          </w:tcPr>
          <w:p w14:paraId="0070DC65">
            <w:pPr>
              <w:rPr>
                <w:rFonts w:hint="eastAsia" w:ascii="宋体" w:hAnsi="宋体" w:eastAsia="宋体" w:cs="宋体"/>
              </w:rPr>
            </w:pPr>
          </w:p>
        </w:tc>
        <w:tc>
          <w:tcPr>
            <w:tcW w:w="996" w:type="dxa"/>
            <w:vMerge w:val="continue"/>
            <w:tcBorders>
              <w:top w:val="nil"/>
            </w:tcBorders>
            <w:noWrap/>
            <w:vAlign w:val="center"/>
          </w:tcPr>
          <w:p w14:paraId="6566EE44">
            <w:pPr>
              <w:rPr>
                <w:rFonts w:hint="eastAsia" w:ascii="宋体" w:hAnsi="宋体" w:eastAsia="宋体" w:cs="宋体"/>
              </w:rPr>
            </w:pPr>
          </w:p>
        </w:tc>
        <w:tc>
          <w:tcPr>
            <w:tcW w:w="1445" w:type="dxa"/>
            <w:tcBorders>
              <w:bottom w:val="single" w:color="auto" w:sz="4" w:space="0"/>
            </w:tcBorders>
            <w:noWrap/>
            <w:vAlign w:val="center"/>
          </w:tcPr>
          <w:p w14:paraId="0C1851E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非洲猪瘟自检工作完成率</w:t>
            </w:r>
          </w:p>
        </w:tc>
        <w:tc>
          <w:tcPr>
            <w:tcW w:w="1232" w:type="dxa"/>
            <w:tcBorders>
              <w:bottom w:val="single" w:color="auto" w:sz="4" w:space="0"/>
            </w:tcBorders>
            <w:noWrap/>
            <w:vAlign w:val="center"/>
          </w:tcPr>
          <w:p w14:paraId="7E94FC34">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bottom w:val="single" w:color="auto" w:sz="4" w:space="0"/>
            </w:tcBorders>
            <w:noWrap/>
            <w:vAlign w:val="center"/>
          </w:tcPr>
          <w:p w14:paraId="15C56E9F">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bottom w:val="single" w:color="auto" w:sz="4" w:space="0"/>
            </w:tcBorders>
            <w:noWrap/>
            <w:vAlign w:val="center"/>
          </w:tcPr>
          <w:p w14:paraId="1B78FAC9">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tcBorders>
              <w:bottom w:val="single" w:color="auto" w:sz="4" w:space="0"/>
            </w:tcBorders>
            <w:noWrap/>
            <w:vAlign w:val="center"/>
          </w:tcPr>
          <w:p w14:paraId="533B6C16">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bottom w:val="single" w:color="auto" w:sz="4" w:space="0"/>
            </w:tcBorders>
            <w:noWrap/>
            <w:vAlign w:val="center"/>
          </w:tcPr>
          <w:p w14:paraId="3B08F987">
            <w:pPr>
              <w:jc w:val="center"/>
              <w:rPr>
                <w:rFonts w:hint="eastAsia" w:ascii="宋体" w:hAnsi="宋体" w:eastAsia="宋体" w:cs="宋体"/>
                <w:sz w:val="20"/>
              </w:rPr>
            </w:pPr>
          </w:p>
        </w:tc>
      </w:tr>
      <w:tr w14:paraId="1E89A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084" w:type="dxa"/>
            <w:vMerge w:val="continue"/>
            <w:tcBorders>
              <w:top w:val="nil"/>
              <w:bottom w:val="nil"/>
            </w:tcBorders>
            <w:noWrap/>
            <w:vAlign w:val="center"/>
          </w:tcPr>
          <w:p w14:paraId="6F575F4E">
            <w:pPr>
              <w:rPr>
                <w:rFonts w:hint="eastAsia" w:ascii="宋体" w:hAnsi="宋体" w:eastAsia="宋体" w:cs="宋体"/>
              </w:rPr>
            </w:pPr>
          </w:p>
        </w:tc>
        <w:tc>
          <w:tcPr>
            <w:tcW w:w="1019" w:type="dxa"/>
            <w:vMerge w:val="continue"/>
            <w:tcBorders>
              <w:top w:val="nil"/>
              <w:bottom w:val="nil"/>
            </w:tcBorders>
            <w:noWrap/>
            <w:vAlign w:val="center"/>
          </w:tcPr>
          <w:p w14:paraId="60A6AA76">
            <w:pPr>
              <w:rPr>
                <w:rFonts w:hint="eastAsia" w:ascii="宋体" w:hAnsi="宋体" w:eastAsia="宋体" w:cs="宋体"/>
              </w:rPr>
            </w:pPr>
          </w:p>
        </w:tc>
        <w:tc>
          <w:tcPr>
            <w:tcW w:w="996" w:type="dxa"/>
            <w:vMerge w:val="continue"/>
            <w:noWrap/>
            <w:vAlign w:val="center"/>
          </w:tcPr>
          <w:p w14:paraId="330CEE65">
            <w:pPr>
              <w:rPr>
                <w:rFonts w:hint="eastAsia" w:ascii="宋体" w:hAnsi="宋体" w:eastAsia="宋体" w:cs="宋体"/>
              </w:rPr>
            </w:pPr>
          </w:p>
        </w:tc>
        <w:tc>
          <w:tcPr>
            <w:tcW w:w="1445" w:type="dxa"/>
            <w:tcBorders>
              <w:top w:val="single" w:color="auto" w:sz="4" w:space="0"/>
            </w:tcBorders>
            <w:noWrap/>
            <w:vAlign w:val="center"/>
          </w:tcPr>
          <w:p w14:paraId="73E8FEF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瘦肉精抽样检测任务完成率</w:t>
            </w:r>
          </w:p>
        </w:tc>
        <w:tc>
          <w:tcPr>
            <w:tcW w:w="1232" w:type="dxa"/>
            <w:tcBorders>
              <w:top w:val="single" w:color="auto" w:sz="4" w:space="0"/>
              <w:bottom w:val="single" w:color="auto" w:sz="4" w:space="0"/>
            </w:tcBorders>
            <w:noWrap/>
            <w:vAlign w:val="center"/>
          </w:tcPr>
          <w:p w14:paraId="696CDC24">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bottom w:val="single" w:color="auto" w:sz="4" w:space="0"/>
            </w:tcBorders>
            <w:noWrap/>
            <w:vAlign w:val="center"/>
          </w:tcPr>
          <w:p w14:paraId="23A864AF">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top w:val="single" w:color="auto" w:sz="4" w:space="0"/>
              <w:bottom w:val="single" w:color="auto" w:sz="4" w:space="0"/>
            </w:tcBorders>
            <w:noWrap/>
            <w:vAlign w:val="center"/>
          </w:tcPr>
          <w:p w14:paraId="2AC1E840">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bottom w:val="single" w:color="auto" w:sz="4" w:space="0"/>
            </w:tcBorders>
            <w:noWrap/>
            <w:vAlign w:val="center"/>
          </w:tcPr>
          <w:p w14:paraId="03BBB858">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bottom w:val="single" w:color="auto" w:sz="4" w:space="0"/>
            </w:tcBorders>
            <w:noWrap/>
            <w:vAlign w:val="center"/>
          </w:tcPr>
          <w:p w14:paraId="2AC6B5BF">
            <w:pPr>
              <w:jc w:val="center"/>
              <w:rPr>
                <w:rFonts w:hint="eastAsia" w:ascii="宋体" w:hAnsi="宋体" w:eastAsia="宋体" w:cs="宋体"/>
                <w:sz w:val="20"/>
              </w:rPr>
            </w:pPr>
          </w:p>
        </w:tc>
      </w:tr>
      <w:tr w14:paraId="2F19C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1084" w:type="dxa"/>
            <w:vMerge w:val="continue"/>
            <w:tcBorders>
              <w:top w:val="nil"/>
              <w:bottom w:val="nil"/>
            </w:tcBorders>
            <w:noWrap/>
            <w:vAlign w:val="center"/>
          </w:tcPr>
          <w:p w14:paraId="1CB3E8B2">
            <w:pPr>
              <w:rPr>
                <w:rFonts w:hint="eastAsia" w:ascii="宋体" w:hAnsi="宋体" w:eastAsia="宋体" w:cs="宋体"/>
              </w:rPr>
            </w:pPr>
          </w:p>
        </w:tc>
        <w:tc>
          <w:tcPr>
            <w:tcW w:w="1019" w:type="dxa"/>
            <w:vMerge w:val="continue"/>
            <w:tcBorders>
              <w:top w:val="nil"/>
              <w:bottom w:val="nil"/>
            </w:tcBorders>
            <w:noWrap/>
            <w:vAlign w:val="center"/>
          </w:tcPr>
          <w:p w14:paraId="03B14D69">
            <w:pPr>
              <w:rPr>
                <w:rFonts w:hint="eastAsia" w:ascii="宋体" w:hAnsi="宋体" w:eastAsia="宋体" w:cs="宋体"/>
              </w:rPr>
            </w:pPr>
          </w:p>
        </w:tc>
        <w:tc>
          <w:tcPr>
            <w:tcW w:w="996" w:type="dxa"/>
            <w:vMerge w:val="restart"/>
            <w:tcBorders>
              <w:bottom w:val="single" w:color="auto" w:sz="4" w:space="0"/>
            </w:tcBorders>
            <w:noWrap/>
            <w:vAlign w:val="center"/>
          </w:tcPr>
          <w:p w14:paraId="26752071">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质量指标</w:t>
            </w:r>
          </w:p>
        </w:tc>
        <w:tc>
          <w:tcPr>
            <w:tcW w:w="1445" w:type="dxa"/>
            <w:noWrap/>
            <w:vAlign w:val="center"/>
          </w:tcPr>
          <w:p w14:paraId="65DFB85A">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非洲猪瘟免疫抗体合格率</w:t>
            </w:r>
          </w:p>
        </w:tc>
        <w:tc>
          <w:tcPr>
            <w:tcW w:w="1232" w:type="dxa"/>
            <w:tcBorders>
              <w:top w:val="single" w:color="auto" w:sz="4" w:space="0"/>
            </w:tcBorders>
            <w:noWrap/>
            <w:vAlign w:val="center"/>
          </w:tcPr>
          <w:p w14:paraId="35950DE5">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tcBorders>
            <w:noWrap/>
            <w:vAlign w:val="center"/>
          </w:tcPr>
          <w:p w14:paraId="4ECF14F2">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top w:val="single" w:color="auto" w:sz="4" w:space="0"/>
            </w:tcBorders>
            <w:noWrap/>
            <w:vAlign w:val="center"/>
          </w:tcPr>
          <w:p w14:paraId="3D88F739">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tcBorders>
            <w:noWrap/>
            <w:vAlign w:val="center"/>
          </w:tcPr>
          <w:p w14:paraId="58A3C5F9">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tcBorders>
            <w:noWrap/>
            <w:vAlign w:val="center"/>
          </w:tcPr>
          <w:p w14:paraId="6C8D3C93">
            <w:pPr>
              <w:jc w:val="center"/>
              <w:rPr>
                <w:rFonts w:hint="eastAsia" w:ascii="宋体" w:hAnsi="宋体" w:eastAsia="宋体" w:cs="宋体"/>
                <w:sz w:val="20"/>
              </w:rPr>
            </w:pPr>
          </w:p>
        </w:tc>
      </w:tr>
      <w:tr w14:paraId="5F88A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12DBF503">
            <w:pPr>
              <w:rPr>
                <w:rFonts w:hint="eastAsia" w:ascii="宋体" w:hAnsi="宋体" w:eastAsia="宋体" w:cs="宋体"/>
              </w:rPr>
            </w:pPr>
          </w:p>
        </w:tc>
        <w:tc>
          <w:tcPr>
            <w:tcW w:w="1019" w:type="dxa"/>
            <w:vMerge w:val="continue"/>
            <w:tcBorders>
              <w:top w:val="nil"/>
              <w:bottom w:val="nil"/>
            </w:tcBorders>
            <w:noWrap/>
            <w:vAlign w:val="center"/>
          </w:tcPr>
          <w:p w14:paraId="4EEAD1AE">
            <w:pPr>
              <w:rPr>
                <w:rFonts w:hint="eastAsia" w:ascii="宋体" w:hAnsi="宋体" w:eastAsia="宋体" w:cs="宋体"/>
              </w:rPr>
            </w:pPr>
          </w:p>
        </w:tc>
        <w:tc>
          <w:tcPr>
            <w:tcW w:w="996" w:type="dxa"/>
            <w:vMerge w:val="continue"/>
            <w:tcBorders>
              <w:top w:val="single" w:color="auto" w:sz="4" w:space="0"/>
              <w:bottom w:val="single" w:color="auto" w:sz="4" w:space="0"/>
            </w:tcBorders>
            <w:noWrap/>
            <w:vAlign w:val="center"/>
          </w:tcPr>
          <w:p w14:paraId="6AEDFC9A">
            <w:pPr>
              <w:rPr>
                <w:rFonts w:hint="eastAsia" w:ascii="宋体" w:hAnsi="宋体" w:eastAsia="宋体" w:cs="宋体"/>
                <w:sz w:val="19"/>
                <w:szCs w:val="19"/>
              </w:rPr>
            </w:pPr>
          </w:p>
        </w:tc>
        <w:tc>
          <w:tcPr>
            <w:tcW w:w="1445" w:type="dxa"/>
            <w:noWrap/>
            <w:vAlign w:val="center"/>
          </w:tcPr>
          <w:p w14:paraId="6B45DB0C">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应免畜禽免疫密度</w:t>
            </w:r>
          </w:p>
        </w:tc>
        <w:tc>
          <w:tcPr>
            <w:tcW w:w="1232" w:type="dxa"/>
            <w:noWrap/>
            <w:vAlign w:val="center"/>
          </w:tcPr>
          <w:p w14:paraId="4564D084">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noWrap/>
            <w:vAlign w:val="center"/>
          </w:tcPr>
          <w:p w14:paraId="121E9219">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ign w:val="center"/>
          </w:tcPr>
          <w:p w14:paraId="35657AFF">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2DF473AE">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691B6E94">
            <w:pPr>
              <w:jc w:val="center"/>
              <w:rPr>
                <w:rFonts w:hint="eastAsia" w:ascii="宋体" w:hAnsi="宋体" w:eastAsia="宋体" w:cs="宋体"/>
                <w:sz w:val="20"/>
              </w:rPr>
            </w:pPr>
          </w:p>
        </w:tc>
      </w:tr>
      <w:tr w14:paraId="7B79E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49E3DC13">
            <w:pPr>
              <w:rPr>
                <w:rFonts w:hint="eastAsia" w:ascii="宋体" w:hAnsi="宋体" w:eastAsia="宋体" w:cs="宋体"/>
              </w:rPr>
            </w:pPr>
          </w:p>
        </w:tc>
        <w:tc>
          <w:tcPr>
            <w:tcW w:w="1019" w:type="dxa"/>
            <w:vMerge w:val="continue"/>
            <w:tcBorders>
              <w:top w:val="nil"/>
              <w:bottom w:val="single" w:color="auto" w:sz="4" w:space="0"/>
            </w:tcBorders>
            <w:noWrap/>
            <w:vAlign w:val="center"/>
          </w:tcPr>
          <w:p w14:paraId="104695F1">
            <w:pPr>
              <w:rPr>
                <w:rFonts w:hint="eastAsia" w:ascii="宋体" w:hAnsi="宋体" w:eastAsia="宋体" w:cs="宋体"/>
              </w:rPr>
            </w:pPr>
          </w:p>
        </w:tc>
        <w:tc>
          <w:tcPr>
            <w:tcW w:w="996" w:type="dxa"/>
            <w:vMerge w:val="continue"/>
            <w:tcBorders>
              <w:top w:val="single" w:color="auto" w:sz="4" w:space="0"/>
              <w:bottom w:val="single" w:color="auto" w:sz="4" w:space="0"/>
            </w:tcBorders>
            <w:noWrap/>
            <w:vAlign w:val="center"/>
          </w:tcPr>
          <w:p w14:paraId="4956CBA4">
            <w:pPr>
              <w:rPr>
                <w:rFonts w:hint="eastAsia" w:ascii="宋体" w:hAnsi="宋体" w:eastAsia="宋体" w:cs="宋体"/>
                <w:sz w:val="19"/>
                <w:szCs w:val="19"/>
              </w:rPr>
            </w:pPr>
          </w:p>
        </w:tc>
        <w:tc>
          <w:tcPr>
            <w:tcW w:w="1445" w:type="dxa"/>
            <w:noWrap/>
            <w:vAlign w:val="center"/>
          </w:tcPr>
          <w:p w14:paraId="6C402A2C">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畜禽及畜禽产品检验检疫覆盖率</w:t>
            </w:r>
          </w:p>
        </w:tc>
        <w:tc>
          <w:tcPr>
            <w:tcW w:w="1232" w:type="dxa"/>
            <w:noWrap/>
            <w:vAlign w:val="center"/>
          </w:tcPr>
          <w:p w14:paraId="706A5B00">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noWrap/>
            <w:vAlign w:val="center"/>
          </w:tcPr>
          <w:p w14:paraId="3224DAE2">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ign w:val="center"/>
          </w:tcPr>
          <w:p w14:paraId="762A6D8F">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39551B5C">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295F714A">
            <w:pPr>
              <w:jc w:val="center"/>
              <w:rPr>
                <w:rFonts w:hint="eastAsia" w:ascii="宋体" w:hAnsi="宋体" w:eastAsia="宋体" w:cs="宋体"/>
                <w:sz w:val="20"/>
              </w:rPr>
            </w:pPr>
          </w:p>
        </w:tc>
      </w:tr>
      <w:tr w14:paraId="15D89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4805B204">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606FD627">
            <w:pPr>
              <w:rPr>
                <w:rFonts w:hint="eastAsia" w:ascii="宋体" w:hAnsi="宋体" w:eastAsia="宋体" w:cs="宋体"/>
                <w:sz w:val="19"/>
                <w:szCs w:val="19"/>
              </w:rPr>
            </w:pPr>
          </w:p>
        </w:tc>
        <w:tc>
          <w:tcPr>
            <w:tcW w:w="996" w:type="dxa"/>
            <w:vMerge w:val="continue"/>
            <w:tcBorders>
              <w:top w:val="single" w:color="auto" w:sz="4" w:space="0"/>
              <w:bottom w:val="single" w:color="auto" w:sz="4" w:space="0"/>
            </w:tcBorders>
            <w:noWrap/>
            <w:vAlign w:val="center"/>
          </w:tcPr>
          <w:p w14:paraId="721C9EBA">
            <w:pPr>
              <w:rPr>
                <w:rFonts w:hint="eastAsia" w:ascii="宋体" w:hAnsi="宋体" w:eastAsia="宋体" w:cs="宋体"/>
                <w:sz w:val="19"/>
                <w:szCs w:val="19"/>
              </w:rPr>
            </w:pPr>
          </w:p>
        </w:tc>
        <w:tc>
          <w:tcPr>
            <w:tcW w:w="1445" w:type="dxa"/>
            <w:noWrap/>
            <w:vAlign w:val="center"/>
          </w:tcPr>
          <w:p w14:paraId="4F6E30D8">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抽检蔬菜样品合格率</w:t>
            </w:r>
          </w:p>
        </w:tc>
        <w:tc>
          <w:tcPr>
            <w:tcW w:w="1232" w:type="dxa"/>
            <w:noWrap/>
            <w:vAlign w:val="center"/>
          </w:tcPr>
          <w:p w14:paraId="7F043A58">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96</w:t>
            </w:r>
          </w:p>
        </w:tc>
        <w:tc>
          <w:tcPr>
            <w:tcW w:w="1268" w:type="dxa"/>
            <w:noWrap/>
            <w:vAlign w:val="center"/>
          </w:tcPr>
          <w:p w14:paraId="49DEBFC9">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97</w:t>
            </w:r>
          </w:p>
        </w:tc>
        <w:tc>
          <w:tcPr>
            <w:tcW w:w="716" w:type="dxa"/>
            <w:noWrap/>
            <w:vAlign w:val="center"/>
          </w:tcPr>
          <w:p w14:paraId="3A614CC0">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2A7D36B3">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310FB94B">
            <w:pPr>
              <w:jc w:val="center"/>
              <w:rPr>
                <w:rFonts w:hint="eastAsia" w:ascii="宋体" w:hAnsi="宋体" w:eastAsia="宋体" w:cs="宋体"/>
                <w:sz w:val="20"/>
              </w:rPr>
            </w:pPr>
          </w:p>
        </w:tc>
      </w:tr>
      <w:tr w14:paraId="322CB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62B1E758">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3571064D">
            <w:pPr>
              <w:rPr>
                <w:rFonts w:hint="eastAsia" w:ascii="宋体" w:hAnsi="宋体" w:eastAsia="宋体" w:cs="宋体"/>
              </w:rPr>
            </w:pPr>
          </w:p>
        </w:tc>
        <w:tc>
          <w:tcPr>
            <w:tcW w:w="996" w:type="dxa"/>
            <w:vMerge w:val="restart"/>
            <w:tcBorders>
              <w:top w:val="single" w:color="auto" w:sz="4" w:space="0"/>
              <w:bottom w:val="single" w:color="auto" w:sz="4" w:space="0"/>
            </w:tcBorders>
            <w:noWrap/>
            <w:vAlign w:val="center"/>
          </w:tcPr>
          <w:p w14:paraId="08A0207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时效指标</w:t>
            </w:r>
          </w:p>
        </w:tc>
        <w:tc>
          <w:tcPr>
            <w:tcW w:w="1445" w:type="dxa"/>
            <w:noWrap/>
            <w:vAlign w:val="center"/>
          </w:tcPr>
          <w:p w14:paraId="777A0320">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农残定量抽检时间</w:t>
            </w:r>
          </w:p>
        </w:tc>
        <w:tc>
          <w:tcPr>
            <w:tcW w:w="1232" w:type="dxa"/>
            <w:noWrap/>
            <w:vAlign w:val="center"/>
          </w:tcPr>
          <w:p w14:paraId="0A1B2D4D">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4</w:t>
            </w:r>
          </w:p>
        </w:tc>
        <w:tc>
          <w:tcPr>
            <w:tcW w:w="1268" w:type="dxa"/>
            <w:noWrap/>
            <w:vAlign w:val="center"/>
          </w:tcPr>
          <w:p w14:paraId="131CEBAF">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4</w:t>
            </w:r>
          </w:p>
        </w:tc>
        <w:tc>
          <w:tcPr>
            <w:tcW w:w="716" w:type="dxa"/>
            <w:noWrap/>
            <w:vAlign w:val="center"/>
          </w:tcPr>
          <w:p w14:paraId="1B8489DC">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6B5EE9DC">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0DAAAAA1">
            <w:pPr>
              <w:jc w:val="center"/>
              <w:rPr>
                <w:rFonts w:hint="eastAsia" w:ascii="宋体" w:hAnsi="宋体" w:eastAsia="宋体" w:cs="宋体"/>
                <w:sz w:val="20"/>
              </w:rPr>
            </w:pPr>
          </w:p>
        </w:tc>
      </w:tr>
      <w:tr w14:paraId="6288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69B136BD">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24723F09">
            <w:pPr>
              <w:rPr>
                <w:rFonts w:hint="eastAsia" w:ascii="宋体" w:hAnsi="宋体" w:eastAsia="宋体" w:cs="宋体"/>
              </w:rPr>
            </w:pPr>
          </w:p>
        </w:tc>
        <w:tc>
          <w:tcPr>
            <w:tcW w:w="996" w:type="dxa"/>
            <w:vMerge w:val="continue"/>
            <w:tcBorders>
              <w:top w:val="single" w:color="auto" w:sz="4" w:space="0"/>
              <w:bottom w:val="single" w:color="auto" w:sz="4" w:space="0"/>
            </w:tcBorders>
            <w:noWrap/>
            <w:vAlign w:val="center"/>
          </w:tcPr>
          <w:p w14:paraId="26644A6F">
            <w:pPr>
              <w:rPr>
                <w:rFonts w:hint="eastAsia" w:ascii="宋体" w:hAnsi="宋体" w:eastAsia="宋体" w:cs="宋体"/>
              </w:rPr>
            </w:pPr>
          </w:p>
        </w:tc>
        <w:tc>
          <w:tcPr>
            <w:tcW w:w="1445" w:type="dxa"/>
            <w:noWrap/>
            <w:vAlign w:val="center"/>
          </w:tcPr>
          <w:p w14:paraId="6E6CAE95">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畜禽及畜禽产品检验检疫及时率</w:t>
            </w:r>
          </w:p>
        </w:tc>
        <w:tc>
          <w:tcPr>
            <w:tcW w:w="1232" w:type="dxa"/>
            <w:noWrap/>
            <w:vAlign w:val="center"/>
          </w:tcPr>
          <w:p w14:paraId="6855D210">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1268" w:type="dxa"/>
            <w:noWrap/>
            <w:vAlign w:val="center"/>
          </w:tcPr>
          <w:p w14:paraId="2F11523B">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100</w:t>
            </w:r>
          </w:p>
        </w:tc>
        <w:tc>
          <w:tcPr>
            <w:tcW w:w="716" w:type="dxa"/>
            <w:noWrap/>
            <w:vAlign w:val="center"/>
          </w:tcPr>
          <w:p w14:paraId="0E0CAD54">
            <w:pPr>
              <w:keepNext w:val="0"/>
              <w:keepLines w:val="0"/>
              <w:widowControl/>
              <w:suppressLineNumbers w:val="0"/>
              <w:jc w:val="center"/>
              <w:textAlignment w:val="center"/>
              <w:rPr>
                <w:rFonts w:hint="eastAsia" w:ascii="宋体" w:hAnsi="宋体" w:eastAsia="宋体" w:cs="宋体"/>
                <w:sz w:val="20"/>
                <w:lang w:eastAsia="zh-CN"/>
              </w:rPr>
            </w:pPr>
            <w:r>
              <w:rPr>
                <w:rFonts w:hint="eastAsia" w:ascii="宋体" w:hAnsi="宋体" w:eastAsia="宋体" w:cs="宋体"/>
                <w:i w:val="0"/>
                <w:iCs w:val="0"/>
                <w:color w:val="000000"/>
                <w:kern w:val="0"/>
                <w:sz w:val="18"/>
                <w:szCs w:val="18"/>
                <w:u w:val="none"/>
                <w:lang w:val="en-US" w:eastAsia="zh-CN" w:bidi="ar"/>
              </w:rPr>
              <w:t>6</w:t>
            </w:r>
          </w:p>
        </w:tc>
        <w:tc>
          <w:tcPr>
            <w:tcW w:w="873" w:type="dxa"/>
            <w:noWrap/>
            <w:vAlign w:val="center"/>
          </w:tcPr>
          <w:p w14:paraId="3DD80989">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6</w:t>
            </w:r>
          </w:p>
        </w:tc>
        <w:tc>
          <w:tcPr>
            <w:tcW w:w="1450" w:type="dxa"/>
            <w:noWrap/>
            <w:vAlign w:val="center"/>
          </w:tcPr>
          <w:p w14:paraId="2AB018E3">
            <w:pPr>
              <w:jc w:val="center"/>
              <w:rPr>
                <w:rFonts w:hint="eastAsia" w:ascii="宋体" w:hAnsi="宋体" w:eastAsia="宋体" w:cs="宋体"/>
                <w:sz w:val="20"/>
              </w:rPr>
            </w:pPr>
          </w:p>
        </w:tc>
      </w:tr>
      <w:tr w14:paraId="26822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ign w:val="center"/>
          </w:tcPr>
          <w:p w14:paraId="061054F3">
            <w:pPr>
              <w:rPr>
                <w:rFonts w:hint="eastAsia" w:ascii="宋体" w:hAnsi="宋体" w:eastAsia="宋体" w:cs="宋体"/>
              </w:rPr>
            </w:pPr>
          </w:p>
        </w:tc>
        <w:tc>
          <w:tcPr>
            <w:tcW w:w="1019" w:type="dxa"/>
            <w:vMerge w:val="restart"/>
            <w:tcBorders>
              <w:top w:val="single" w:color="auto" w:sz="4" w:space="0"/>
              <w:bottom w:val="single" w:color="auto" w:sz="4" w:space="0"/>
            </w:tcBorders>
            <w:noWrap/>
            <w:vAlign w:val="center"/>
          </w:tcPr>
          <w:p w14:paraId="7A68D769">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效益指标</w:t>
            </w:r>
          </w:p>
        </w:tc>
        <w:tc>
          <w:tcPr>
            <w:tcW w:w="996" w:type="dxa"/>
            <w:tcBorders>
              <w:top w:val="single" w:color="auto" w:sz="4" w:space="0"/>
              <w:bottom w:val="single" w:color="auto" w:sz="4" w:space="0"/>
            </w:tcBorders>
            <w:noWrap/>
            <w:vAlign w:val="center"/>
          </w:tcPr>
          <w:p w14:paraId="1D5CF4B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经济效益指标</w:t>
            </w:r>
          </w:p>
        </w:tc>
        <w:tc>
          <w:tcPr>
            <w:tcW w:w="1445" w:type="dxa"/>
            <w:noWrap/>
            <w:vAlign w:val="center"/>
          </w:tcPr>
          <w:p w14:paraId="6C4451F6">
            <w:pPr>
              <w:jc w:val="center"/>
              <w:rPr>
                <w:rFonts w:hint="eastAsia" w:ascii="宋体" w:hAnsi="宋体" w:eastAsia="宋体" w:cs="宋体"/>
                <w:sz w:val="20"/>
                <w:lang w:eastAsia="zh-CN"/>
              </w:rPr>
            </w:pPr>
          </w:p>
        </w:tc>
        <w:tc>
          <w:tcPr>
            <w:tcW w:w="1232" w:type="dxa"/>
            <w:noWrap/>
            <w:vAlign w:val="center"/>
          </w:tcPr>
          <w:p w14:paraId="03D989F2">
            <w:pPr>
              <w:jc w:val="center"/>
              <w:rPr>
                <w:rFonts w:hint="eastAsia" w:ascii="宋体" w:hAnsi="宋体" w:eastAsia="宋体" w:cs="宋体"/>
                <w:sz w:val="20"/>
              </w:rPr>
            </w:pPr>
          </w:p>
        </w:tc>
        <w:tc>
          <w:tcPr>
            <w:tcW w:w="1268" w:type="dxa"/>
            <w:noWrap/>
            <w:vAlign w:val="center"/>
          </w:tcPr>
          <w:p w14:paraId="79A67E05">
            <w:pPr>
              <w:jc w:val="center"/>
              <w:rPr>
                <w:rFonts w:hint="eastAsia" w:ascii="宋体" w:hAnsi="宋体" w:eastAsia="宋体" w:cs="宋体"/>
                <w:sz w:val="20"/>
              </w:rPr>
            </w:pPr>
          </w:p>
        </w:tc>
        <w:tc>
          <w:tcPr>
            <w:tcW w:w="716" w:type="dxa"/>
            <w:noWrap/>
            <w:vAlign w:val="center"/>
          </w:tcPr>
          <w:p w14:paraId="3A7AB5E8">
            <w:pPr>
              <w:jc w:val="center"/>
              <w:rPr>
                <w:rFonts w:hint="eastAsia" w:ascii="宋体" w:hAnsi="宋体" w:eastAsia="宋体" w:cs="宋体"/>
                <w:sz w:val="20"/>
                <w:lang w:eastAsia="zh-CN"/>
              </w:rPr>
            </w:pPr>
          </w:p>
        </w:tc>
        <w:tc>
          <w:tcPr>
            <w:tcW w:w="873" w:type="dxa"/>
            <w:noWrap/>
            <w:vAlign w:val="center"/>
          </w:tcPr>
          <w:p w14:paraId="23A536FB">
            <w:pPr>
              <w:jc w:val="center"/>
              <w:rPr>
                <w:rFonts w:hint="eastAsia" w:ascii="宋体" w:hAnsi="宋体" w:eastAsia="宋体" w:cs="宋体"/>
                <w:sz w:val="20"/>
              </w:rPr>
            </w:pPr>
          </w:p>
        </w:tc>
        <w:tc>
          <w:tcPr>
            <w:tcW w:w="1450" w:type="dxa"/>
            <w:noWrap/>
            <w:vAlign w:val="center"/>
          </w:tcPr>
          <w:p w14:paraId="1E7656BD">
            <w:pPr>
              <w:jc w:val="center"/>
              <w:rPr>
                <w:rFonts w:hint="eastAsia" w:ascii="宋体" w:hAnsi="宋体" w:eastAsia="宋体" w:cs="宋体"/>
                <w:sz w:val="20"/>
              </w:rPr>
            </w:pPr>
          </w:p>
        </w:tc>
      </w:tr>
      <w:tr w14:paraId="057F8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ign w:val="center"/>
          </w:tcPr>
          <w:p w14:paraId="092DC47C">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1A8ED8EB">
            <w:pPr>
              <w:rPr>
                <w:rFonts w:hint="eastAsia" w:ascii="宋体" w:hAnsi="宋体" w:eastAsia="宋体" w:cs="宋体"/>
              </w:rPr>
            </w:pPr>
          </w:p>
        </w:tc>
        <w:tc>
          <w:tcPr>
            <w:tcW w:w="996" w:type="dxa"/>
            <w:vMerge w:val="restart"/>
            <w:tcBorders>
              <w:top w:val="single" w:color="auto" w:sz="4" w:space="0"/>
              <w:bottom w:val="single" w:color="auto" w:sz="4" w:space="0"/>
            </w:tcBorders>
            <w:noWrap/>
            <w:vAlign w:val="center"/>
          </w:tcPr>
          <w:p w14:paraId="09477F1D">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社会效益指标</w:t>
            </w:r>
          </w:p>
        </w:tc>
        <w:tc>
          <w:tcPr>
            <w:tcW w:w="1445" w:type="dxa"/>
            <w:noWrap/>
            <w:vAlign w:val="center"/>
          </w:tcPr>
          <w:p w14:paraId="30792976">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瘦肉精检出率</w:t>
            </w:r>
          </w:p>
        </w:tc>
        <w:tc>
          <w:tcPr>
            <w:tcW w:w="1232" w:type="dxa"/>
            <w:noWrap/>
            <w:vAlign w:val="center"/>
          </w:tcPr>
          <w:p w14:paraId="185EFD5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0</w:t>
            </w:r>
          </w:p>
        </w:tc>
        <w:tc>
          <w:tcPr>
            <w:tcW w:w="1268" w:type="dxa"/>
            <w:noWrap/>
            <w:vAlign w:val="center"/>
          </w:tcPr>
          <w:p w14:paraId="0FC5F75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0</w:t>
            </w:r>
          </w:p>
        </w:tc>
        <w:tc>
          <w:tcPr>
            <w:tcW w:w="716" w:type="dxa"/>
            <w:noWrap/>
            <w:vAlign w:val="center"/>
          </w:tcPr>
          <w:p w14:paraId="469681AF">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noWrap/>
            <w:vAlign w:val="center"/>
          </w:tcPr>
          <w:p w14:paraId="22571B8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5</w:t>
            </w:r>
          </w:p>
        </w:tc>
        <w:tc>
          <w:tcPr>
            <w:tcW w:w="1450" w:type="dxa"/>
            <w:noWrap/>
            <w:vAlign w:val="center"/>
          </w:tcPr>
          <w:p w14:paraId="49CB2EBA">
            <w:pPr>
              <w:jc w:val="center"/>
              <w:rPr>
                <w:rFonts w:hint="eastAsia" w:ascii="宋体" w:hAnsi="宋体" w:eastAsia="宋体" w:cs="宋体"/>
              </w:rPr>
            </w:pPr>
          </w:p>
        </w:tc>
      </w:tr>
      <w:tr w14:paraId="37D0C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vAlign w:val="center"/>
          </w:tcPr>
          <w:p w14:paraId="020261E0">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2050D104">
            <w:pPr>
              <w:rPr>
                <w:rFonts w:hint="eastAsia" w:ascii="宋体" w:hAnsi="宋体" w:eastAsia="宋体" w:cs="宋体"/>
              </w:rPr>
            </w:pPr>
          </w:p>
        </w:tc>
        <w:tc>
          <w:tcPr>
            <w:tcW w:w="996" w:type="dxa"/>
            <w:vMerge w:val="continue"/>
            <w:tcBorders>
              <w:top w:val="single" w:color="auto" w:sz="4" w:space="0"/>
              <w:bottom w:val="single" w:color="auto" w:sz="4" w:space="0"/>
            </w:tcBorders>
            <w:noWrap/>
            <w:vAlign w:val="center"/>
          </w:tcPr>
          <w:p w14:paraId="36DDDC53">
            <w:pPr>
              <w:rPr>
                <w:rFonts w:hint="eastAsia" w:ascii="宋体" w:hAnsi="宋体" w:eastAsia="宋体" w:cs="宋体"/>
              </w:rPr>
            </w:pPr>
          </w:p>
        </w:tc>
        <w:tc>
          <w:tcPr>
            <w:tcW w:w="1445" w:type="dxa"/>
            <w:noWrap/>
            <w:vAlign w:val="center"/>
          </w:tcPr>
          <w:p w14:paraId="70DD0D82">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农残半定量检出率</w:t>
            </w:r>
          </w:p>
        </w:tc>
        <w:tc>
          <w:tcPr>
            <w:tcW w:w="1232" w:type="dxa"/>
            <w:noWrap/>
            <w:vAlign w:val="center"/>
          </w:tcPr>
          <w:p w14:paraId="1DC3CF0B">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4</w:t>
            </w:r>
          </w:p>
        </w:tc>
        <w:tc>
          <w:tcPr>
            <w:tcW w:w="1268" w:type="dxa"/>
            <w:noWrap/>
            <w:vAlign w:val="center"/>
          </w:tcPr>
          <w:p w14:paraId="2DF663B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3</w:t>
            </w:r>
          </w:p>
        </w:tc>
        <w:tc>
          <w:tcPr>
            <w:tcW w:w="716" w:type="dxa"/>
            <w:noWrap/>
            <w:vAlign w:val="center"/>
          </w:tcPr>
          <w:p w14:paraId="292154F7">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noWrap/>
            <w:vAlign w:val="center"/>
          </w:tcPr>
          <w:p w14:paraId="6CA5AC2C">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5</w:t>
            </w:r>
          </w:p>
        </w:tc>
        <w:tc>
          <w:tcPr>
            <w:tcW w:w="1450" w:type="dxa"/>
            <w:noWrap/>
            <w:vAlign w:val="center"/>
          </w:tcPr>
          <w:p w14:paraId="027EF3F3">
            <w:pPr>
              <w:jc w:val="center"/>
              <w:rPr>
                <w:rFonts w:hint="eastAsia" w:ascii="宋体" w:hAnsi="宋体" w:eastAsia="宋体" w:cs="宋体"/>
              </w:rPr>
            </w:pPr>
          </w:p>
        </w:tc>
      </w:tr>
      <w:tr w14:paraId="6B9FC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ign w:val="center"/>
          </w:tcPr>
          <w:p w14:paraId="606D5ABB">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276843DE">
            <w:pPr>
              <w:rPr>
                <w:rFonts w:hint="eastAsia" w:ascii="宋体" w:hAnsi="宋体" w:eastAsia="宋体" w:cs="宋体"/>
                <w:sz w:val="19"/>
                <w:szCs w:val="19"/>
              </w:rPr>
            </w:pPr>
          </w:p>
        </w:tc>
        <w:tc>
          <w:tcPr>
            <w:tcW w:w="996" w:type="dxa"/>
            <w:tcBorders>
              <w:top w:val="single" w:color="auto" w:sz="4" w:space="0"/>
              <w:bottom w:val="single" w:color="auto" w:sz="4" w:space="0"/>
            </w:tcBorders>
            <w:noWrap/>
            <w:vAlign w:val="center"/>
          </w:tcPr>
          <w:p w14:paraId="6999FE54">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生态效益指标</w:t>
            </w:r>
          </w:p>
        </w:tc>
        <w:tc>
          <w:tcPr>
            <w:tcW w:w="1445" w:type="dxa"/>
            <w:noWrap/>
            <w:vAlign w:val="center"/>
          </w:tcPr>
          <w:p w14:paraId="47A90443">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屠宰环节无害化处理及时率</w:t>
            </w:r>
          </w:p>
        </w:tc>
        <w:tc>
          <w:tcPr>
            <w:tcW w:w="1232" w:type="dxa"/>
            <w:noWrap/>
            <w:vAlign w:val="center"/>
          </w:tcPr>
          <w:p w14:paraId="43647B0F">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90</w:t>
            </w:r>
          </w:p>
        </w:tc>
        <w:tc>
          <w:tcPr>
            <w:tcW w:w="1268" w:type="dxa"/>
            <w:noWrap/>
            <w:vAlign w:val="center"/>
          </w:tcPr>
          <w:p w14:paraId="1EBE5A8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90</w:t>
            </w:r>
          </w:p>
        </w:tc>
        <w:tc>
          <w:tcPr>
            <w:tcW w:w="716" w:type="dxa"/>
            <w:noWrap/>
            <w:vAlign w:val="center"/>
          </w:tcPr>
          <w:p w14:paraId="79E90527">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noWrap/>
            <w:vAlign w:val="center"/>
          </w:tcPr>
          <w:p w14:paraId="36ADDB8B">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noWrap/>
            <w:vAlign w:val="center"/>
          </w:tcPr>
          <w:p w14:paraId="36EFF6C0">
            <w:pPr>
              <w:jc w:val="center"/>
              <w:rPr>
                <w:rFonts w:hint="eastAsia" w:ascii="宋体" w:hAnsi="宋体" w:eastAsia="宋体" w:cs="宋体"/>
              </w:rPr>
            </w:pPr>
          </w:p>
        </w:tc>
      </w:tr>
      <w:tr w14:paraId="781E6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ign w:val="center"/>
          </w:tcPr>
          <w:p w14:paraId="11421DA1">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074D8049">
            <w:pPr>
              <w:rPr>
                <w:rFonts w:hint="eastAsia" w:ascii="宋体" w:hAnsi="宋体" w:eastAsia="宋体" w:cs="宋体"/>
                <w:spacing w:val="3"/>
                <w:sz w:val="19"/>
                <w:szCs w:val="19"/>
              </w:rPr>
            </w:pPr>
          </w:p>
        </w:tc>
        <w:tc>
          <w:tcPr>
            <w:tcW w:w="996" w:type="dxa"/>
            <w:tcBorders>
              <w:top w:val="single" w:color="auto" w:sz="4" w:space="0"/>
              <w:bottom w:val="single" w:color="auto" w:sz="4" w:space="0"/>
            </w:tcBorders>
            <w:noWrap/>
            <w:vAlign w:val="center"/>
          </w:tcPr>
          <w:p w14:paraId="48E52CC7">
            <w:pPr>
              <w:keepNext w:val="0"/>
              <w:keepLines w:val="0"/>
              <w:widowControl/>
              <w:suppressLineNumbers w:val="0"/>
              <w:jc w:val="left"/>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可持续影响指标</w:t>
            </w:r>
          </w:p>
        </w:tc>
        <w:tc>
          <w:tcPr>
            <w:tcW w:w="1445" w:type="dxa"/>
            <w:noWrap/>
            <w:vAlign w:val="center"/>
          </w:tcPr>
          <w:p w14:paraId="1AD92ABC">
            <w:pPr>
              <w:jc w:val="center"/>
              <w:rPr>
                <w:rFonts w:hint="eastAsia" w:ascii="宋体" w:hAnsi="宋体" w:eastAsia="宋体" w:cs="宋体"/>
                <w:lang w:eastAsia="zh-CN"/>
              </w:rPr>
            </w:pPr>
          </w:p>
        </w:tc>
        <w:tc>
          <w:tcPr>
            <w:tcW w:w="1232" w:type="dxa"/>
            <w:noWrap/>
            <w:vAlign w:val="center"/>
          </w:tcPr>
          <w:p w14:paraId="597603EC">
            <w:pPr>
              <w:jc w:val="center"/>
              <w:rPr>
                <w:rFonts w:hint="eastAsia" w:ascii="宋体" w:hAnsi="宋体" w:eastAsia="宋体" w:cs="宋体"/>
                <w:sz w:val="20"/>
              </w:rPr>
            </w:pPr>
          </w:p>
        </w:tc>
        <w:tc>
          <w:tcPr>
            <w:tcW w:w="1268" w:type="dxa"/>
            <w:noWrap/>
            <w:vAlign w:val="center"/>
          </w:tcPr>
          <w:p w14:paraId="1E10E63E">
            <w:pPr>
              <w:jc w:val="center"/>
              <w:rPr>
                <w:rFonts w:hint="eastAsia" w:ascii="宋体" w:hAnsi="宋体" w:eastAsia="宋体" w:cs="宋体"/>
                <w:sz w:val="20"/>
              </w:rPr>
            </w:pPr>
          </w:p>
        </w:tc>
        <w:tc>
          <w:tcPr>
            <w:tcW w:w="716" w:type="dxa"/>
            <w:noWrap/>
            <w:vAlign w:val="center"/>
          </w:tcPr>
          <w:p w14:paraId="011DA96B">
            <w:pPr>
              <w:jc w:val="center"/>
              <w:rPr>
                <w:rFonts w:hint="eastAsia" w:ascii="宋体" w:hAnsi="宋体" w:eastAsia="宋体" w:cs="宋体"/>
                <w:lang w:eastAsia="zh-CN"/>
              </w:rPr>
            </w:pPr>
          </w:p>
        </w:tc>
        <w:tc>
          <w:tcPr>
            <w:tcW w:w="873" w:type="dxa"/>
            <w:noWrap/>
            <w:vAlign w:val="center"/>
          </w:tcPr>
          <w:p w14:paraId="40AABEB7">
            <w:pPr>
              <w:jc w:val="center"/>
              <w:rPr>
                <w:rFonts w:hint="eastAsia" w:ascii="宋体" w:hAnsi="宋体" w:eastAsia="宋体" w:cs="宋体"/>
                <w:lang w:eastAsia="zh-CN"/>
              </w:rPr>
            </w:pPr>
          </w:p>
        </w:tc>
        <w:tc>
          <w:tcPr>
            <w:tcW w:w="1450" w:type="dxa"/>
            <w:noWrap/>
            <w:vAlign w:val="center"/>
          </w:tcPr>
          <w:p w14:paraId="50D71850">
            <w:pPr>
              <w:jc w:val="center"/>
              <w:rPr>
                <w:rFonts w:hint="eastAsia" w:ascii="宋体" w:hAnsi="宋体" w:eastAsia="宋体" w:cs="宋体"/>
              </w:rPr>
            </w:pPr>
          </w:p>
        </w:tc>
      </w:tr>
      <w:tr w14:paraId="477AE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ign w:val="center"/>
          </w:tcPr>
          <w:p w14:paraId="16B2D2DA">
            <w:pPr>
              <w:rPr>
                <w:rFonts w:hint="eastAsia" w:ascii="宋体" w:hAnsi="宋体" w:eastAsia="宋体" w:cs="宋体"/>
              </w:rPr>
            </w:pPr>
          </w:p>
        </w:tc>
        <w:tc>
          <w:tcPr>
            <w:tcW w:w="1019" w:type="dxa"/>
            <w:tcBorders>
              <w:top w:val="single" w:color="auto" w:sz="4" w:space="0"/>
              <w:bottom w:val="single" w:color="auto" w:sz="4" w:space="0"/>
            </w:tcBorders>
            <w:noWrap/>
            <w:vAlign w:val="center"/>
          </w:tcPr>
          <w:p w14:paraId="2155C1A1">
            <w:pPr>
              <w:keepNext w:val="0"/>
              <w:keepLines w:val="0"/>
              <w:widowControl/>
              <w:suppressLineNumbers w:val="0"/>
              <w:jc w:val="left"/>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18"/>
                <w:szCs w:val="18"/>
                <w:u w:val="none"/>
                <w:lang w:val="en-US" w:eastAsia="zh-CN" w:bidi="ar"/>
              </w:rPr>
              <w:t>满意度指标</w:t>
            </w:r>
          </w:p>
        </w:tc>
        <w:tc>
          <w:tcPr>
            <w:tcW w:w="996" w:type="dxa"/>
            <w:tcBorders>
              <w:top w:val="single" w:color="auto" w:sz="4" w:space="0"/>
              <w:bottom w:val="single" w:color="auto" w:sz="4" w:space="0"/>
            </w:tcBorders>
            <w:noWrap/>
            <w:vAlign w:val="center"/>
          </w:tcPr>
          <w:p w14:paraId="07AD9E30">
            <w:pPr>
              <w:keepNext w:val="0"/>
              <w:keepLines w:val="0"/>
              <w:widowControl/>
              <w:suppressLineNumbers w:val="0"/>
              <w:jc w:val="left"/>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445" w:type="dxa"/>
            <w:noWrap/>
            <w:vAlign w:val="center"/>
          </w:tcPr>
          <w:p w14:paraId="0AF56370">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群众满意度</w:t>
            </w:r>
          </w:p>
        </w:tc>
        <w:tc>
          <w:tcPr>
            <w:tcW w:w="1232" w:type="dxa"/>
            <w:noWrap/>
            <w:vAlign w:val="center"/>
          </w:tcPr>
          <w:p w14:paraId="1BE88B7D">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90</w:t>
            </w:r>
          </w:p>
        </w:tc>
        <w:tc>
          <w:tcPr>
            <w:tcW w:w="1268" w:type="dxa"/>
            <w:noWrap/>
            <w:vAlign w:val="center"/>
          </w:tcPr>
          <w:p w14:paraId="0C925552">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90</w:t>
            </w:r>
          </w:p>
        </w:tc>
        <w:tc>
          <w:tcPr>
            <w:tcW w:w="716" w:type="dxa"/>
            <w:noWrap/>
            <w:vAlign w:val="center"/>
          </w:tcPr>
          <w:p w14:paraId="59436C18">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5</w:t>
            </w:r>
          </w:p>
        </w:tc>
        <w:tc>
          <w:tcPr>
            <w:tcW w:w="873" w:type="dxa"/>
            <w:noWrap/>
            <w:vAlign w:val="center"/>
          </w:tcPr>
          <w:p w14:paraId="0E856987">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noWrap/>
            <w:vAlign w:val="center"/>
          </w:tcPr>
          <w:p w14:paraId="7AA46A6C">
            <w:pPr>
              <w:jc w:val="center"/>
              <w:rPr>
                <w:rFonts w:hint="eastAsia" w:ascii="宋体" w:hAnsi="宋体" w:eastAsia="宋体" w:cs="宋体"/>
              </w:rPr>
            </w:pPr>
          </w:p>
        </w:tc>
      </w:tr>
      <w:tr w14:paraId="01A27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ign w:val="center"/>
          </w:tcPr>
          <w:p w14:paraId="525871D5">
            <w:pPr>
              <w:rPr>
                <w:rFonts w:hint="eastAsia" w:ascii="宋体" w:hAnsi="宋体" w:eastAsia="宋体" w:cs="宋体"/>
              </w:rPr>
            </w:pPr>
          </w:p>
        </w:tc>
        <w:tc>
          <w:tcPr>
            <w:tcW w:w="1019" w:type="dxa"/>
            <w:vMerge w:val="restart"/>
            <w:tcBorders>
              <w:top w:val="single" w:color="auto" w:sz="4" w:space="0"/>
              <w:bottom w:val="single" w:color="auto" w:sz="4" w:space="0"/>
            </w:tcBorders>
            <w:noWrap/>
            <w:vAlign w:val="center"/>
          </w:tcPr>
          <w:p w14:paraId="3BD00540">
            <w:pPr>
              <w:keepNext w:val="0"/>
              <w:keepLines w:val="0"/>
              <w:widowControl/>
              <w:suppressLineNumbers w:val="0"/>
              <w:jc w:val="left"/>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18"/>
                <w:szCs w:val="18"/>
                <w:u w:val="none"/>
                <w:lang w:val="en-US" w:eastAsia="zh-CN" w:bidi="ar"/>
              </w:rPr>
              <w:t>成本指标</w:t>
            </w:r>
          </w:p>
        </w:tc>
        <w:tc>
          <w:tcPr>
            <w:tcW w:w="996" w:type="dxa"/>
            <w:tcBorders>
              <w:top w:val="single" w:color="auto" w:sz="4" w:space="0"/>
              <w:bottom w:val="single" w:color="auto" w:sz="4" w:space="0"/>
            </w:tcBorders>
            <w:noWrap/>
            <w:vAlign w:val="center"/>
          </w:tcPr>
          <w:p w14:paraId="265A32EE">
            <w:pPr>
              <w:keepNext w:val="0"/>
              <w:keepLines w:val="0"/>
              <w:widowControl/>
              <w:suppressLineNumbers w:val="0"/>
              <w:jc w:val="left"/>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经济成本指标</w:t>
            </w:r>
          </w:p>
        </w:tc>
        <w:tc>
          <w:tcPr>
            <w:tcW w:w="1445" w:type="dxa"/>
            <w:noWrap/>
            <w:vAlign w:val="center"/>
          </w:tcPr>
          <w:p w14:paraId="1DBB0CDB">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预算总成本</w:t>
            </w:r>
          </w:p>
        </w:tc>
        <w:tc>
          <w:tcPr>
            <w:tcW w:w="1232" w:type="dxa"/>
            <w:noWrap/>
            <w:vAlign w:val="center"/>
          </w:tcPr>
          <w:p w14:paraId="1B5CD8D5">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不超过预算数</w:t>
            </w:r>
          </w:p>
        </w:tc>
        <w:tc>
          <w:tcPr>
            <w:tcW w:w="1268" w:type="dxa"/>
            <w:noWrap/>
            <w:vAlign w:val="center"/>
          </w:tcPr>
          <w:p w14:paraId="61061E99">
            <w:pPr>
              <w:keepNext w:val="0"/>
              <w:keepLines w:val="0"/>
              <w:widowControl/>
              <w:suppressLineNumbers w:val="0"/>
              <w:jc w:val="center"/>
              <w:textAlignment w:val="center"/>
              <w:rPr>
                <w:rFonts w:hint="eastAsia" w:ascii="宋体" w:hAnsi="宋体" w:eastAsia="宋体" w:cs="宋体"/>
                <w:sz w:val="20"/>
              </w:rPr>
            </w:pPr>
            <w:r>
              <w:rPr>
                <w:rFonts w:hint="eastAsia" w:ascii="宋体" w:hAnsi="宋体" w:eastAsia="宋体" w:cs="宋体"/>
                <w:i w:val="0"/>
                <w:iCs w:val="0"/>
                <w:color w:val="000000"/>
                <w:kern w:val="0"/>
                <w:sz w:val="18"/>
                <w:szCs w:val="18"/>
                <w:u w:val="none"/>
                <w:lang w:val="en-US" w:eastAsia="zh-CN" w:bidi="ar"/>
              </w:rPr>
              <w:t>405.42</w:t>
            </w:r>
          </w:p>
        </w:tc>
        <w:tc>
          <w:tcPr>
            <w:tcW w:w="716" w:type="dxa"/>
            <w:noWrap/>
            <w:vAlign w:val="center"/>
          </w:tcPr>
          <w:p w14:paraId="0A5543AB">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10</w:t>
            </w:r>
          </w:p>
        </w:tc>
        <w:tc>
          <w:tcPr>
            <w:tcW w:w="873" w:type="dxa"/>
            <w:noWrap/>
            <w:vAlign w:val="center"/>
          </w:tcPr>
          <w:p w14:paraId="000EF2F4">
            <w:pPr>
              <w:keepNext w:val="0"/>
              <w:keepLines w:val="0"/>
              <w:widowControl/>
              <w:suppressLineNumbers w:val="0"/>
              <w:jc w:val="center"/>
              <w:textAlignment w:val="center"/>
              <w:rPr>
                <w:rFonts w:hint="eastAsia" w:ascii="宋体" w:hAnsi="宋体" w:eastAsia="宋体" w:cs="宋体"/>
                <w:lang w:eastAsia="zh-CN"/>
              </w:rPr>
            </w:pPr>
            <w:r>
              <w:rPr>
                <w:rFonts w:hint="eastAsia" w:ascii="宋体" w:hAnsi="宋体" w:eastAsia="宋体" w:cs="宋体"/>
                <w:i w:val="0"/>
                <w:iCs w:val="0"/>
                <w:color w:val="000000"/>
                <w:kern w:val="0"/>
                <w:sz w:val="18"/>
                <w:szCs w:val="18"/>
                <w:u w:val="none"/>
                <w:lang w:val="en-US" w:eastAsia="zh-CN" w:bidi="ar"/>
              </w:rPr>
              <w:t>10</w:t>
            </w:r>
          </w:p>
        </w:tc>
        <w:tc>
          <w:tcPr>
            <w:tcW w:w="1450" w:type="dxa"/>
            <w:noWrap/>
            <w:vAlign w:val="center"/>
          </w:tcPr>
          <w:p w14:paraId="19C19006">
            <w:pPr>
              <w:jc w:val="center"/>
              <w:rPr>
                <w:rFonts w:hint="eastAsia" w:ascii="宋体" w:hAnsi="宋体" w:eastAsia="宋体" w:cs="宋体"/>
              </w:rPr>
            </w:pPr>
          </w:p>
        </w:tc>
      </w:tr>
      <w:tr w14:paraId="317A0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ign w:val="center"/>
          </w:tcPr>
          <w:p w14:paraId="15CC1DFE">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6D1DFB52">
            <w:pPr>
              <w:rPr>
                <w:rFonts w:hint="eastAsia" w:ascii="宋体" w:hAnsi="宋体" w:eastAsia="宋体" w:cs="宋体"/>
                <w:spacing w:val="3"/>
                <w:sz w:val="19"/>
                <w:szCs w:val="19"/>
              </w:rPr>
            </w:pPr>
          </w:p>
        </w:tc>
        <w:tc>
          <w:tcPr>
            <w:tcW w:w="996" w:type="dxa"/>
            <w:tcBorders>
              <w:top w:val="single" w:color="auto" w:sz="4" w:space="0"/>
              <w:bottom w:val="single" w:color="auto" w:sz="4" w:space="0"/>
            </w:tcBorders>
            <w:noWrap/>
            <w:vAlign w:val="center"/>
          </w:tcPr>
          <w:p w14:paraId="28826F9A">
            <w:pPr>
              <w:keepNext w:val="0"/>
              <w:keepLines w:val="0"/>
              <w:widowControl/>
              <w:suppressLineNumbers w:val="0"/>
              <w:jc w:val="left"/>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社会成本指标</w:t>
            </w:r>
          </w:p>
        </w:tc>
        <w:tc>
          <w:tcPr>
            <w:tcW w:w="1445" w:type="dxa"/>
            <w:noWrap/>
            <w:vAlign w:val="center"/>
          </w:tcPr>
          <w:p w14:paraId="715A1D24">
            <w:pPr>
              <w:jc w:val="center"/>
              <w:rPr>
                <w:rFonts w:hint="eastAsia" w:ascii="宋体" w:hAnsi="宋体" w:eastAsia="宋体" w:cs="宋体"/>
                <w:lang w:eastAsia="zh-CN"/>
              </w:rPr>
            </w:pPr>
          </w:p>
        </w:tc>
        <w:tc>
          <w:tcPr>
            <w:tcW w:w="1232" w:type="dxa"/>
            <w:noWrap/>
            <w:vAlign w:val="center"/>
          </w:tcPr>
          <w:p w14:paraId="3516E973">
            <w:pPr>
              <w:jc w:val="center"/>
              <w:rPr>
                <w:rFonts w:hint="eastAsia" w:ascii="宋体" w:hAnsi="宋体" w:eastAsia="宋体" w:cs="宋体"/>
                <w:sz w:val="20"/>
              </w:rPr>
            </w:pPr>
          </w:p>
        </w:tc>
        <w:tc>
          <w:tcPr>
            <w:tcW w:w="1268" w:type="dxa"/>
            <w:noWrap/>
            <w:vAlign w:val="center"/>
          </w:tcPr>
          <w:p w14:paraId="6BA63DC3">
            <w:pPr>
              <w:jc w:val="center"/>
              <w:rPr>
                <w:rFonts w:hint="eastAsia" w:ascii="宋体" w:hAnsi="宋体" w:eastAsia="宋体" w:cs="宋体"/>
                <w:sz w:val="20"/>
              </w:rPr>
            </w:pPr>
          </w:p>
        </w:tc>
        <w:tc>
          <w:tcPr>
            <w:tcW w:w="716" w:type="dxa"/>
            <w:noWrap/>
            <w:vAlign w:val="center"/>
          </w:tcPr>
          <w:p w14:paraId="7E04383B">
            <w:pPr>
              <w:jc w:val="center"/>
              <w:rPr>
                <w:rFonts w:hint="eastAsia" w:ascii="宋体" w:hAnsi="宋体" w:eastAsia="宋体" w:cs="宋体"/>
                <w:lang w:eastAsia="zh-CN"/>
              </w:rPr>
            </w:pPr>
          </w:p>
        </w:tc>
        <w:tc>
          <w:tcPr>
            <w:tcW w:w="873" w:type="dxa"/>
            <w:noWrap/>
            <w:vAlign w:val="center"/>
          </w:tcPr>
          <w:p w14:paraId="310E8735">
            <w:pPr>
              <w:jc w:val="center"/>
              <w:rPr>
                <w:rFonts w:hint="eastAsia" w:ascii="宋体" w:hAnsi="宋体" w:eastAsia="宋体" w:cs="宋体"/>
                <w:lang w:eastAsia="zh-CN"/>
              </w:rPr>
            </w:pPr>
          </w:p>
        </w:tc>
        <w:tc>
          <w:tcPr>
            <w:tcW w:w="1450" w:type="dxa"/>
            <w:noWrap/>
            <w:vAlign w:val="center"/>
          </w:tcPr>
          <w:p w14:paraId="393D1D29">
            <w:pPr>
              <w:jc w:val="center"/>
              <w:rPr>
                <w:rFonts w:hint="eastAsia" w:ascii="宋体" w:hAnsi="宋体" w:eastAsia="宋体" w:cs="宋体"/>
              </w:rPr>
            </w:pPr>
          </w:p>
        </w:tc>
      </w:tr>
      <w:tr w14:paraId="312DC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ign w:val="center"/>
          </w:tcPr>
          <w:p w14:paraId="388AA065">
            <w:pPr>
              <w:rPr>
                <w:rFonts w:hint="eastAsia" w:ascii="宋体" w:hAnsi="宋体" w:eastAsia="宋体" w:cs="宋体"/>
              </w:rPr>
            </w:pPr>
          </w:p>
        </w:tc>
        <w:tc>
          <w:tcPr>
            <w:tcW w:w="1019" w:type="dxa"/>
            <w:vMerge w:val="continue"/>
            <w:tcBorders>
              <w:top w:val="single" w:color="auto" w:sz="4" w:space="0"/>
              <w:bottom w:val="single" w:color="auto" w:sz="4" w:space="0"/>
            </w:tcBorders>
            <w:noWrap/>
            <w:vAlign w:val="center"/>
          </w:tcPr>
          <w:p w14:paraId="16C3901F">
            <w:pPr>
              <w:rPr>
                <w:rFonts w:hint="eastAsia" w:ascii="宋体" w:hAnsi="宋体" w:eastAsia="宋体" w:cs="宋体"/>
                <w:spacing w:val="3"/>
                <w:sz w:val="19"/>
                <w:szCs w:val="19"/>
              </w:rPr>
            </w:pPr>
          </w:p>
        </w:tc>
        <w:tc>
          <w:tcPr>
            <w:tcW w:w="996" w:type="dxa"/>
            <w:tcBorders>
              <w:top w:val="single" w:color="auto" w:sz="4" w:space="0"/>
              <w:bottom w:val="single" w:color="auto" w:sz="4" w:space="0"/>
            </w:tcBorders>
            <w:noWrap/>
            <w:vAlign w:val="center"/>
          </w:tcPr>
          <w:p w14:paraId="6FBB7354">
            <w:pPr>
              <w:keepNext w:val="0"/>
              <w:keepLines w:val="0"/>
              <w:widowControl/>
              <w:suppressLineNumbers w:val="0"/>
              <w:jc w:val="left"/>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生态环境成本指标</w:t>
            </w:r>
          </w:p>
        </w:tc>
        <w:tc>
          <w:tcPr>
            <w:tcW w:w="1445" w:type="dxa"/>
            <w:noWrap/>
            <w:vAlign w:val="center"/>
          </w:tcPr>
          <w:p w14:paraId="28F3927E">
            <w:pPr>
              <w:jc w:val="center"/>
              <w:rPr>
                <w:rFonts w:hint="eastAsia" w:ascii="宋体" w:hAnsi="宋体" w:eastAsia="宋体" w:cs="宋体"/>
                <w:lang w:eastAsia="zh-CN"/>
              </w:rPr>
            </w:pPr>
          </w:p>
        </w:tc>
        <w:tc>
          <w:tcPr>
            <w:tcW w:w="1232" w:type="dxa"/>
            <w:noWrap/>
            <w:vAlign w:val="center"/>
          </w:tcPr>
          <w:p w14:paraId="65A53EF8">
            <w:pPr>
              <w:jc w:val="center"/>
              <w:rPr>
                <w:rFonts w:hint="eastAsia" w:ascii="宋体" w:hAnsi="宋体" w:eastAsia="宋体" w:cs="宋体"/>
                <w:sz w:val="20"/>
              </w:rPr>
            </w:pPr>
          </w:p>
        </w:tc>
        <w:tc>
          <w:tcPr>
            <w:tcW w:w="1268" w:type="dxa"/>
            <w:noWrap/>
            <w:vAlign w:val="center"/>
          </w:tcPr>
          <w:p w14:paraId="1B2CE475">
            <w:pPr>
              <w:jc w:val="center"/>
              <w:rPr>
                <w:rFonts w:hint="eastAsia" w:ascii="宋体" w:hAnsi="宋体" w:eastAsia="宋体" w:cs="宋体"/>
                <w:sz w:val="20"/>
              </w:rPr>
            </w:pPr>
          </w:p>
        </w:tc>
        <w:tc>
          <w:tcPr>
            <w:tcW w:w="716" w:type="dxa"/>
            <w:noWrap/>
            <w:vAlign w:val="center"/>
          </w:tcPr>
          <w:p w14:paraId="531C0F56">
            <w:pPr>
              <w:jc w:val="center"/>
              <w:rPr>
                <w:rFonts w:hint="eastAsia" w:ascii="宋体" w:hAnsi="宋体" w:eastAsia="宋体" w:cs="宋体"/>
                <w:lang w:eastAsia="zh-CN"/>
              </w:rPr>
            </w:pPr>
          </w:p>
        </w:tc>
        <w:tc>
          <w:tcPr>
            <w:tcW w:w="873" w:type="dxa"/>
            <w:noWrap/>
            <w:vAlign w:val="center"/>
          </w:tcPr>
          <w:p w14:paraId="009826E6">
            <w:pPr>
              <w:jc w:val="center"/>
              <w:rPr>
                <w:rFonts w:hint="eastAsia" w:ascii="宋体" w:hAnsi="宋体" w:eastAsia="宋体" w:cs="宋体"/>
                <w:lang w:eastAsia="zh-CN"/>
              </w:rPr>
            </w:pPr>
          </w:p>
        </w:tc>
        <w:tc>
          <w:tcPr>
            <w:tcW w:w="1450" w:type="dxa"/>
            <w:noWrap/>
            <w:vAlign w:val="center"/>
          </w:tcPr>
          <w:p w14:paraId="03C11942">
            <w:pPr>
              <w:jc w:val="center"/>
              <w:rPr>
                <w:rFonts w:hint="eastAsia" w:ascii="宋体" w:hAnsi="宋体" w:eastAsia="宋体" w:cs="宋体"/>
              </w:rPr>
            </w:pPr>
          </w:p>
        </w:tc>
      </w:tr>
      <w:tr w14:paraId="3D64A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tcPr>
          <w:p w14:paraId="75540C77">
            <w:pPr>
              <w:spacing w:before="41" w:line="221" w:lineRule="auto"/>
              <w:ind w:left="3343"/>
              <w:rPr>
                <w:rFonts w:ascii="宋体" w:hAnsi="宋体" w:eastAsia="宋体" w:cs="宋体"/>
                <w:sz w:val="19"/>
                <w:szCs w:val="19"/>
              </w:rPr>
            </w:pPr>
            <w:r>
              <w:rPr>
                <w:rFonts w:hint="eastAsia" w:ascii="宋体" w:hAnsi="宋体" w:eastAsia="宋体" w:cs="宋体"/>
                <w:spacing w:val="-1"/>
                <w:sz w:val="19"/>
                <w:szCs w:val="19"/>
              </w:rPr>
              <w:t>总分</w:t>
            </w:r>
          </w:p>
        </w:tc>
        <w:tc>
          <w:tcPr>
            <w:tcW w:w="716" w:type="dxa"/>
            <w:noWrap/>
          </w:tcPr>
          <w:p w14:paraId="6A7EECE4">
            <w:pPr>
              <w:spacing w:before="75" w:line="195" w:lineRule="auto"/>
              <w:ind w:left="230"/>
              <w:rPr>
                <w:rFonts w:ascii="宋体" w:hAnsi="宋体" w:eastAsia="宋体" w:cs="宋体"/>
                <w:sz w:val="19"/>
                <w:szCs w:val="19"/>
              </w:rPr>
            </w:pPr>
            <w:r>
              <w:rPr>
                <w:rFonts w:hint="eastAsia" w:ascii="宋体" w:hAnsi="宋体" w:eastAsia="宋体" w:cs="宋体"/>
                <w:spacing w:val="-4"/>
                <w:sz w:val="19"/>
                <w:szCs w:val="19"/>
              </w:rPr>
              <w:t>100</w:t>
            </w:r>
          </w:p>
        </w:tc>
        <w:tc>
          <w:tcPr>
            <w:tcW w:w="873" w:type="dxa"/>
            <w:noWrap/>
          </w:tcPr>
          <w:p w14:paraId="54103402">
            <w:pPr>
              <w:pStyle w:val="12"/>
              <w:rPr>
                <w:rFonts w:hint="default" w:ascii="宋体" w:hAnsi="宋体" w:eastAsia="宋体" w:cs="宋体"/>
                <w:lang w:val="en-US" w:eastAsia="zh-CN"/>
              </w:rPr>
            </w:pPr>
            <w:r>
              <w:rPr>
                <w:rFonts w:hint="eastAsia" w:ascii="宋体" w:hAnsi="宋体" w:eastAsia="宋体" w:cs="宋体"/>
                <w:lang w:eastAsia="zh-CN"/>
              </w:rPr>
              <w:t>9</w:t>
            </w:r>
            <w:r>
              <w:rPr>
                <w:rFonts w:hint="eastAsia" w:ascii="宋体" w:hAnsi="宋体" w:eastAsia="宋体" w:cs="宋体"/>
                <w:lang w:val="en-US" w:eastAsia="zh-CN"/>
              </w:rPr>
              <w:t>9.55</w:t>
            </w:r>
          </w:p>
        </w:tc>
        <w:tc>
          <w:tcPr>
            <w:tcW w:w="1450" w:type="dxa"/>
            <w:noWrap/>
          </w:tcPr>
          <w:p w14:paraId="631D58A3">
            <w:pPr>
              <w:pStyle w:val="12"/>
              <w:rPr>
                <w:rFonts w:ascii="宋体" w:hAnsi="宋体" w:eastAsia="宋体" w:cs="宋体"/>
              </w:rPr>
            </w:pPr>
          </w:p>
        </w:tc>
      </w:tr>
    </w:tbl>
    <w:p w14:paraId="2D93BD39">
      <w:pPr>
        <w:jc w:val="left"/>
        <w:rPr>
          <w:rFonts w:ascii="宋体" w:hAnsi="宋体" w:eastAsia="宋体" w:cs="宋体"/>
          <w:color w:val="000000"/>
          <w:sz w:val="23"/>
          <w:szCs w:val="23"/>
        </w:rPr>
      </w:pPr>
    </w:p>
    <w:p w14:paraId="72F64FAE">
      <w:pPr>
        <w:jc w:val="left"/>
        <w:rPr>
          <w:rFonts w:ascii="宋体" w:hAnsi="宋体" w:eastAsia="宋体" w:cs="宋体"/>
          <w:color w:val="000000"/>
          <w:sz w:val="23"/>
          <w:szCs w:val="23"/>
        </w:rPr>
      </w:pPr>
    </w:p>
    <w:p w14:paraId="704FDE26">
      <w:pPr>
        <w:jc w:val="left"/>
        <w:rPr>
          <w:rFonts w:eastAsia="宋体"/>
          <w:sz w:val="28"/>
          <w:szCs w:val="28"/>
        </w:rPr>
        <w:sectPr>
          <w:footerReference r:id="rId4" w:type="default"/>
          <w:pgSz w:w="11900" w:h="16833"/>
          <w:pgMar w:top="1429" w:right="1106" w:bottom="1253" w:left="1111" w:header="0" w:footer="964" w:gutter="0"/>
          <w:cols w:space="0" w:num="1"/>
        </w:sectPr>
      </w:pPr>
    </w:p>
    <w:p w14:paraId="7C0E64C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D6F5E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6A74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9" w:hRule="atLeast"/>
        </w:trPr>
        <w:tc>
          <w:tcPr>
            <w:tcW w:w="3118" w:type="dxa"/>
            <w:gridSpan w:val="3"/>
            <w:noWrap w:val="0"/>
            <w:vAlign w:val="top"/>
          </w:tcPr>
          <w:p w14:paraId="79275B28">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C11A1D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568D8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B19204C">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CF7A521">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3B2CB10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DE0594F">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043F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E221D3A">
            <w:pPr>
              <w:spacing w:before="61" w:line="241" w:lineRule="auto"/>
              <w:ind w:right="141"/>
              <w:jc w:val="both"/>
              <w:rPr>
                <w:rFonts w:hint="eastAsia" w:ascii="宋体" w:hAnsi="宋体" w:eastAsia="宋体" w:cs="宋体"/>
                <w:sz w:val="19"/>
                <w:szCs w:val="19"/>
                <w:lang w:eastAsia="zh-CN"/>
              </w:rPr>
            </w:pPr>
          </w:p>
          <w:p w14:paraId="70CB7E1F">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5996A0C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E0BFC98">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123BA0E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17D20C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18EDF4E">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AB21360">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4053A78A">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013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99AB5E0">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9401A2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066335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6F2993AE">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4487B03B">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583CD6D0">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270D51EF">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571F59DE">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60B9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FE63EF7">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B8CB752">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BC318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C6D1B86">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F9ED8D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CF01588">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42F482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5F996566">
            <w:pPr>
              <w:widowControl w:val="0"/>
              <w:jc w:val="both"/>
              <w:rPr>
                <w:rFonts w:hint="eastAsia" w:ascii="宋体" w:hAnsi="宋体" w:eastAsia="宋体" w:cs="宋体"/>
                <w:kern w:val="2"/>
                <w:sz w:val="21"/>
                <w:szCs w:val="21"/>
                <w:lang w:val="en-US" w:eastAsia="en-US" w:bidi="ar-SA"/>
              </w:rPr>
            </w:pPr>
          </w:p>
        </w:tc>
      </w:tr>
      <w:tr w14:paraId="02FAA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9912C24">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627E9204">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6BA3E8B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A4C7059">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7F9D0BF">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23BC17B9">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B6842DB">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65483AE">
            <w:pPr>
              <w:widowControl w:val="0"/>
              <w:jc w:val="both"/>
              <w:rPr>
                <w:rFonts w:hint="eastAsia" w:ascii="宋体" w:hAnsi="宋体" w:eastAsia="宋体" w:cs="宋体"/>
                <w:kern w:val="2"/>
                <w:sz w:val="21"/>
                <w:szCs w:val="21"/>
                <w:lang w:val="en-US" w:eastAsia="en-US" w:bidi="ar-SA"/>
              </w:rPr>
            </w:pPr>
          </w:p>
        </w:tc>
      </w:tr>
      <w:tr w14:paraId="12678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AE7C95F">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5CCD24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FC933B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D75B106">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6D9AEC91">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14BE62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6D6E8C7">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E6D370C">
            <w:pPr>
              <w:widowControl w:val="0"/>
              <w:jc w:val="both"/>
              <w:rPr>
                <w:rFonts w:hint="eastAsia" w:ascii="宋体" w:hAnsi="宋体" w:eastAsia="宋体" w:cs="宋体"/>
                <w:kern w:val="2"/>
                <w:sz w:val="21"/>
                <w:szCs w:val="21"/>
                <w:lang w:val="en-US" w:eastAsia="en-US" w:bidi="ar-SA"/>
              </w:rPr>
            </w:pPr>
          </w:p>
        </w:tc>
      </w:tr>
      <w:tr w14:paraId="2F78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B5FF5B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DB34F1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B297B6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3E819027">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D2F0AB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8B4F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521B16A5">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4A2B0195">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776E1AB0">
            <w:pPr>
              <w:widowControl w:val="0"/>
              <w:jc w:val="both"/>
              <w:rPr>
                <w:rFonts w:hint="eastAsia" w:ascii="宋体" w:hAnsi="宋体" w:eastAsia="宋体" w:cs="宋体"/>
                <w:kern w:val="2"/>
                <w:sz w:val="21"/>
                <w:szCs w:val="21"/>
                <w:lang w:val="en-US" w:eastAsia="en-US" w:bidi="ar-SA"/>
              </w:rPr>
            </w:pPr>
          </w:p>
        </w:tc>
      </w:tr>
      <w:tr w14:paraId="3C74D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01D722CC">
            <w:pPr>
              <w:widowControl w:val="0"/>
              <w:spacing w:line="366" w:lineRule="auto"/>
              <w:jc w:val="both"/>
              <w:rPr>
                <w:rFonts w:hint="eastAsia" w:ascii="宋体" w:hAnsi="宋体" w:eastAsia="宋体" w:cs="宋体"/>
                <w:kern w:val="2"/>
                <w:sz w:val="21"/>
                <w:szCs w:val="21"/>
                <w:lang w:val="en-US" w:eastAsia="en-US" w:bidi="ar-SA"/>
              </w:rPr>
            </w:pPr>
          </w:p>
          <w:p w14:paraId="7B2C3EB6">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3A0F8E3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4C5E5653">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71C192FA">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4D41F5B9">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954F83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91CB7F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C99E053">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42791F8">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A6E941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508DE5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9E00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5AAF5A">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659FF788">
            <w:pPr>
              <w:widowControl w:val="0"/>
              <w:spacing w:line="256" w:lineRule="auto"/>
              <w:jc w:val="both"/>
              <w:rPr>
                <w:rFonts w:hint="eastAsia" w:ascii="宋体" w:hAnsi="宋体" w:eastAsia="宋体" w:cs="宋体"/>
                <w:kern w:val="2"/>
                <w:sz w:val="21"/>
                <w:szCs w:val="21"/>
                <w:lang w:val="en-US" w:eastAsia="en-US" w:bidi="ar-SA"/>
              </w:rPr>
            </w:pPr>
          </w:p>
          <w:p w14:paraId="35411A4A">
            <w:pPr>
              <w:widowControl w:val="0"/>
              <w:spacing w:line="256" w:lineRule="auto"/>
              <w:jc w:val="both"/>
              <w:rPr>
                <w:rFonts w:hint="eastAsia" w:ascii="宋体" w:hAnsi="宋体" w:eastAsia="宋体" w:cs="宋体"/>
                <w:kern w:val="2"/>
                <w:sz w:val="21"/>
                <w:szCs w:val="21"/>
                <w:lang w:val="en-US" w:eastAsia="en-US" w:bidi="ar-SA"/>
              </w:rPr>
            </w:pPr>
          </w:p>
          <w:p w14:paraId="4910B061">
            <w:pPr>
              <w:widowControl w:val="0"/>
              <w:spacing w:line="256" w:lineRule="auto"/>
              <w:jc w:val="both"/>
              <w:rPr>
                <w:rFonts w:hint="eastAsia" w:ascii="宋体" w:hAnsi="宋体" w:eastAsia="宋体" w:cs="宋体"/>
                <w:kern w:val="2"/>
                <w:sz w:val="21"/>
                <w:szCs w:val="21"/>
                <w:lang w:val="en-US" w:eastAsia="en-US" w:bidi="ar-SA"/>
              </w:rPr>
            </w:pPr>
          </w:p>
          <w:p w14:paraId="22395D5A">
            <w:pPr>
              <w:widowControl w:val="0"/>
              <w:spacing w:line="257" w:lineRule="auto"/>
              <w:jc w:val="both"/>
              <w:rPr>
                <w:rFonts w:hint="eastAsia" w:ascii="宋体" w:hAnsi="宋体" w:eastAsia="宋体" w:cs="宋体"/>
                <w:kern w:val="2"/>
                <w:sz w:val="21"/>
                <w:szCs w:val="21"/>
                <w:lang w:val="en-US" w:eastAsia="en-US" w:bidi="ar-SA"/>
              </w:rPr>
            </w:pPr>
          </w:p>
          <w:p w14:paraId="2F2CB5AE">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580FAD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13C398C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291B1257">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06AC66B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0DE814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276BBC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74D323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751465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9C597FF">
            <w:pPr>
              <w:widowControl w:val="0"/>
              <w:spacing w:line="225" w:lineRule="exact"/>
              <w:jc w:val="both"/>
              <w:rPr>
                <w:rFonts w:hint="eastAsia" w:ascii="宋体" w:hAnsi="宋体" w:eastAsia="宋体" w:cs="宋体"/>
                <w:kern w:val="2"/>
                <w:sz w:val="19"/>
                <w:szCs w:val="21"/>
                <w:lang w:val="en-US" w:eastAsia="en-US" w:bidi="ar-SA"/>
              </w:rPr>
            </w:pPr>
          </w:p>
        </w:tc>
      </w:tr>
      <w:tr w14:paraId="5003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E5107C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EE6027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F0C941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F70DB7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9E10D2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BF307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8D47DF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50EB73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6CEBF50">
            <w:pPr>
              <w:widowControl w:val="0"/>
              <w:spacing w:line="225" w:lineRule="exact"/>
              <w:jc w:val="both"/>
              <w:rPr>
                <w:rFonts w:hint="eastAsia" w:ascii="宋体" w:hAnsi="宋体" w:eastAsia="宋体" w:cs="宋体"/>
                <w:kern w:val="2"/>
                <w:sz w:val="19"/>
                <w:szCs w:val="21"/>
                <w:lang w:val="en-US" w:eastAsia="en-US" w:bidi="ar-SA"/>
              </w:rPr>
            </w:pPr>
          </w:p>
        </w:tc>
      </w:tr>
      <w:tr w14:paraId="0E974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77BB5F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34AB7D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5F30CC0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FA0F02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23995A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DDF260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1F16B0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50E0D2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5EE2466">
            <w:pPr>
              <w:widowControl w:val="0"/>
              <w:spacing w:line="225" w:lineRule="exact"/>
              <w:jc w:val="both"/>
              <w:rPr>
                <w:rFonts w:hint="eastAsia" w:ascii="宋体" w:hAnsi="宋体" w:eastAsia="宋体" w:cs="宋体"/>
                <w:kern w:val="2"/>
                <w:sz w:val="19"/>
                <w:szCs w:val="21"/>
                <w:lang w:val="en-US" w:eastAsia="en-US" w:bidi="ar-SA"/>
              </w:rPr>
            </w:pPr>
          </w:p>
        </w:tc>
      </w:tr>
      <w:tr w14:paraId="74BC2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C55AFC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87DB23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6FD7E64D">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F3BAA4E">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540028B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1E5CE0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E151D2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7D1FC0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7DDEDC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C843BA3">
            <w:pPr>
              <w:widowControl w:val="0"/>
              <w:spacing w:line="225" w:lineRule="exact"/>
              <w:jc w:val="both"/>
              <w:rPr>
                <w:rFonts w:hint="eastAsia" w:ascii="宋体" w:hAnsi="宋体" w:eastAsia="宋体" w:cs="宋体"/>
                <w:kern w:val="2"/>
                <w:sz w:val="19"/>
                <w:szCs w:val="21"/>
                <w:lang w:val="en-US" w:eastAsia="en-US" w:bidi="ar-SA"/>
              </w:rPr>
            </w:pPr>
          </w:p>
        </w:tc>
      </w:tr>
      <w:tr w14:paraId="6A995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E3582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F5FE47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644017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8BC1AF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7E3982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63C069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D76EC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9DB6CA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B80327A">
            <w:pPr>
              <w:widowControl w:val="0"/>
              <w:spacing w:line="225" w:lineRule="exact"/>
              <w:jc w:val="both"/>
              <w:rPr>
                <w:rFonts w:hint="eastAsia" w:ascii="宋体" w:hAnsi="宋体" w:eastAsia="宋体" w:cs="宋体"/>
                <w:kern w:val="2"/>
                <w:sz w:val="19"/>
                <w:szCs w:val="21"/>
                <w:lang w:val="en-US" w:eastAsia="en-US" w:bidi="ar-SA"/>
              </w:rPr>
            </w:pPr>
          </w:p>
        </w:tc>
      </w:tr>
      <w:tr w14:paraId="478DA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0DA26E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02ADC87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6A006F9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7AE6FBD">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58D7B7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C9BC9D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080439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56B3BA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9855F5C">
            <w:pPr>
              <w:widowControl w:val="0"/>
              <w:spacing w:line="225" w:lineRule="exact"/>
              <w:jc w:val="both"/>
              <w:rPr>
                <w:rFonts w:hint="eastAsia" w:ascii="宋体" w:hAnsi="宋体" w:eastAsia="宋体" w:cs="宋体"/>
                <w:kern w:val="2"/>
                <w:sz w:val="19"/>
                <w:szCs w:val="21"/>
                <w:lang w:val="en-US" w:eastAsia="en-US" w:bidi="ar-SA"/>
              </w:rPr>
            </w:pPr>
          </w:p>
        </w:tc>
      </w:tr>
      <w:tr w14:paraId="7E560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06C9753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411A91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AD53BEF">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09517E23">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A4E155A">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15C050B">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709E24D">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51A3BF48">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A14505">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5BEBBBB">
            <w:pPr>
              <w:widowControl w:val="0"/>
              <w:spacing w:line="224" w:lineRule="exact"/>
              <w:jc w:val="both"/>
              <w:rPr>
                <w:rFonts w:hint="eastAsia" w:ascii="宋体" w:hAnsi="宋体" w:eastAsia="宋体" w:cs="宋体"/>
                <w:kern w:val="2"/>
                <w:sz w:val="19"/>
                <w:szCs w:val="21"/>
                <w:lang w:val="en-US" w:eastAsia="en-US" w:bidi="ar-SA"/>
              </w:rPr>
            </w:pPr>
          </w:p>
        </w:tc>
      </w:tr>
      <w:tr w14:paraId="29B7D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19A536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BA2D2E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6C7A8AC3">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B9B23A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1944EB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CC753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A592A4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4609BC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6FC9DE3">
            <w:pPr>
              <w:widowControl w:val="0"/>
              <w:spacing w:line="225" w:lineRule="exact"/>
              <w:jc w:val="both"/>
              <w:rPr>
                <w:rFonts w:hint="eastAsia" w:ascii="宋体" w:hAnsi="宋体" w:eastAsia="宋体" w:cs="宋体"/>
                <w:kern w:val="2"/>
                <w:sz w:val="19"/>
                <w:szCs w:val="21"/>
                <w:lang w:val="en-US" w:eastAsia="en-US" w:bidi="ar-SA"/>
              </w:rPr>
            </w:pPr>
          </w:p>
        </w:tc>
      </w:tr>
      <w:tr w14:paraId="4BDDA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762EB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CFAFB3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2B4904C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4CDE2E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3FFA6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E47532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4E09B3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DDD6A3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C498C98">
            <w:pPr>
              <w:widowControl w:val="0"/>
              <w:spacing w:line="225" w:lineRule="exact"/>
              <w:jc w:val="both"/>
              <w:rPr>
                <w:rFonts w:hint="eastAsia" w:ascii="宋体" w:hAnsi="宋体" w:eastAsia="宋体" w:cs="宋体"/>
                <w:kern w:val="2"/>
                <w:sz w:val="19"/>
                <w:szCs w:val="21"/>
                <w:lang w:val="en-US" w:eastAsia="en-US" w:bidi="ar-SA"/>
              </w:rPr>
            </w:pPr>
          </w:p>
        </w:tc>
      </w:tr>
      <w:tr w14:paraId="6CA3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A477D0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CA1A59F">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59EA2522">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2B6132D">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51073B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E3D506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70865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9E0298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212534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7C4BB49">
            <w:pPr>
              <w:widowControl w:val="0"/>
              <w:spacing w:line="225" w:lineRule="exact"/>
              <w:jc w:val="both"/>
              <w:rPr>
                <w:rFonts w:hint="eastAsia" w:ascii="宋体" w:hAnsi="宋体" w:eastAsia="宋体" w:cs="宋体"/>
                <w:kern w:val="2"/>
                <w:sz w:val="19"/>
                <w:szCs w:val="21"/>
                <w:lang w:val="en-US" w:eastAsia="en-US" w:bidi="ar-SA"/>
              </w:rPr>
            </w:pPr>
          </w:p>
        </w:tc>
      </w:tr>
      <w:tr w14:paraId="16079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414559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626828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1EB36C0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27524E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87D7DA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740DC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A89A22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B40FB2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29E4E91">
            <w:pPr>
              <w:widowControl w:val="0"/>
              <w:spacing w:line="225" w:lineRule="exact"/>
              <w:jc w:val="both"/>
              <w:rPr>
                <w:rFonts w:hint="eastAsia" w:ascii="宋体" w:hAnsi="宋体" w:eastAsia="宋体" w:cs="宋体"/>
                <w:kern w:val="2"/>
                <w:sz w:val="19"/>
                <w:szCs w:val="21"/>
                <w:lang w:val="en-US" w:eastAsia="en-US" w:bidi="ar-SA"/>
              </w:rPr>
            </w:pPr>
          </w:p>
        </w:tc>
      </w:tr>
      <w:tr w14:paraId="78453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C9FD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226D6E0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539C549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9E268F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3811D6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0DB2E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4D2221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D8684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F1B8703">
            <w:pPr>
              <w:widowControl w:val="0"/>
              <w:spacing w:line="225" w:lineRule="exact"/>
              <w:jc w:val="both"/>
              <w:rPr>
                <w:rFonts w:hint="eastAsia" w:ascii="宋体" w:hAnsi="宋体" w:eastAsia="宋体" w:cs="宋体"/>
                <w:kern w:val="2"/>
                <w:sz w:val="19"/>
                <w:szCs w:val="21"/>
                <w:lang w:val="en-US" w:eastAsia="en-US" w:bidi="ar-SA"/>
              </w:rPr>
            </w:pPr>
          </w:p>
        </w:tc>
      </w:tr>
      <w:tr w14:paraId="61A6C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80BC985">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5A51027D">
            <w:pPr>
              <w:widowControl w:val="0"/>
              <w:spacing w:line="315" w:lineRule="auto"/>
              <w:jc w:val="both"/>
              <w:rPr>
                <w:rFonts w:hint="eastAsia" w:ascii="宋体" w:hAnsi="宋体" w:eastAsia="宋体" w:cs="宋体"/>
                <w:kern w:val="2"/>
                <w:sz w:val="21"/>
                <w:szCs w:val="21"/>
                <w:lang w:val="en-US" w:eastAsia="en-US" w:bidi="ar-SA"/>
              </w:rPr>
            </w:pPr>
          </w:p>
          <w:p w14:paraId="62F6902E">
            <w:pPr>
              <w:widowControl w:val="0"/>
              <w:spacing w:line="315" w:lineRule="auto"/>
              <w:jc w:val="both"/>
              <w:rPr>
                <w:rFonts w:hint="eastAsia" w:ascii="宋体" w:hAnsi="宋体" w:eastAsia="宋体" w:cs="宋体"/>
                <w:kern w:val="2"/>
                <w:sz w:val="21"/>
                <w:szCs w:val="21"/>
                <w:lang w:val="en-US" w:eastAsia="en-US" w:bidi="ar-SA"/>
              </w:rPr>
            </w:pPr>
          </w:p>
          <w:p w14:paraId="141BA632">
            <w:pPr>
              <w:widowControl w:val="0"/>
              <w:spacing w:line="315" w:lineRule="auto"/>
              <w:jc w:val="both"/>
              <w:rPr>
                <w:rFonts w:hint="eastAsia" w:ascii="宋体" w:hAnsi="宋体" w:eastAsia="宋体" w:cs="宋体"/>
                <w:kern w:val="2"/>
                <w:sz w:val="21"/>
                <w:szCs w:val="21"/>
                <w:lang w:val="en-US" w:eastAsia="en-US" w:bidi="ar-SA"/>
              </w:rPr>
            </w:pPr>
          </w:p>
          <w:p w14:paraId="6A7E761F">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A474A6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363846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D68768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6CB583">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0B39836">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468CF79">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F9BD7B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72C46A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440AC2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6743E1B">
            <w:pPr>
              <w:widowControl w:val="0"/>
              <w:spacing w:line="225" w:lineRule="exact"/>
              <w:jc w:val="both"/>
              <w:rPr>
                <w:rFonts w:hint="eastAsia" w:ascii="宋体" w:hAnsi="宋体" w:eastAsia="宋体" w:cs="宋体"/>
                <w:kern w:val="2"/>
                <w:sz w:val="19"/>
                <w:szCs w:val="21"/>
                <w:lang w:val="en-US" w:eastAsia="en-US" w:bidi="ar-SA"/>
              </w:rPr>
            </w:pPr>
          </w:p>
        </w:tc>
      </w:tr>
      <w:tr w14:paraId="19EB2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B1CA3F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81A03B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17874E17">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860168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AEEE3E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427237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800D0E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D67300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5581A93">
            <w:pPr>
              <w:widowControl w:val="0"/>
              <w:spacing w:line="225" w:lineRule="exact"/>
              <w:jc w:val="both"/>
              <w:rPr>
                <w:rFonts w:hint="eastAsia" w:ascii="宋体" w:hAnsi="宋体" w:eastAsia="宋体" w:cs="宋体"/>
                <w:kern w:val="2"/>
                <w:sz w:val="19"/>
                <w:szCs w:val="21"/>
                <w:lang w:val="en-US" w:eastAsia="en-US" w:bidi="ar-SA"/>
              </w:rPr>
            </w:pPr>
          </w:p>
        </w:tc>
      </w:tr>
      <w:tr w14:paraId="25FA8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8DD30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BE8986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08F49E9B">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4DC4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B8D09B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1748B1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FB7F63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6754C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2FB431A">
            <w:pPr>
              <w:widowControl w:val="0"/>
              <w:spacing w:line="225" w:lineRule="exact"/>
              <w:jc w:val="both"/>
              <w:rPr>
                <w:rFonts w:hint="eastAsia" w:ascii="宋体" w:hAnsi="宋体" w:eastAsia="宋体" w:cs="宋体"/>
                <w:kern w:val="2"/>
                <w:sz w:val="19"/>
                <w:szCs w:val="21"/>
                <w:lang w:val="en-US" w:eastAsia="en-US" w:bidi="ar-SA"/>
              </w:rPr>
            </w:pPr>
          </w:p>
        </w:tc>
      </w:tr>
      <w:tr w14:paraId="37D66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99DB8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C9569B7">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0C4D74DA">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2BB902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FE8599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5FEA33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884876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2DB8FD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5E7401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A77260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5182140">
            <w:pPr>
              <w:widowControl w:val="0"/>
              <w:spacing w:line="225" w:lineRule="exact"/>
              <w:jc w:val="both"/>
              <w:rPr>
                <w:rFonts w:hint="eastAsia" w:ascii="宋体" w:hAnsi="宋体" w:eastAsia="宋体" w:cs="宋体"/>
                <w:kern w:val="2"/>
                <w:sz w:val="19"/>
                <w:szCs w:val="21"/>
                <w:lang w:val="en-US" w:eastAsia="en-US" w:bidi="ar-SA"/>
              </w:rPr>
            </w:pPr>
          </w:p>
        </w:tc>
      </w:tr>
      <w:tr w14:paraId="484F2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3A106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8BEA64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406348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87B480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B0C669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97F327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22B2A4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DA866F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43D49FE">
            <w:pPr>
              <w:widowControl w:val="0"/>
              <w:spacing w:line="225" w:lineRule="exact"/>
              <w:jc w:val="both"/>
              <w:rPr>
                <w:rFonts w:hint="eastAsia" w:ascii="宋体" w:hAnsi="宋体" w:eastAsia="宋体" w:cs="宋体"/>
                <w:kern w:val="2"/>
                <w:sz w:val="19"/>
                <w:szCs w:val="21"/>
                <w:lang w:val="en-US" w:eastAsia="en-US" w:bidi="ar-SA"/>
              </w:rPr>
            </w:pPr>
          </w:p>
        </w:tc>
      </w:tr>
      <w:tr w14:paraId="412C8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DFB60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C723D4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2E6F46F">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8042FC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01FD0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9E5B64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8F0776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366E42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A0C4E92">
            <w:pPr>
              <w:widowControl w:val="0"/>
              <w:spacing w:line="225" w:lineRule="exact"/>
              <w:jc w:val="both"/>
              <w:rPr>
                <w:rFonts w:hint="eastAsia" w:ascii="宋体" w:hAnsi="宋体" w:eastAsia="宋体" w:cs="宋体"/>
                <w:kern w:val="2"/>
                <w:sz w:val="19"/>
                <w:szCs w:val="21"/>
                <w:lang w:val="en-US" w:eastAsia="en-US" w:bidi="ar-SA"/>
              </w:rPr>
            </w:pPr>
          </w:p>
        </w:tc>
      </w:tr>
      <w:tr w14:paraId="6478C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33B2D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0FA8E4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1AE99E9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9BA72A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7A6915B">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8850C6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7068F3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2DFC51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87FA42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E943EF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CF812C5">
            <w:pPr>
              <w:widowControl w:val="0"/>
              <w:spacing w:line="225" w:lineRule="exact"/>
              <w:jc w:val="both"/>
              <w:rPr>
                <w:rFonts w:hint="eastAsia" w:ascii="宋体" w:hAnsi="宋体" w:eastAsia="宋体" w:cs="宋体"/>
                <w:kern w:val="2"/>
                <w:sz w:val="19"/>
                <w:szCs w:val="21"/>
                <w:lang w:val="en-US" w:eastAsia="en-US" w:bidi="ar-SA"/>
              </w:rPr>
            </w:pPr>
          </w:p>
        </w:tc>
      </w:tr>
      <w:tr w14:paraId="6F115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82655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636718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5E179F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55E738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6412FE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E6645E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F5DFF3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A8D66B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8985FEC">
            <w:pPr>
              <w:widowControl w:val="0"/>
              <w:spacing w:line="225" w:lineRule="exact"/>
              <w:jc w:val="both"/>
              <w:rPr>
                <w:rFonts w:hint="eastAsia" w:ascii="宋体" w:hAnsi="宋体" w:eastAsia="宋体" w:cs="宋体"/>
                <w:kern w:val="2"/>
                <w:sz w:val="19"/>
                <w:szCs w:val="21"/>
                <w:lang w:val="en-US" w:eastAsia="en-US" w:bidi="ar-SA"/>
              </w:rPr>
            </w:pPr>
          </w:p>
        </w:tc>
      </w:tr>
      <w:tr w14:paraId="19D7C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4DB6DB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653D23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F748DE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04748A3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E8376F1">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791DF9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BF2E51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E3B519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D79371D">
            <w:pPr>
              <w:widowControl w:val="0"/>
              <w:spacing w:line="225" w:lineRule="exact"/>
              <w:jc w:val="both"/>
              <w:rPr>
                <w:rFonts w:hint="eastAsia" w:ascii="宋体" w:hAnsi="宋体" w:eastAsia="宋体" w:cs="宋体"/>
                <w:kern w:val="2"/>
                <w:sz w:val="19"/>
                <w:szCs w:val="21"/>
                <w:lang w:val="en-US" w:eastAsia="en-US" w:bidi="ar-SA"/>
              </w:rPr>
            </w:pPr>
          </w:p>
        </w:tc>
      </w:tr>
      <w:tr w14:paraId="1DD69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BC4CFE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AD5C6E4">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18AF2362">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1F821ACA">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DFE2E0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034CF4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FC8B4A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52309B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699B4ED">
            <w:pPr>
              <w:widowControl w:val="0"/>
              <w:spacing w:line="225" w:lineRule="exact"/>
              <w:jc w:val="both"/>
              <w:rPr>
                <w:rFonts w:hint="eastAsia" w:ascii="宋体" w:hAnsi="宋体" w:eastAsia="宋体" w:cs="宋体"/>
                <w:kern w:val="2"/>
                <w:sz w:val="19"/>
                <w:szCs w:val="21"/>
                <w:lang w:val="en-US" w:eastAsia="en-US" w:bidi="ar-SA"/>
              </w:rPr>
            </w:pPr>
          </w:p>
        </w:tc>
      </w:tr>
      <w:tr w14:paraId="5B01C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9243B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2CD098E4">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1B3D4608">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5C26867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E1B1EE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7EEB5D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6CE53B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7D3A43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98ECA13">
            <w:pPr>
              <w:widowControl w:val="0"/>
              <w:spacing w:line="225" w:lineRule="exact"/>
              <w:jc w:val="both"/>
              <w:rPr>
                <w:rFonts w:hint="eastAsia" w:ascii="宋体" w:hAnsi="宋体" w:eastAsia="宋体" w:cs="宋体"/>
                <w:kern w:val="2"/>
                <w:sz w:val="19"/>
                <w:szCs w:val="21"/>
                <w:lang w:val="en-US" w:eastAsia="en-US" w:bidi="ar-SA"/>
              </w:rPr>
            </w:pPr>
          </w:p>
        </w:tc>
      </w:tr>
      <w:tr w14:paraId="0235E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9309F1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0C15EDB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3E293CC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DB8AB69">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08AC760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072AD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E6DAE4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25AFEE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BB4C994">
            <w:pPr>
              <w:widowControl w:val="0"/>
              <w:spacing w:line="225" w:lineRule="exact"/>
              <w:jc w:val="both"/>
              <w:rPr>
                <w:rFonts w:hint="eastAsia" w:ascii="宋体" w:hAnsi="宋体" w:eastAsia="宋体" w:cs="宋体"/>
                <w:kern w:val="2"/>
                <w:sz w:val="19"/>
                <w:szCs w:val="21"/>
                <w:lang w:val="en-US" w:eastAsia="en-US" w:bidi="ar-SA"/>
              </w:rPr>
            </w:pPr>
          </w:p>
        </w:tc>
      </w:tr>
      <w:tr w14:paraId="1ACB9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59C4A3">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1C9E2676">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383DD8E">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5941EED">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17FFCCB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8D200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38FB67D">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064696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CBAA74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FF6D12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4103E1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3624B3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841098E">
            <w:pPr>
              <w:widowControl w:val="0"/>
              <w:spacing w:line="225" w:lineRule="exact"/>
              <w:jc w:val="both"/>
              <w:rPr>
                <w:rFonts w:hint="eastAsia" w:ascii="宋体" w:hAnsi="宋体" w:eastAsia="宋体" w:cs="宋体"/>
                <w:kern w:val="2"/>
                <w:sz w:val="19"/>
                <w:szCs w:val="21"/>
                <w:lang w:val="en-US" w:eastAsia="en-US" w:bidi="ar-SA"/>
              </w:rPr>
            </w:pPr>
          </w:p>
        </w:tc>
      </w:tr>
      <w:tr w14:paraId="0C855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919A2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1203325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1DE26D3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013658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02F8A8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0F5F3D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92F089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80EE30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292D3A4">
            <w:pPr>
              <w:widowControl w:val="0"/>
              <w:spacing w:line="225" w:lineRule="exact"/>
              <w:jc w:val="both"/>
              <w:rPr>
                <w:rFonts w:hint="eastAsia" w:ascii="宋体" w:hAnsi="宋体" w:eastAsia="宋体" w:cs="宋体"/>
                <w:kern w:val="2"/>
                <w:sz w:val="19"/>
                <w:szCs w:val="21"/>
                <w:lang w:val="en-US" w:eastAsia="en-US" w:bidi="ar-SA"/>
              </w:rPr>
            </w:pPr>
          </w:p>
        </w:tc>
      </w:tr>
      <w:tr w14:paraId="7D5E0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5841EB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6036111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0AE5A28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6722A9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6D897DD">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B44AE2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110A976">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F1FFD74">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961AB28">
            <w:pPr>
              <w:widowControl w:val="0"/>
              <w:jc w:val="both"/>
              <w:rPr>
                <w:rFonts w:hint="eastAsia" w:ascii="宋体" w:hAnsi="宋体" w:eastAsia="宋体" w:cs="宋体"/>
                <w:kern w:val="2"/>
                <w:sz w:val="21"/>
                <w:szCs w:val="21"/>
                <w:lang w:val="en-US" w:eastAsia="en-US" w:bidi="ar-SA"/>
              </w:rPr>
            </w:pPr>
          </w:p>
        </w:tc>
      </w:tr>
      <w:tr w14:paraId="6533D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E1AE716">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8A61B4E">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3CF811C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FA001FC">
            <w:pPr>
              <w:widowControl w:val="0"/>
              <w:jc w:val="center"/>
              <w:rPr>
                <w:rFonts w:hint="eastAsia" w:ascii="宋体" w:hAnsi="宋体" w:eastAsia="宋体" w:cs="宋体"/>
                <w:kern w:val="2"/>
                <w:sz w:val="21"/>
                <w:szCs w:val="21"/>
                <w:lang w:val="en-US" w:eastAsia="en-US" w:bidi="ar-SA"/>
              </w:rPr>
            </w:pPr>
          </w:p>
        </w:tc>
      </w:tr>
    </w:tbl>
    <w:p w14:paraId="5159BF05">
      <w:pPr>
        <w:spacing w:line="217" w:lineRule="auto"/>
        <w:rPr>
          <w:rFonts w:ascii="Calibri" w:hAnsi="Calibri" w:eastAsia="宋体" w:cs="Times New Roman"/>
          <w:sz w:val="22"/>
          <w:szCs w:val="22"/>
        </w:rPr>
      </w:pPr>
    </w:p>
    <w:p w14:paraId="1DCE159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p>
    <w:p w14:paraId="566B100F">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40A4082">
      <w:pPr>
        <w:spacing w:line="283" w:lineRule="auto"/>
        <w:rPr>
          <w:rFonts w:ascii="Arial"/>
        </w:rPr>
      </w:pPr>
    </w:p>
    <w:p w14:paraId="5EC508C4">
      <w:pPr>
        <w:spacing w:line="700" w:lineRule="exact"/>
        <w:jc w:val="center"/>
        <w:rPr>
          <w:rFonts w:ascii="方正小标宋简体" w:hAnsi="方正小标宋简体" w:eastAsia="方正小标宋简体" w:cs="方正小标宋简体"/>
          <w:color w:val="000000" w:themeColor="text1"/>
          <w:spacing w:val="2"/>
          <w:sz w:val="44"/>
          <w:szCs w:val="44"/>
        </w:rPr>
      </w:pPr>
      <w:r>
        <w:rPr>
          <w:rFonts w:ascii="方正小标宋简体" w:hAnsi="方正小标宋简体" w:eastAsia="方正小标宋简体" w:cs="方正小标宋简体"/>
          <w:color w:val="000000" w:themeColor="text1"/>
          <w:spacing w:val="2"/>
          <w:sz w:val="44"/>
          <w:szCs w:val="44"/>
        </w:rPr>
        <w:t>202</w:t>
      </w:r>
      <w:r>
        <w:rPr>
          <w:rFonts w:hint="eastAsia" w:ascii="方正小标宋简体" w:hAnsi="方正小标宋简体" w:eastAsia="方正小标宋简体" w:cs="方正小标宋简体"/>
          <w:color w:val="000000" w:themeColor="text1"/>
          <w:spacing w:val="2"/>
          <w:sz w:val="44"/>
          <w:szCs w:val="44"/>
        </w:rPr>
        <w:t>4</w:t>
      </w:r>
      <w:r>
        <w:rPr>
          <w:rFonts w:ascii="方正小标宋简体" w:hAnsi="方正小标宋简体" w:eastAsia="方正小标宋简体" w:cs="方正小标宋简体"/>
          <w:color w:val="000000" w:themeColor="text1"/>
          <w:spacing w:val="2"/>
          <w:sz w:val="44"/>
          <w:szCs w:val="44"/>
        </w:rPr>
        <w:t>年度</w:t>
      </w:r>
    </w:p>
    <w:p w14:paraId="2E83D340">
      <w:pPr>
        <w:spacing w:line="700" w:lineRule="exact"/>
        <w:jc w:val="center"/>
        <w:rPr>
          <w:rFonts w:hint="eastAsia" w:ascii="方正小标宋简体" w:hAnsi="方正小标宋简体" w:eastAsia="方正小标宋简体" w:cs="方正小标宋简体"/>
          <w:b w:val="0"/>
          <w:bCs w:val="0"/>
          <w:color w:val="000000"/>
          <w:spacing w:val="2"/>
          <w:sz w:val="44"/>
          <w:szCs w:val="44"/>
          <w:lang w:val="en-US" w:eastAsia="zh-CN"/>
        </w:rPr>
      </w:pPr>
      <w:r>
        <w:rPr>
          <w:rFonts w:hint="eastAsia" w:ascii="方正小标宋简体" w:hAnsi="方正小标宋简体" w:eastAsia="方正小标宋简体" w:cs="方正小标宋简体"/>
          <w:color w:val="000000" w:themeColor="text1"/>
          <w:spacing w:val="2"/>
          <w:sz w:val="44"/>
          <w:szCs w:val="44"/>
          <w:lang w:val="en-US" w:eastAsia="zh-CN"/>
        </w:rPr>
        <w:t>岳阳市</w:t>
      </w:r>
      <w:r>
        <w:rPr>
          <w:rFonts w:hint="eastAsia" w:ascii="方正小标宋简体" w:hAnsi="方正小标宋简体" w:eastAsia="方正小标宋简体" w:cs="方正小标宋简体"/>
          <w:b w:val="0"/>
          <w:bCs w:val="0"/>
          <w:color w:val="000000"/>
          <w:spacing w:val="2"/>
          <w:sz w:val="44"/>
          <w:szCs w:val="44"/>
          <w:lang w:val="en-US" w:eastAsia="zh-CN"/>
        </w:rPr>
        <w:t>岳阳楼区农产品综合检验检测中心</w:t>
      </w:r>
    </w:p>
    <w:p w14:paraId="4A9FCD26">
      <w:pPr>
        <w:spacing w:line="700" w:lineRule="exact"/>
        <w:jc w:val="center"/>
        <w:rPr>
          <w:rFonts w:ascii="方正小标宋简体" w:hAnsi="方正小标宋简体" w:eastAsia="方正小标宋简体" w:cs="方正小标宋简体"/>
          <w:color w:val="000000" w:themeColor="text1"/>
          <w:spacing w:val="2"/>
          <w:sz w:val="44"/>
          <w:szCs w:val="44"/>
        </w:rPr>
      </w:pPr>
      <w:r>
        <w:rPr>
          <w:rFonts w:ascii="方正小标宋简体" w:hAnsi="方正小标宋简体" w:eastAsia="方正小标宋简体" w:cs="方正小标宋简体"/>
          <w:color w:val="000000" w:themeColor="text1"/>
          <w:spacing w:val="2"/>
          <w:sz w:val="44"/>
          <w:szCs w:val="44"/>
        </w:rPr>
        <w:t>整体支出绩效自评报告</w:t>
      </w:r>
    </w:p>
    <w:p w14:paraId="68554C22">
      <w:pPr>
        <w:jc w:val="left"/>
        <w:rPr>
          <w:rFonts w:ascii="仿宋" w:hAnsi="仿宋" w:eastAsia="仿宋" w:cs="仿宋"/>
          <w:color w:val="000000" w:themeColor="text1"/>
          <w:sz w:val="22"/>
          <w:szCs w:val="22"/>
        </w:rPr>
      </w:pPr>
    </w:p>
    <w:p w14:paraId="31820A36">
      <w:pPr>
        <w:jc w:val="left"/>
        <w:rPr>
          <w:rFonts w:ascii="仿宋" w:hAnsi="仿宋" w:eastAsia="仿宋" w:cs="仿宋"/>
          <w:color w:val="000000" w:themeColor="text1"/>
          <w:sz w:val="22"/>
          <w:szCs w:val="22"/>
        </w:rPr>
      </w:pPr>
    </w:p>
    <w:p w14:paraId="3156CC70">
      <w:pPr>
        <w:jc w:val="left"/>
        <w:rPr>
          <w:rFonts w:ascii="仿宋" w:hAnsi="仿宋" w:eastAsia="仿宋" w:cs="仿宋"/>
          <w:color w:val="000000" w:themeColor="text1"/>
          <w:sz w:val="22"/>
          <w:szCs w:val="22"/>
        </w:rPr>
      </w:pPr>
    </w:p>
    <w:p w14:paraId="73BCFBE4">
      <w:pPr>
        <w:jc w:val="left"/>
        <w:rPr>
          <w:rFonts w:ascii="仿宋" w:hAnsi="仿宋" w:eastAsia="仿宋" w:cs="仿宋"/>
          <w:color w:val="000000" w:themeColor="text1"/>
          <w:sz w:val="22"/>
          <w:szCs w:val="22"/>
        </w:rPr>
      </w:pPr>
    </w:p>
    <w:p w14:paraId="3A820329">
      <w:pPr>
        <w:jc w:val="left"/>
        <w:rPr>
          <w:rFonts w:ascii="仿宋" w:hAnsi="仿宋" w:eastAsia="仿宋" w:cs="仿宋"/>
          <w:color w:val="000000" w:themeColor="text1"/>
          <w:sz w:val="22"/>
          <w:szCs w:val="22"/>
        </w:rPr>
      </w:pPr>
    </w:p>
    <w:p w14:paraId="6F58C376">
      <w:pPr>
        <w:jc w:val="left"/>
        <w:rPr>
          <w:rFonts w:ascii="仿宋" w:hAnsi="仿宋" w:eastAsia="仿宋" w:cs="仿宋"/>
          <w:color w:val="000000" w:themeColor="text1"/>
          <w:sz w:val="22"/>
          <w:szCs w:val="22"/>
        </w:rPr>
      </w:pPr>
    </w:p>
    <w:p w14:paraId="1AEC1D52">
      <w:pPr>
        <w:jc w:val="left"/>
        <w:rPr>
          <w:rFonts w:ascii="仿宋" w:hAnsi="仿宋" w:eastAsia="仿宋" w:cs="仿宋"/>
          <w:color w:val="000000" w:themeColor="text1"/>
          <w:sz w:val="22"/>
          <w:szCs w:val="22"/>
        </w:rPr>
      </w:pPr>
    </w:p>
    <w:p w14:paraId="3ED420AB">
      <w:pPr>
        <w:jc w:val="left"/>
        <w:rPr>
          <w:rFonts w:ascii="仿宋" w:hAnsi="仿宋" w:eastAsia="仿宋" w:cs="仿宋"/>
          <w:color w:val="000000" w:themeColor="text1"/>
          <w:sz w:val="22"/>
          <w:szCs w:val="22"/>
        </w:rPr>
      </w:pPr>
    </w:p>
    <w:p w14:paraId="26F960F9">
      <w:pPr>
        <w:jc w:val="left"/>
        <w:rPr>
          <w:rFonts w:ascii="仿宋" w:hAnsi="仿宋" w:eastAsia="仿宋" w:cs="仿宋"/>
          <w:color w:val="000000" w:themeColor="text1"/>
          <w:sz w:val="22"/>
          <w:szCs w:val="22"/>
        </w:rPr>
      </w:pPr>
    </w:p>
    <w:p w14:paraId="60964AD0">
      <w:pPr>
        <w:jc w:val="left"/>
        <w:rPr>
          <w:rFonts w:ascii="仿宋" w:hAnsi="仿宋" w:eastAsia="仿宋" w:cs="仿宋"/>
          <w:color w:val="000000" w:themeColor="text1"/>
          <w:sz w:val="22"/>
          <w:szCs w:val="22"/>
        </w:rPr>
      </w:pPr>
    </w:p>
    <w:p w14:paraId="0E1C6C84">
      <w:pPr>
        <w:jc w:val="left"/>
        <w:rPr>
          <w:rFonts w:ascii="仿宋" w:hAnsi="仿宋" w:eastAsia="仿宋" w:cs="仿宋"/>
          <w:color w:val="000000" w:themeColor="text1"/>
          <w:sz w:val="22"/>
          <w:szCs w:val="22"/>
        </w:rPr>
      </w:pPr>
    </w:p>
    <w:p w14:paraId="6686F4D0">
      <w:pPr>
        <w:jc w:val="left"/>
        <w:rPr>
          <w:rFonts w:ascii="仿宋" w:hAnsi="仿宋" w:eastAsia="仿宋" w:cs="仿宋"/>
          <w:color w:val="000000" w:themeColor="text1"/>
          <w:sz w:val="22"/>
          <w:szCs w:val="22"/>
        </w:rPr>
      </w:pPr>
    </w:p>
    <w:p w14:paraId="5193A663">
      <w:pPr>
        <w:jc w:val="left"/>
        <w:rPr>
          <w:rFonts w:ascii="仿宋" w:hAnsi="仿宋" w:eastAsia="仿宋" w:cs="仿宋"/>
          <w:color w:val="000000" w:themeColor="text1"/>
          <w:sz w:val="22"/>
          <w:szCs w:val="22"/>
        </w:rPr>
      </w:pPr>
    </w:p>
    <w:p w14:paraId="10232B05">
      <w:pPr>
        <w:jc w:val="left"/>
        <w:rPr>
          <w:rFonts w:ascii="仿宋" w:hAnsi="仿宋" w:eastAsia="仿宋" w:cs="仿宋"/>
          <w:color w:val="000000" w:themeColor="text1"/>
          <w:sz w:val="22"/>
          <w:szCs w:val="22"/>
        </w:rPr>
      </w:pPr>
    </w:p>
    <w:p w14:paraId="09688979">
      <w:pPr>
        <w:jc w:val="center"/>
        <w:rPr>
          <w:rFonts w:ascii="楷体_GB2312" w:hAnsi="楷体_GB2312" w:eastAsia="楷体_GB2312" w:cs="楷体_GB2312"/>
          <w:color w:val="000000" w:themeColor="text1"/>
          <w:sz w:val="36"/>
          <w:szCs w:val="36"/>
        </w:rPr>
      </w:pPr>
    </w:p>
    <w:p w14:paraId="63EEE8E9">
      <w:pPr>
        <w:jc w:val="center"/>
        <w:rPr>
          <w:rFonts w:ascii="楷体_GB2312" w:hAnsi="楷体_GB2312" w:eastAsia="楷体_GB2312" w:cs="楷体_GB2312"/>
          <w:color w:val="000000" w:themeColor="text1"/>
          <w:sz w:val="36"/>
          <w:szCs w:val="36"/>
        </w:rPr>
      </w:pPr>
    </w:p>
    <w:p w14:paraId="37DA2586">
      <w:pPr>
        <w:jc w:val="center"/>
        <w:rPr>
          <w:rFonts w:ascii="楷体_GB2312" w:hAnsi="楷体_GB2312" w:eastAsia="楷体_GB2312" w:cs="楷体_GB2312"/>
          <w:color w:val="000000" w:themeColor="text1"/>
          <w:sz w:val="36"/>
          <w:szCs w:val="36"/>
        </w:rPr>
      </w:pPr>
    </w:p>
    <w:p w14:paraId="5A886E8D">
      <w:pPr>
        <w:jc w:val="center"/>
        <w:rPr>
          <w:rFonts w:ascii="楷体_GB2312" w:hAnsi="楷体_GB2312" w:eastAsia="楷体_GB2312" w:cs="楷体_GB2312"/>
          <w:color w:val="000000" w:themeColor="text1"/>
          <w:sz w:val="36"/>
          <w:szCs w:val="36"/>
        </w:rPr>
      </w:pPr>
    </w:p>
    <w:p w14:paraId="5FDE7BE8">
      <w:pPr>
        <w:jc w:val="center"/>
        <w:rPr>
          <w:rFonts w:ascii="楷体_GB2312" w:hAnsi="楷体_GB2312" w:eastAsia="楷体_GB2312" w:cs="楷体_GB2312"/>
          <w:color w:val="000000" w:themeColor="text1"/>
          <w:sz w:val="36"/>
          <w:szCs w:val="36"/>
        </w:rPr>
      </w:pPr>
    </w:p>
    <w:p w14:paraId="7A386D73">
      <w:pPr>
        <w:jc w:val="center"/>
        <w:rPr>
          <w:rFonts w:ascii="楷体_GB2312" w:hAnsi="楷体_GB2312" w:eastAsia="楷体_GB2312" w:cs="楷体_GB2312"/>
          <w:color w:val="000000" w:themeColor="text1"/>
          <w:sz w:val="36"/>
          <w:szCs w:val="36"/>
        </w:rPr>
      </w:pPr>
    </w:p>
    <w:p w14:paraId="61695A8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   ( 盖 章 )</w:t>
      </w:r>
    </w:p>
    <w:p w14:paraId="4828A5A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年  月  日</w:t>
      </w:r>
    </w:p>
    <w:p w14:paraId="42E3F7A7">
      <w:pPr>
        <w:spacing w:line="700" w:lineRule="exact"/>
        <w:jc w:val="both"/>
        <w:rPr>
          <w:rFonts w:ascii="方正小标宋简体" w:hAnsi="方正小标宋简体" w:eastAsia="方正小标宋简体" w:cs="方正小标宋简体"/>
          <w:color w:val="000000" w:themeColor="text1"/>
          <w:sz w:val="44"/>
          <w:szCs w:val="44"/>
        </w:rPr>
      </w:pPr>
    </w:p>
    <w:p w14:paraId="75B9CDF9">
      <w:pPr>
        <w:spacing w:line="700" w:lineRule="exact"/>
        <w:jc w:val="center"/>
        <w:rPr>
          <w:rFonts w:hint="eastAsia"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2024年度</w:t>
      </w:r>
    </w:p>
    <w:p w14:paraId="7C6FDBF6">
      <w:pPr>
        <w:spacing w:line="700" w:lineRule="exact"/>
        <w:jc w:val="center"/>
        <w:rPr>
          <w:rFonts w:hint="eastAsia" w:ascii="方正小标宋简体" w:hAnsi="方正小标宋简体" w:eastAsia="方正小标宋简体" w:cs="方正小标宋简体"/>
          <w:b w:val="0"/>
          <w:bCs w:val="0"/>
          <w:color w:val="000000"/>
          <w:spacing w:val="2"/>
          <w:sz w:val="44"/>
          <w:szCs w:val="44"/>
          <w:lang w:val="en-US" w:eastAsia="zh-CN"/>
        </w:rPr>
      </w:pPr>
      <w:r>
        <w:rPr>
          <w:rFonts w:hint="eastAsia" w:ascii="方正小标宋简体" w:hAnsi="方正小标宋简体" w:eastAsia="方正小标宋简体" w:cs="方正小标宋简体"/>
          <w:color w:val="000000" w:themeColor="text1"/>
          <w:spacing w:val="2"/>
          <w:sz w:val="44"/>
          <w:szCs w:val="44"/>
          <w:lang w:val="en-US" w:eastAsia="zh-CN"/>
        </w:rPr>
        <w:t>岳阳市</w:t>
      </w:r>
      <w:r>
        <w:rPr>
          <w:rFonts w:hint="eastAsia" w:ascii="方正小标宋简体" w:hAnsi="方正小标宋简体" w:eastAsia="方正小标宋简体" w:cs="方正小标宋简体"/>
          <w:b w:val="0"/>
          <w:bCs w:val="0"/>
          <w:color w:val="000000"/>
          <w:spacing w:val="2"/>
          <w:sz w:val="44"/>
          <w:szCs w:val="44"/>
          <w:lang w:val="en-US" w:eastAsia="zh-CN"/>
        </w:rPr>
        <w:t>岳阳楼区农产品综合检验检测中心</w:t>
      </w:r>
    </w:p>
    <w:p w14:paraId="02755EF2">
      <w:pPr>
        <w:spacing w:line="700" w:lineRule="exact"/>
        <w:jc w:val="center"/>
        <w:rPr>
          <w:rFonts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单位整体支出绩效自评报告</w:t>
      </w:r>
    </w:p>
    <w:p w14:paraId="7FEE0E91">
      <w:pPr>
        <w:jc w:val="left"/>
        <w:rPr>
          <w:rFonts w:ascii="仿宋" w:hAnsi="仿宋" w:eastAsia="仿宋" w:cs="仿宋"/>
          <w:color w:val="000000" w:themeColor="text1"/>
          <w:sz w:val="22"/>
          <w:szCs w:val="22"/>
        </w:rPr>
      </w:pPr>
    </w:p>
    <w:p w14:paraId="41B6546D">
      <w:pPr>
        <w:jc w:val="left"/>
        <w:rPr>
          <w:rFonts w:ascii="仿宋" w:hAnsi="仿宋" w:eastAsia="仿宋" w:cs="仿宋"/>
          <w:color w:val="000000" w:themeColor="text1"/>
          <w:sz w:val="22"/>
          <w:szCs w:val="22"/>
        </w:rPr>
      </w:pPr>
    </w:p>
    <w:p w14:paraId="2CB79446">
      <w:pPr>
        <w:jc w:val="left"/>
        <w:rPr>
          <w:rFonts w:ascii="仿宋" w:hAnsi="仿宋" w:eastAsia="仿宋" w:cs="仿宋"/>
          <w:color w:val="000000" w:themeColor="text1"/>
          <w:sz w:val="22"/>
          <w:szCs w:val="22"/>
        </w:rPr>
      </w:pPr>
    </w:p>
    <w:p w14:paraId="1B54EEF4">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一、单位基本情况</w:t>
      </w:r>
    </w:p>
    <w:p w14:paraId="77A6AD50">
      <w:pPr>
        <w:widowControl/>
        <w:spacing w:line="600" w:lineRule="exact"/>
        <w:ind w:firstLine="560" w:firstLineChars="200"/>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（一）职能职责</w:t>
      </w:r>
    </w:p>
    <w:p w14:paraId="5543AF9D">
      <w:pPr>
        <w:keepNext w:val="0"/>
        <w:keepLines w:val="0"/>
        <w:widowControl w:val="0"/>
        <w:suppressLineNumbers w:val="0"/>
        <w:spacing w:before="0" w:beforeAutospacing="0" w:after="2" w:afterAutospacing="0"/>
        <w:ind w:left="0" w:right="0" w:firstLine="641"/>
        <w:jc w:val="both"/>
        <w:rPr>
          <w:rFonts w:hint="eastAsia" w:ascii="宋体" w:hAnsi="宋体" w:eastAsia="宋体" w:cs="宋体"/>
          <w:kern w:val="2"/>
          <w:sz w:val="28"/>
          <w:szCs w:val="28"/>
          <w:lang w:val="en-US" w:eastAsia="zh-CN" w:bidi="ar"/>
        </w:rPr>
      </w:pPr>
      <w:r>
        <w:rPr>
          <w:rFonts w:hint="eastAsia" w:ascii="宋体" w:hAnsi="宋体" w:eastAsia="宋体" w:cs="宋体"/>
          <w:color w:val="000000"/>
          <w:kern w:val="2"/>
          <w:sz w:val="28"/>
          <w:szCs w:val="28"/>
          <w:lang w:val="en-US" w:eastAsia="zh-CN" w:bidi="ar"/>
        </w:rPr>
        <w:t xml:space="preserve">1、主要负责对动物疫病的监测、流行病学调查及动物、动物产品实施法定检疫。 </w:t>
      </w:r>
    </w:p>
    <w:p w14:paraId="2C1A3A50">
      <w:pPr>
        <w:keepNext w:val="0"/>
        <w:keepLines w:val="0"/>
        <w:widowControl w:val="0"/>
        <w:suppressLineNumbers w:val="0"/>
        <w:spacing w:before="0" w:beforeAutospacing="0" w:after="2" w:afterAutospacing="0"/>
        <w:ind w:left="0" w:right="0" w:firstLine="641"/>
        <w:jc w:val="both"/>
        <w:rPr>
          <w:rFonts w:hint="eastAsia" w:ascii="宋体" w:hAnsi="宋体" w:eastAsia="宋体" w:cs="宋体"/>
          <w:kern w:val="2"/>
          <w:sz w:val="28"/>
          <w:szCs w:val="28"/>
          <w:lang w:val="en-US" w:eastAsia="zh-CN" w:bidi="ar"/>
        </w:rPr>
      </w:pPr>
      <w:r>
        <w:rPr>
          <w:rFonts w:hint="eastAsia" w:ascii="宋体" w:hAnsi="宋体" w:eastAsia="宋体" w:cs="宋体"/>
          <w:color w:val="000000"/>
          <w:kern w:val="2"/>
          <w:sz w:val="28"/>
          <w:szCs w:val="28"/>
          <w:lang w:val="en-US" w:eastAsia="zh-CN" w:bidi="ar"/>
        </w:rPr>
        <w:t xml:space="preserve">2、负责屠宰场和养殖场非洲猪瘟病毒实验室监测。 </w:t>
      </w:r>
    </w:p>
    <w:p w14:paraId="02A6E0C9">
      <w:pPr>
        <w:keepNext w:val="0"/>
        <w:keepLines w:val="0"/>
        <w:widowControl w:val="0"/>
        <w:suppressLineNumbers w:val="0"/>
        <w:spacing w:before="0" w:beforeAutospacing="0" w:after="2" w:afterAutospacing="0"/>
        <w:ind w:left="0" w:right="0" w:firstLine="641"/>
        <w:jc w:val="both"/>
        <w:rPr>
          <w:rFonts w:hint="eastAsia" w:ascii="宋体" w:hAnsi="宋体" w:eastAsia="宋体" w:cs="宋体"/>
          <w:kern w:val="2"/>
          <w:sz w:val="28"/>
          <w:szCs w:val="28"/>
          <w:lang w:val="en-US" w:eastAsia="zh-CN" w:bidi="ar"/>
        </w:rPr>
      </w:pPr>
      <w:r>
        <w:rPr>
          <w:rFonts w:hint="eastAsia" w:ascii="宋体" w:hAnsi="宋体" w:eastAsia="宋体" w:cs="宋体"/>
          <w:color w:val="000000"/>
          <w:kern w:val="2"/>
          <w:sz w:val="28"/>
          <w:szCs w:val="28"/>
          <w:lang w:val="en-US" w:eastAsia="zh-CN" w:bidi="ar"/>
        </w:rPr>
        <w:t xml:space="preserve">3、对农产品生产基地监督抽样检测。 </w:t>
      </w:r>
    </w:p>
    <w:p w14:paraId="5836C4AF">
      <w:pPr>
        <w:keepNext w:val="0"/>
        <w:keepLines w:val="0"/>
        <w:widowControl w:val="0"/>
        <w:suppressLineNumbers w:val="0"/>
        <w:spacing w:before="0" w:beforeAutospacing="0" w:after="2" w:afterAutospacing="0"/>
        <w:ind w:left="0" w:right="0" w:firstLine="641"/>
        <w:jc w:val="both"/>
        <w:rPr>
          <w:rFonts w:hint="eastAsia" w:ascii="宋体" w:hAnsi="宋体" w:eastAsia="宋体" w:cs="宋体"/>
          <w:kern w:val="2"/>
          <w:sz w:val="28"/>
          <w:szCs w:val="28"/>
          <w:lang w:val="en-US" w:eastAsia="zh-CN" w:bidi="ar"/>
        </w:rPr>
      </w:pPr>
      <w:r>
        <w:rPr>
          <w:rFonts w:hint="eastAsia" w:ascii="宋体" w:hAnsi="宋体" w:eastAsia="宋体" w:cs="宋体"/>
          <w:color w:val="000000"/>
          <w:kern w:val="2"/>
          <w:sz w:val="28"/>
          <w:szCs w:val="28"/>
          <w:lang w:val="en-US" w:eastAsia="zh-CN" w:bidi="ar"/>
        </w:rPr>
        <w:t xml:space="preserve">4、对染疫动物和动物产品进行无害化处理。 </w:t>
      </w:r>
    </w:p>
    <w:p w14:paraId="29026742">
      <w:pPr>
        <w:keepNext w:val="0"/>
        <w:keepLines w:val="0"/>
        <w:widowControl w:val="0"/>
        <w:suppressLineNumbers w:val="0"/>
        <w:spacing w:before="0" w:beforeAutospacing="0" w:after="2" w:afterAutospacing="0"/>
        <w:ind w:left="0" w:right="0" w:firstLine="641"/>
        <w:jc w:val="both"/>
        <w:rPr>
          <w:rFonts w:hint="eastAsia" w:ascii="宋体" w:hAnsi="宋体" w:eastAsia="宋体" w:cs="宋体"/>
          <w:kern w:val="2"/>
          <w:sz w:val="28"/>
          <w:szCs w:val="28"/>
          <w:lang w:val="en-US" w:eastAsia="zh-CN" w:bidi="ar"/>
        </w:rPr>
      </w:pPr>
      <w:r>
        <w:rPr>
          <w:rFonts w:hint="eastAsia" w:ascii="宋体" w:hAnsi="宋体" w:eastAsia="宋体" w:cs="宋体"/>
          <w:color w:val="000000"/>
          <w:kern w:val="2"/>
          <w:sz w:val="28"/>
          <w:szCs w:val="28"/>
          <w:lang w:val="en-US" w:eastAsia="zh-CN" w:bidi="ar"/>
        </w:rPr>
        <w:t xml:space="preserve">5、从事农作物危险性病、虫、草进行疫情监测。 </w:t>
      </w:r>
    </w:p>
    <w:p w14:paraId="6DFA8F76">
      <w:pPr>
        <w:keepNext w:val="0"/>
        <w:keepLines w:val="0"/>
        <w:widowControl w:val="0"/>
        <w:suppressLineNumbers w:val="0"/>
        <w:spacing w:before="0" w:beforeAutospacing="0" w:after="2" w:afterAutospacing="0"/>
        <w:ind w:left="0" w:right="0" w:firstLine="641"/>
        <w:jc w:val="both"/>
        <w:rPr>
          <w:rFonts w:hint="eastAsia" w:ascii="宋体" w:hAnsi="宋体" w:eastAsia="宋体" w:cs="宋体"/>
          <w:kern w:val="2"/>
          <w:sz w:val="28"/>
          <w:szCs w:val="28"/>
          <w:lang w:val="en-US" w:eastAsia="zh-CN" w:bidi="ar"/>
        </w:rPr>
      </w:pPr>
      <w:r>
        <w:rPr>
          <w:rFonts w:hint="eastAsia" w:ascii="宋体" w:hAnsi="宋体" w:eastAsia="宋体" w:cs="宋体"/>
          <w:color w:val="000000"/>
          <w:kern w:val="2"/>
          <w:sz w:val="28"/>
          <w:szCs w:val="28"/>
          <w:lang w:val="en-US" w:eastAsia="zh-CN" w:bidi="ar"/>
        </w:rPr>
        <w:t xml:space="preserve">6、承担行政区域内植物检疫、农作物重大病虫害防治有关工作。 </w:t>
      </w:r>
    </w:p>
    <w:p w14:paraId="7ED1DBA9">
      <w:pPr>
        <w:widowControl/>
        <w:spacing w:line="600" w:lineRule="exact"/>
        <w:ind w:firstLine="560" w:firstLineChars="200"/>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（二）机构设置</w:t>
      </w:r>
    </w:p>
    <w:p w14:paraId="1D15017C">
      <w:pPr>
        <w:spacing w:before="0" w:beforeAutospacing="0" w:after="2" w:afterAutospacing="0"/>
        <w:ind w:left="0" w:firstLine="628"/>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rPr>
        <w:t>1、人员构成：</w:t>
      </w:r>
      <w:r>
        <w:rPr>
          <w:rFonts w:hint="eastAsia" w:ascii="宋体" w:hAnsi="宋体" w:eastAsia="宋体" w:cs="宋体"/>
          <w:color w:val="000000"/>
          <w:sz w:val="28"/>
          <w:szCs w:val="28"/>
          <w:highlight w:val="none"/>
        </w:rPr>
        <w:t>在</w:t>
      </w:r>
      <w:r>
        <w:rPr>
          <w:rFonts w:hint="eastAsia" w:ascii="宋体" w:hAnsi="宋体" w:eastAsia="宋体" w:cs="宋体"/>
          <w:color w:val="000000"/>
          <w:sz w:val="28"/>
          <w:szCs w:val="28"/>
          <w:highlight w:val="none"/>
          <w:lang w:eastAsia="zh-CN"/>
        </w:rPr>
        <w:t>编在岗</w:t>
      </w:r>
      <w:r>
        <w:rPr>
          <w:rFonts w:hint="eastAsia" w:ascii="宋体" w:hAnsi="宋体" w:eastAsia="宋体" w:cs="宋体"/>
          <w:color w:val="000000"/>
          <w:sz w:val="28"/>
          <w:szCs w:val="28"/>
          <w:highlight w:val="none"/>
        </w:rPr>
        <w:t>人员</w:t>
      </w:r>
      <w:r>
        <w:rPr>
          <w:rFonts w:hint="eastAsia" w:ascii="宋体" w:hAnsi="宋体" w:eastAsia="宋体" w:cs="宋体"/>
          <w:color w:val="000000"/>
          <w:sz w:val="28"/>
          <w:szCs w:val="28"/>
          <w:highlight w:val="none"/>
          <w:lang w:val="en-US" w:eastAsia="zh-CN"/>
        </w:rPr>
        <w:t>9</w:t>
      </w:r>
      <w:r>
        <w:rPr>
          <w:rFonts w:hint="eastAsia" w:ascii="宋体" w:hAnsi="宋体" w:eastAsia="宋体" w:cs="宋体"/>
          <w:color w:val="000000"/>
          <w:sz w:val="28"/>
          <w:szCs w:val="28"/>
          <w:highlight w:val="none"/>
        </w:rPr>
        <w:t>人，退休人员</w:t>
      </w:r>
      <w:r>
        <w:rPr>
          <w:rFonts w:hint="eastAsia" w:ascii="宋体" w:hAnsi="宋体" w:eastAsia="宋体" w:cs="宋体"/>
          <w:color w:val="000000"/>
          <w:sz w:val="28"/>
          <w:szCs w:val="28"/>
          <w:highlight w:val="none"/>
          <w:lang w:val="en-US" w:eastAsia="zh-CN"/>
        </w:rPr>
        <w:t>45</w:t>
      </w:r>
      <w:r>
        <w:rPr>
          <w:rFonts w:hint="eastAsia" w:ascii="宋体" w:hAnsi="宋体" w:eastAsia="宋体" w:cs="宋体"/>
          <w:color w:val="000000"/>
          <w:sz w:val="28"/>
          <w:szCs w:val="28"/>
          <w:highlight w:val="none"/>
        </w:rPr>
        <w:t>人</w:t>
      </w:r>
      <w:r>
        <w:rPr>
          <w:rFonts w:hint="eastAsia" w:ascii="宋体" w:hAnsi="宋体" w:eastAsia="宋体" w:cs="宋体"/>
          <w:color w:val="000000"/>
          <w:sz w:val="28"/>
          <w:szCs w:val="28"/>
          <w:highlight w:val="none"/>
          <w:lang w:eastAsia="zh-CN"/>
        </w:rPr>
        <w:t>，临聘人员</w:t>
      </w:r>
      <w:r>
        <w:rPr>
          <w:rFonts w:hint="eastAsia" w:ascii="宋体" w:hAnsi="宋体" w:eastAsia="宋体" w:cs="宋体"/>
          <w:color w:val="000000"/>
          <w:sz w:val="28"/>
          <w:szCs w:val="28"/>
          <w:highlight w:val="none"/>
          <w:lang w:val="en-US" w:eastAsia="zh-CN"/>
        </w:rPr>
        <w:t>2人，借调人员7人</w:t>
      </w:r>
      <w:r>
        <w:rPr>
          <w:rFonts w:hint="eastAsia" w:ascii="宋体" w:hAnsi="宋体" w:eastAsia="宋体" w:cs="宋体"/>
          <w:color w:val="000000"/>
          <w:sz w:val="28"/>
          <w:szCs w:val="28"/>
          <w:highlight w:val="none"/>
          <w:lang w:eastAsia="zh-CN"/>
        </w:rPr>
        <w:t>。</w:t>
      </w:r>
    </w:p>
    <w:p w14:paraId="5CC4D3F8">
      <w:pPr>
        <w:spacing w:before="0" w:beforeAutospacing="0" w:after="2" w:afterAutospacing="0"/>
        <w:ind w:left="0" w:firstLine="628"/>
        <w:rPr>
          <w:rFonts w:hint="eastAsia" w:ascii="宋体" w:hAnsi="宋体" w:eastAsia="宋体" w:cs="宋体"/>
          <w:color w:val="000000"/>
          <w:spacing w:val="0"/>
          <w:position w:val="0"/>
          <w:sz w:val="28"/>
          <w:szCs w:val="28"/>
          <w:lang w:val="en-US" w:eastAsia="zh-CN"/>
        </w:rPr>
      </w:pPr>
      <w:r>
        <w:rPr>
          <w:rFonts w:hint="eastAsia" w:ascii="宋体" w:hAnsi="宋体" w:eastAsia="宋体" w:cs="宋体"/>
          <w:color w:val="000000"/>
          <w:sz w:val="28"/>
          <w:szCs w:val="28"/>
        </w:rPr>
        <w:t>2、内设股室有3个，分别是：办公室、检疫检测股、疫病预防股</w:t>
      </w:r>
      <w:r>
        <w:rPr>
          <w:rFonts w:hint="eastAsia" w:ascii="宋体" w:hAnsi="宋体" w:eastAsia="宋体" w:cs="宋体"/>
          <w:color w:val="000000"/>
          <w:sz w:val="28"/>
          <w:szCs w:val="28"/>
          <w:lang w:eastAsia="zh-CN"/>
        </w:rPr>
        <w:t>。</w:t>
      </w:r>
    </w:p>
    <w:p w14:paraId="2354A040">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　　二、一般公共预算支出情况</w:t>
      </w:r>
    </w:p>
    <w:p w14:paraId="34FC3D71">
      <w:pPr>
        <w:keepNext w:val="0"/>
        <w:keepLines w:val="0"/>
        <w:pageBreakBefore w:val="0"/>
        <w:widowControl w:val="0"/>
        <w:kinsoku/>
        <w:wordWrap/>
        <w:overflowPunct/>
        <w:topLinePunct w:val="0"/>
        <w:autoSpaceDE/>
        <w:autoSpaceDN/>
        <w:bidi w:val="0"/>
        <w:adjustRightInd/>
        <w:snapToGrid/>
        <w:ind w:left="0" w:firstLine="562" w:firstLineChars="200"/>
        <w:jc w:val="left"/>
        <w:textAlignment w:val="auto"/>
        <w:rPr>
          <w:rFonts w:hint="eastAsia" w:ascii="宋体" w:hAnsi="宋体" w:eastAsia="宋体" w:cs="宋体"/>
          <w:b/>
          <w:bCs/>
          <w:color w:val="000000"/>
          <w:spacing w:val="0"/>
          <w:position w:val="0"/>
          <w:sz w:val="28"/>
          <w:szCs w:val="28"/>
          <w:lang w:val="en-US" w:eastAsia="zh-CN"/>
        </w:rPr>
      </w:pPr>
      <w:r>
        <w:rPr>
          <w:rFonts w:hint="eastAsia" w:ascii="宋体" w:hAnsi="宋体" w:eastAsia="宋体" w:cs="宋体"/>
          <w:b/>
          <w:bCs/>
          <w:color w:val="000000"/>
          <w:spacing w:val="0"/>
          <w:position w:val="0"/>
          <w:sz w:val="28"/>
          <w:szCs w:val="28"/>
          <w:lang w:val="en-US" w:eastAsia="zh-CN"/>
        </w:rPr>
        <w:t>(一)基本支出情况</w:t>
      </w:r>
    </w:p>
    <w:p w14:paraId="22F3737B">
      <w:pPr>
        <w:spacing w:line="360" w:lineRule="auto"/>
        <w:ind w:firstLine="560" w:firstLineChars="200"/>
        <w:rPr>
          <w:rFonts w:hint="eastAsia" w:ascii="宋体" w:hAnsi="宋体" w:eastAsia="宋体" w:cs="宋体"/>
          <w:bCs/>
          <w:sz w:val="28"/>
          <w:szCs w:val="28"/>
        </w:rPr>
      </w:pPr>
      <w:r>
        <w:rPr>
          <w:rFonts w:hint="eastAsia" w:ascii="宋体" w:hAnsi="宋体" w:eastAsia="宋体" w:cs="宋体"/>
          <w:color w:val="auto"/>
          <w:kern w:val="0"/>
          <w:sz w:val="28"/>
          <w:szCs w:val="28"/>
        </w:rPr>
        <w:t>本年度收支基本平衡,本年度总</w:t>
      </w:r>
      <w:r>
        <w:rPr>
          <w:rFonts w:hint="eastAsia" w:ascii="宋体" w:hAnsi="宋体" w:eastAsia="宋体" w:cs="宋体"/>
          <w:color w:val="auto"/>
          <w:kern w:val="0"/>
          <w:sz w:val="28"/>
          <w:szCs w:val="28"/>
          <w:lang w:eastAsia="zh-CN"/>
        </w:rPr>
        <w:t>支出</w:t>
      </w:r>
      <w:r>
        <w:rPr>
          <w:rFonts w:hint="eastAsia" w:ascii="宋体" w:hAnsi="宋体" w:eastAsia="宋体" w:cs="宋体"/>
          <w:color w:val="auto"/>
          <w:kern w:val="0"/>
          <w:sz w:val="28"/>
          <w:szCs w:val="28"/>
        </w:rPr>
        <w:t>为</w:t>
      </w:r>
      <w:r>
        <w:rPr>
          <w:rFonts w:hint="eastAsia" w:ascii="宋体" w:hAnsi="宋体" w:eastAsia="宋体" w:cs="宋体"/>
          <w:color w:val="auto"/>
          <w:kern w:val="0"/>
          <w:sz w:val="28"/>
          <w:szCs w:val="28"/>
          <w:lang w:val="en-US" w:eastAsia="zh-CN"/>
        </w:rPr>
        <w:t>263.53</w:t>
      </w:r>
      <w:r>
        <w:rPr>
          <w:rFonts w:hint="eastAsia" w:ascii="宋体" w:hAnsi="宋体" w:eastAsia="宋体" w:cs="宋体"/>
          <w:color w:val="auto"/>
          <w:kern w:val="0"/>
          <w:sz w:val="28"/>
          <w:szCs w:val="28"/>
        </w:rPr>
        <w:t>万元，其中</w:t>
      </w:r>
      <w:r>
        <w:rPr>
          <w:rFonts w:hint="eastAsia" w:ascii="宋体" w:hAnsi="宋体" w:eastAsia="宋体" w:cs="宋体"/>
          <w:color w:val="auto"/>
          <w:sz w:val="28"/>
          <w:szCs w:val="28"/>
        </w:rPr>
        <w:t>工资福利支出</w:t>
      </w:r>
      <w:r>
        <w:rPr>
          <w:rFonts w:hint="eastAsia" w:ascii="宋体" w:hAnsi="宋体" w:eastAsia="宋体" w:cs="宋体"/>
          <w:color w:val="auto"/>
          <w:sz w:val="28"/>
          <w:szCs w:val="28"/>
          <w:lang w:eastAsia="zh-CN"/>
        </w:rPr>
        <w:t>和对个人和家庭补助支出共</w:t>
      </w:r>
      <w:r>
        <w:rPr>
          <w:rFonts w:hint="eastAsia" w:ascii="宋体" w:hAnsi="宋体" w:eastAsia="宋体" w:cs="宋体"/>
          <w:color w:val="auto"/>
          <w:sz w:val="28"/>
          <w:szCs w:val="28"/>
          <w:lang w:val="en-US" w:eastAsia="zh-CN"/>
        </w:rPr>
        <w:t>245.08</w:t>
      </w:r>
      <w:r>
        <w:rPr>
          <w:rFonts w:hint="eastAsia" w:ascii="宋体" w:hAnsi="宋体" w:eastAsia="宋体" w:cs="宋体"/>
          <w:color w:val="auto"/>
          <w:sz w:val="28"/>
          <w:szCs w:val="28"/>
        </w:rPr>
        <w:t>万元、一般商品和服务支出</w:t>
      </w:r>
      <w:r>
        <w:rPr>
          <w:rFonts w:hint="eastAsia" w:ascii="宋体" w:hAnsi="宋体" w:eastAsia="宋体" w:cs="宋体"/>
          <w:color w:val="auto"/>
          <w:sz w:val="28"/>
          <w:szCs w:val="28"/>
          <w:lang w:eastAsia="zh-CN"/>
        </w:rPr>
        <w:t>和资本性支出</w:t>
      </w:r>
      <w:r>
        <w:rPr>
          <w:rFonts w:hint="eastAsia" w:ascii="宋体" w:hAnsi="宋体" w:eastAsia="宋体" w:cs="宋体"/>
          <w:color w:val="auto"/>
          <w:sz w:val="28"/>
          <w:szCs w:val="28"/>
          <w:lang w:val="en-US" w:eastAsia="zh-CN"/>
        </w:rPr>
        <w:t>18.45</w:t>
      </w:r>
      <w:r>
        <w:rPr>
          <w:rFonts w:hint="eastAsia" w:ascii="宋体" w:hAnsi="宋体" w:eastAsia="宋体" w:cs="宋体"/>
          <w:color w:val="auto"/>
          <w:sz w:val="28"/>
          <w:szCs w:val="28"/>
        </w:rPr>
        <w:t>万元</w:t>
      </w:r>
      <w:r>
        <w:rPr>
          <w:rFonts w:hint="eastAsia" w:ascii="宋体" w:hAnsi="宋体" w:eastAsia="宋体" w:cs="宋体"/>
          <w:color w:val="auto"/>
          <w:sz w:val="28"/>
          <w:szCs w:val="28"/>
          <w:lang w:eastAsia="zh-CN"/>
        </w:rPr>
        <w:t>。</w:t>
      </w:r>
    </w:p>
    <w:p w14:paraId="434D5B13">
      <w:pPr>
        <w:keepNext w:val="0"/>
        <w:keepLines w:val="0"/>
        <w:pageBreakBefore w:val="0"/>
        <w:widowControl w:val="0"/>
        <w:numPr>
          <w:ilvl w:val="0"/>
          <w:numId w:val="1"/>
        </w:numPr>
        <w:kinsoku/>
        <w:wordWrap/>
        <w:overflowPunct/>
        <w:topLinePunct w:val="0"/>
        <w:autoSpaceDE/>
        <w:autoSpaceDN/>
        <w:bidi w:val="0"/>
        <w:adjustRightInd/>
        <w:snapToGrid/>
        <w:ind w:left="0" w:firstLine="562" w:firstLineChars="200"/>
        <w:jc w:val="left"/>
        <w:textAlignment w:val="auto"/>
        <w:rPr>
          <w:rFonts w:hint="eastAsia" w:ascii="宋体" w:hAnsi="宋体" w:eastAsia="宋体" w:cs="宋体"/>
          <w:b/>
          <w:bCs/>
          <w:color w:val="000000"/>
          <w:spacing w:val="0"/>
          <w:position w:val="0"/>
          <w:sz w:val="28"/>
          <w:szCs w:val="28"/>
          <w:lang w:val="en-US" w:eastAsia="zh-CN"/>
        </w:rPr>
      </w:pPr>
      <w:r>
        <w:rPr>
          <w:rFonts w:hint="eastAsia" w:ascii="宋体" w:hAnsi="宋体" w:eastAsia="宋体" w:cs="宋体"/>
          <w:b/>
          <w:bCs/>
          <w:color w:val="000000"/>
          <w:spacing w:val="0"/>
          <w:position w:val="0"/>
          <w:sz w:val="28"/>
          <w:szCs w:val="28"/>
          <w:lang w:val="en-US" w:eastAsia="zh-CN"/>
        </w:rPr>
        <w:t>项目支出情况</w:t>
      </w:r>
    </w:p>
    <w:p w14:paraId="77DA606D">
      <w:pPr>
        <w:widowControl/>
        <w:spacing w:line="600" w:lineRule="exact"/>
        <w:ind w:firstLine="660"/>
        <w:jc w:val="left"/>
        <w:rPr>
          <w:rFonts w:hint="default" w:ascii="宋体" w:hAnsi="宋体" w:eastAsia="宋体" w:cs="宋体"/>
          <w:color w:val="000000"/>
          <w:sz w:val="28"/>
          <w:szCs w:val="28"/>
          <w:lang w:val="en-US" w:eastAsia="zh-CN"/>
        </w:rPr>
      </w:pPr>
      <w:r>
        <w:rPr>
          <w:rFonts w:hint="eastAsia" w:ascii="宋体" w:hAnsi="宋体" w:eastAsia="宋体" w:cs="宋体"/>
          <w:color w:val="auto"/>
          <w:kern w:val="0"/>
          <w:sz w:val="28"/>
          <w:szCs w:val="28"/>
        </w:rPr>
        <w:t>本年度收支基本平衡,本年度总</w:t>
      </w:r>
      <w:r>
        <w:rPr>
          <w:rFonts w:hint="eastAsia" w:ascii="宋体" w:hAnsi="宋体" w:eastAsia="宋体" w:cs="宋体"/>
          <w:color w:val="auto"/>
          <w:kern w:val="0"/>
          <w:sz w:val="28"/>
          <w:szCs w:val="28"/>
          <w:lang w:eastAsia="zh-CN"/>
        </w:rPr>
        <w:t>支出</w:t>
      </w:r>
      <w:r>
        <w:rPr>
          <w:rFonts w:hint="eastAsia" w:ascii="宋体" w:hAnsi="宋体" w:eastAsia="宋体" w:cs="宋体"/>
          <w:color w:val="auto"/>
          <w:kern w:val="0"/>
          <w:sz w:val="28"/>
          <w:szCs w:val="28"/>
        </w:rPr>
        <w:t>为</w:t>
      </w:r>
      <w:r>
        <w:rPr>
          <w:rFonts w:hint="eastAsia" w:ascii="宋体" w:hAnsi="宋体" w:eastAsia="宋体" w:cs="宋体"/>
          <w:color w:val="auto"/>
          <w:kern w:val="0"/>
          <w:sz w:val="28"/>
          <w:szCs w:val="28"/>
          <w:lang w:val="en-US" w:eastAsia="zh-CN"/>
        </w:rPr>
        <w:t>141.89</w:t>
      </w:r>
      <w:r>
        <w:rPr>
          <w:rFonts w:hint="eastAsia" w:ascii="宋体" w:hAnsi="宋体" w:eastAsia="宋体" w:cs="宋体"/>
          <w:color w:val="auto"/>
          <w:kern w:val="0"/>
          <w:sz w:val="28"/>
          <w:szCs w:val="28"/>
        </w:rPr>
        <w:t>万元</w:t>
      </w:r>
      <w:r>
        <w:rPr>
          <w:rFonts w:hint="eastAsia" w:ascii="宋体" w:hAnsi="宋体" w:eastAsia="宋体" w:cs="宋体"/>
          <w:kern w:val="0"/>
          <w:sz w:val="28"/>
          <w:szCs w:val="28"/>
        </w:rPr>
        <w:t>，</w:t>
      </w:r>
      <w:r>
        <w:rPr>
          <w:rFonts w:hint="eastAsia" w:ascii="宋体" w:hAnsi="宋体" w:eastAsia="宋体" w:cs="宋体"/>
          <w:sz w:val="28"/>
          <w:szCs w:val="28"/>
        </w:rPr>
        <w:t>其中：农产品质量安全支出</w:t>
      </w:r>
      <w:r>
        <w:rPr>
          <w:rFonts w:hint="eastAsia" w:ascii="宋体" w:hAnsi="宋体" w:eastAsia="宋体" w:cs="宋体"/>
          <w:kern w:val="0"/>
          <w:sz w:val="28"/>
          <w:szCs w:val="28"/>
          <w:lang w:val="en-US" w:eastAsia="zh-CN"/>
        </w:rPr>
        <w:t>84.68</w:t>
      </w:r>
      <w:r>
        <w:rPr>
          <w:rFonts w:hint="eastAsia" w:ascii="宋体" w:hAnsi="宋体" w:eastAsia="宋体" w:cs="宋体"/>
          <w:sz w:val="28"/>
          <w:szCs w:val="28"/>
        </w:rPr>
        <w:t>万元，主要用于</w:t>
      </w:r>
      <w:r>
        <w:rPr>
          <w:rFonts w:hint="eastAsia" w:ascii="宋体" w:hAnsi="宋体" w:eastAsia="宋体" w:cs="宋体"/>
          <w:color w:val="000000"/>
          <w:sz w:val="28"/>
          <w:szCs w:val="28"/>
        </w:rPr>
        <w:t>农产品质量检测和实验室材料购买、中心城区屠宰检验监管经费、非洲猪瘟等重大动物疫情防控经费、委托第三方农产品定量检测</w:t>
      </w:r>
      <w:r>
        <w:rPr>
          <w:rFonts w:hint="eastAsia" w:ascii="宋体" w:hAnsi="宋体" w:eastAsia="宋体" w:cs="宋体"/>
          <w:color w:val="000000"/>
          <w:sz w:val="28"/>
          <w:szCs w:val="28"/>
          <w:lang w:eastAsia="zh-CN"/>
        </w:rPr>
        <w:t>；社会保障和就业支出</w:t>
      </w:r>
      <w:r>
        <w:rPr>
          <w:rFonts w:hint="eastAsia" w:ascii="宋体" w:hAnsi="宋体" w:eastAsia="宋体" w:cs="宋体"/>
          <w:color w:val="000000"/>
          <w:sz w:val="28"/>
          <w:szCs w:val="28"/>
          <w:lang w:val="en-US" w:eastAsia="zh-CN"/>
        </w:rPr>
        <w:t>6.66万元，城乡社区支出5.56万元，病虫害控制支出6.46万元，其他支出38.54万元。</w:t>
      </w:r>
    </w:p>
    <w:p w14:paraId="2A22FFE2">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三、政府性基金预算支出情况</w:t>
      </w:r>
    </w:p>
    <w:p w14:paraId="4E96268C">
      <w:pPr>
        <w:widowControl w:val="0"/>
        <w:numPr>
          <w:ilvl w:val="0"/>
          <w:numId w:val="0"/>
        </w:numPr>
        <w:spacing w:before="120" w:after="200" w:line="276" w:lineRule="auto"/>
        <w:ind w:leftChars="200"/>
        <w:jc w:val="both"/>
        <w:rPr>
          <w:rFonts w:hint="eastAsia" w:ascii="宋体" w:hAnsi="宋体" w:eastAsia="宋体" w:cs="宋体"/>
          <w:kern w:val="2"/>
          <w:sz w:val="28"/>
          <w:szCs w:val="28"/>
          <w:lang w:val="en-US" w:eastAsia="zh-CN" w:bidi="ar-SA"/>
        </w:rPr>
      </w:pPr>
      <w:r>
        <w:rPr>
          <w:rFonts w:hint="eastAsia" w:ascii="宋体" w:hAnsi="宋体" w:eastAsia="宋体" w:cs="宋体"/>
          <w:b w:val="0"/>
          <w:bCs w:val="0"/>
          <w:color w:val="auto"/>
          <w:kern w:val="0"/>
          <w:sz w:val="28"/>
          <w:szCs w:val="28"/>
          <w:u w:val="none"/>
          <w:lang w:val="en-US" w:eastAsia="zh-CN" w:bidi="ar-SA"/>
        </w:rPr>
        <w:t>2024年度本单位无政府性基金安排的支出</w:t>
      </w:r>
    </w:p>
    <w:p w14:paraId="74D160FC">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0A5F5B56">
      <w:pPr>
        <w:widowControl w:val="0"/>
        <w:numPr>
          <w:ilvl w:val="0"/>
          <w:numId w:val="0"/>
        </w:numPr>
        <w:spacing w:before="120" w:after="200" w:line="276" w:lineRule="auto"/>
        <w:ind w:leftChars="200"/>
        <w:jc w:val="both"/>
        <w:rPr>
          <w:rFonts w:hint="eastAsia" w:ascii="宋体" w:hAnsi="宋体" w:eastAsia="宋体" w:cs="宋体"/>
          <w:b w:val="0"/>
          <w:bCs w:val="0"/>
          <w:color w:val="auto"/>
          <w:kern w:val="0"/>
          <w:sz w:val="28"/>
          <w:szCs w:val="28"/>
          <w:u w:val="none"/>
          <w:lang w:val="en-US" w:eastAsia="zh-CN" w:bidi="ar-SA"/>
        </w:rPr>
      </w:pPr>
      <w:r>
        <w:rPr>
          <w:rFonts w:hint="eastAsia" w:ascii="宋体" w:hAnsi="宋体" w:eastAsia="宋体" w:cs="宋体"/>
          <w:b w:val="0"/>
          <w:bCs w:val="0"/>
          <w:color w:val="auto"/>
          <w:kern w:val="0"/>
          <w:sz w:val="28"/>
          <w:szCs w:val="28"/>
          <w:u w:val="none"/>
          <w:lang w:val="en-US" w:eastAsia="zh-CN" w:bidi="ar-SA"/>
        </w:rPr>
        <w:t>2024年度本单位无</w:t>
      </w:r>
      <w:r>
        <w:rPr>
          <w:rFonts w:hint="eastAsia" w:ascii="宋体" w:hAnsi="宋体" w:eastAsia="宋体" w:cs="宋体"/>
          <w:b w:val="0"/>
          <w:bCs w:val="0"/>
          <w:color w:val="000000"/>
          <w:spacing w:val="0"/>
          <w:position w:val="0"/>
          <w:sz w:val="28"/>
          <w:szCs w:val="28"/>
          <w:lang w:val="en-US" w:eastAsia="zh-CN"/>
        </w:rPr>
        <w:t>国有资本经营预算支出</w:t>
      </w:r>
      <w:r>
        <w:rPr>
          <w:rFonts w:hint="eastAsia" w:ascii="宋体" w:hAnsi="宋体" w:eastAsia="宋体" w:cs="宋体"/>
          <w:b w:val="0"/>
          <w:bCs w:val="0"/>
          <w:color w:val="auto"/>
          <w:kern w:val="0"/>
          <w:sz w:val="28"/>
          <w:szCs w:val="28"/>
          <w:u w:val="none"/>
          <w:lang w:val="en-US" w:eastAsia="zh-CN" w:bidi="ar-SA"/>
        </w:rPr>
        <w:t>的支出</w:t>
      </w:r>
    </w:p>
    <w:p w14:paraId="23E69E95">
      <w:pPr>
        <w:widowControl w:val="0"/>
        <w:numPr>
          <w:ilvl w:val="0"/>
          <w:numId w:val="2"/>
        </w:numPr>
        <w:spacing w:before="120" w:after="200" w:line="276" w:lineRule="auto"/>
        <w:ind w:left="420" w:leftChars="200"/>
        <w:jc w:val="both"/>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社会保险基金预算支出情况</w:t>
      </w:r>
    </w:p>
    <w:p w14:paraId="35BD86DE">
      <w:pPr>
        <w:widowControl w:val="0"/>
        <w:numPr>
          <w:ilvl w:val="0"/>
          <w:numId w:val="0"/>
        </w:numPr>
        <w:spacing w:before="120" w:after="200" w:line="276" w:lineRule="auto"/>
        <w:ind w:leftChars="200"/>
        <w:jc w:val="both"/>
        <w:rPr>
          <w:rFonts w:hint="eastAsia" w:ascii="宋体" w:hAnsi="宋体" w:eastAsia="宋体" w:cs="宋体"/>
          <w:b w:val="0"/>
          <w:bCs w:val="0"/>
          <w:sz w:val="28"/>
          <w:szCs w:val="28"/>
          <w:lang w:val="en-US" w:eastAsia="zh-CN"/>
        </w:rPr>
      </w:pPr>
      <w:r>
        <w:rPr>
          <w:rFonts w:hint="eastAsia" w:ascii="宋体" w:hAnsi="宋体" w:eastAsia="宋体" w:cs="宋体"/>
          <w:b w:val="0"/>
          <w:bCs w:val="0"/>
          <w:color w:val="auto"/>
          <w:kern w:val="0"/>
          <w:sz w:val="28"/>
          <w:szCs w:val="28"/>
          <w:u w:val="none"/>
          <w:lang w:val="en-US" w:eastAsia="zh-CN" w:bidi="ar-SA"/>
        </w:rPr>
        <w:t>2024年度本单位无</w:t>
      </w:r>
      <w:r>
        <w:rPr>
          <w:rFonts w:hint="eastAsia" w:ascii="宋体" w:hAnsi="宋体" w:eastAsia="宋体" w:cs="宋体"/>
          <w:b w:val="0"/>
          <w:bCs w:val="0"/>
          <w:color w:val="000000"/>
          <w:spacing w:val="0"/>
          <w:position w:val="0"/>
          <w:sz w:val="28"/>
          <w:szCs w:val="28"/>
          <w:lang w:val="en-US" w:eastAsia="zh-CN"/>
        </w:rPr>
        <w:t>社会保险基金预算</w:t>
      </w:r>
      <w:r>
        <w:rPr>
          <w:rFonts w:hint="eastAsia" w:ascii="宋体" w:hAnsi="宋体" w:eastAsia="宋体" w:cs="宋体"/>
          <w:b w:val="0"/>
          <w:bCs w:val="0"/>
          <w:color w:val="auto"/>
          <w:kern w:val="0"/>
          <w:sz w:val="28"/>
          <w:szCs w:val="28"/>
          <w:u w:val="none"/>
          <w:lang w:val="en-US" w:eastAsia="zh-CN" w:bidi="ar-SA"/>
        </w:rPr>
        <w:t>的支出</w:t>
      </w:r>
    </w:p>
    <w:p w14:paraId="2AC1249F">
      <w:pPr>
        <w:widowControl w:val="0"/>
        <w:numPr>
          <w:ilvl w:val="0"/>
          <w:numId w:val="0"/>
        </w:numPr>
        <w:spacing w:before="120" w:after="200" w:line="276" w:lineRule="auto"/>
        <w:ind w:left="420" w:leftChars="200"/>
        <w:jc w:val="both"/>
        <w:rPr>
          <w:rFonts w:hint="eastAsia" w:ascii="黑体" w:hAnsi="黑体" w:eastAsia="黑体" w:cs="黑体"/>
          <w:b w:val="0"/>
          <w:bCs w:val="0"/>
          <w:color w:val="000000"/>
          <w:spacing w:val="0"/>
          <w:position w:val="0"/>
          <w:sz w:val="32"/>
          <w:szCs w:val="32"/>
          <w:lang w:val="en-US" w:eastAsia="zh-CN"/>
        </w:rPr>
      </w:pPr>
      <w:r>
        <w:rPr>
          <w:rFonts w:hint="eastAsia" w:ascii="黑体" w:hAnsi="黑体" w:eastAsia="黑体" w:cs="黑体"/>
          <w:b w:val="0"/>
          <w:bCs w:val="0"/>
          <w:color w:val="000000"/>
          <w:spacing w:val="0"/>
          <w:position w:val="0"/>
          <w:sz w:val="32"/>
          <w:szCs w:val="32"/>
          <w:lang w:val="en-US" w:eastAsia="zh-CN"/>
        </w:rPr>
        <w:t>六、部门整体支出绩效情况</w:t>
      </w:r>
    </w:p>
    <w:p w14:paraId="7004F2A1">
      <w:pPr>
        <w:widowControl w:val="0"/>
        <w:spacing w:line="360" w:lineRule="auto"/>
        <w:ind w:firstLine="560" w:firstLineChars="200"/>
        <w:jc w:val="both"/>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lang w:val="en-US" w:eastAsia="zh-CN"/>
        </w:rPr>
        <w:t>区农产品综合检验检测中心2024年度部门整体支出取得较好的成效，主要表现如下：</w:t>
      </w:r>
    </w:p>
    <w:p w14:paraId="10EB0BE2">
      <w:pPr>
        <w:widowControl w:val="0"/>
        <w:spacing w:line="360" w:lineRule="auto"/>
        <w:ind w:firstLine="562" w:firstLineChars="200"/>
        <w:jc w:val="both"/>
        <w:rPr>
          <w:rFonts w:hint="eastAsia" w:ascii="宋体" w:hAnsi="宋体" w:eastAsia="宋体" w:cs="宋体"/>
          <w:b/>
          <w:color w:val="auto"/>
          <w:kern w:val="2"/>
          <w:sz w:val="28"/>
          <w:szCs w:val="28"/>
          <w:lang w:val="en-US" w:eastAsia="zh-CN"/>
        </w:rPr>
      </w:pPr>
      <w:r>
        <w:rPr>
          <w:rFonts w:hint="eastAsia" w:ascii="宋体" w:hAnsi="宋体" w:eastAsia="宋体" w:cs="宋体"/>
          <w:b/>
          <w:color w:val="auto"/>
          <w:kern w:val="2"/>
          <w:sz w:val="28"/>
          <w:szCs w:val="28"/>
          <w:lang w:val="en-US" w:eastAsia="zh-CN"/>
        </w:rPr>
        <w:t>1.经济性方面评价:</w:t>
      </w:r>
    </w:p>
    <w:p w14:paraId="5758CC88">
      <w:pPr>
        <w:widowControl w:val="0"/>
        <w:spacing w:line="360" w:lineRule="auto"/>
        <w:ind w:firstLine="560" w:firstLineChars="200"/>
        <w:jc w:val="both"/>
        <w:rPr>
          <w:rFonts w:hint="eastAsia" w:ascii="宋体" w:hAnsi="宋体" w:eastAsia="宋体" w:cs="宋体"/>
          <w:color w:val="auto"/>
          <w:kern w:val="2"/>
          <w:sz w:val="28"/>
          <w:szCs w:val="28"/>
          <w:lang w:val="en-US" w:eastAsia="zh-CN"/>
        </w:rPr>
      </w:pPr>
      <w:r>
        <w:rPr>
          <w:rFonts w:hint="eastAsia" w:ascii="宋体" w:hAnsi="宋体" w:eastAsia="宋体" w:cs="宋体"/>
          <w:color w:val="auto"/>
          <w:kern w:val="2"/>
          <w:sz w:val="28"/>
          <w:szCs w:val="28"/>
          <w:lang w:val="en-US" w:eastAsia="zh-CN"/>
        </w:rPr>
        <w:t>预算执行方面，支出总额基本控制在预算总额以内，除专项预算追加和政策性工资绩效预算的追加外，本年部门预算未进行预算相关事项的调整。预算内专项资金在取得财政局的年度预算批复时，随批复一同进行了下达；追加的项目专项资金在取得上级或同级财政批复后随批复及时进行了下达；转移支付在收到专项资金时基本上做到及时拨付。</w:t>
      </w:r>
    </w:p>
    <w:p w14:paraId="6E1EB4E5">
      <w:pPr>
        <w:widowControl w:val="0"/>
        <w:spacing w:line="360" w:lineRule="auto"/>
        <w:ind w:firstLine="562" w:firstLineChars="200"/>
        <w:jc w:val="both"/>
        <w:rPr>
          <w:rFonts w:hint="eastAsia" w:ascii="宋体" w:hAnsi="宋体" w:eastAsia="宋体" w:cs="宋体"/>
          <w:b/>
          <w:color w:val="auto"/>
          <w:kern w:val="2"/>
          <w:sz w:val="28"/>
          <w:szCs w:val="28"/>
          <w:lang w:val="en-US" w:eastAsia="zh-CN"/>
        </w:rPr>
      </w:pPr>
      <w:r>
        <w:rPr>
          <w:rFonts w:hint="eastAsia" w:ascii="宋体" w:hAnsi="宋体" w:eastAsia="宋体" w:cs="宋体"/>
          <w:b/>
          <w:color w:val="auto"/>
          <w:kern w:val="2"/>
          <w:sz w:val="28"/>
          <w:szCs w:val="28"/>
          <w:lang w:val="en-US" w:eastAsia="zh-CN"/>
        </w:rPr>
        <w:t>2.效率性评价和有效性评价:</w:t>
      </w:r>
    </w:p>
    <w:p w14:paraId="25AD8C0D">
      <w:pPr>
        <w:spacing w:line="540" w:lineRule="exact"/>
        <w:ind w:firstLine="560" w:firstLineChars="200"/>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rPr>
        <w:t>区</w:t>
      </w:r>
      <w:r>
        <w:rPr>
          <w:rFonts w:hint="eastAsia" w:ascii="宋体" w:hAnsi="宋体" w:eastAsia="宋体" w:cs="宋体"/>
          <w:color w:val="auto"/>
          <w:sz w:val="28"/>
          <w:szCs w:val="28"/>
          <w:lang w:eastAsia="zh-CN"/>
        </w:rPr>
        <w:t>农产品综合检验检测中心</w:t>
      </w:r>
      <w:r>
        <w:rPr>
          <w:rFonts w:hint="eastAsia" w:ascii="宋体" w:hAnsi="宋体" w:eastAsia="宋体" w:cs="宋体"/>
          <w:color w:val="auto"/>
          <w:sz w:val="28"/>
          <w:szCs w:val="28"/>
        </w:rPr>
        <w:t>基本上执行了年初预算，不断优化资金支出结构，提高资金的使用效益，以达到了保运转，保民生，保安全，促均衡的效果。</w:t>
      </w:r>
      <w:r>
        <w:rPr>
          <w:rFonts w:hint="eastAsia" w:ascii="宋体" w:hAnsi="宋体" w:eastAsia="宋体" w:cs="宋体"/>
          <w:color w:val="auto"/>
          <w:sz w:val="28"/>
          <w:szCs w:val="28"/>
          <w:shd w:val="clear" w:color="auto" w:fill="FFFFFF"/>
        </w:rPr>
        <w:t>我</w:t>
      </w:r>
      <w:r>
        <w:rPr>
          <w:rFonts w:hint="eastAsia" w:ascii="宋体" w:hAnsi="宋体" w:eastAsia="宋体" w:cs="宋体"/>
          <w:color w:val="auto"/>
          <w:sz w:val="28"/>
          <w:szCs w:val="28"/>
          <w:shd w:val="clear" w:color="auto" w:fill="FFFFFF"/>
          <w:lang w:eastAsia="zh-CN"/>
        </w:rPr>
        <w:t>中心</w:t>
      </w:r>
      <w:r>
        <w:rPr>
          <w:rFonts w:hint="eastAsia" w:ascii="宋体" w:hAnsi="宋体" w:eastAsia="宋体" w:cs="宋体"/>
          <w:color w:val="auto"/>
          <w:sz w:val="28"/>
          <w:szCs w:val="28"/>
          <w:shd w:val="clear" w:color="auto" w:fill="FFFFFF"/>
        </w:rPr>
        <w:t>对于20</w:t>
      </w:r>
      <w:r>
        <w:rPr>
          <w:rFonts w:hint="eastAsia" w:ascii="宋体" w:hAnsi="宋体" w:eastAsia="宋体" w:cs="宋体"/>
          <w:color w:val="auto"/>
          <w:sz w:val="28"/>
          <w:szCs w:val="28"/>
          <w:shd w:val="clear" w:color="auto" w:fill="FFFFFF"/>
          <w:lang w:val="en-US" w:eastAsia="zh-CN"/>
        </w:rPr>
        <w:t>24</w:t>
      </w:r>
      <w:r>
        <w:rPr>
          <w:rFonts w:hint="eastAsia" w:ascii="宋体" w:hAnsi="宋体" w:eastAsia="宋体" w:cs="宋体"/>
          <w:color w:val="auto"/>
          <w:sz w:val="28"/>
          <w:szCs w:val="28"/>
          <w:shd w:val="clear" w:color="auto" w:fill="FFFFFF"/>
        </w:rPr>
        <w:t>年度全区目标管理绩效考核指标均落实到位，圆满完成了既定任务，各项工作成效显著。主要表现如下 ：</w:t>
      </w:r>
    </w:p>
    <w:p w14:paraId="01735599">
      <w:pPr>
        <w:numPr>
          <w:ilvl w:val="0"/>
          <w:numId w:val="0"/>
        </w:num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 1 \* GB3 \* MERGEFORMAT </w:instrText>
      </w:r>
      <w:r>
        <w:rPr>
          <w:rFonts w:hint="eastAsia" w:ascii="宋体" w:hAnsi="宋体" w:eastAsia="宋体" w:cs="宋体"/>
          <w:sz w:val="28"/>
          <w:szCs w:val="28"/>
          <w:lang w:val="en-US" w:eastAsia="zh-CN"/>
        </w:rPr>
        <w:fldChar w:fldCharType="separate"/>
      </w:r>
      <w:r>
        <w:rPr>
          <w:rFonts w:ascii="Calibri" w:hAnsi="Calibri" w:eastAsia="宋体" w:cs="Times New Roman"/>
        </w:rPr>
        <w:t>①</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根据动物检疫操作规程，认真开展屠宰检疫工作。全年屠宰</w:t>
      </w:r>
      <w:r>
        <w:rPr>
          <w:rFonts w:hint="eastAsia" w:ascii="宋体" w:hAnsi="宋体" w:eastAsia="宋体" w:cs="宋体"/>
          <w:sz w:val="28"/>
          <w:szCs w:val="28"/>
          <w:lang w:eastAsia="zh-CN"/>
        </w:rPr>
        <w:t>检疫生猪</w:t>
      </w:r>
      <w:r>
        <w:rPr>
          <w:rFonts w:hint="eastAsia" w:ascii="宋体" w:hAnsi="宋体" w:eastAsia="宋体" w:cs="宋体"/>
          <w:sz w:val="28"/>
          <w:szCs w:val="28"/>
          <w:lang w:val="en-US" w:eastAsia="zh-CN"/>
        </w:rPr>
        <w:t>12.26万头，牛马0.68万头，羊0.5万头，禽类5.5万羽，无害化处理生猪177头，剔除废弃物2.9万公斤，瘦肉精抽检0.6万份，监督场方非洲猪瘟自检11564份，检测结果均为阴性。</w:t>
      </w:r>
    </w:p>
    <w:p w14:paraId="32DE4381">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560" w:firstLineChars="200"/>
        <w:jc w:val="both"/>
        <w:textAlignment w:val="auto"/>
        <w:outlineLvl w:val="9"/>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 2 \* GB3 \* MERGEFORMAT </w:instrText>
      </w:r>
      <w:r>
        <w:rPr>
          <w:rFonts w:hint="eastAsia" w:ascii="宋体" w:hAnsi="宋体" w:eastAsia="宋体" w:cs="宋体"/>
          <w:sz w:val="28"/>
          <w:szCs w:val="28"/>
          <w:lang w:val="en-US" w:eastAsia="zh-CN"/>
        </w:rPr>
        <w:fldChar w:fldCharType="separate"/>
      </w:r>
      <w:r>
        <w:rPr>
          <w:rFonts w:ascii="Calibri" w:hAnsi="Calibri" w:eastAsia="宋体" w:cs="Times New Roman"/>
        </w:rPr>
        <w:t>②</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做好了春秋季动物防疫工作，</w:t>
      </w:r>
      <w:r>
        <w:rPr>
          <w:rFonts w:hint="eastAsia" w:ascii="宋体" w:hAnsi="宋体" w:eastAsia="宋体" w:cs="宋体"/>
          <w:sz w:val="28"/>
          <w:szCs w:val="28"/>
          <w:lang w:eastAsia="zh-CN"/>
        </w:rPr>
        <w:t>全区今年于3月和9月分别召开了春秋两季关于切实做好非洲猪瘟防控和动物防疫工作会议，并对春秋两季防疫工作作了统一安排和部署。按照先口蹄疫、禽流感，后小反刍兽疫的顺序实施强制免疫。4月底和10月底全面结束春秋防工作。春秋防开始后，共采集养殖环节猪血清40份、牛血清20份，屠宰场环境拭子80份、运输生猪车辆40份；养殖环节禽类血清80份、咽肛样品40份，在汇康禽业有限公司采集环境和饮水40份，开展免疫效果评估，经市、区两级兽医实验室检测免疫抗体合格率均符合农业农村部标准。春秋防共下发猪口蹄疫疫苗2.22万毫升、重组禽流感H5+H7三价疫苗9.5万毫升，小反刍兽疫0.1万头份，防疫消毒药4000公斤和其他防疫应急物资。并要求建立强制免疫疫苗动态实物保管台账，实行“专人、专帐、专库”管理。</w:t>
      </w:r>
    </w:p>
    <w:p w14:paraId="247B3C78">
      <w:pPr>
        <w:bidi w:val="0"/>
        <w:ind w:firstLine="560" w:firstLineChars="200"/>
        <w:rPr>
          <w:rFonts w:hint="eastAsia" w:ascii="宋体" w:hAnsi="宋体" w:eastAsia="宋体" w:cs="宋体"/>
          <w:b w:val="0"/>
          <w:bCs w:val="0"/>
          <w:sz w:val="28"/>
          <w:szCs w:val="28"/>
          <w:vertAlign w:val="baseline"/>
          <w:lang w:val="en-US" w:eastAsia="zh-CN"/>
        </w:rPr>
      </w:pPr>
      <w:r>
        <w:rPr>
          <w:rFonts w:hint="eastAsia" w:ascii="宋体" w:hAnsi="宋体" w:eastAsia="宋体" w:cs="宋体"/>
          <w:color w:val="auto"/>
          <w:sz w:val="28"/>
          <w:szCs w:val="28"/>
          <w:lang w:val="en-US" w:eastAsia="zh-CN"/>
        </w:rPr>
        <w:fldChar w:fldCharType="begin"/>
      </w:r>
      <w:r>
        <w:rPr>
          <w:rFonts w:hint="eastAsia" w:ascii="宋体" w:hAnsi="宋体" w:eastAsia="宋体" w:cs="宋体"/>
          <w:color w:val="auto"/>
          <w:sz w:val="28"/>
          <w:szCs w:val="28"/>
          <w:lang w:val="en-US" w:eastAsia="zh-CN"/>
        </w:rPr>
        <w:instrText xml:space="preserve"> = 3 \* GB3 \* MERGEFORMAT </w:instrText>
      </w:r>
      <w:r>
        <w:rPr>
          <w:rFonts w:hint="eastAsia" w:ascii="宋体" w:hAnsi="宋体" w:eastAsia="宋体" w:cs="宋体"/>
          <w:color w:val="auto"/>
          <w:sz w:val="28"/>
          <w:szCs w:val="28"/>
          <w:lang w:val="en-US" w:eastAsia="zh-CN"/>
        </w:rPr>
        <w:fldChar w:fldCharType="separate"/>
      </w:r>
      <w:r>
        <w:rPr>
          <w:rFonts w:ascii="Calibri" w:hAnsi="Calibri" w:eastAsia="宋体" w:cs="Times New Roman"/>
        </w:rPr>
        <w:t>③</w:t>
      </w:r>
      <w:r>
        <w:rPr>
          <w:rFonts w:hint="eastAsia" w:ascii="宋体" w:hAnsi="宋体" w:eastAsia="宋体" w:cs="宋体"/>
          <w:color w:val="auto"/>
          <w:sz w:val="28"/>
          <w:szCs w:val="28"/>
          <w:lang w:val="en-US" w:eastAsia="zh-CN"/>
        </w:rPr>
        <w:fldChar w:fldCharType="end"/>
      </w:r>
      <w:r>
        <w:rPr>
          <w:rFonts w:hint="eastAsia" w:ascii="宋体" w:hAnsi="宋体" w:eastAsia="宋体" w:cs="宋体"/>
          <w:color w:val="auto"/>
          <w:sz w:val="28"/>
          <w:szCs w:val="28"/>
          <w:lang w:val="en-US" w:eastAsia="zh-CN"/>
        </w:rPr>
        <w:t>派驻屠宰企业官方兽医8人，实行24小时驻场轮流值守，重点督促屠宰企业落实主体责任，按照上级要求开展非洲猪瘟自检和“瘦肉精”抽检。</w:t>
      </w:r>
      <w:r>
        <w:rPr>
          <w:rFonts w:hint="eastAsia" w:ascii="宋体" w:hAnsi="宋体" w:eastAsia="宋体" w:cs="宋体"/>
          <w:color w:val="000000"/>
          <w:kern w:val="0"/>
          <w:sz w:val="28"/>
          <w:szCs w:val="28"/>
          <w:lang w:val="en-US" w:eastAsia="zh-CN" w:bidi="ar"/>
        </w:rPr>
        <w:t>一是督促汇康公司每半月将自检留存血样送市动物疫病预防控制中心复核。</w:t>
      </w:r>
      <w:r>
        <w:rPr>
          <w:rFonts w:hint="eastAsia" w:ascii="宋体" w:hAnsi="宋体" w:eastAsia="宋体" w:cs="宋体"/>
          <w:color w:val="000000"/>
          <w:sz w:val="28"/>
          <w:szCs w:val="28"/>
          <w:lang w:val="en-US" w:eastAsia="zh-CN"/>
        </w:rPr>
        <w:t>二是</w:t>
      </w:r>
      <w:r>
        <w:rPr>
          <w:rFonts w:hint="eastAsia" w:ascii="宋体" w:hAnsi="宋体" w:eastAsia="宋体" w:cs="宋体"/>
          <w:sz w:val="28"/>
          <w:szCs w:val="28"/>
          <w:lang w:val="en-US" w:eastAsia="zh-CN"/>
        </w:rPr>
        <w:t>在汇康屠宰场</w:t>
      </w:r>
      <w:r>
        <w:rPr>
          <w:rFonts w:hint="eastAsia" w:ascii="宋体" w:hAnsi="宋体" w:eastAsia="宋体" w:cs="宋体"/>
          <w:color w:val="000000"/>
          <w:sz w:val="28"/>
          <w:szCs w:val="28"/>
          <w:lang w:eastAsia="zh-CN"/>
        </w:rPr>
        <w:t>采集</w:t>
      </w:r>
      <w:r>
        <w:rPr>
          <w:rFonts w:hint="eastAsia" w:ascii="宋体" w:hAnsi="宋体" w:eastAsia="宋体" w:cs="宋体"/>
          <w:color w:val="000000"/>
          <w:sz w:val="28"/>
          <w:szCs w:val="28"/>
          <w:lang w:val="en-US" w:eastAsia="zh-CN"/>
        </w:rPr>
        <w:t>生</w:t>
      </w:r>
      <w:r>
        <w:rPr>
          <w:rFonts w:hint="eastAsia" w:ascii="宋体" w:hAnsi="宋体" w:eastAsia="宋体" w:cs="宋体"/>
          <w:sz w:val="28"/>
          <w:szCs w:val="28"/>
          <w:lang w:val="en-US" w:eastAsia="zh-CN"/>
        </w:rPr>
        <w:t>猪淋巴结、血清样</w:t>
      </w:r>
      <w:r>
        <w:rPr>
          <w:rFonts w:hint="eastAsia" w:ascii="宋体" w:hAnsi="宋体" w:eastAsia="宋体" w:cs="宋体"/>
          <w:color w:val="000000"/>
          <w:sz w:val="28"/>
          <w:szCs w:val="28"/>
          <w:lang w:val="en-US" w:eastAsia="zh-CN"/>
        </w:rPr>
        <w:t>和</w:t>
      </w:r>
      <w:bookmarkStart w:id="0" w:name="OLE_LINK14"/>
      <w:r>
        <w:rPr>
          <w:rFonts w:hint="eastAsia" w:ascii="宋体" w:hAnsi="宋体" w:eastAsia="宋体" w:cs="宋体"/>
          <w:color w:val="000000"/>
          <w:sz w:val="28"/>
          <w:szCs w:val="28"/>
          <w:lang w:eastAsia="zh-CN"/>
        </w:rPr>
        <w:t>屠宰车间</w:t>
      </w:r>
      <w:bookmarkEnd w:id="0"/>
      <w:r>
        <w:rPr>
          <w:rFonts w:hint="eastAsia" w:ascii="宋体" w:hAnsi="宋体" w:eastAsia="宋体" w:cs="宋体"/>
          <w:sz w:val="28"/>
          <w:szCs w:val="28"/>
          <w:lang w:val="en-US" w:eastAsia="zh-CN"/>
        </w:rPr>
        <w:t>环境拭子，运输车辆环境拭子，</w:t>
      </w:r>
      <w:r>
        <w:rPr>
          <w:rFonts w:hint="eastAsia" w:ascii="宋体" w:hAnsi="宋体" w:eastAsia="宋体" w:cs="宋体"/>
          <w:color w:val="000000"/>
          <w:sz w:val="28"/>
          <w:szCs w:val="28"/>
          <w:lang w:eastAsia="zh-CN"/>
        </w:rPr>
        <w:t>送市疫病预防控制中心开展</w:t>
      </w:r>
      <w:bookmarkStart w:id="1" w:name="OLE_LINK12"/>
      <w:r>
        <w:rPr>
          <w:rFonts w:hint="eastAsia" w:ascii="宋体" w:hAnsi="宋体" w:eastAsia="宋体" w:cs="宋体"/>
          <w:color w:val="000000"/>
          <w:sz w:val="28"/>
          <w:szCs w:val="28"/>
          <w:lang w:eastAsia="zh-CN"/>
        </w:rPr>
        <w:t>非洲猪瘟专项监测和风险监测</w:t>
      </w:r>
      <w:bookmarkEnd w:id="1"/>
      <w:bookmarkStart w:id="2" w:name="OLE_LINK7"/>
      <w:r>
        <w:rPr>
          <w:rFonts w:hint="eastAsia" w:ascii="宋体" w:hAnsi="宋体" w:eastAsia="宋体" w:cs="宋体"/>
          <w:sz w:val="28"/>
          <w:szCs w:val="28"/>
          <w:lang w:val="en-US" w:eastAsia="zh-CN"/>
        </w:rPr>
        <w:t>，全面完成</w:t>
      </w:r>
      <w:r>
        <w:rPr>
          <w:rFonts w:hint="eastAsia" w:ascii="宋体" w:hAnsi="宋体" w:eastAsia="宋体" w:cs="宋体"/>
          <w:color w:val="000000"/>
          <w:sz w:val="28"/>
          <w:szCs w:val="28"/>
          <w:lang w:eastAsia="zh-CN"/>
        </w:rPr>
        <w:t>非洲猪瘟专项监测和风险</w:t>
      </w:r>
      <w:r>
        <w:rPr>
          <w:rFonts w:hint="eastAsia" w:ascii="宋体" w:hAnsi="宋体" w:eastAsia="宋体" w:cs="宋体"/>
          <w:sz w:val="28"/>
          <w:szCs w:val="28"/>
          <w:lang w:val="en-US" w:eastAsia="zh-CN"/>
        </w:rPr>
        <w:t>监测任务。</w:t>
      </w:r>
      <w:bookmarkEnd w:id="2"/>
      <w:r>
        <w:rPr>
          <w:rFonts w:hint="eastAsia" w:ascii="宋体" w:hAnsi="宋体" w:eastAsia="宋体" w:cs="宋体"/>
          <w:sz w:val="28"/>
          <w:szCs w:val="28"/>
          <w:lang w:val="en-US" w:eastAsia="zh-CN"/>
        </w:rPr>
        <w:t>三是对郭镇建中村、马安村和汇康禽类临时屠宰点、八字门、娃娃塘、龙源、五里牌、夏万路、奇家岭等市场开展禽流感疫情监测，</w:t>
      </w:r>
      <w:r>
        <w:rPr>
          <w:rFonts w:hint="eastAsia" w:ascii="宋体" w:hAnsi="宋体" w:eastAsia="宋体" w:cs="宋体"/>
          <w:sz w:val="28"/>
          <w:szCs w:val="28"/>
          <w:vertAlign w:val="baseline"/>
          <w:lang w:val="en-US" w:eastAsia="zh-CN"/>
        </w:rPr>
        <w:t>检测结果均呈阴性。</w:t>
      </w:r>
      <w:r>
        <w:rPr>
          <w:rFonts w:hint="eastAsia" w:ascii="宋体" w:hAnsi="宋体" w:eastAsia="宋体" w:cs="宋体"/>
          <w:b w:val="0"/>
          <w:bCs w:val="0"/>
          <w:sz w:val="28"/>
          <w:szCs w:val="28"/>
          <w:vertAlign w:val="baseline"/>
          <w:lang w:val="en-US" w:eastAsia="zh-CN"/>
        </w:rPr>
        <w:t>四是配合</w:t>
      </w:r>
      <w:r>
        <w:rPr>
          <w:rFonts w:hint="eastAsia" w:ascii="宋体" w:hAnsi="宋体" w:eastAsia="宋体" w:cs="宋体"/>
          <w:sz w:val="28"/>
          <w:szCs w:val="28"/>
          <w:vertAlign w:val="baseline"/>
          <w:lang w:val="en-US" w:eastAsia="zh-CN"/>
        </w:rPr>
        <w:t>省兽医饲料监测所在岳阳汇康食品有限公司采集车辆环境，淋巴结，猪肉，牛肉，鸡肉，肝脏，尿样，血清开展质量安全监测，</w:t>
      </w:r>
      <w:r>
        <w:rPr>
          <w:rFonts w:hint="eastAsia" w:ascii="宋体" w:hAnsi="宋体" w:eastAsia="宋体" w:cs="宋体"/>
          <w:b w:val="0"/>
          <w:bCs w:val="0"/>
          <w:sz w:val="28"/>
          <w:szCs w:val="28"/>
          <w:vertAlign w:val="baseline"/>
          <w:lang w:val="en-US" w:eastAsia="zh-CN"/>
        </w:rPr>
        <w:t>检测结果均符合要求。</w:t>
      </w:r>
    </w:p>
    <w:p w14:paraId="237C12C1">
      <w:pPr>
        <w:keepNext w:val="0"/>
        <w:keepLines w:val="0"/>
        <w:pageBreakBefore w:val="0"/>
        <w:widowControl w:val="0"/>
        <w:kinsoku/>
        <w:wordWrap/>
        <w:overflowPunct/>
        <w:topLinePunct w:val="0"/>
        <w:autoSpaceDE/>
        <w:autoSpaceDN/>
        <w:bidi w:val="0"/>
        <w:adjustRightInd/>
        <w:snapToGrid/>
        <w:ind w:lef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 4 \* GB3 \* MERGEFORMAT </w:instrText>
      </w:r>
      <w:r>
        <w:rPr>
          <w:rFonts w:hint="eastAsia" w:ascii="宋体" w:hAnsi="宋体" w:eastAsia="宋体" w:cs="宋体"/>
          <w:sz w:val="28"/>
          <w:szCs w:val="28"/>
          <w:lang w:val="en-US" w:eastAsia="zh-CN"/>
        </w:rPr>
        <w:fldChar w:fldCharType="separate"/>
      </w:r>
      <w:r>
        <w:rPr>
          <w:rFonts w:ascii="Calibri" w:hAnsi="Calibri" w:eastAsia="宋体" w:cs="Times New Roman"/>
        </w:rPr>
        <w:t>④</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建立健全官方兽医动态管理机制，认真开展官方兽医队伍清理工作，根据省农业农村厅《湖南省官方兽医队伍集中整顿工作方案》要求，深入开展官方兽医队伍集中整顿工作，对辖区内官方兽医信息重新进行审核，对不再承担动物、动物产品检疫出证的人员、已调整出动物检疫岗位的人员和退休人员，及时注销信息。本年度，我单位共新增3名官方兽医,注销8名调离原工作岗位官方兽医。按照《2022-2025年湖南省官方兽医培训计划》和“分级实施、全员培训，面向基层、务实管用，自学为主、学时管理”的基本原则，组织我区官方兽医培训。本年度我单位共组织我区官方兽医线下培训4天，共培训21个学时。本年度我区官方兽医培训参训率、完训率和考试参考率、考试合格率均达到100%。</w:t>
      </w:r>
    </w:p>
    <w:p w14:paraId="1E147822">
      <w:pPr>
        <w:bidi w:val="0"/>
        <w:ind w:firstLine="560" w:firstLineChars="200"/>
        <w:rPr>
          <w:rFonts w:hint="eastAsia" w:ascii="宋体" w:hAnsi="宋体" w:eastAsia="宋体" w:cs="宋体"/>
          <w:color w:val="000000"/>
          <w:spacing w:val="4"/>
          <w:kern w:val="0"/>
          <w:sz w:val="28"/>
          <w:szCs w:val="28"/>
          <w:lang w:val="en-US"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 5 \* GB3 \* MERGEFORMAT </w:instrText>
      </w:r>
      <w:r>
        <w:rPr>
          <w:rFonts w:hint="eastAsia" w:ascii="宋体" w:hAnsi="宋体" w:eastAsia="宋体" w:cs="宋体"/>
          <w:sz w:val="28"/>
          <w:szCs w:val="28"/>
          <w:lang w:eastAsia="zh-CN"/>
        </w:rPr>
        <w:fldChar w:fldCharType="separate"/>
      </w:r>
      <w:r>
        <w:rPr>
          <w:rFonts w:ascii="Calibri" w:hAnsi="Calibri" w:eastAsia="宋体" w:cs="Times New Roman"/>
        </w:rPr>
        <w:t>⑤</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开展农产品质量安全监测情况</w:t>
      </w:r>
      <w:r>
        <w:rPr>
          <w:rFonts w:hint="eastAsia" w:ascii="宋体" w:hAnsi="宋体" w:eastAsia="宋体" w:cs="宋体"/>
          <w:sz w:val="28"/>
          <w:szCs w:val="28"/>
          <w:lang w:val="en-US" w:eastAsia="zh-CN"/>
        </w:rPr>
        <w:t>,一是</w:t>
      </w:r>
      <w:r>
        <w:rPr>
          <w:rFonts w:hint="eastAsia" w:ascii="宋体" w:hAnsi="宋体" w:eastAsia="宋体" w:cs="宋体"/>
          <w:color w:val="000000"/>
          <w:spacing w:val="4"/>
          <w:kern w:val="0"/>
          <w:sz w:val="28"/>
          <w:szCs w:val="28"/>
          <w:lang w:val="en-US" w:eastAsia="zh-CN"/>
        </w:rPr>
        <w:t>强化责任，全面安排部署。制订了蔬菜例行监测工作方案，明确了监测范围、抽样地点、监测要求、监测种类、数量及时间安排等，形成了对农产品例行监测的长效机制。二是强化职能职责，务求实效。深入开展蔬菜农药残留超标的专项治理。加强生产过程中农药使用监管，加强对广大菜农科学用药技术指导和培训，印发了禁用农药名单，严格要求菜农把好安全间隔期。三是加强农产品质量检测工作。蔬菜农残检测工作保持常态化、制度化。定期和配合省市农产品质量安全检测中心对生产基地进行例行抽样检测。年初我中心全面启动农产品胶体金快速检测，共抽检蔬菜样品314个，一样三检，合格率达到100%。委托深圳三方圆检测监管服务有限公司进行农产品定量抽检，全年共抽检蔬菜、水果、水产、畜禽产品样品300个，合格率达到99%，整体质量良好。</w:t>
      </w:r>
    </w:p>
    <w:p w14:paraId="24C3E95B">
      <w:pPr>
        <w:keepNext w:val="0"/>
        <w:keepLines w:val="0"/>
        <w:pageBreakBefore w:val="0"/>
        <w:widowControl w:val="0"/>
        <w:numPr>
          <w:ilvl w:val="0"/>
          <w:numId w:val="3"/>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存在的问题及原因分析</w:t>
      </w:r>
    </w:p>
    <w:p w14:paraId="32BB21A5">
      <w:pPr>
        <w:widowControl w:val="0"/>
        <w:numPr>
          <w:ilvl w:val="0"/>
          <w:numId w:val="0"/>
        </w:numPr>
        <w:spacing w:before="120" w:after="200" w:line="276" w:lineRule="auto"/>
        <w:ind w:firstLine="560" w:firstLineChars="200"/>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基本支出经费方面综合近几年我单位批复预算看，预算执行基本围绕在职人员工资及经费、退休人员绩效支出、保正常运转进行。我单位机构改革导致人员调出，且退休职工人数日益增多，但经费方面无预算来源，且扶贫、食堂等支出压力较大。</w:t>
      </w:r>
    </w:p>
    <w:p w14:paraId="41AEDBEC">
      <w:pPr>
        <w:numPr>
          <w:ilvl w:val="0"/>
          <w:numId w:val="0"/>
        </w:numPr>
        <w:ind w:firstLine="560" w:firstLineChars="200"/>
        <w:rPr>
          <w:rFonts w:hint="eastAsia" w:ascii="宋体" w:hAnsi="宋体" w:eastAsia="宋体" w:cs="宋体"/>
          <w:sz w:val="28"/>
          <w:szCs w:val="28"/>
          <w:lang w:val="en-US" w:eastAsia="zh-CN"/>
        </w:rPr>
      </w:pPr>
      <w:r>
        <w:rPr>
          <w:rFonts w:hint="eastAsia" w:ascii="Calibri" w:hAnsi="Calibri" w:eastAsia="宋体" w:cs="Times New Roman"/>
          <w:sz w:val="28"/>
          <w:szCs w:val="28"/>
          <w:lang w:val="en-US" w:eastAsia="zh-CN"/>
        </w:rPr>
        <w:t>2、科学合理编制预算，严格执行预算。鉴于我单位工作点多线长面广，工作任务繁重，重点工作任务重，年初财政预算需要进一步细化预算编制，编制范围尽可能的全面不漏项，以便在预算执行中严格按照预算科目支出。为各项工作顺利开展提供资金保证。</w:t>
      </w:r>
    </w:p>
    <w:p w14:paraId="2551C288">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下一步改进措施</w:t>
      </w:r>
    </w:p>
    <w:p w14:paraId="5EB3285E">
      <w:pPr>
        <w:widowControl w:val="0"/>
        <w:numPr>
          <w:ilvl w:val="0"/>
          <w:numId w:val="4"/>
        </w:numPr>
        <w:spacing w:before="120" w:after="200" w:line="276" w:lineRule="auto"/>
        <w:ind w:firstLine="560" w:firstLineChars="200"/>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完善管理制度，进一步贯彻落实中央八项规定，完善本部门“三公经费”等公务支出管理制度及例行节约制度。加强经费审批和控制，规范支出标准和范围并严格执行。严格按照固定资产管理办法的规定，加强固定资产管理，及时登记、更新台账。加强资产卡片管理，年终对各类实物资产进行全面盘点，确保账实相符。</w:t>
      </w:r>
    </w:p>
    <w:p w14:paraId="338A6EFB">
      <w:pPr>
        <w:widowControl w:val="0"/>
        <w:numPr>
          <w:ilvl w:val="0"/>
          <w:numId w:val="0"/>
        </w:numPr>
        <w:spacing w:before="120" w:after="200" w:line="276" w:lineRule="auto"/>
        <w:ind w:firstLine="560" w:firstLineChars="200"/>
        <w:jc w:val="both"/>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2、根据确定的年度绩效管理目标制定具体实施计划，明确内部业务分工，落实人员及其工作职责，加强业务学习，明确时序进度和目标要求，总结汇集工作成果。</w:t>
      </w:r>
    </w:p>
    <w:p w14:paraId="249E338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九、部门整体支出绩效自评结果拟应用和公开情况</w:t>
      </w:r>
    </w:p>
    <w:p w14:paraId="6CEA6D08">
      <w:pPr>
        <w:keepNext w:val="0"/>
        <w:keepLines w:val="0"/>
        <w:pageBreakBefore w:val="0"/>
        <w:widowControl w:val="0"/>
        <w:kinsoku/>
        <w:wordWrap/>
        <w:overflowPunct/>
        <w:topLinePunct w:val="0"/>
        <w:autoSpaceDE/>
        <w:autoSpaceDN/>
        <w:bidi w:val="0"/>
        <w:adjustRightInd/>
        <w:snapToGrid/>
        <w:ind w:left="0" w:firstLine="560" w:firstLineChars="200"/>
        <w:jc w:val="left"/>
        <w:textAlignment w:val="auto"/>
        <w:rPr>
          <w:rFonts w:hint="eastAsia" w:ascii="宋体" w:hAnsi="宋体" w:eastAsia="宋体" w:cs="宋体"/>
          <w:color w:val="000000"/>
          <w:spacing w:val="0"/>
          <w:position w:val="0"/>
          <w:sz w:val="28"/>
          <w:szCs w:val="28"/>
          <w:lang w:val="en-US" w:eastAsia="zh-CN"/>
        </w:rPr>
      </w:pPr>
      <w:r>
        <w:rPr>
          <w:rFonts w:hint="eastAsia" w:ascii="宋体" w:hAnsi="宋体" w:eastAsia="宋体" w:cs="宋体"/>
          <w:color w:val="000000"/>
          <w:spacing w:val="0"/>
          <w:position w:val="0"/>
          <w:sz w:val="28"/>
          <w:szCs w:val="28"/>
          <w:lang w:val="en-US" w:eastAsia="zh-CN"/>
        </w:rPr>
        <w:t>1、通过绩效自评结果，总结经验，发现问题，提出改进的方向和具体措施，促进工作的开展。</w:t>
      </w:r>
    </w:p>
    <w:p w14:paraId="0DE6B89A">
      <w:pPr>
        <w:widowControl w:val="0"/>
        <w:spacing w:before="120" w:after="200" w:line="276" w:lineRule="auto"/>
        <w:ind w:firstLine="560" w:firstLineChars="200"/>
        <w:jc w:val="both"/>
        <w:rPr>
          <w:rFonts w:hint="eastAsia" w:ascii="宋体" w:hAnsi="宋体" w:eastAsia="宋体" w:cs="宋体"/>
          <w:color w:val="000000"/>
          <w:spacing w:val="0"/>
          <w:kern w:val="2"/>
          <w:position w:val="0"/>
          <w:sz w:val="28"/>
          <w:szCs w:val="28"/>
          <w:lang w:val="en-US" w:eastAsia="zh-CN" w:bidi="ar-SA"/>
        </w:rPr>
      </w:pPr>
      <w:r>
        <w:rPr>
          <w:rFonts w:hint="eastAsia" w:ascii="宋体" w:hAnsi="宋体" w:eastAsia="宋体" w:cs="宋体"/>
          <w:color w:val="000000"/>
          <w:spacing w:val="0"/>
          <w:kern w:val="2"/>
          <w:position w:val="0"/>
          <w:sz w:val="28"/>
          <w:szCs w:val="28"/>
          <w:lang w:val="en-US" w:eastAsia="zh-CN" w:bidi="ar-SA"/>
        </w:rPr>
        <w:t>2、将自评结果在政府门户网站公示。</w:t>
      </w:r>
    </w:p>
    <w:p w14:paraId="0B958AA5">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spacing w:val="0"/>
          <w:position w:val="0"/>
          <w:sz w:val="32"/>
          <w:szCs w:val="32"/>
          <w:lang w:val="en-US" w:eastAsia="zh-CN"/>
        </w:rPr>
      </w:pPr>
    </w:p>
    <w:p w14:paraId="77EC04A1">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spacing w:val="0"/>
          <w:position w:val="0"/>
          <w:sz w:val="32"/>
          <w:szCs w:val="32"/>
          <w:lang w:val="en-US" w:eastAsia="zh-CN"/>
        </w:rPr>
      </w:pPr>
    </w:p>
    <w:p w14:paraId="67A0191F">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 w:hAnsi="仿宋" w:eastAsia="仿宋" w:cs="仿宋"/>
          <w:kern w:val="2"/>
          <w:sz w:val="35"/>
          <w:szCs w:val="35"/>
          <w:lang w:val="en-US" w:eastAsia="en-US" w:bidi="ar-SA"/>
        </w:rPr>
      </w:pPr>
      <w:r>
        <w:rPr>
          <w:rFonts w:ascii="仿宋" w:hAnsi="仿宋" w:eastAsia="仿宋" w:cs="仿宋"/>
          <w:spacing w:val="6"/>
          <w:kern w:val="2"/>
          <w:sz w:val="35"/>
          <w:szCs w:val="35"/>
          <w:lang w:val="en-US" w:eastAsia="en-US" w:bidi="ar-SA"/>
        </w:rPr>
        <w:t>附件：</w:t>
      </w:r>
      <w:r>
        <w:rPr>
          <w:rFonts w:ascii="Times New Roman" w:hAnsi="Times New Roman" w:eastAsia="Times New Roman" w:cs="Times New Roman"/>
          <w:spacing w:val="6"/>
          <w:kern w:val="2"/>
          <w:sz w:val="35"/>
          <w:szCs w:val="35"/>
          <w:lang w:val="en-US" w:eastAsia="en-US" w:bidi="ar-SA"/>
        </w:rPr>
        <w:t>1</w:t>
      </w:r>
      <w:r>
        <w:rPr>
          <w:rFonts w:ascii="仿宋" w:hAnsi="仿宋" w:eastAsia="仿宋" w:cs="仿宋"/>
          <w:spacing w:val="6"/>
          <w:kern w:val="2"/>
          <w:sz w:val="35"/>
          <w:szCs w:val="35"/>
          <w:lang w:val="en-US" w:eastAsia="en-US" w:bidi="ar-SA"/>
        </w:rPr>
        <w:t>、</w:t>
      </w:r>
      <w:r>
        <w:rPr>
          <w:rFonts w:hint="eastAsia" w:ascii="仿宋" w:hAnsi="仿宋" w:eastAsia="仿宋" w:cs="仿宋"/>
          <w:spacing w:val="6"/>
          <w:kern w:val="2"/>
          <w:sz w:val="35"/>
          <w:szCs w:val="35"/>
          <w:lang w:val="en-US" w:eastAsia="zh-CN" w:bidi="ar-SA"/>
        </w:rPr>
        <w:t>单位</w:t>
      </w:r>
      <w:r>
        <w:rPr>
          <w:rFonts w:ascii="仿宋" w:hAnsi="仿宋" w:eastAsia="仿宋" w:cs="仿宋"/>
          <w:spacing w:val="6"/>
          <w:kern w:val="2"/>
          <w:sz w:val="35"/>
          <w:szCs w:val="35"/>
          <w:lang w:val="en-US" w:eastAsia="en-US" w:bidi="ar-SA"/>
        </w:rPr>
        <w:t>整体支出绩效评价基础数据表</w:t>
      </w:r>
    </w:p>
    <w:p w14:paraId="222A3B6F">
      <w:pPr>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ascii="仿宋" w:hAnsi="仿宋" w:eastAsia="仿宋" w:cs="仿宋"/>
          <w:spacing w:val="8"/>
          <w:kern w:val="2"/>
          <w:sz w:val="35"/>
          <w:szCs w:val="35"/>
          <w:lang w:val="en-US" w:eastAsia="en-US" w:bidi="ar-SA"/>
        </w:rPr>
      </w:pPr>
      <w:r>
        <w:rPr>
          <w:rFonts w:ascii="Times New Roman" w:hAnsi="Times New Roman" w:eastAsia="Times New Roman" w:cs="Times New Roman"/>
          <w:spacing w:val="8"/>
          <w:kern w:val="2"/>
          <w:sz w:val="35"/>
          <w:szCs w:val="35"/>
          <w:lang w:val="en-US" w:eastAsia="en-US" w:bidi="ar-SA"/>
        </w:rPr>
        <w:t>2</w:t>
      </w:r>
      <w:r>
        <w:rPr>
          <w:rFonts w:ascii="仿宋" w:hAnsi="仿宋" w:eastAsia="仿宋" w:cs="仿宋"/>
          <w:spacing w:val="8"/>
          <w:kern w:val="2"/>
          <w:sz w:val="35"/>
          <w:szCs w:val="35"/>
          <w:lang w:val="en-US" w:eastAsia="en-US" w:bidi="ar-SA"/>
        </w:rPr>
        <w:t>、</w:t>
      </w:r>
      <w:r>
        <w:rPr>
          <w:rFonts w:hint="eastAsia" w:ascii="仿宋" w:hAnsi="仿宋" w:eastAsia="仿宋" w:cs="仿宋"/>
          <w:spacing w:val="8"/>
          <w:kern w:val="2"/>
          <w:sz w:val="35"/>
          <w:szCs w:val="35"/>
          <w:lang w:val="en-US" w:eastAsia="zh-CN" w:bidi="ar-SA"/>
        </w:rPr>
        <w:t>单位</w:t>
      </w:r>
      <w:r>
        <w:rPr>
          <w:rFonts w:ascii="仿宋" w:hAnsi="仿宋" w:eastAsia="仿宋" w:cs="仿宋"/>
          <w:spacing w:val="8"/>
          <w:kern w:val="2"/>
          <w:sz w:val="35"/>
          <w:szCs w:val="35"/>
          <w:lang w:val="en-US" w:eastAsia="en-US" w:bidi="ar-SA"/>
        </w:rPr>
        <w:t>整体支出绩效自评表</w:t>
      </w:r>
    </w:p>
    <w:p w14:paraId="4C566502">
      <w:pPr>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rPr>
          <w:rFonts w:ascii="仿宋" w:hAnsi="仿宋" w:eastAsia="仿宋" w:cs="仿宋"/>
          <w:kern w:val="2"/>
          <w:sz w:val="35"/>
          <w:szCs w:val="35"/>
          <w:lang w:val="en-US" w:eastAsia="en-US" w:bidi="ar-SA"/>
        </w:rPr>
      </w:pPr>
      <w:r>
        <w:rPr>
          <w:rFonts w:hint="eastAsia" w:ascii="Times New Roman" w:hAnsi="Times New Roman" w:eastAsia="宋体" w:cs="Times New Roman"/>
          <w:spacing w:val="9"/>
          <w:kern w:val="2"/>
          <w:position w:val="21"/>
          <w:sz w:val="35"/>
          <w:szCs w:val="35"/>
          <w:lang w:val="en-US" w:eastAsia="zh-CN" w:bidi="ar-SA"/>
        </w:rPr>
        <w:t>3</w:t>
      </w:r>
      <w:r>
        <w:rPr>
          <w:rFonts w:ascii="仿宋" w:hAnsi="仿宋" w:eastAsia="仿宋" w:cs="仿宋"/>
          <w:spacing w:val="9"/>
          <w:kern w:val="2"/>
          <w:position w:val="21"/>
          <w:sz w:val="35"/>
          <w:szCs w:val="35"/>
          <w:lang w:val="en-US" w:eastAsia="en-US" w:bidi="ar-SA"/>
        </w:rPr>
        <w:t>、项目支出绩效自评表（每个一级项目一张</w:t>
      </w:r>
      <w:r>
        <w:rPr>
          <w:rFonts w:ascii="仿宋" w:hAnsi="仿宋" w:eastAsia="仿宋" w:cs="仿宋"/>
          <w:spacing w:val="8"/>
          <w:kern w:val="2"/>
          <w:position w:val="21"/>
          <w:sz w:val="35"/>
          <w:szCs w:val="35"/>
          <w:lang w:val="en-US" w:eastAsia="en-US" w:bidi="ar-SA"/>
        </w:rPr>
        <w:t>表）</w:t>
      </w:r>
    </w:p>
    <w:p w14:paraId="39044159">
      <w:pPr>
        <w:ind w:firstLine="640" w:firstLineChars="200"/>
        <w:jc w:val="left"/>
        <w:rPr>
          <w:rFonts w:ascii="仿宋_GB2312" w:hAnsi="仿宋_GB2312" w:eastAsia="仿宋_GB2312" w:cs="仿宋_GB2312"/>
          <w:color w:val="000000" w:themeColor="text1"/>
          <w:sz w:val="32"/>
          <w:szCs w:val="32"/>
        </w:rPr>
      </w:pPr>
    </w:p>
    <w:p w14:paraId="2959D0D6">
      <w:pPr>
        <w:ind w:firstLine="640" w:firstLineChars="200"/>
        <w:jc w:val="left"/>
        <w:rPr>
          <w:rFonts w:ascii="仿宋_GB2312" w:hAnsi="仿宋_GB2312" w:eastAsia="仿宋_GB2312" w:cs="仿宋_GB2312"/>
          <w:color w:val="000000" w:themeColor="text1"/>
          <w:sz w:val="32"/>
          <w:szCs w:val="32"/>
        </w:rPr>
      </w:pPr>
    </w:p>
    <w:p w14:paraId="40FA5E9B">
      <w:pPr>
        <w:pStyle w:val="3"/>
        <w:jc w:val="left"/>
        <w:rPr>
          <w:rFonts w:ascii="仿宋_GB2312" w:hAnsi="仿宋_GB2312" w:eastAsia="仿宋_GB2312" w:cs="仿宋_GB2312"/>
          <w:sz w:val="32"/>
          <w:szCs w:val="32"/>
          <w:lang w:eastAsia="zh-CN"/>
        </w:rPr>
      </w:pPr>
    </w:p>
    <w:sectPr>
      <w:footerReference r:id="rId6"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5ED28">
    <w:pPr>
      <w:spacing w:line="14" w:lineRule="auto"/>
      <w:rPr>
        <w:rFonts w:ascii="Arial"/>
        <w:sz w:val="2"/>
      </w:rPr>
    </w:pPr>
    <w:r>
      <w:rPr>
        <w:sz w:val="2"/>
      </w:rP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joinstyle="miter"/>
          <v:imagedata o:title=""/>
          <o:lock v:ext="edit"/>
          <v:textbox inset="0mm,0mm,0mm,0mm" style="mso-fit-shape-to-text:t;">
            <w:txbxContent>
              <w:p w14:paraId="149F8CF9">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8D1D">
    <w:pPr>
      <w:spacing w:line="14" w:lineRule="auto"/>
      <w:rPr>
        <w:rFonts w:ascii="Arial"/>
        <w:sz w:val="2"/>
      </w:rPr>
    </w:pPr>
    <w:r>
      <w:rPr>
        <w:sz w:val="2"/>
      </w:rPr>
      <w:pict>
        <v:shape id="_x0000_s1028" o:spid="_x0000_s1028"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joinstyle="miter"/>
          <v:imagedata o:title=""/>
          <o:lock v:ext="edit"/>
          <v:textbox inset="0mm,0mm,0mm,0mm" style="mso-fit-shape-to-text:t;">
            <w:txbxContent>
              <w:p w14:paraId="731E2AFD">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FCC61">
    <w:pPr>
      <w:widowControl w:val="0"/>
      <w:spacing w:before="1" w:line="174" w:lineRule="auto"/>
      <w:ind w:left="574"/>
      <w:jc w:val="both"/>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w:pict>
        <v:shape id="_x0000_s1029" o:spid="_x0000_s1029"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14:paraId="3B0A2D05">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47F2C">
    <w:pPr>
      <w:pStyle w:val="3"/>
      <w:spacing w:before="1" w:line="174" w:lineRule="auto"/>
      <w:jc w:val="right"/>
      <w:rPr>
        <w:sz w:val="28"/>
        <w:szCs w:val="28"/>
      </w:rPr>
    </w:pPr>
    <w:r>
      <w:rPr>
        <w:sz w:val="28"/>
      </w:rP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14:paraId="3318E9BA">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96E3D"/>
    <w:multiLevelType w:val="singleLevel"/>
    <w:tmpl w:val="9F896E3D"/>
    <w:lvl w:ilvl="0" w:tentative="0">
      <w:start w:val="7"/>
      <w:numFmt w:val="chineseCounting"/>
      <w:suff w:val="nothing"/>
      <w:lvlText w:val="%1、"/>
      <w:lvlJc w:val="left"/>
      <w:rPr>
        <w:rFonts w:hint="eastAsia"/>
      </w:rPr>
    </w:lvl>
  </w:abstractNum>
  <w:abstractNum w:abstractNumId="1">
    <w:nsid w:val="BF564FB9"/>
    <w:multiLevelType w:val="singleLevel"/>
    <w:tmpl w:val="BF564FB9"/>
    <w:lvl w:ilvl="0" w:tentative="0">
      <w:start w:val="5"/>
      <w:numFmt w:val="chineseCounting"/>
      <w:suff w:val="nothing"/>
      <w:lvlText w:val="%1、"/>
      <w:lvlJc w:val="left"/>
      <w:rPr>
        <w:rFonts w:hint="eastAsia"/>
      </w:rPr>
    </w:lvl>
  </w:abstractNum>
  <w:abstractNum w:abstractNumId="2">
    <w:nsid w:val="DE239A13"/>
    <w:multiLevelType w:val="singleLevel"/>
    <w:tmpl w:val="DE239A13"/>
    <w:lvl w:ilvl="0" w:tentative="0">
      <w:start w:val="1"/>
      <w:numFmt w:val="decimal"/>
      <w:suff w:val="nothing"/>
      <w:lvlText w:val="%1、"/>
      <w:lvlJc w:val="left"/>
    </w:lvl>
  </w:abstractNum>
  <w:abstractNum w:abstractNumId="3">
    <w:nsid w:val="38A3A354"/>
    <w:multiLevelType w:val="singleLevel"/>
    <w:tmpl w:val="38A3A354"/>
    <w:lvl w:ilvl="0" w:tentative="0">
      <w:start w:val="2"/>
      <w:numFmt w:val="chineseCounting"/>
      <w:lvlText w:val="(%1)"/>
      <w:lvlJc w:val="left"/>
      <w:pPr>
        <w:tabs>
          <w:tab w:val="left" w:pos="312"/>
        </w:tabs>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TcwYTIyNzAxZDkzN2YzMzc5ZTM2ZjViOWQ4ZGIxNWMifQ=="/>
  </w:docVars>
  <w:rsids>
    <w:rsidRoot w:val="76284CE1"/>
    <w:rsid w:val="000A3765"/>
    <w:rsid w:val="001D7282"/>
    <w:rsid w:val="001F1103"/>
    <w:rsid w:val="0039081D"/>
    <w:rsid w:val="00424513"/>
    <w:rsid w:val="0049022E"/>
    <w:rsid w:val="004E1CB8"/>
    <w:rsid w:val="005E6ECB"/>
    <w:rsid w:val="00665E2F"/>
    <w:rsid w:val="006B5224"/>
    <w:rsid w:val="00744EA1"/>
    <w:rsid w:val="00793DAF"/>
    <w:rsid w:val="007B3BF9"/>
    <w:rsid w:val="007C15D1"/>
    <w:rsid w:val="00820B1A"/>
    <w:rsid w:val="008C064A"/>
    <w:rsid w:val="0091337F"/>
    <w:rsid w:val="009419CA"/>
    <w:rsid w:val="00955854"/>
    <w:rsid w:val="009C7330"/>
    <w:rsid w:val="00A00FBB"/>
    <w:rsid w:val="00A04D3F"/>
    <w:rsid w:val="00BF0721"/>
    <w:rsid w:val="00C03795"/>
    <w:rsid w:val="00CE3756"/>
    <w:rsid w:val="00D27A74"/>
    <w:rsid w:val="00D61779"/>
    <w:rsid w:val="00E3201C"/>
    <w:rsid w:val="00E831C8"/>
    <w:rsid w:val="00EF287A"/>
    <w:rsid w:val="00F63BA3"/>
    <w:rsid w:val="00FC5518"/>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B70F09"/>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1188D"/>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52DBB"/>
    <w:rsid w:val="04360B4B"/>
    <w:rsid w:val="043A4600"/>
    <w:rsid w:val="043B31F8"/>
    <w:rsid w:val="043B5C60"/>
    <w:rsid w:val="045F666C"/>
    <w:rsid w:val="0460075C"/>
    <w:rsid w:val="04613BEE"/>
    <w:rsid w:val="04675C34"/>
    <w:rsid w:val="046C0B29"/>
    <w:rsid w:val="047B7C52"/>
    <w:rsid w:val="04816E5C"/>
    <w:rsid w:val="048924DD"/>
    <w:rsid w:val="04914D95"/>
    <w:rsid w:val="0495144B"/>
    <w:rsid w:val="04AC07A1"/>
    <w:rsid w:val="04B07CB0"/>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100CBA"/>
    <w:rsid w:val="0725074E"/>
    <w:rsid w:val="073045A9"/>
    <w:rsid w:val="07313C60"/>
    <w:rsid w:val="07331F0A"/>
    <w:rsid w:val="073336CE"/>
    <w:rsid w:val="073404AB"/>
    <w:rsid w:val="073556E3"/>
    <w:rsid w:val="074A1FC1"/>
    <w:rsid w:val="07560FC4"/>
    <w:rsid w:val="07576646"/>
    <w:rsid w:val="076912F0"/>
    <w:rsid w:val="076971BD"/>
    <w:rsid w:val="076D43AE"/>
    <w:rsid w:val="077323CA"/>
    <w:rsid w:val="0775145F"/>
    <w:rsid w:val="077C65FF"/>
    <w:rsid w:val="0780202B"/>
    <w:rsid w:val="07885339"/>
    <w:rsid w:val="078C68F4"/>
    <w:rsid w:val="078E0AF3"/>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358BE"/>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8442D"/>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0386"/>
    <w:rsid w:val="0DDB14CA"/>
    <w:rsid w:val="0DE03EAA"/>
    <w:rsid w:val="0DE12394"/>
    <w:rsid w:val="0DE14775"/>
    <w:rsid w:val="0DE818F6"/>
    <w:rsid w:val="0DF15D7D"/>
    <w:rsid w:val="0DF36262"/>
    <w:rsid w:val="0E02782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32523"/>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17E99"/>
    <w:rsid w:val="108449FF"/>
    <w:rsid w:val="108A0CDB"/>
    <w:rsid w:val="108B34B0"/>
    <w:rsid w:val="108F1E83"/>
    <w:rsid w:val="1095698E"/>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145A5"/>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11E61"/>
    <w:rsid w:val="136B7A0D"/>
    <w:rsid w:val="136C145A"/>
    <w:rsid w:val="13776D50"/>
    <w:rsid w:val="137B3EE1"/>
    <w:rsid w:val="139404F9"/>
    <w:rsid w:val="13A55CD5"/>
    <w:rsid w:val="13B654E3"/>
    <w:rsid w:val="13B819E6"/>
    <w:rsid w:val="13BC4189"/>
    <w:rsid w:val="13C169EC"/>
    <w:rsid w:val="13CA717D"/>
    <w:rsid w:val="13CE022A"/>
    <w:rsid w:val="13DF25B8"/>
    <w:rsid w:val="13E0569F"/>
    <w:rsid w:val="13E2403C"/>
    <w:rsid w:val="14047D3B"/>
    <w:rsid w:val="140C7BCE"/>
    <w:rsid w:val="141A00EA"/>
    <w:rsid w:val="14394A85"/>
    <w:rsid w:val="143A1FCF"/>
    <w:rsid w:val="1441725F"/>
    <w:rsid w:val="14430D66"/>
    <w:rsid w:val="14466611"/>
    <w:rsid w:val="14470936"/>
    <w:rsid w:val="14477E65"/>
    <w:rsid w:val="147026FF"/>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378BC"/>
    <w:rsid w:val="16952546"/>
    <w:rsid w:val="16AB3FBF"/>
    <w:rsid w:val="16AC1654"/>
    <w:rsid w:val="16B12C6E"/>
    <w:rsid w:val="16BF0789"/>
    <w:rsid w:val="16CC2AB0"/>
    <w:rsid w:val="16CD5BA2"/>
    <w:rsid w:val="16D42F73"/>
    <w:rsid w:val="16DA34D2"/>
    <w:rsid w:val="16DA4E41"/>
    <w:rsid w:val="16DD481F"/>
    <w:rsid w:val="16ED6FC0"/>
    <w:rsid w:val="16F042AC"/>
    <w:rsid w:val="16F626B5"/>
    <w:rsid w:val="16FB005D"/>
    <w:rsid w:val="16FC4F3B"/>
    <w:rsid w:val="171630EB"/>
    <w:rsid w:val="17171C62"/>
    <w:rsid w:val="171B2129"/>
    <w:rsid w:val="172B5BB7"/>
    <w:rsid w:val="17435DB3"/>
    <w:rsid w:val="174849B3"/>
    <w:rsid w:val="174F5CC1"/>
    <w:rsid w:val="175075E0"/>
    <w:rsid w:val="17561DD9"/>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4B55A5"/>
    <w:rsid w:val="1A5F35C0"/>
    <w:rsid w:val="1A734275"/>
    <w:rsid w:val="1A7C4FE0"/>
    <w:rsid w:val="1A8006B2"/>
    <w:rsid w:val="1A8439F7"/>
    <w:rsid w:val="1A8D640E"/>
    <w:rsid w:val="1A974192"/>
    <w:rsid w:val="1AAC2E83"/>
    <w:rsid w:val="1AB73785"/>
    <w:rsid w:val="1ACA62AD"/>
    <w:rsid w:val="1ACF41BD"/>
    <w:rsid w:val="1ADA675E"/>
    <w:rsid w:val="1AE11CDA"/>
    <w:rsid w:val="1AF20311"/>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20928"/>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2E34392"/>
    <w:rsid w:val="22EA6B29"/>
    <w:rsid w:val="23033650"/>
    <w:rsid w:val="231527D7"/>
    <w:rsid w:val="23185AD8"/>
    <w:rsid w:val="23336451"/>
    <w:rsid w:val="233649D3"/>
    <w:rsid w:val="234436D4"/>
    <w:rsid w:val="23474320"/>
    <w:rsid w:val="23492735"/>
    <w:rsid w:val="235B5F37"/>
    <w:rsid w:val="235C3EA6"/>
    <w:rsid w:val="23604810"/>
    <w:rsid w:val="23830488"/>
    <w:rsid w:val="23932D47"/>
    <w:rsid w:val="23BB2620"/>
    <w:rsid w:val="23BE4330"/>
    <w:rsid w:val="23BF0A62"/>
    <w:rsid w:val="23C263BB"/>
    <w:rsid w:val="23C63733"/>
    <w:rsid w:val="23CC59AF"/>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93712"/>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16C7E"/>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1188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02AEF"/>
    <w:rsid w:val="2A367BB2"/>
    <w:rsid w:val="2A3B610C"/>
    <w:rsid w:val="2A3D54FD"/>
    <w:rsid w:val="2A410FE5"/>
    <w:rsid w:val="2A596631"/>
    <w:rsid w:val="2A5A05BF"/>
    <w:rsid w:val="2A5F2983"/>
    <w:rsid w:val="2A600C1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CE652B"/>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631C3"/>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07E12"/>
    <w:rsid w:val="2D6578A0"/>
    <w:rsid w:val="2D6B21D3"/>
    <w:rsid w:val="2D6D2389"/>
    <w:rsid w:val="2D7343C9"/>
    <w:rsid w:val="2DA20908"/>
    <w:rsid w:val="2DA30D70"/>
    <w:rsid w:val="2DB45073"/>
    <w:rsid w:val="2DB713DE"/>
    <w:rsid w:val="2DC72B92"/>
    <w:rsid w:val="2DE32BEB"/>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952B5"/>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563F8A"/>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023E"/>
    <w:rsid w:val="322A1170"/>
    <w:rsid w:val="322B51BC"/>
    <w:rsid w:val="322F26BF"/>
    <w:rsid w:val="32313F22"/>
    <w:rsid w:val="323867C0"/>
    <w:rsid w:val="32447DF8"/>
    <w:rsid w:val="324736B6"/>
    <w:rsid w:val="324C78AE"/>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A5B5D"/>
    <w:rsid w:val="32FC6C4E"/>
    <w:rsid w:val="330326BB"/>
    <w:rsid w:val="33085CC5"/>
    <w:rsid w:val="33100DE3"/>
    <w:rsid w:val="33262CBA"/>
    <w:rsid w:val="332B323C"/>
    <w:rsid w:val="332E3189"/>
    <w:rsid w:val="3333740C"/>
    <w:rsid w:val="334B4AB3"/>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E6DB1"/>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572C6"/>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227225"/>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64986"/>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A03C3"/>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47FA7"/>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044A7"/>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47DD0"/>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8C7B7B"/>
    <w:rsid w:val="49967AF4"/>
    <w:rsid w:val="499D482B"/>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970FD"/>
    <w:rsid w:val="4A1A0131"/>
    <w:rsid w:val="4A212635"/>
    <w:rsid w:val="4A2175B6"/>
    <w:rsid w:val="4A246FCD"/>
    <w:rsid w:val="4A250C92"/>
    <w:rsid w:val="4A3E56F1"/>
    <w:rsid w:val="4A3F0D79"/>
    <w:rsid w:val="4A4260CB"/>
    <w:rsid w:val="4A611E1A"/>
    <w:rsid w:val="4A7055A6"/>
    <w:rsid w:val="4A8C584B"/>
    <w:rsid w:val="4A906B51"/>
    <w:rsid w:val="4A9A17FA"/>
    <w:rsid w:val="4A9C47ED"/>
    <w:rsid w:val="4AA71D5E"/>
    <w:rsid w:val="4AAA6CA9"/>
    <w:rsid w:val="4AAC134C"/>
    <w:rsid w:val="4AC951F4"/>
    <w:rsid w:val="4AE008D2"/>
    <w:rsid w:val="4AE2639D"/>
    <w:rsid w:val="4B0B3617"/>
    <w:rsid w:val="4B110177"/>
    <w:rsid w:val="4B1525EA"/>
    <w:rsid w:val="4B245246"/>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333300"/>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925E8"/>
    <w:rsid w:val="4E8A7107"/>
    <w:rsid w:val="4E95725E"/>
    <w:rsid w:val="4E9A6CF9"/>
    <w:rsid w:val="4EA65FD0"/>
    <w:rsid w:val="4EA96F07"/>
    <w:rsid w:val="4EAD4E5F"/>
    <w:rsid w:val="4ED33DCB"/>
    <w:rsid w:val="4EE34782"/>
    <w:rsid w:val="4EE63F4F"/>
    <w:rsid w:val="4F007E65"/>
    <w:rsid w:val="4F053462"/>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0321F"/>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844624"/>
    <w:rsid w:val="508F14FF"/>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379BD"/>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966BB"/>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371BA"/>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8146D"/>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915F2"/>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846A57"/>
    <w:rsid w:val="58905FCC"/>
    <w:rsid w:val="58AD7359"/>
    <w:rsid w:val="58C07CA9"/>
    <w:rsid w:val="58C5235F"/>
    <w:rsid w:val="58CB35D4"/>
    <w:rsid w:val="58D247DD"/>
    <w:rsid w:val="58DE5A38"/>
    <w:rsid w:val="58ED2719"/>
    <w:rsid w:val="58FA7B16"/>
    <w:rsid w:val="58FB22A6"/>
    <w:rsid w:val="59003437"/>
    <w:rsid w:val="59035499"/>
    <w:rsid w:val="59182EE7"/>
    <w:rsid w:val="591D7A2A"/>
    <w:rsid w:val="5921119F"/>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440B"/>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62370B"/>
    <w:rsid w:val="5F683CCB"/>
    <w:rsid w:val="5F792AFF"/>
    <w:rsid w:val="5F826595"/>
    <w:rsid w:val="5F901AC8"/>
    <w:rsid w:val="5F993F7A"/>
    <w:rsid w:val="5FA342D5"/>
    <w:rsid w:val="5FA40581"/>
    <w:rsid w:val="5FB4440F"/>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0CBA"/>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02D1"/>
    <w:rsid w:val="61E73697"/>
    <w:rsid w:val="61EE3162"/>
    <w:rsid w:val="61F62056"/>
    <w:rsid w:val="620208E6"/>
    <w:rsid w:val="62074A2F"/>
    <w:rsid w:val="620E46C5"/>
    <w:rsid w:val="620F37AC"/>
    <w:rsid w:val="621536B2"/>
    <w:rsid w:val="621C707C"/>
    <w:rsid w:val="621E0130"/>
    <w:rsid w:val="62271A32"/>
    <w:rsid w:val="62292F8A"/>
    <w:rsid w:val="622A09DE"/>
    <w:rsid w:val="622A199E"/>
    <w:rsid w:val="622D74F5"/>
    <w:rsid w:val="6245212D"/>
    <w:rsid w:val="6245710A"/>
    <w:rsid w:val="624B2E9D"/>
    <w:rsid w:val="624F2006"/>
    <w:rsid w:val="62504ABA"/>
    <w:rsid w:val="62510C1A"/>
    <w:rsid w:val="62550B75"/>
    <w:rsid w:val="625C5461"/>
    <w:rsid w:val="62607DE0"/>
    <w:rsid w:val="626506AE"/>
    <w:rsid w:val="626F13F7"/>
    <w:rsid w:val="62757089"/>
    <w:rsid w:val="627C139F"/>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B62C3"/>
    <w:rsid w:val="656E6D13"/>
    <w:rsid w:val="65792400"/>
    <w:rsid w:val="65990AED"/>
    <w:rsid w:val="65A5311F"/>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0363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72E22"/>
    <w:rsid w:val="671F2137"/>
    <w:rsid w:val="67256725"/>
    <w:rsid w:val="672C3BD3"/>
    <w:rsid w:val="67441F0C"/>
    <w:rsid w:val="674465E9"/>
    <w:rsid w:val="67456CEF"/>
    <w:rsid w:val="67594618"/>
    <w:rsid w:val="675B3954"/>
    <w:rsid w:val="675F4E37"/>
    <w:rsid w:val="676B6466"/>
    <w:rsid w:val="6776404D"/>
    <w:rsid w:val="678C2521"/>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57495"/>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1614"/>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737C7F"/>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35585"/>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72ACD"/>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2FE4B93"/>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20E05"/>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B8340E"/>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8666B"/>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23F5B"/>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BC2C91"/>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85911"/>
    <w:rsid w:val="7EEB5BB3"/>
    <w:rsid w:val="7EF05AD7"/>
    <w:rsid w:val="7EFA2ADA"/>
    <w:rsid w:val="7F1568D7"/>
    <w:rsid w:val="7F297DAB"/>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semiHidden/>
    <w:qFormat/>
    <w:uiPriority w:val="0"/>
    <w:rPr>
      <w:rFonts w:ascii="仿宋" w:hAnsi="仿宋" w:eastAsia="仿宋" w:cs="仿宋"/>
      <w:sz w:val="35"/>
      <w:szCs w:val="35"/>
      <w:lang w:eastAsia="en-US"/>
    </w:rPr>
  </w:style>
  <w:style w:type="paragraph" w:styleId="4">
    <w:name w:val="Body Text Indent 2"/>
    <w:basedOn w:val="1"/>
    <w:qFormat/>
    <w:uiPriority w:val="0"/>
    <w:pPr>
      <w:spacing w:after="12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Cs w:val="21"/>
      <w:lang w:eastAsia="en-US"/>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7428</Words>
  <Characters>7867</Characters>
  <Lines>57</Lines>
  <Paragraphs>16</Paragraphs>
  <TotalTime>0</TotalTime>
  <ScaleCrop>false</ScaleCrop>
  <LinksUpToDate>false</LinksUpToDate>
  <CharactersWithSpaces>7926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cp:lastPrinted>2025-06-30T07:19:00Z</cp:lastPrinted>
  <dcterms:modified xsi:type="dcterms:W3CDTF">2026-08-24T02:09:27Z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47AE613C0723421F98F35D2EA2CC2427_13</vt:lpwstr>
  </property>
  <property fmtid="{D5CDD505-2E9C-101B-9397-08002B2CF9AE}" pid="4" name="KSOTemplateDocerSaveRecord">
    <vt:lpwstr>eyJoZGlkIjoiM2ExM2I1Y2E5MTg1NzJhN2FkNjlmNDg5OTI5OGY3ZTQiLCJ1c2VySWQiOiI0MTQ2OTI3NDEifQ==</vt:lpwstr>
  </property>
</Properties>
</file>