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岳阳市岳阳楼区奇家岭街道办事处</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0.29</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0.29</w:t>
            </w: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highlight w:val="none"/>
              </w:rPr>
            </w:pPr>
            <w:r>
              <w:rPr>
                <w:rFonts w:hint="eastAsia" w:ascii="宋体" w:hAnsi="宋体" w:eastAsia="宋体" w:cs="宋体"/>
                <w:color w:val="000000"/>
                <w:spacing w:val="19"/>
                <w:sz w:val="24"/>
                <w:szCs w:val="24"/>
                <w:highlight w:val="none"/>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2073.70</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499</w:t>
            </w:r>
            <w:bookmarkStart w:id="0" w:name="_GoBack"/>
            <w:bookmarkEnd w:id="0"/>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none"/>
                <w:lang w:val="en-US" w:eastAsia="zh-CN"/>
              </w:rPr>
              <w:t>1782.44</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27</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none"/>
                <w:lang w:val="en-US" w:eastAsia="zh-CN"/>
              </w:rPr>
              <w:t>27</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highlight w:val="none"/>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472</w:t>
            </w: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none"/>
                <w:lang w:val="en-US" w:eastAsia="zh-CN"/>
              </w:rPr>
              <w:t>451.51</w:t>
            </w: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3、</w:t>
            </w:r>
            <w:r>
              <w:rPr>
                <w:rFonts w:hint="eastAsia" w:ascii="宋体" w:hAnsi="宋体" w:eastAsia="宋体" w:cs="宋体"/>
                <w:color w:val="000000"/>
                <w:spacing w:val="1"/>
                <w:sz w:val="24"/>
                <w:szCs w:val="24"/>
                <w:highlight w:val="none"/>
                <w:lang w:val="en-US" w:eastAsia="zh-CN"/>
              </w:rPr>
              <w:t>本级</w:t>
            </w:r>
            <w:r>
              <w:rPr>
                <w:rFonts w:hint="eastAsia" w:ascii="宋体" w:hAnsi="宋体" w:eastAsia="宋体" w:cs="宋体"/>
                <w:color w:val="000000"/>
                <w:spacing w:val="1"/>
                <w:sz w:val="24"/>
                <w:szCs w:val="24"/>
                <w:highlight w:val="none"/>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highlight w:val="none"/>
                <w:lang w:val="en-US" w:eastAsia="zh-CN" w:bidi="ar-SA"/>
              </w:rPr>
            </w:pP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highlight w:val="none"/>
                <w:lang w:val="en-US" w:eastAsia="zh-CN"/>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highlight w:val="yellow"/>
                <w:lang w:val="en-US" w:eastAsia="zh-CN"/>
              </w:rPr>
            </w:pP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701.87</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147.6</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970.01</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53.81</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15</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53.5</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26.99</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26.5</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23.6</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2.68</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1224.95</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282.6</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1059.33</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42CB36F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CABAAE0">
      <w:pPr>
        <w:spacing w:before="64" w:line="230" w:lineRule="auto"/>
        <w:rPr>
          <w:rFonts w:hint="eastAsia" w:ascii="宋体" w:hAnsi="宋体" w:eastAsia="宋体" w:cs="宋体"/>
          <w:color w:val="000000"/>
          <w:spacing w:val="0"/>
          <w:position w:val="0"/>
          <w:sz w:val="23"/>
          <w:szCs w:val="23"/>
        </w:rPr>
      </w:pP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岳阳市岳阳楼区奇家岭街道办事处</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1891.45</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4578.01</w:t>
            </w:r>
          </w:p>
        </w:tc>
        <w:tc>
          <w:tcPr>
            <w:tcW w:w="1286" w:type="dxa"/>
            <w:vAlign w:val="center"/>
          </w:tcPr>
          <w:p w14:paraId="3E29C04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4578.01</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100%</w:t>
            </w:r>
          </w:p>
        </w:tc>
        <w:tc>
          <w:tcPr>
            <w:tcW w:w="1450" w:type="dxa"/>
            <w:vAlign w:val="center"/>
          </w:tcPr>
          <w:p w14:paraId="6CA57E7D">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10</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4517.38</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2795.58</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1782.44</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60.63</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2CA2C43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推进产城融合，提升发展成色，加速重点项目，加优营商环境，加力财源建设。推进城市治理，擦亮生态绿色，优化城市管理，竭力禁违治违，打造生态名片。推进民生服务，厚植民生底色，大兴民生福祉，深化基层治理，守护大局稳定。推进队伍建设，淬炼组织红色，要加强能效管理，要优化工作作风，要严格纪律规矩。</w:t>
            </w:r>
          </w:p>
        </w:tc>
        <w:tc>
          <w:tcPr>
            <w:tcW w:w="4210" w:type="dxa"/>
            <w:gridSpan w:val="4"/>
            <w:vAlign w:val="center"/>
          </w:tcPr>
          <w:p w14:paraId="68748D6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全年修缮村组、小区路灯219盏。定期走访重点税源企业12家、20余次。商会会员单位达80余家。帮助55户脱贫户人均年收入从8000元增至10000元整治占用耕地图斑6个，复耕复垦撂荒耕地62亩。新申报乡村振兴项目3个。清理陈年垃圾、建筑垃圾3200余吨。对高龄老人、独居老人等重点人群开展“敲门入户”五进、五看、五嘱咐行动，共走访326户、发放宣传手册326份。居住性危房“四原”重建11户，在全区率先零补偿拆除烟囱5个。累计拆除涉水违法建设62处、面积约1.8万平方米。进网格开展学习宣讲活动40余次。围绕巡视巡察、环保督察反馈意见，召开专题会议8次。新增就业劳动力400余人。奇家社区便民服务中心已投入使用，快速推进理工东院家属区旧改项目等20个旧改配套项目拟如期竣工验收。用“群英断是非”工作法，超前化解矛盾纠纷13个，及时稳控华泰小区、肖家咀、大寨田88号住户、南北港河业主等重点群体，持续实现特护期和敏感期赴省进京“零上访”目标。认真处置省委巡视组交办信访件，成功办结3件，包案领导见面率100%，处理结果群众满意度100%。持续推进学习贯彻习近平新时代中国特色社会主义思想和党的二十大精神往深里做、往心里走、往实里抓，进机关、进校园、进网格开展学习宣讲活动40余次，开展书记讲党课2次，集中研讨4次，举办青年读书分享会1场。扎实推进殡葬秩序整治工作，领导干部全员签订殡葬秩序整治工作承诺书，开展移风易俗微宣讲5场，劝导文明治丧12户，大力弘扬绿色文明殡葬新风。</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tcBorders>
              <w:top w:val="single" w:color="auto" w:sz="4" w:space="0"/>
              <w:left w:val="single" w:color="auto" w:sz="4" w:space="0"/>
              <w:bottom w:val="single" w:color="auto" w:sz="4" w:space="0"/>
              <w:right w:val="single" w:color="auto" w:sz="4" w:space="0"/>
            </w:tcBorders>
            <w:vAlign w:val="center"/>
          </w:tcPr>
          <w:p w14:paraId="137D322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绩效指标</w:t>
            </w:r>
          </w:p>
        </w:tc>
        <w:tc>
          <w:tcPr>
            <w:tcW w:w="944"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1053"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580"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12" w:type="dxa"/>
            <w:vAlign w:val="center"/>
          </w:tcPr>
          <w:p w14:paraId="497676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86" w:type="dxa"/>
            <w:vAlign w:val="center"/>
          </w:tcPr>
          <w:p w14:paraId="544294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35" w:type="dxa"/>
            <w:vAlign w:val="center"/>
          </w:tcPr>
          <w:p w14:paraId="36EBB5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分值</w:t>
            </w:r>
          </w:p>
        </w:tc>
        <w:tc>
          <w:tcPr>
            <w:tcW w:w="739" w:type="dxa"/>
            <w:vAlign w:val="center"/>
          </w:tcPr>
          <w:p w14:paraId="60CCFA8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得分</w:t>
            </w:r>
          </w:p>
        </w:tc>
        <w:tc>
          <w:tcPr>
            <w:tcW w:w="1450" w:type="dxa"/>
            <w:vAlign w:val="center"/>
          </w:tcPr>
          <w:p w14:paraId="4A7EF8E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vAlign w:val="center"/>
          </w:tcPr>
          <w:p w14:paraId="772A401E">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绩效指标</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整治占用耕地图斑</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复耕复垦撂荒耕地不低于50亩</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整治占用耕地图斑6个，复耕复垦撂荒耕地62亩</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344427C2">
            <w:pPr>
              <w:jc w:val="center"/>
              <w:rPr>
                <w:rFonts w:hint="eastAsia" w:ascii="宋体" w:hAnsi="宋体" w:eastAsia="宋体" w:cs="宋体"/>
                <w:sz w:val="21"/>
                <w:szCs w:val="21"/>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9D92466">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F335145">
            <w:pPr>
              <w:rPr>
                <w:rFonts w:hint="eastAsia" w:ascii="宋体" w:hAnsi="宋体" w:eastAsia="宋体" w:cs="宋体"/>
                <w:sz w:val="21"/>
                <w:szCs w:val="21"/>
              </w:rPr>
            </w:pP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落实“七联七包”制度，实行税收监测制度</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定期走访重点税源企业不少于10家、20次</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定期走访重点税源企业12家、20余次</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CFB14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765037">
            <w:pPr>
              <w:rPr>
                <w:rFonts w:hint="eastAsia" w:ascii="宋体" w:hAnsi="宋体" w:eastAsia="宋体" w:cs="宋体"/>
                <w:sz w:val="21"/>
                <w:szCs w:val="21"/>
              </w:rPr>
            </w:pP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加力促进脱贫人口收入持续增长，帮助55户脱贫户人均年收入</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年收入收入不低于8000元</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帮助55户脱贫户人均年收入从8000元增至10000元</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5EADC4FF">
            <w:pPr>
              <w:jc w:val="center"/>
              <w:rPr>
                <w:rFonts w:hint="eastAsia" w:ascii="宋体" w:hAnsi="宋体" w:eastAsia="宋体" w:cs="宋体"/>
                <w:sz w:val="21"/>
                <w:szCs w:val="21"/>
              </w:rPr>
            </w:pPr>
          </w:p>
        </w:tc>
      </w:tr>
      <w:tr w14:paraId="16984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6CDCA2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B126318">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1E70018">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37509A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推进寓外乡友数据库建设、湘商回归、市场主体倍增等工程，积极筹建奇家岭街道商会</w:t>
            </w:r>
          </w:p>
        </w:tc>
        <w:tc>
          <w:tcPr>
            <w:tcW w:w="1212" w:type="dxa"/>
            <w:vAlign w:val="center"/>
          </w:tcPr>
          <w:p w14:paraId="0246A1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会员单位不少于70家</w:t>
            </w:r>
          </w:p>
        </w:tc>
        <w:tc>
          <w:tcPr>
            <w:tcW w:w="1286" w:type="dxa"/>
            <w:vAlign w:val="center"/>
          </w:tcPr>
          <w:p w14:paraId="6AF55F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会员单位达80余家</w:t>
            </w:r>
          </w:p>
        </w:tc>
        <w:tc>
          <w:tcPr>
            <w:tcW w:w="735" w:type="dxa"/>
            <w:shd w:val="clear" w:color="auto" w:fill="auto"/>
            <w:vAlign w:val="center"/>
          </w:tcPr>
          <w:p w14:paraId="009624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79E018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59997ABC">
            <w:pPr>
              <w:jc w:val="center"/>
              <w:rPr>
                <w:rFonts w:hint="eastAsia" w:ascii="宋体" w:hAnsi="宋体" w:eastAsia="宋体" w:cs="宋体"/>
                <w:sz w:val="21"/>
                <w:szCs w:val="21"/>
              </w:rPr>
            </w:pPr>
          </w:p>
        </w:tc>
      </w:tr>
      <w:tr w14:paraId="0F633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3DA55E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74F2E80">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326CA6BD">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354FE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修缮村组、小区路灯</w:t>
            </w:r>
          </w:p>
        </w:tc>
        <w:tc>
          <w:tcPr>
            <w:tcW w:w="1212" w:type="dxa"/>
            <w:vAlign w:val="center"/>
          </w:tcPr>
          <w:p w14:paraId="7DB52C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修缮村组、小区路灯不低于200盏</w:t>
            </w:r>
          </w:p>
        </w:tc>
        <w:tc>
          <w:tcPr>
            <w:tcW w:w="1286" w:type="dxa"/>
            <w:vAlign w:val="center"/>
          </w:tcPr>
          <w:p w14:paraId="0B708B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修缮村组、小区路灯219盏</w:t>
            </w:r>
          </w:p>
        </w:tc>
        <w:tc>
          <w:tcPr>
            <w:tcW w:w="735" w:type="dxa"/>
            <w:shd w:val="clear" w:color="auto" w:fill="auto"/>
            <w:vAlign w:val="center"/>
          </w:tcPr>
          <w:p w14:paraId="4272BF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44562E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2E522F28">
            <w:pPr>
              <w:jc w:val="center"/>
              <w:rPr>
                <w:rFonts w:hint="eastAsia" w:ascii="宋体" w:hAnsi="宋体" w:eastAsia="宋体" w:cs="宋体"/>
                <w:sz w:val="21"/>
                <w:szCs w:val="21"/>
              </w:rPr>
            </w:pPr>
          </w:p>
        </w:tc>
      </w:tr>
      <w:tr w14:paraId="50E16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AF890DA">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451EA16">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3A7DF388">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1DE29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加大力度推动仓田美丽屋场建设</w:t>
            </w:r>
          </w:p>
        </w:tc>
        <w:tc>
          <w:tcPr>
            <w:tcW w:w="1212" w:type="dxa"/>
            <w:vAlign w:val="center"/>
          </w:tcPr>
          <w:p w14:paraId="128D96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新申报乡村振兴项目不低于2个</w:t>
            </w:r>
          </w:p>
        </w:tc>
        <w:tc>
          <w:tcPr>
            <w:tcW w:w="1286" w:type="dxa"/>
            <w:vAlign w:val="center"/>
          </w:tcPr>
          <w:p w14:paraId="23C76B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新申报乡村振兴项目3个</w:t>
            </w:r>
          </w:p>
        </w:tc>
        <w:tc>
          <w:tcPr>
            <w:tcW w:w="735" w:type="dxa"/>
            <w:shd w:val="clear" w:color="auto" w:fill="auto"/>
            <w:vAlign w:val="center"/>
          </w:tcPr>
          <w:p w14:paraId="0E64BF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32F801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30ACB6B9">
            <w:pPr>
              <w:jc w:val="center"/>
              <w:rPr>
                <w:rFonts w:hint="eastAsia" w:ascii="宋体" w:hAnsi="宋体" w:eastAsia="宋体" w:cs="宋体"/>
                <w:sz w:val="21"/>
                <w:szCs w:val="21"/>
              </w:rPr>
            </w:pPr>
          </w:p>
        </w:tc>
      </w:tr>
      <w:tr w14:paraId="6770F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807BEF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9133DED">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8867281">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430352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全力以赴抓好国家文明卫生城市建设工作，聚焦市容市貌、市场环境</w:t>
            </w:r>
          </w:p>
        </w:tc>
        <w:tc>
          <w:tcPr>
            <w:tcW w:w="1212" w:type="dxa"/>
            <w:vAlign w:val="center"/>
          </w:tcPr>
          <w:p w14:paraId="6824E9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清理陈年垃圾、建筑垃圾不低于3000余吨</w:t>
            </w:r>
          </w:p>
        </w:tc>
        <w:tc>
          <w:tcPr>
            <w:tcW w:w="1286" w:type="dxa"/>
            <w:vAlign w:val="center"/>
          </w:tcPr>
          <w:p w14:paraId="11C0D2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清理陈年垃圾、建筑垃圾3200余吨</w:t>
            </w:r>
          </w:p>
        </w:tc>
        <w:tc>
          <w:tcPr>
            <w:tcW w:w="735" w:type="dxa"/>
            <w:shd w:val="clear" w:color="auto" w:fill="auto"/>
            <w:vAlign w:val="center"/>
          </w:tcPr>
          <w:p w14:paraId="4FDD65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560471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689B80CA">
            <w:pPr>
              <w:jc w:val="center"/>
              <w:rPr>
                <w:rFonts w:hint="eastAsia" w:ascii="宋体" w:hAnsi="宋体" w:eastAsia="宋体" w:cs="宋体"/>
                <w:sz w:val="21"/>
                <w:szCs w:val="21"/>
              </w:rPr>
            </w:pPr>
          </w:p>
        </w:tc>
      </w:tr>
      <w:tr w14:paraId="1757D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920A592">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C316DA9">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30229D97">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538CDC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扛牢“守护好一江碧水”的政治责任，巩固提升南北港河流域综合治理成效，</w:t>
            </w:r>
          </w:p>
        </w:tc>
        <w:tc>
          <w:tcPr>
            <w:tcW w:w="1212" w:type="dxa"/>
            <w:vAlign w:val="center"/>
          </w:tcPr>
          <w:p w14:paraId="34FB5B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累计拆除涉水违法建设不低于60处、面积不低于1.5万平方米</w:t>
            </w:r>
          </w:p>
        </w:tc>
        <w:tc>
          <w:tcPr>
            <w:tcW w:w="1286" w:type="dxa"/>
            <w:vAlign w:val="center"/>
          </w:tcPr>
          <w:p w14:paraId="0B9D34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累计拆除涉水违法建设62处、面积约1.8万平方米</w:t>
            </w:r>
          </w:p>
        </w:tc>
        <w:tc>
          <w:tcPr>
            <w:tcW w:w="735" w:type="dxa"/>
            <w:shd w:val="clear" w:color="auto" w:fill="auto"/>
            <w:vAlign w:val="center"/>
          </w:tcPr>
          <w:p w14:paraId="121B2B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006216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17B50BA1">
            <w:pPr>
              <w:jc w:val="center"/>
              <w:rPr>
                <w:rFonts w:hint="eastAsia" w:ascii="宋体" w:hAnsi="宋体" w:eastAsia="宋体" w:cs="宋体"/>
                <w:sz w:val="21"/>
                <w:szCs w:val="21"/>
              </w:rPr>
            </w:pPr>
          </w:p>
        </w:tc>
      </w:tr>
      <w:tr w14:paraId="11448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4EE0BFB">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F6DCB2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4B65CD94">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6B7411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持续推进学习贯彻习近平新时代中国特色社会主义思想和党的二十大精神</w:t>
            </w:r>
          </w:p>
        </w:tc>
        <w:tc>
          <w:tcPr>
            <w:tcW w:w="1212" w:type="dxa"/>
            <w:vAlign w:val="center"/>
          </w:tcPr>
          <w:p w14:paraId="645955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进网格开展学习宣讲活动不少于30余次</w:t>
            </w:r>
          </w:p>
        </w:tc>
        <w:tc>
          <w:tcPr>
            <w:tcW w:w="1286" w:type="dxa"/>
            <w:vAlign w:val="center"/>
          </w:tcPr>
          <w:p w14:paraId="292817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进网格开展学习宣讲活动40余次</w:t>
            </w:r>
          </w:p>
        </w:tc>
        <w:tc>
          <w:tcPr>
            <w:tcW w:w="735" w:type="dxa"/>
            <w:shd w:val="clear" w:color="auto" w:fill="auto"/>
            <w:vAlign w:val="center"/>
          </w:tcPr>
          <w:p w14:paraId="00031F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1AE5FA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44AC0C41">
            <w:pPr>
              <w:jc w:val="center"/>
              <w:rPr>
                <w:rFonts w:hint="eastAsia" w:ascii="宋体" w:hAnsi="宋体" w:eastAsia="宋体" w:cs="宋体"/>
                <w:sz w:val="21"/>
                <w:szCs w:val="21"/>
              </w:rPr>
            </w:pPr>
          </w:p>
        </w:tc>
      </w:tr>
      <w:tr w14:paraId="0BA22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F64CD8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B2326ED">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BFED501">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6B449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推进作风建设常态化长效化；围绕巡视巡察、环保督察反馈意见</w:t>
            </w:r>
          </w:p>
        </w:tc>
        <w:tc>
          <w:tcPr>
            <w:tcW w:w="1212" w:type="dxa"/>
            <w:vAlign w:val="center"/>
          </w:tcPr>
          <w:p w14:paraId="031A45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围绕巡视巡察、环保督察反馈意见，召开专题会议不低于5次，</w:t>
            </w:r>
          </w:p>
        </w:tc>
        <w:tc>
          <w:tcPr>
            <w:tcW w:w="1286" w:type="dxa"/>
            <w:vAlign w:val="center"/>
          </w:tcPr>
          <w:p w14:paraId="5A93C6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围绕巡视巡察、环保督察反馈意见，召开专题会议8次，</w:t>
            </w:r>
          </w:p>
        </w:tc>
        <w:tc>
          <w:tcPr>
            <w:tcW w:w="735" w:type="dxa"/>
            <w:shd w:val="clear" w:color="auto" w:fill="auto"/>
            <w:vAlign w:val="center"/>
          </w:tcPr>
          <w:p w14:paraId="619F8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31AF8B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090CE66E">
            <w:pPr>
              <w:jc w:val="center"/>
              <w:rPr>
                <w:rFonts w:hint="eastAsia" w:ascii="宋体" w:hAnsi="宋体" w:eastAsia="宋体" w:cs="宋体"/>
                <w:sz w:val="21"/>
                <w:szCs w:val="21"/>
              </w:rPr>
            </w:pPr>
          </w:p>
        </w:tc>
      </w:tr>
      <w:tr w14:paraId="54FBB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EB17A39">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E50FE0D">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61686FE">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B8E7E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稳定和扩大就业</w:t>
            </w:r>
          </w:p>
        </w:tc>
        <w:tc>
          <w:tcPr>
            <w:tcW w:w="1212" w:type="dxa"/>
            <w:vAlign w:val="center"/>
          </w:tcPr>
          <w:p w14:paraId="27856E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新增就业劳动力不低于300人</w:t>
            </w:r>
          </w:p>
        </w:tc>
        <w:tc>
          <w:tcPr>
            <w:tcW w:w="1286" w:type="dxa"/>
            <w:vAlign w:val="center"/>
          </w:tcPr>
          <w:p w14:paraId="69312C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新增就业劳动力400余人</w:t>
            </w:r>
          </w:p>
        </w:tc>
        <w:tc>
          <w:tcPr>
            <w:tcW w:w="735" w:type="dxa"/>
            <w:shd w:val="clear" w:color="auto" w:fill="auto"/>
            <w:vAlign w:val="center"/>
          </w:tcPr>
          <w:p w14:paraId="3D08A9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770BD5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54C429AD">
            <w:pPr>
              <w:jc w:val="center"/>
              <w:rPr>
                <w:rFonts w:hint="eastAsia" w:ascii="宋体" w:hAnsi="宋体" w:eastAsia="宋体" w:cs="宋体"/>
                <w:sz w:val="21"/>
                <w:szCs w:val="21"/>
              </w:rPr>
            </w:pPr>
          </w:p>
        </w:tc>
      </w:tr>
      <w:tr w14:paraId="27B29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2F249B6">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B066317">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E3CB0B3">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73C6EA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严守生产、信访、生态安全，实现高质量发展和高水平安全协同推进</w:t>
            </w:r>
          </w:p>
        </w:tc>
        <w:tc>
          <w:tcPr>
            <w:tcW w:w="1212" w:type="dxa"/>
            <w:vAlign w:val="center"/>
          </w:tcPr>
          <w:p w14:paraId="004B83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对高龄老人、独居老人等重点人群开展“敲门入户”五进、五看、五嘱咐行动，走访不低于300户、发放宣传手册不低于300份</w:t>
            </w:r>
          </w:p>
        </w:tc>
        <w:tc>
          <w:tcPr>
            <w:tcW w:w="1286" w:type="dxa"/>
            <w:vAlign w:val="center"/>
          </w:tcPr>
          <w:p w14:paraId="416A5E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对高龄老人、独居老人等重点人群开展“敲门入户”五进、五看、五嘱咐行动，共走访326户、发放宣传手册326份</w:t>
            </w:r>
          </w:p>
        </w:tc>
        <w:tc>
          <w:tcPr>
            <w:tcW w:w="735" w:type="dxa"/>
            <w:shd w:val="clear" w:color="auto" w:fill="auto"/>
            <w:vAlign w:val="center"/>
          </w:tcPr>
          <w:p w14:paraId="16139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1731EB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37D0D027">
            <w:pPr>
              <w:jc w:val="center"/>
              <w:rPr>
                <w:rFonts w:hint="eastAsia" w:ascii="宋体" w:hAnsi="宋体" w:eastAsia="宋体" w:cs="宋体"/>
                <w:sz w:val="21"/>
                <w:szCs w:val="21"/>
              </w:rPr>
            </w:pPr>
          </w:p>
        </w:tc>
      </w:tr>
      <w:tr w14:paraId="1AB85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A4206B3">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1482510">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A09F684">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428C2D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自建房安全监测整治等工作，辖区范围内经营性C、D级危房全部销号</w:t>
            </w:r>
          </w:p>
        </w:tc>
        <w:tc>
          <w:tcPr>
            <w:tcW w:w="1212" w:type="dxa"/>
            <w:vAlign w:val="center"/>
          </w:tcPr>
          <w:p w14:paraId="1B5E22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零补偿拆除烟囱5个</w:t>
            </w:r>
          </w:p>
        </w:tc>
        <w:tc>
          <w:tcPr>
            <w:tcW w:w="1286" w:type="dxa"/>
            <w:vAlign w:val="center"/>
          </w:tcPr>
          <w:p w14:paraId="54691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居住性危房“四原”重建11户，在全区率先零补偿拆除烟囱5个</w:t>
            </w:r>
          </w:p>
        </w:tc>
        <w:tc>
          <w:tcPr>
            <w:tcW w:w="735" w:type="dxa"/>
            <w:shd w:val="clear" w:color="auto" w:fill="auto"/>
            <w:vAlign w:val="center"/>
          </w:tcPr>
          <w:p w14:paraId="35FB48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2A7D7A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3EC1AD22">
            <w:pPr>
              <w:jc w:val="center"/>
              <w:rPr>
                <w:rFonts w:hint="eastAsia" w:ascii="宋体" w:hAnsi="宋体" w:eastAsia="宋体" w:cs="宋体"/>
                <w:sz w:val="21"/>
                <w:szCs w:val="21"/>
              </w:rPr>
            </w:pPr>
          </w:p>
        </w:tc>
      </w:tr>
      <w:tr w14:paraId="3BCEB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3623DC2">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B3A264D">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0FF09F3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2FE165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公共财政支出进度</w:t>
            </w:r>
          </w:p>
        </w:tc>
        <w:tc>
          <w:tcPr>
            <w:tcW w:w="1212" w:type="dxa"/>
            <w:vAlign w:val="center"/>
          </w:tcPr>
          <w:p w14:paraId="20141C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48C50E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2096E6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153140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024B9356">
            <w:pPr>
              <w:jc w:val="center"/>
              <w:rPr>
                <w:rFonts w:hint="eastAsia" w:ascii="宋体" w:hAnsi="宋体" w:eastAsia="宋体" w:cs="宋体"/>
                <w:sz w:val="21"/>
                <w:szCs w:val="21"/>
              </w:rPr>
            </w:pPr>
          </w:p>
        </w:tc>
      </w:tr>
      <w:tr w14:paraId="17ABA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421CA46">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8705CC7">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2ADBAE59">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389AFA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财政收入增速</w:t>
            </w:r>
          </w:p>
        </w:tc>
        <w:tc>
          <w:tcPr>
            <w:tcW w:w="1212" w:type="dxa"/>
            <w:vAlign w:val="center"/>
          </w:tcPr>
          <w:p w14:paraId="7348F8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高于财政收入增速</w:t>
            </w:r>
          </w:p>
        </w:tc>
        <w:tc>
          <w:tcPr>
            <w:tcW w:w="1286" w:type="dxa"/>
            <w:vAlign w:val="center"/>
          </w:tcPr>
          <w:p w14:paraId="06759F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持续</w:t>
            </w:r>
          </w:p>
        </w:tc>
        <w:tc>
          <w:tcPr>
            <w:tcW w:w="735" w:type="dxa"/>
            <w:shd w:val="clear" w:color="auto" w:fill="auto"/>
            <w:vAlign w:val="center"/>
          </w:tcPr>
          <w:p w14:paraId="54627C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11C218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17B36212">
            <w:pPr>
              <w:jc w:val="center"/>
              <w:rPr>
                <w:rFonts w:hint="eastAsia" w:ascii="宋体" w:hAnsi="宋体" w:eastAsia="宋体" w:cs="宋体"/>
                <w:sz w:val="21"/>
                <w:szCs w:val="21"/>
              </w:rPr>
            </w:pPr>
          </w:p>
        </w:tc>
      </w:tr>
      <w:tr w14:paraId="5B7C0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0005412">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36C4FFF">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5CE5EE4">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DD807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低保金发放率</w:t>
            </w:r>
          </w:p>
        </w:tc>
        <w:tc>
          <w:tcPr>
            <w:tcW w:w="1212" w:type="dxa"/>
            <w:vAlign w:val="center"/>
          </w:tcPr>
          <w:p w14:paraId="289280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低保金发放率达到100%</w:t>
            </w:r>
          </w:p>
        </w:tc>
        <w:tc>
          <w:tcPr>
            <w:tcW w:w="1286" w:type="dxa"/>
            <w:vAlign w:val="center"/>
          </w:tcPr>
          <w:p w14:paraId="24763D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6DF172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03D740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49852F7D">
            <w:pPr>
              <w:jc w:val="center"/>
              <w:rPr>
                <w:rFonts w:hint="eastAsia" w:ascii="宋体" w:hAnsi="宋体" w:eastAsia="宋体" w:cs="宋体"/>
                <w:sz w:val="21"/>
                <w:szCs w:val="21"/>
              </w:rPr>
            </w:pPr>
          </w:p>
        </w:tc>
      </w:tr>
      <w:tr w14:paraId="16EFD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D79BACA">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4C45382">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39D29B6A">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0757F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完成城镇居民医保征缴率</w:t>
            </w:r>
          </w:p>
        </w:tc>
        <w:tc>
          <w:tcPr>
            <w:tcW w:w="1212" w:type="dxa"/>
            <w:vAlign w:val="center"/>
          </w:tcPr>
          <w:p w14:paraId="4434FE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286" w:type="dxa"/>
            <w:vAlign w:val="center"/>
          </w:tcPr>
          <w:p w14:paraId="71B861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95%</w:t>
            </w:r>
          </w:p>
        </w:tc>
        <w:tc>
          <w:tcPr>
            <w:tcW w:w="735" w:type="dxa"/>
            <w:shd w:val="clear" w:color="auto" w:fill="auto"/>
            <w:vAlign w:val="center"/>
          </w:tcPr>
          <w:p w14:paraId="21BDAC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6B472D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197A284F">
            <w:pPr>
              <w:jc w:val="center"/>
              <w:rPr>
                <w:rFonts w:hint="eastAsia" w:ascii="宋体" w:hAnsi="宋体" w:eastAsia="宋体" w:cs="宋体"/>
                <w:sz w:val="21"/>
                <w:szCs w:val="21"/>
              </w:rPr>
            </w:pPr>
          </w:p>
        </w:tc>
      </w:tr>
      <w:tr w14:paraId="34567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ED5418F">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8186411">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019A301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45EDAE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工资发放及时率</w:t>
            </w:r>
          </w:p>
        </w:tc>
        <w:tc>
          <w:tcPr>
            <w:tcW w:w="1212" w:type="dxa"/>
            <w:vAlign w:val="center"/>
          </w:tcPr>
          <w:p w14:paraId="7D21E0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每月15日前足额发放</w:t>
            </w:r>
          </w:p>
        </w:tc>
        <w:tc>
          <w:tcPr>
            <w:tcW w:w="1286" w:type="dxa"/>
            <w:vAlign w:val="center"/>
          </w:tcPr>
          <w:p w14:paraId="052BAA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定时</w:t>
            </w:r>
          </w:p>
        </w:tc>
        <w:tc>
          <w:tcPr>
            <w:tcW w:w="735" w:type="dxa"/>
            <w:shd w:val="clear" w:color="auto" w:fill="auto"/>
            <w:vAlign w:val="center"/>
          </w:tcPr>
          <w:p w14:paraId="32080E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270D3C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55FD424C">
            <w:pPr>
              <w:jc w:val="center"/>
              <w:rPr>
                <w:rFonts w:hint="eastAsia" w:ascii="宋体" w:hAnsi="宋体" w:eastAsia="宋体" w:cs="宋体"/>
                <w:sz w:val="21"/>
                <w:szCs w:val="21"/>
              </w:rPr>
            </w:pPr>
          </w:p>
        </w:tc>
      </w:tr>
      <w:tr w14:paraId="20047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62D6664">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5B6585B">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A931997">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360B10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12345接诉即办件处理时间</w:t>
            </w:r>
          </w:p>
        </w:tc>
        <w:tc>
          <w:tcPr>
            <w:tcW w:w="1212" w:type="dxa"/>
            <w:vAlign w:val="center"/>
          </w:tcPr>
          <w:p w14:paraId="6053D1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接到之日起2日内</w:t>
            </w:r>
          </w:p>
        </w:tc>
        <w:tc>
          <w:tcPr>
            <w:tcW w:w="1286" w:type="dxa"/>
            <w:vAlign w:val="center"/>
          </w:tcPr>
          <w:p w14:paraId="10B3C9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2D904E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39" w:type="dxa"/>
            <w:shd w:val="clear" w:color="auto" w:fill="auto"/>
            <w:vAlign w:val="center"/>
          </w:tcPr>
          <w:p w14:paraId="72FF07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450" w:type="dxa"/>
            <w:vAlign w:val="center"/>
          </w:tcPr>
          <w:p w14:paraId="0C61212C">
            <w:pPr>
              <w:jc w:val="center"/>
              <w:rPr>
                <w:rFonts w:hint="eastAsia" w:ascii="宋体" w:hAnsi="宋体" w:eastAsia="宋体" w:cs="宋体"/>
                <w:sz w:val="21"/>
                <w:szCs w:val="21"/>
              </w:rPr>
            </w:pPr>
          </w:p>
        </w:tc>
      </w:tr>
      <w:tr w14:paraId="76CBE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3D80A6C">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A14D925">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2B346BC">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35B555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预决算公开</w:t>
            </w:r>
          </w:p>
        </w:tc>
        <w:tc>
          <w:tcPr>
            <w:tcW w:w="1212" w:type="dxa"/>
            <w:vAlign w:val="center"/>
          </w:tcPr>
          <w:p w14:paraId="38CDE7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按相应公开工作时限</w:t>
            </w:r>
          </w:p>
        </w:tc>
        <w:tc>
          <w:tcPr>
            <w:tcW w:w="1286" w:type="dxa"/>
            <w:vAlign w:val="center"/>
          </w:tcPr>
          <w:p w14:paraId="439FD8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65CC9D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39" w:type="dxa"/>
            <w:shd w:val="clear" w:color="auto" w:fill="auto"/>
            <w:vAlign w:val="center"/>
          </w:tcPr>
          <w:p w14:paraId="6DFB77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450" w:type="dxa"/>
            <w:vAlign w:val="center"/>
          </w:tcPr>
          <w:p w14:paraId="316DBB83">
            <w:pPr>
              <w:jc w:val="center"/>
              <w:rPr>
                <w:rFonts w:hint="eastAsia" w:ascii="宋体" w:hAnsi="宋体" w:eastAsia="宋体" w:cs="宋体"/>
                <w:sz w:val="21"/>
                <w:szCs w:val="21"/>
              </w:rPr>
            </w:pPr>
          </w:p>
        </w:tc>
      </w:tr>
      <w:tr w14:paraId="1D4A0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E90B119">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13A5A6E">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233CD43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57C963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综合绩效</w:t>
            </w:r>
          </w:p>
        </w:tc>
        <w:tc>
          <w:tcPr>
            <w:tcW w:w="1212" w:type="dxa"/>
            <w:vAlign w:val="center"/>
          </w:tcPr>
          <w:p w14:paraId="0BBE48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提升辖区综合治理能力，积极发挥群防群治</w:t>
            </w:r>
          </w:p>
        </w:tc>
        <w:tc>
          <w:tcPr>
            <w:tcW w:w="1286" w:type="dxa"/>
            <w:vAlign w:val="center"/>
          </w:tcPr>
          <w:p w14:paraId="3B3EB0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2023年市级文明单位</w:t>
            </w:r>
          </w:p>
        </w:tc>
        <w:tc>
          <w:tcPr>
            <w:tcW w:w="735" w:type="dxa"/>
            <w:shd w:val="clear" w:color="auto" w:fill="auto"/>
            <w:vAlign w:val="center"/>
          </w:tcPr>
          <w:p w14:paraId="33BF39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4F972F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34090901">
            <w:pPr>
              <w:jc w:val="center"/>
              <w:rPr>
                <w:rFonts w:hint="eastAsia" w:ascii="宋体" w:hAnsi="宋体" w:eastAsia="宋体" w:cs="宋体"/>
                <w:sz w:val="21"/>
                <w:szCs w:val="21"/>
              </w:rPr>
            </w:pPr>
          </w:p>
        </w:tc>
      </w:tr>
      <w:tr w14:paraId="7DDC0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2DA19A3">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D011E1B">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1AFD47D">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7469E5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促进辖区内经济发展</w:t>
            </w:r>
          </w:p>
        </w:tc>
        <w:tc>
          <w:tcPr>
            <w:tcW w:w="1212" w:type="dxa"/>
            <w:vAlign w:val="center"/>
          </w:tcPr>
          <w:p w14:paraId="14B0CD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持续</w:t>
            </w:r>
          </w:p>
        </w:tc>
        <w:tc>
          <w:tcPr>
            <w:tcW w:w="1286" w:type="dxa"/>
            <w:vAlign w:val="center"/>
          </w:tcPr>
          <w:p w14:paraId="5152AE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持续</w:t>
            </w:r>
          </w:p>
        </w:tc>
        <w:tc>
          <w:tcPr>
            <w:tcW w:w="735" w:type="dxa"/>
            <w:shd w:val="clear" w:color="auto" w:fill="auto"/>
            <w:vAlign w:val="center"/>
          </w:tcPr>
          <w:p w14:paraId="55A405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3B44A6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7EDF6629">
            <w:pPr>
              <w:jc w:val="center"/>
              <w:rPr>
                <w:rFonts w:hint="eastAsia" w:ascii="宋体" w:hAnsi="宋体" w:eastAsia="宋体" w:cs="宋体"/>
                <w:sz w:val="21"/>
                <w:szCs w:val="21"/>
              </w:rPr>
            </w:pPr>
          </w:p>
        </w:tc>
      </w:tr>
      <w:tr w14:paraId="57B77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C7AC0C8">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4100A61">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69AC99D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21DC12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促进社会就业</w:t>
            </w:r>
          </w:p>
        </w:tc>
        <w:tc>
          <w:tcPr>
            <w:tcW w:w="1212" w:type="dxa"/>
            <w:vAlign w:val="center"/>
          </w:tcPr>
          <w:p w14:paraId="0B9BF5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扩大就业、改善就业</w:t>
            </w:r>
          </w:p>
        </w:tc>
        <w:tc>
          <w:tcPr>
            <w:tcW w:w="1286" w:type="dxa"/>
            <w:vAlign w:val="center"/>
          </w:tcPr>
          <w:p w14:paraId="03C64C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稳定和扩大就业，新增就业劳动力400余人</w:t>
            </w:r>
          </w:p>
        </w:tc>
        <w:tc>
          <w:tcPr>
            <w:tcW w:w="735" w:type="dxa"/>
            <w:shd w:val="clear" w:color="auto" w:fill="auto"/>
            <w:vAlign w:val="center"/>
          </w:tcPr>
          <w:p w14:paraId="2B716D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1CB308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23B90607">
            <w:pPr>
              <w:jc w:val="center"/>
              <w:rPr>
                <w:rFonts w:hint="eastAsia" w:ascii="宋体" w:hAnsi="宋体" w:eastAsia="宋体" w:cs="宋体"/>
                <w:sz w:val="21"/>
                <w:szCs w:val="21"/>
              </w:rPr>
            </w:pPr>
          </w:p>
        </w:tc>
      </w:tr>
      <w:tr w14:paraId="3A2F5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29CE12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2A526E9">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A9AA3EF">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612485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居民生活水平提高</w:t>
            </w:r>
          </w:p>
        </w:tc>
        <w:tc>
          <w:tcPr>
            <w:tcW w:w="1212" w:type="dxa"/>
            <w:vAlign w:val="center"/>
          </w:tcPr>
          <w:p w14:paraId="1A6397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改善居民居住环境</w:t>
            </w:r>
          </w:p>
        </w:tc>
        <w:tc>
          <w:tcPr>
            <w:tcW w:w="1286" w:type="dxa"/>
            <w:vAlign w:val="center"/>
          </w:tcPr>
          <w:p w14:paraId="1C08DD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奇家社区便民服务中心已投入使用，快速推进理工东院家属区旧改项目等20个旧改配套项目拟如期竣工验收</w:t>
            </w:r>
          </w:p>
        </w:tc>
        <w:tc>
          <w:tcPr>
            <w:tcW w:w="735" w:type="dxa"/>
            <w:shd w:val="clear" w:color="auto" w:fill="auto"/>
            <w:vAlign w:val="center"/>
          </w:tcPr>
          <w:p w14:paraId="705267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60CF50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18C9A0B2">
            <w:pPr>
              <w:jc w:val="center"/>
              <w:rPr>
                <w:rFonts w:hint="eastAsia" w:ascii="宋体" w:hAnsi="宋体" w:eastAsia="宋体" w:cs="宋体"/>
                <w:sz w:val="21"/>
                <w:szCs w:val="21"/>
              </w:rPr>
            </w:pPr>
          </w:p>
        </w:tc>
      </w:tr>
      <w:tr w14:paraId="573CA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6B500EC">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12F9237">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4F8D9E5">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6521EA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促进社会安稳</w:t>
            </w:r>
          </w:p>
        </w:tc>
        <w:tc>
          <w:tcPr>
            <w:tcW w:w="1212" w:type="dxa"/>
            <w:vAlign w:val="center"/>
          </w:tcPr>
          <w:p w14:paraId="70B63F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深化信访积案清零行动，严格落实“五包一”稳控责任</w:t>
            </w:r>
          </w:p>
        </w:tc>
        <w:tc>
          <w:tcPr>
            <w:tcW w:w="1286" w:type="dxa"/>
            <w:vAlign w:val="center"/>
          </w:tcPr>
          <w:p w14:paraId="65CB65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用“群英断是非”工作法，超前化解矛盾纠纷13个，及时稳控华泰小区、肖家咀、大寨田88号住户、南北港河业主等重点群体，持续实现特护期和敏感期赴省进京“零上访”目标。认真处置省委巡视组交办信访件，成功办结3件，包案领导见面率100%，处理结果群众满意度100%。</w:t>
            </w:r>
          </w:p>
        </w:tc>
        <w:tc>
          <w:tcPr>
            <w:tcW w:w="735" w:type="dxa"/>
            <w:shd w:val="clear" w:color="auto" w:fill="auto"/>
            <w:vAlign w:val="center"/>
          </w:tcPr>
          <w:p w14:paraId="0E9E85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26022B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450" w:type="dxa"/>
            <w:vAlign w:val="center"/>
          </w:tcPr>
          <w:p w14:paraId="75D0172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基层维稳工作压力大，任务重</w:t>
            </w:r>
          </w:p>
        </w:tc>
      </w:tr>
      <w:tr w14:paraId="19503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EA93E74">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1E5A9C0">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2D88CDB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549609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节能降耗</w:t>
            </w:r>
          </w:p>
        </w:tc>
        <w:tc>
          <w:tcPr>
            <w:tcW w:w="1212" w:type="dxa"/>
            <w:vAlign w:val="center"/>
          </w:tcPr>
          <w:p w14:paraId="30983A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人均用水用电同比下降</w:t>
            </w:r>
          </w:p>
        </w:tc>
        <w:tc>
          <w:tcPr>
            <w:tcW w:w="1286" w:type="dxa"/>
            <w:vAlign w:val="center"/>
          </w:tcPr>
          <w:p w14:paraId="535988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未明显下降</w:t>
            </w:r>
          </w:p>
        </w:tc>
        <w:tc>
          <w:tcPr>
            <w:tcW w:w="735" w:type="dxa"/>
            <w:shd w:val="clear" w:color="auto" w:fill="auto"/>
            <w:vAlign w:val="center"/>
          </w:tcPr>
          <w:p w14:paraId="7DC4C1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7DDE49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450" w:type="dxa"/>
            <w:vAlign w:val="center"/>
          </w:tcPr>
          <w:p w14:paraId="156F838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电费奇家岭社区卫生服务中心共同使用</w:t>
            </w:r>
          </w:p>
        </w:tc>
      </w:tr>
      <w:tr w14:paraId="0F176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6E9AF52">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8E42245">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5C18AAF">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14C30F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环境质量提升</w:t>
            </w:r>
          </w:p>
        </w:tc>
        <w:tc>
          <w:tcPr>
            <w:tcW w:w="1212" w:type="dxa"/>
            <w:vAlign w:val="center"/>
          </w:tcPr>
          <w:p w14:paraId="4DC7E8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建筑垃圾全面清理</w:t>
            </w:r>
          </w:p>
        </w:tc>
        <w:tc>
          <w:tcPr>
            <w:tcW w:w="1286" w:type="dxa"/>
            <w:vAlign w:val="center"/>
          </w:tcPr>
          <w:p w14:paraId="289271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全年共清理陈年垃圾3200吨</w:t>
            </w:r>
          </w:p>
        </w:tc>
        <w:tc>
          <w:tcPr>
            <w:tcW w:w="735" w:type="dxa"/>
            <w:shd w:val="clear" w:color="auto" w:fill="auto"/>
            <w:vAlign w:val="center"/>
          </w:tcPr>
          <w:p w14:paraId="530B2B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0F9E00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67C7575C">
            <w:pPr>
              <w:jc w:val="center"/>
              <w:rPr>
                <w:rFonts w:hint="eastAsia" w:ascii="宋体" w:hAnsi="宋体" w:eastAsia="宋体" w:cs="宋体"/>
                <w:sz w:val="21"/>
                <w:szCs w:val="21"/>
              </w:rPr>
            </w:pPr>
          </w:p>
        </w:tc>
      </w:tr>
      <w:tr w14:paraId="21FC5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7454D5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90FB6CF">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3C11BEE">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54E5AD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居民素质提升</w:t>
            </w:r>
          </w:p>
        </w:tc>
        <w:tc>
          <w:tcPr>
            <w:tcW w:w="1212" w:type="dxa"/>
            <w:vAlign w:val="center"/>
          </w:tcPr>
          <w:p w14:paraId="3BAD88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文明创建工作深入，积极开展文化活动</w:t>
            </w:r>
          </w:p>
        </w:tc>
        <w:tc>
          <w:tcPr>
            <w:tcW w:w="1286" w:type="dxa"/>
            <w:vAlign w:val="center"/>
          </w:tcPr>
          <w:p w14:paraId="486AD9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持续推进学习贯彻习近平新时代中国特色社会主义思想和党的二十大精神往深里做、往心里走、往实里抓，进机关、进校园、进网格开展学习宣讲活动40余次，开展书记讲党课2次，集中研讨4次，举办青年读书分享会1场</w:t>
            </w:r>
          </w:p>
        </w:tc>
        <w:tc>
          <w:tcPr>
            <w:tcW w:w="735" w:type="dxa"/>
            <w:shd w:val="clear" w:color="auto" w:fill="auto"/>
            <w:vAlign w:val="center"/>
          </w:tcPr>
          <w:p w14:paraId="725C91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29AB35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0E61D065">
            <w:pPr>
              <w:jc w:val="center"/>
              <w:rPr>
                <w:rFonts w:hint="eastAsia" w:ascii="宋体" w:hAnsi="宋体" w:eastAsia="宋体" w:cs="宋体"/>
                <w:sz w:val="21"/>
                <w:szCs w:val="21"/>
              </w:rPr>
            </w:pPr>
          </w:p>
        </w:tc>
      </w:tr>
      <w:tr w14:paraId="38949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A052409">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1F9D5F3">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4287B2E8">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583F63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改善生态环境</w:t>
            </w:r>
          </w:p>
        </w:tc>
        <w:tc>
          <w:tcPr>
            <w:tcW w:w="1212" w:type="dxa"/>
            <w:vAlign w:val="center"/>
          </w:tcPr>
          <w:p w14:paraId="1A6C82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加强文明殡葬</w:t>
            </w:r>
          </w:p>
        </w:tc>
        <w:tc>
          <w:tcPr>
            <w:tcW w:w="1286" w:type="dxa"/>
            <w:vAlign w:val="center"/>
          </w:tcPr>
          <w:p w14:paraId="3019B7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扎实推进殡葬秩序整治工作，领导干部全员签订殡葬秩序整治工作承诺书，开展移风易俗微宣讲5场，劝导文明治丧12户，大力弘扬绿色文明殡葬新风。</w:t>
            </w:r>
          </w:p>
        </w:tc>
        <w:tc>
          <w:tcPr>
            <w:tcW w:w="735" w:type="dxa"/>
            <w:shd w:val="clear" w:color="auto" w:fill="auto"/>
            <w:vAlign w:val="center"/>
          </w:tcPr>
          <w:p w14:paraId="7F42EB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34545E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6EBD340D">
            <w:pPr>
              <w:jc w:val="center"/>
              <w:rPr>
                <w:rFonts w:hint="eastAsia" w:ascii="宋体" w:hAnsi="宋体" w:eastAsia="宋体" w:cs="宋体"/>
                <w:sz w:val="21"/>
                <w:szCs w:val="21"/>
              </w:rPr>
            </w:pPr>
          </w:p>
        </w:tc>
      </w:tr>
      <w:tr w14:paraId="7F370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92BCCB2">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7BE4088">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7D2F566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692599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社会保障能力不断加强</w:t>
            </w:r>
          </w:p>
        </w:tc>
        <w:tc>
          <w:tcPr>
            <w:tcW w:w="1212" w:type="dxa"/>
            <w:vAlign w:val="center"/>
          </w:tcPr>
          <w:p w14:paraId="3C6E4F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坚持应保尽保原则，努力扩大社保覆盖面</w:t>
            </w:r>
          </w:p>
        </w:tc>
        <w:tc>
          <w:tcPr>
            <w:tcW w:w="1286" w:type="dxa"/>
            <w:vAlign w:val="center"/>
          </w:tcPr>
          <w:p w14:paraId="6FCE20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辖区居民社保覆盖达到100%</w:t>
            </w:r>
          </w:p>
        </w:tc>
        <w:tc>
          <w:tcPr>
            <w:tcW w:w="735" w:type="dxa"/>
            <w:shd w:val="clear" w:color="auto" w:fill="auto"/>
            <w:vAlign w:val="center"/>
          </w:tcPr>
          <w:p w14:paraId="39C098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13BCF4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3832B920">
            <w:pPr>
              <w:jc w:val="center"/>
              <w:rPr>
                <w:rFonts w:hint="eastAsia" w:ascii="宋体" w:hAnsi="宋体" w:eastAsia="宋体" w:cs="宋体"/>
                <w:sz w:val="21"/>
                <w:szCs w:val="21"/>
              </w:rPr>
            </w:pPr>
          </w:p>
        </w:tc>
      </w:tr>
      <w:tr w14:paraId="63D12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1D64CF9">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456D13B">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1DDBC49">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124065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落实一门式服务</w:t>
            </w:r>
          </w:p>
        </w:tc>
        <w:tc>
          <w:tcPr>
            <w:tcW w:w="1212" w:type="dxa"/>
            <w:vAlign w:val="center"/>
          </w:tcPr>
          <w:p w14:paraId="29CED7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做好一门式服务工作，为居民办事提供便捷通道</w:t>
            </w:r>
          </w:p>
        </w:tc>
        <w:tc>
          <w:tcPr>
            <w:tcW w:w="1286" w:type="dxa"/>
            <w:vAlign w:val="center"/>
          </w:tcPr>
          <w:p w14:paraId="3CB743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一门式服务已落实到街道和各个社区、村</w:t>
            </w:r>
          </w:p>
        </w:tc>
        <w:tc>
          <w:tcPr>
            <w:tcW w:w="735" w:type="dxa"/>
            <w:shd w:val="clear" w:color="auto" w:fill="auto"/>
            <w:vAlign w:val="center"/>
          </w:tcPr>
          <w:p w14:paraId="6E38A9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430170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6EA94CC7">
            <w:pPr>
              <w:jc w:val="center"/>
              <w:rPr>
                <w:rFonts w:hint="eastAsia" w:ascii="宋体" w:hAnsi="宋体" w:eastAsia="宋体" w:cs="宋体"/>
                <w:sz w:val="21"/>
                <w:szCs w:val="21"/>
              </w:rPr>
            </w:pPr>
          </w:p>
        </w:tc>
      </w:tr>
      <w:tr w14:paraId="31C32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B93A803">
            <w:pPr>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77D239B6">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7B50CF8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4764A5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群众满意度</w:t>
            </w:r>
          </w:p>
        </w:tc>
        <w:tc>
          <w:tcPr>
            <w:tcW w:w="1212" w:type="dxa"/>
            <w:vAlign w:val="center"/>
          </w:tcPr>
          <w:p w14:paraId="5B632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1286" w:type="dxa"/>
            <w:vAlign w:val="center"/>
          </w:tcPr>
          <w:p w14:paraId="6CE1F5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97%</w:t>
            </w:r>
          </w:p>
        </w:tc>
        <w:tc>
          <w:tcPr>
            <w:tcW w:w="735" w:type="dxa"/>
            <w:shd w:val="clear" w:color="auto" w:fill="auto"/>
            <w:vAlign w:val="center"/>
          </w:tcPr>
          <w:p w14:paraId="4FCDF4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39" w:type="dxa"/>
            <w:shd w:val="clear" w:color="auto" w:fill="auto"/>
            <w:vAlign w:val="center"/>
          </w:tcPr>
          <w:p w14:paraId="40DE1A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450" w:type="dxa"/>
            <w:vAlign w:val="center"/>
          </w:tcPr>
          <w:p w14:paraId="1DF9ADEC">
            <w:pPr>
              <w:jc w:val="center"/>
              <w:rPr>
                <w:rFonts w:hint="eastAsia" w:ascii="宋体" w:hAnsi="宋体" w:eastAsia="宋体" w:cs="宋体"/>
                <w:sz w:val="21"/>
                <w:szCs w:val="21"/>
              </w:rPr>
            </w:pPr>
          </w:p>
        </w:tc>
      </w:tr>
      <w:tr w14:paraId="69E9D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A88E978">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222E9DB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465AB17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28D81F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本单位财政供养人数</w:t>
            </w:r>
          </w:p>
        </w:tc>
        <w:tc>
          <w:tcPr>
            <w:tcW w:w="1212" w:type="dxa"/>
            <w:vAlign w:val="center"/>
          </w:tcPr>
          <w:p w14:paraId="29FF21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不低于年初预算编制人数（年初预算51人）≧51人</w:t>
            </w:r>
          </w:p>
        </w:tc>
        <w:tc>
          <w:tcPr>
            <w:tcW w:w="1286" w:type="dxa"/>
            <w:vAlign w:val="center"/>
          </w:tcPr>
          <w:p w14:paraId="225A62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51人</w:t>
            </w:r>
          </w:p>
        </w:tc>
        <w:tc>
          <w:tcPr>
            <w:tcW w:w="735" w:type="dxa"/>
            <w:shd w:val="clear" w:color="auto" w:fill="auto"/>
            <w:vAlign w:val="center"/>
          </w:tcPr>
          <w:p w14:paraId="418750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39" w:type="dxa"/>
            <w:shd w:val="clear" w:color="auto" w:fill="auto"/>
            <w:vAlign w:val="center"/>
          </w:tcPr>
          <w:p w14:paraId="40B141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450" w:type="dxa"/>
            <w:vAlign w:val="center"/>
          </w:tcPr>
          <w:p w14:paraId="4D49AF58">
            <w:pPr>
              <w:jc w:val="center"/>
              <w:rPr>
                <w:rFonts w:hint="eastAsia" w:ascii="宋体" w:hAnsi="宋体" w:eastAsia="宋体" w:cs="宋体"/>
                <w:sz w:val="21"/>
                <w:szCs w:val="21"/>
              </w:rPr>
            </w:pPr>
          </w:p>
        </w:tc>
      </w:tr>
      <w:tr w14:paraId="36672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22E1F8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744BEC7">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4253CD12">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3F628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三公经费支出</w:t>
            </w:r>
          </w:p>
        </w:tc>
        <w:tc>
          <w:tcPr>
            <w:tcW w:w="1212" w:type="dxa"/>
            <w:vAlign w:val="center"/>
          </w:tcPr>
          <w:p w14:paraId="5D84A0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≦0.5万元</w:t>
            </w:r>
          </w:p>
        </w:tc>
        <w:tc>
          <w:tcPr>
            <w:tcW w:w="1286" w:type="dxa"/>
            <w:vAlign w:val="center"/>
          </w:tcPr>
          <w:p w14:paraId="1E000B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0.3万元</w:t>
            </w:r>
          </w:p>
        </w:tc>
        <w:tc>
          <w:tcPr>
            <w:tcW w:w="735" w:type="dxa"/>
            <w:shd w:val="clear" w:color="auto" w:fill="auto"/>
            <w:vAlign w:val="center"/>
          </w:tcPr>
          <w:p w14:paraId="68BF79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3AC1A9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07EF02C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2931A9B">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5D5C448">
            <w:pPr>
              <w:rPr>
                <w:rFonts w:hint="eastAsia" w:ascii="宋体" w:hAnsi="宋体" w:eastAsia="宋体" w:cs="宋体"/>
                <w:sz w:val="21"/>
                <w:szCs w:val="21"/>
              </w:rPr>
            </w:pP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机关运行经费支出</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全年运行经费低于90万元</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90.3万元</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687094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C5D1D14">
            <w:pPr>
              <w:rPr>
                <w:rFonts w:hint="eastAsia" w:ascii="宋体" w:hAnsi="宋体" w:eastAsia="宋体" w:cs="宋体"/>
                <w:sz w:val="21"/>
                <w:szCs w:val="21"/>
              </w:rPr>
            </w:pP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财政收入总量</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≧4200万元</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4631.05万元</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D1A371D">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≧12万元</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14.66万元</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450"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CAD2B8A">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692CEF">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3994CE3D">
            <w:pPr>
              <w:jc w:val="center"/>
              <w:rPr>
                <w:rFonts w:hint="eastAsia" w:ascii="宋体" w:hAnsi="宋体" w:eastAsia="宋体" w:cs="宋体"/>
                <w:sz w:val="21"/>
                <w:szCs w:val="21"/>
                <w:lang w:val="en-US" w:eastAsia="zh-CN"/>
              </w:rPr>
            </w:pPr>
          </w:p>
        </w:tc>
        <w:tc>
          <w:tcPr>
            <w:tcW w:w="1212" w:type="dxa"/>
            <w:vAlign w:val="center"/>
          </w:tcPr>
          <w:p w14:paraId="14E7A9D6">
            <w:pPr>
              <w:jc w:val="center"/>
              <w:rPr>
                <w:rFonts w:hint="eastAsia" w:ascii="宋体" w:hAnsi="宋体" w:eastAsia="宋体" w:cs="宋体"/>
                <w:sz w:val="21"/>
                <w:szCs w:val="21"/>
                <w:lang w:val="en-US" w:eastAsia="zh-CN"/>
              </w:rPr>
            </w:pPr>
          </w:p>
        </w:tc>
        <w:tc>
          <w:tcPr>
            <w:tcW w:w="1286" w:type="dxa"/>
            <w:vAlign w:val="center"/>
          </w:tcPr>
          <w:p w14:paraId="6529D14B">
            <w:pPr>
              <w:jc w:val="center"/>
              <w:rPr>
                <w:rFonts w:hint="eastAsia" w:ascii="宋体" w:hAnsi="宋体" w:eastAsia="宋体" w:cs="宋体"/>
                <w:sz w:val="21"/>
                <w:szCs w:val="21"/>
              </w:rPr>
            </w:pPr>
          </w:p>
        </w:tc>
        <w:tc>
          <w:tcPr>
            <w:tcW w:w="735" w:type="dxa"/>
            <w:vAlign w:val="center"/>
          </w:tcPr>
          <w:p w14:paraId="365AD4C5">
            <w:pPr>
              <w:jc w:val="center"/>
              <w:rPr>
                <w:rFonts w:hint="eastAsia" w:ascii="宋体" w:hAnsi="宋体" w:eastAsia="宋体" w:cs="宋体"/>
                <w:sz w:val="21"/>
                <w:szCs w:val="21"/>
                <w:lang w:val="en-US" w:eastAsia="zh-CN"/>
              </w:rPr>
            </w:pPr>
          </w:p>
        </w:tc>
        <w:tc>
          <w:tcPr>
            <w:tcW w:w="739" w:type="dxa"/>
            <w:vAlign w:val="center"/>
          </w:tcPr>
          <w:p w14:paraId="3731F056">
            <w:pPr>
              <w:jc w:val="center"/>
              <w:rPr>
                <w:rFonts w:hint="eastAsia" w:ascii="宋体" w:hAnsi="宋体" w:eastAsia="宋体" w:cs="宋体"/>
                <w:sz w:val="21"/>
                <w:szCs w:val="21"/>
                <w:lang w:val="en-US" w:eastAsia="zh-CN"/>
              </w:rPr>
            </w:pPr>
          </w:p>
        </w:tc>
        <w:tc>
          <w:tcPr>
            <w:tcW w:w="1450" w:type="dxa"/>
            <w:vAlign w:val="center"/>
          </w:tcPr>
          <w:p w14:paraId="2777F1D8">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eastAsia" w:ascii="宋体" w:hAnsi="宋体" w:eastAsia="宋体" w:cs="宋体"/>
                <w:lang w:val="en-US" w:eastAsia="zh-CN"/>
              </w:rPr>
            </w:pPr>
            <w:r>
              <w:rPr>
                <w:rFonts w:hint="eastAsia" w:ascii="宋体" w:hAnsi="宋体" w:eastAsia="宋体" w:cs="宋体"/>
                <w:spacing w:val="-4"/>
                <w:sz w:val="19"/>
                <w:szCs w:val="19"/>
                <w:lang w:val="en-US" w:eastAsia="zh-CN"/>
              </w:rPr>
              <w:t>96</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F80357C">
      <w:pPr>
        <w:spacing w:before="191" w:line="230" w:lineRule="auto"/>
        <w:rPr>
          <w:rFonts w:ascii="黑体" w:hAnsi="黑体" w:eastAsia="黑体" w:cs="黑体"/>
          <w:spacing w:val="-4"/>
          <w:sz w:val="31"/>
          <w:szCs w:val="31"/>
        </w:rPr>
      </w:pPr>
    </w:p>
    <w:p w14:paraId="0C1612C5">
      <w:pPr>
        <w:spacing w:before="191" w:line="230" w:lineRule="auto"/>
        <w:rPr>
          <w:rFonts w:ascii="黑体" w:hAnsi="黑体" w:eastAsia="黑体" w:cs="黑体"/>
          <w:spacing w:val="-4"/>
          <w:sz w:val="31"/>
          <w:szCs w:val="31"/>
        </w:rPr>
      </w:pPr>
    </w:p>
    <w:p w14:paraId="28175EBD">
      <w:pPr>
        <w:spacing w:before="191" w:line="230" w:lineRule="auto"/>
        <w:rPr>
          <w:rFonts w:ascii="黑体" w:hAnsi="黑体" w:eastAsia="黑体" w:cs="黑体"/>
          <w:spacing w:val="-4"/>
          <w:sz w:val="31"/>
          <w:szCs w:val="31"/>
        </w:rPr>
      </w:pPr>
    </w:p>
    <w:p w14:paraId="64CDB230">
      <w:pPr>
        <w:spacing w:before="191" w:line="230" w:lineRule="auto"/>
        <w:rPr>
          <w:rFonts w:ascii="黑体" w:hAnsi="黑体" w:eastAsia="黑体" w:cs="黑体"/>
          <w:spacing w:val="-4"/>
          <w:sz w:val="31"/>
          <w:szCs w:val="31"/>
        </w:rPr>
      </w:pPr>
    </w:p>
    <w:p w14:paraId="16A6C4C0">
      <w:pPr>
        <w:spacing w:before="191" w:line="230" w:lineRule="auto"/>
        <w:rPr>
          <w:rFonts w:ascii="黑体" w:hAnsi="黑体" w:eastAsia="黑体" w:cs="黑体"/>
          <w:spacing w:val="-4"/>
          <w:sz w:val="31"/>
          <w:szCs w:val="31"/>
        </w:rPr>
      </w:pPr>
    </w:p>
    <w:p w14:paraId="02D30800">
      <w:pPr>
        <w:spacing w:before="191" w:line="230" w:lineRule="auto"/>
        <w:rPr>
          <w:rFonts w:ascii="黑体" w:hAnsi="黑体" w:eastAsia="黑体" w:cs="黑体"/>
          <w:spacing w:val="-4"/>
          <w:sz w:val="31"/>
          <w:szCs w:val="31"/>
        </w:rPr>
      </w:pPr>
    </w:p>
    <w:p w14:paraId="7B603348">
      <w:pPr>
        <w:spacing w:before="191" w:line="230" w:lineRule="auto"/>
        <w:rPr>
          <w:rFonts w:ascii="黑体" w:hAnsi="黑体" w:eastAsia="黑体" w:cs="黑体"/>
          <w:spacing w:val="-4"/>
          <w:sz w:val="31"/>
          <w:szCs w:val="31"/>
        </w:rPr>
      </w:pPr>
    </w:p>
    <w:p w14:paraId="5C237DAF">
      <w:pPr>
        <w:spacing w:before="191" w:line="230" w:lineRule="auto"/>
        <w:rPr>
          <w:rFonts w:ascii="黑体" w:hAnsi="黑体" w:eastAsia="黑体" w:cs="黑体"/>
          <w:spacing w:val="-4"/>
          <w:sz w:val="31"/>
          <w:szCs w:val="31"/>
        </w:rPr>
      </w:pPr>
    </w:p>
    <w:p w14:paraId="010C89CC">
      <w:pPr>
        <w:spacing w:before="191" w:line="230" w:lineRule="auto"/>
        <w:rPr>
          <w:rFonts w:ascii="黑体" w:hAnsi="黑体" w:eastAsia="黑体" w:cs="黑体"/>
          <w:spacing w:val="-4"/>
          <w:sz w:val="31"/>
          <w:szCs w:val="31"/>
        </w:rPr>
      </w:pPr>
    </w:p>
    <w:p w14:paraId="32181BF9">
      <w:pPr>
        <w:spacing w:before="191" w:line="230" w:lineRule="auto"/>
        <w:rPr>
          <w:rFonts w:ascii="黑体" w:hAnsi="黑体" w:eastAsia="黑体" w:cs="黑体"/>
          <w:spacing w:val="-4"/>
          <w:sz w:val="31"/>
          <w:szCs w:val="31"/>
        </w:rPr>
      </w:pP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南北港河流域环境整治经费</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7BB208D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岳阳市岳阳楼区奇家岭街道办事处</w:t>
            </w:r>
          </w:p>
        </w:tc>
        <w:tc>
          <w:tcPr>
            <w:tcW w:w="112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岳阳市岳阳楼区奇家岭街道办事处</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3A072F6">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1439.52</w:t>
            </w:r>
          </w:p>
        </w:tc>
        <w:tc>
          <w:tcPr>
            <w:tcW w:w="1404" w:type="dxa"/>
            <w:vAlign w:val="center"/>
          </w:tcPr>
          <w:p w14:paraId="127FE77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1439.52</w:t>
            </w:r>
          </w:p>
        </w:tc>
        <w:tc>
          <w:tcPr>
            <w:tcW w:w="1121" w:type="dxa"/>
            <w:vAlign w:val="center"/>
          </w:tcPr>
          <w:p w14:paraId="0A7D30F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1439.52</w:t>
            </w:r>
          </w:p>
        </w:tc>
        <w:tc>
          <w:tcPr>
            <w:tcW w:w="679" w:type="dxa"/>
            <w:vAlign w:val="center"/>
          </w:tcPr>
          <w:p w14:paraId="48ED08E8">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5C211E40">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w:t>
            </w:r>
          </w:p>
        </w:tc>
        <w:tc>
          <w:tcPr>
            <w:tcW w:w="1309" w:type="dxa"/>
            <w:vAlign w:val="center"/>
          </w:tcPr>
          <w:p w14:paraId="396B5D3C">
            <w:pPr>
              <w:keepNext w:val="0"/>
              <w:keepLines w:val="0"/>
              <w:widowControl/>
              <w:suppressLineNumbers w:val="0"/>
              <w:jc w:val="center"/>
              <w:textAlignment w:val="center"/>
              <w:rPr>
                <w:rFonts w:hint="default"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4E7877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sz w:val="19"/>
                <w:szCs w:val="19"/>
                <w:lang w:val="en-US" w:eastAsia="zh-CN"/>
              </w:rPr>
              <w:t>1439.52</w:t>
            </w:r>
          </w:p>
        </w:tc>
        <w:tc>
          <w:tcPr>
            <w:tcW w:w="1404" w:type="dxa"/>
            <w:vAlign w:val="center"/>
          </w:tcPr>
          <w:p w14:paraId="0343922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sz w:val="19"/>
                <w:szCs w:val="19"/>
                <w:lang w:val="en-US" w:eastAsia="zh-CN"/>
              </w:rPr>
              <w:t>1439.52</w:t>
            </w:r>
          </w:p>
        </w:tc>
        <w:tc>
          <w:tcPr>
            <w:tcW w:w="1121" w:type="dxa"/>
            <w:vAlign w:val="center"/>
          </w:tcPr>
          <w:p w14:paraId="4381A9B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sz w:val="19"/>
                <w:szCs w:val="19"/>
                <w:lang w:val="en-US" w:eastAsia="zh-CN"/>
              </w:rPr>
              <w:t>1439.52</w:t>
            </w:r>
          </w:p>
        </w:tc>
        <w:tc>
          <w:tcPr>
            <w:tcW w:w="679" w:type="dxa"/>
            <w:vAlign w:val="top"/>
          </w:tcPr>
          <w:p w14:paraId="47C6F8E2">
            <w:pPr>
              <w:pStyle w:val="9"/>
              <w:rPr>
                <w:rFonts w:hint="eastAsia" w:ascii="宋体" w:hAnsi="宋体" w:eastAsia="宋体" w:cs="宋体"/>
                <w:sz w:val="19"/>
                <w:szCs w:val="19"/>
              </w:rPr>
            </w:pPr>
          </w:p>
        </w:tc>
        <w:tc>
          <w:tcPr>
            <w:tcW w:w="980" w:type="dxa"/>
            <w:vAlign w:val="top"/>
          </w:tcPr>
          <w:p w14:paraId="297386A5">
            <w:pPr>
              <w:pStyle w:val="9"/>
              <w:rPr>
                <w:rFonts w:hint="eastAsia" w:ascii="宋体" w:hAnsi="宋体" w:eastAsia="宋体" w:cs="宋体"/>
                <w:sz w:val="19"/>
                <w:szCs w:val="19"/>
              </w:rPr>
            </w:pPr>
          </w:p>
        </w:tc>
        <w:tc>
          <w:tcPr>
            <w:tcW w:w="1309" w:type="dxa"/>
            <w:vAlign w:val="top"/>
          </w:tcPr>
          <w:p w14:paraId="104708F6">
            <w:pPr>
              <w:pStyle w:val="9"/>
              <w:rPr>
                <w:rFonts w:hint="eastAsia" w:ascii="宋体" w:hAnsi="宋体" w:eastAsia="宋体" w:cs="宋体"/>
                <w:sz w:val="19"/>
                <w:szCs w:val="19"/>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75DE767">
            <w:pPr>
              <w:pStyle w:val="9"/>
              <w:rPr>
                <w:rFonts w:hint="eastAsia" w:ascii="宋体" w:hAnsi="宋体" w:eastAsia="宋体" w:cs="宋体"/>
                <w:sz w:val="19"/>
                <w:szCs w:val="19"/>
              </w:rPr>
            </w:pPr>
          </w:p>
        </w:tc>
        <w:tc>
          <w:tcPr>
            <w:tcW w:w="1404" w:type="dxa"/>
            <w:vAlign w:val="top"/>
          </w:tcPr>
          <w:p w14:paraId="46EE1AD1">
            <w:pPr>
              <w:pStyle w:val="9"/>
              <w:rPr>
                <w:rFonts w:hint="eastAsia" w:ascii="宋体" w:hAnsi="宋体" w:eastAsia="宋体" w:cs="宋体"/>
                <w:sz w:val="19"/>
                <w:szCs w:val="19"/>
              </w:rPr>
            </w:pPr>
          </w:p>
        </w:tc>
        <w:tc>
          <w:tcPr>
            <w:tcW w:w="1121" w:type="dxa"/>
            <w:vAlign w:val="top"/>
          </w:tcPr>
          <w:p w14:paraId="756E5E75">
            <w:pPr>
              <w:pStyle w:val="9"/>
              <w:rPr>
                <w:rFonts w:hint="eastAsia" w:ascii="宋体" w:hAnsi="宋体" w:eastAsia="宋体" w:cs="宋体"/>
                <w:sz w:val="19"/>
                <w:szCs w:val="19"/>
              </w:rPr>
            </w:pPr>
          </w:p>
        </w:tc>
        <w:tc>
          <w:tcPr>
            <w:tcW w:w="679" w:type="dxa"/>
            <w:vAlign w:val="top"/>
          </w:tcPr>
          <w:p w14:paraId="1F9B036A">
            <w:pPr>
              <w:pStyle w:val="9"/>
              <w:rPr>
                <w:rFonts w:hint="eastAsia" w:ascii="宋体" w:hAnsi="宋体" w:eastAsia="宋体" w:cs="宋体"/>
                <w:sz w:val="19"/>
                <w:szCs w:val="19"/>
              </w:rPr>
            </w:pPr>
          </w:p>
        </w:tc>
        <w:tc>
          <w:tcPr>
            <w:tcW w:w="980" w:type="dxa"/>
            <w:vAlign w:val="top"/>
          </w:tcPr>
          <w:p w14:paraId="0A72949A">
            <w:pPr>
              <w:pStyle w:val="9"/>
              <w:rPr>
                <w:rFonts w:hint="eastAsia" w:ascii="宋体" w:hAnsi="宋体" w:eastAsia="宋体" w:cs="宋体"/>
                <w:sz w:val="19"/>
                <w:szCs w:val="19"/>
              </w:rPr>
            </w:pPr>
          </w:p>
        </w:tc>
        <w:tc>
          <w:tcPr>
            <w:tcW w:w="1309" w:type="dxa"/>
            <w:vAlign w:val="top"/>
          </w:tcPr>
          <w:p w14:paraId="5ECE096B">
            <w:pPr>
              <w:pStyle w:val="9"/>
              <w:rPr>
                <w:rFonts w:hint="eastAsia" w:ascii="宋体" w:hAnsi="宋体" w:eastAsia="宋体" w:cs="宋体"/>
                <w:sz w:val="19"/>
                <w:szCs w:val="19"/>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3569D67">
            <w:pPr>
              <w:pStyle w:val="9"/>
              <w:rPr>
                <w:rFonts w:hint="eastAsia" w:ascii="宋体" w:hAnsi="宋体" w:eastAsia="宋体" w:cs="宋体"/>
                <w:sz w:val="19"/>
                <w:szCs w:val="19"/>
              </w:rPr>
            </w:pPr>
          </w:p>
        </w:tc>
        <w:tc>
          <w:tcPr>
            <w:tcW w:w="1404" w:type="dxa"/>
            <w:vAlign w:val="top"/>
          </w:tcPr>
          <w:p w14:paraId="05A2BEB9">
            <w:pPr>
              <w:pStyle w:val="9"/>
              <w:rPr>
                <w:rFonts w:hint="eastAsia" w:ascii="宋体" w:hAnsi="宋体" w:eastAsia="宋体" w:cs="宋体"/>
                <w:sz w:val="19"/>
                <w:szCs w:val="19"/>
              </w:rPr>
            </w:pPr>
          </w:p>
        </w:tc>
        <w:tc>
          <w:tcPr>
            <w:tcW w:w="1121" w:type="dxa"/>
            <w:vAlign w:val="top"/>
          </w:tcPr>
          <w:p w14:paraId="78C8F7D2">
            <w:pPr>
              <w:pStyle w:val="9"/>
              <w:rPr>
                <w:rFonts w:hint="eastAsia" w:ascii="宋体" w:hAnsi="宋体" w:eastAsia="宋体" w:cs="宋体"/>
                <w:sz w:val="19"/>
                <w:szCs w:val="19"/>
              </w:rPr>
            </w:pPr>
          </w:p>
        </w:tc>
        <w:tc>
          <w:tcPr>
            <w:tcW w:w="679" w:type="dxa"/>
            <w:vAlign w:val="top"/>
          </w:tcPr>
          <w:p w14:paraId="6EEC7306">
            <w:pPr>
              <w:pStyle w:val="9"/>
              <w:rPr>
                <w:rFonts w:hint="eastAsia" w:ascii="宋体" w:hAnsi="宋体" w:eastAsia="宋体" w:cs="宋体"/>
                <w:sz w:val="19"/>
                <w:szCs w:val="19"/>
              </w:rPr>
            </w:pPr>
          </w:p>
        </w:tc>
        <w:tc>
          <w:tcPr>
            <w:tcW w:w="980" w:type="dxa"/>
            <w:vAlign w:val="top"/>
          </w:tcPr>
          <w:p w14:paraId="6C9BE358">
            <w:pPr>
              <w:pStyle w:val="9"/>
              <w:rPr>
                <w:rFonts w:hint="eastAsia" w:ascii="宋体" w:hAnsi="宋体" w:eastAsia="宋体" w:cs="宋体"/>
                <w:sz w:val="19"/>
                <w:szCs w:val="19"/>
              </w:rPr>
            </w:pPr>
          </w:p>
        </w:tc>
        <w:tc>
          <w:tcPr>
            <w:tcW w:w="1309" w:type="dxa"/>
            <w:vAlign w:val="top"/>
          </w:tcPr>
          <w:p w14:paraId="666B0CDF">
            <w:pPr>
              <w:pStyle w:val="9"/>
              <w:rPr>
                <w:rFonts w:hint="eastAsia" w:ascii="宋体" w:hAnsi="宋体" w:eastAsia="宋体" w:cs="宋体"/>
                <w:sz w:val="19"/>
                <w:szCs w:val="19"/>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682" w:type="dxa"/>
            <w:gridSpan w:val="4"/>
            <w:vAlign w:val="center"/>
          </w:tcPr>
          <w:p w14:paraId="16527E60">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1、加快对接奥敏游泳馆君兴液化气站销号。</w:t>
            </w:r>
          </w:p>
          <w:p w14:paraId="72223BA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2、加速完成周威养殖中心、岳东生态养殖中心围堤堤干拆除。</w:t>
            </w:r>
          </w:p>
        </w:tc>
        <w:tc>
          <w:tcPr>
            <w:tcW w:w="4089" w:type="dxa"/>
            <w:gridSpan w:val="4"/>
            <w:vAlign w:val="center"/>
          </w:tcPr>
          <w:p w14:paraId="506C1B9A">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1、已完成奥敏游泳馆君兴液化气站销号。</w:t>
            </w:r>
          </w:p>
          <w:p w14:paraId="058E4203">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2、已完成周威养殖中心、岳东生态养殖中心围堤堤干拆除。</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vAlign w:val="center"/>
          </w:tcPr>
          <w:p w14:paraId="311A278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2"/>
                <w:szCs w:val="22"/>
                <w:u w:val="none"/>
                <w:lang w:val="en-US" w:eastAsia="zh-CN" w:bidi="ar"/>
              </w:rPr>
              <w:t>绩效指标</w:t>
            </w:r>
          </w:p>
        </w:tc>
        <w:tc>
          <w:tcPr>
            <w:tcW w:w="1079" w:type="dxa"/>
            <w:tcBorders>
              <w:bottom w:val="single" w:color="auto" w:sz="4" w:space="0"/>
            </w:tcBorders>
            <w:vAlign w:val="center"/>
          </w:tcPr>
          <w:p w14:paraId="0A901637">
            <w:pPr>
              <w:keepNext w:val="0"/>
              <w:keepLines w:val="0"/>
              <w:widowControl/>
              <w:suppressLineNumbers w:val="0"/>
              <w:jc w:val="center"/>
              <w:textAlignment w:val="center"/>
              <w:rPr>
                <w:rFonts w:hint="eastAsia" w:ascii="宋体" w:hAnsi="宋体" w:eastAsia="宋体" w:cs="宋体"/>
                <w:kern w:val="2"/>
                <w:sz w:val="15"/>
                <w:szCs w:val="15"/>
                <w:lang w:val="en-US" w:eastAsia="zh-CN" w:bidi="ar-SA"/>
              </w:rPr>
            </w:pPr>
            <w:r>
              <w:rPr>
                <w:rFonts w:hint="eastAsia" w:ascii="宋体" w:hAnsi="宋体" w:eastAsia="宋体" w:cs="宋体"/>
                <w:b/>
                <w:bCs/>
                <w:i w:val="0"/>
                <w:iCs w:val="0"/>
                <w:color w:val="000000"/>
                <w:kern w:val="0"/>
                <w:sz w:val="18"/>
                <w:szCs w:val="18"/>
                <w:u w:val="none"/>
                <w:lang w:val="en-US" w:eastAsia="zh-CN" w:bidi="ar"/>
              </w:rPr>
              <w:t>一级指标</w:t>
            </w:r>
          </w:p>
        </w:tc>
        <w:tc>
          <w:tcPr>
            <w:tcW w:w="955" w:type="dxa"/>
            <w:tcBorders>
              <w:bottom w:val="single" w:color="auto" w:sz="4" w:space="0"/>
            </w:tcBorders>
            <w:vAlign w:val="center"/>
          </w:tcPr>
          <w:p w14:paraId="2153AFB2">
            <w:pPr>
              <w:keepNext w:val="0"/>
              <w:keepLines w:val="0"/>
              <w:widowControl/>
              <w:suppressLineNumbers w:val="0"/>
              <w:jc w:val="center"/>
              <w:textAlignment w:val="center"/>
              <w:rPr>
                <w:rFonts w:hint="eastAsia" w:ascii="宋体" w:hAnsi="宋体" w:eastAsia="宋体" w:cs="宋体"/>
                <w:kern w:val="2"/>
                <w:sz w:val="15"/>
                <w:szCs w:val="15"/>
                <w:lang w:val="en-US" w:eastAsia="zh-CN" w:bidi="ar-SA"/>
              </w:rPr>
            </w:pPr>
            <w:r>
              <w:rPr>
                <w:rFonts w:hint="eastAsia" w:ascii="宋体" w:hAnsi="宋体" w:eastAsia="宋体" w:cs="宋体"/>
                <w:b/>
                <w:bCs/>
                <w:i w:val="0"/>
                <w:iCs w:val="0"/>
                <w:color w:val="000000"/>
                <w:kern w:val="0"/>
                <w:sz w:val="18"/>
                <w:szCs w:val="18"/>
                <w:u w:val="none"/>
                <w:lang w:val="en-US" w:eastAsia="zh-CN" w:bidi="ar"/>
              </w:rPr>
              <w:t>二级指标</w:t>
            </w:r>
          </w:p>
        </w:tc>
        <w:tc>
          <w:tcPr>
            <w:tcW w:w="1244" w:type="dxa"/>
            <w:tcBorders>
              <w:bottom w:val="single" w:color="auto" w:sz="4" w:space="0"/>
            </w:tcBorders>
            <w:vAlign w:val="center"/>
          </w:tcPr>
          <w:p w14:paraId="00804442">
            <w:pPr>
              <w:keepNext w:val="0"/>
              <w:keepLines w:val="0"/>
              <w:widowControl/>
              <w:suppressLineNumbers w:val="0"/>
              <w:jc w:val="center"/>
              <w:textAlignment w:val="center"/>
              <w:rPr>
                <w:rFonts w:hint="eastAsia" w:ascii="宋体" w:hAnsi="宋体" w:eastAsia="宋体" w:cs="宋体"/>
                <w:kern w:val="2"/>
                <w:sz w:val="15"/>
                <w:szCs w:val="15"/>
                <w:lang w:val="en-US" w:eastAsia="zh-CN" w:bidi="ar-SA"/>
              </w:rPr>
            </w:pPr>
            <w:r>
              <w:rPr>
                <w:rFonts w:hint="eastAsia" w:ascii="宋体" w:hAnsi="宋体" w:eastAsia="宋体" w:cs="宋体"/>
                <w:b/>
                <w:bCs/>
                <w:i w:val="0"/>
                <w:iCs w:val="0"/>
                <w:color w:val="000000"/>
                <w:kern w:val="0"/>
                <w:sz w:val="18"/>
                <w:szCs w:val="18"/>
                <w:u w:val="none"/>
                <w:lang w:val="en-US" w:eastAsia="zh-CN" w:bidi="ar"/>
              </w:rPr>
              <w:t>三级指标</w:t>
            </w:r>
          </w:p>
        </w:tc>
        <w:tc>
          <w:tcPr>
            <w:tcW w:w="1404" w:type="dxa"/>
            <w:tcBorders>
              <w:bottom w:val="single" w:color="auto" w:sz="4" w:space="0"/>
            </w:tcBorders>
            <w:vAlign w:val="center"/>
          </w:tcPr>
          <w:p w14:paraId="548ED79F">
            <w:pPr>
              <w:keepNext w:val="0"/>
              <w:keepLines w:val="0"/>
              <w:widowControl/>
              <w:suppressLineNumbers w:val="0"/>
              <w:jc w:val="center"/>
              <w:textAlignment w:val="center"/>
              <w:rPr>
                <w:rFonts w:hint="eastAsia" w:ascii="宋体" w:hAnsi="宋体" w:eastAsia="宋体" w:cs="宋体"/>
                <w:sz w:val="15"/>
                <w:szCs w:val="15"/>
              </w:rPr>
            </w:pPr>
            <w:r>
              <w:rPr>
                <w:rFonts w:hint="eastAsia" w:ascii="宋体" w:hAnsi="宋体" w:eastAsia="宋体" w:cs="宋体"/>
                <w:b/>
                <w:bCs/>
                <w:i w:val="0"/>
                <w:iCs w:val="0"/>
                <w:color w:val="000000"/>
                <w:kern w:val="0"/>
                <w:sz w:val="18"/>
                <w:szCs w:val="18"/>
                <w:u w:val="none"/>
                <w:lang w:val="en-US" w:eastAsia="zh-CN" w:bidi="ar"/>
              </w:rPr>
              <w:t>年度指标值</w:t>
            </w:r>
          </w:p>
        </w:tc>
        <w:tc>
          <w:tcPr>
            <w:tcW w:w="1121" w:type="dxa"/>
            <w:tcBorders>
              <w:bottom w:val="single" w:color="auto" w:sz="4" w:space="0"/>
            </w:tcBorders>
            <w:vAlign w:val="center"/>
          </w:tcPr>
          <w:p w14:paraId="3BE53566">
            <w:pPr>
              <w:keepNext w:val="0"/>
              <w:keepLines w:val="0"/>
              <w:widowControl/>
              <w:suppressLineNumbers w:val="0"/>
              <w:jc w:val="center"/>
              <w:textAlignment w:val="center"/>
              <w:rPr>
                <w:rFonts w:hint="eastAsia" w:ascii="宋体" w:hAnsi="宋体" w:eastAsia="宋体" w:cs="宋体"/>
                <w:sz w:val="15"/>
                <w:szCs w:val="15"/>
              </w:rPr>
            </w:pPr>
            <w:r>
              <w:rPr>
                <w:rFonts w:hint="eastAsia" w:ascii="宋体" w:hAnsi="宋体" w:eastAsia="宋体" w:cs="宋体"/>
                <w:b/>
                <w:bCs/>
                <w:i w:val="0"/>
                <w:iCs w:val="0"/>
                <w:color w:val="000000"/>
                <w:kern w:val="0"/>
                <w:sz w:val="18"/>
                <w:szCs w:val="18"/>
                <w:u w:val="none"/>
                <w:lang w:val="en-US" w:eastAsia="zh-CN" w:bidi="ar"/>
              </w:rPr>
              <w:t>实际完成值</w:t>
            </w:r>
          </w:p>
        </w:tc>
        <w:tc>
          <w:tcPr>
            <w:tcW w:w="679" w:type="dxa"/>
            <w:tcBorders>
              <w:bottom w:val="single" w:color="auto" w:sz="4" w:space="0"/>
            </w:tcBorders>
            <w:vAlign w:val="center"/>
          </w:tcPr>
          <w:p w14:paraId="0C3865E0">
            <w:pPr>
              <w:keepNext w:val="0"/>
              <w:keepLines w:val="0"/>
              <w:widowControl/>
              <w:suppressLineNumbers w:val="0"/>
              <w:jc w:val="center"/>
              <w:textAlignment w:val="center"/>
              <w:rPr>
                <w:rFonts w:hint="eastAsia" w:ascii="宋体" w:hAnsi="宋体" w:eastAsia="宋体" w:cs="宋体"/>
                <w:sz w:val="15"/>
                <w:szCs w:val="15"/>
              </w:rPr>
            </w:pPr>
            <w:r>
              <w:rPr>
                <w:rFonts w:hint="eastAsia" w:ascii="宋体" w:hAnsi="宋体" w:eastAsia="宋体" w:cs="宋体"/>
                <w:b/>
                <w:bCs/>
                <w:i w:val="0"/>
                <w:iCs w:val="0"/>
                <w:color w:val="000000"/>
                <w:kern w:val="0"/>
                <w:sz w:val="18"/>
                <w:szCs w:val="18"/>
                <w:u w:val="none"/>
                <w:lang w:val="en-US" w:eastAsia="zh-CN" w:bidi="ar"/>
              </w:rPr>
              <w:t>分值</w:t>
            </w:r>
          </w:p>
        </w:tc>
        <w:tc>
          <w:tcPr>
            <w:tcW w:w="980" w:type="dxa"/>
            <w:tcBorders>
              <w:bottom w:val="single" w:color="auto" w:sz="4" w:space="0"/>
            </w:tcBorders>
            <w:vAlign w:val="center"/>
          </w:tcPr>
          <w:p w14:paraId="58E89B74">
            <w:pPr>
              <w:keepNext w:val="0"/>
              <w:keepLines w:val="0"/>
              <w:widowControl/>
              <w:suppressLineNumbers w:val="0"/>
              <w:jc w:val="center"/>
              <w:textAlignment w:val="center"/>
              <w:rPr>
                <w:rFonts w:hint="eastAsia" w:ascii="宋体" w:hAnsi="宋体" w:eastAsia="宋体" w:cs="宋体"/>
                <w:sz w:val="11"/>
                <w:szCs w:val="11"/>
              </w:rPr>
            </w:pPr>
            <w:r>
              <w:rPr>
                <w:rFonts w:hint="eastAsia" w:ascii="宋体" w:hAnsi="宋体" w:eastAsia="宋体" w:cs="宋体"/>
                <w:b/>
                <w:bCs/>
                <w:i w:val="0"/>
                <w:iCs w:val="0"/>
                <w:color w:val="000000"/>
                <w:kern w:val="0"/>
                <w:sz w:val="18"/>
                <w:szCs w:val="18"/>
                <w:u w:val="none"/>
                <w:lang w:val="en-US" w:eastAsia="zh-CN" w:bidi="ar"/>
              </w:rPr>
              <w:t>得分</w:t>
            </w:r>
          </w:p>
        </w:tc>
        <w:tc>
          <w:tcPr>
            <w:tcW w:w="1309" w:type="dxa"/>
            <w:tcBorders>
              <w:bottom w:val="single" w:color="auto" w:sz="4" w:space="0"/>
            </w:tcBorders>
            <w:vAlign w:val="center"/>
          </w:tcPr>
          <w:p w14:paraId="0DD3FC65">
            <w:pPr>
              <w:keepNext w:val="0"/>
              <w:keepLines w:val="0"/>
              <w:widowControl/>
              <w:suppressLineNumbers w:val="0"/>
              <w:jc w:val="center"/>
              <w:textAlignment w:val="center"/>
              <w:rPr>
                <w:rFonts w:hint="eastAsia" w:ascii="宋体" w:hAnsi="宋体" w:eastAsia="宋体" w:cs="宋体"/>
                <w:sz w:val="15"/>
                <w:szCs w:val="15"/>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07DEE20A">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CE6451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产出指标</w:t>
            </w: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64AD434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开展南北港河流域违法建设整治行动</w:t>
            </w:r>
          </w:p>
        </w:tc>
        <w:tc>
          <w:tcPr>
            <w:tcW w:w="1404" w:type="dxa"/>
            <w:tcBorders>
              <w:top w:val="single" w:color="auto" w:sz="4" w:space="0"/>
              <w:left w:val="single" w:color="auto" w:sz="4" w:space="0"/>
              <w:bottom w:val="single" w:color="auto" w:sz="4" w:space="0"/>
              <w:righ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开展南北港河流域违法建设整治行动不少于8次</w:t>
            </w:r>
          </w:p>
        </w:tc>
        <w:tc>
          <w:tcPr>
            <w:tcW w:w="1121" w:type="dxa"/>
            <w:tcBorders>
              <w:top w:val="single" w:color="auto" w:sz="4" w:space="0"/>
              <w:left w:val="single" w:color="auto" w:sz="4" w:space="0"/>
              <w:bottom w:val="single" w:color="auto" w:sz="4" w:space="0"/>
              <w:right w:val="single" w:color="auto" w:sz="4" w:space="0"/>
            </w:tcBorders>
            <w:vAlign w:val="center"/>
          </w:tcPr>
          <w:p w14:paraId="361A8A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开展南北港河流域违法建设整治行动10次</w:t>
            </w:r>
          </w:p>
        </w:tc>
        <w:tc>
          <w:tcPr>
            <w:tcW w:w="679" w:type="dxa"/>
            <w:tcBorders>
              <w:top w:val="single" w:color="auto" w:sz="4" w:space="0"/>
              <w:left w:val="single" w:color="auto" w:sz="4" w:space="0"/>
              <w:bottom w:val="single" w:color="auto" w:sz="4" w:space="0"/>
              <w:right w:val="single" w:color="auto" w:sz="4" w:space="0"/>
            </w:tcBorders>
            <w:vAlign w:val="center"/>
          </w:tcPr>
          <w:p w14:paraId="3291A3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6C51F3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7A88DDF7">
            <w:pPr>
              <w:jc w:val="center"/>
              <w:rPr>
                <w:rFonts w:hint="eastAsia" w:ascii="宋体" w:hAnsi="宋体" w:eastAsia="宋体" w:cs="宋体"/>
                <w:sz w:val="18"/>
                <w:szCs w:val="18"/>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4E416278">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4881A5">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13E32DF4">
            <w:pPr>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center"/>
          </w:tcPr>
          <w:p w14:paraId="579FED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拆除涉水违法建设</w:t>
            </w:r>
          </w:p>
        </w:tc>
        <w:tc>
          <w:tcPr>
            <w:tcW w:w="1404" w:type="dxa"/>
            <w:tcBorders>
              <w:top w:val="single" w:color="auto" w:sz="4" w:space="0"/>
              <w:left w:val="single" w:color="auto" w:sz="4" w:space="0"/>
              <w:bottom w:val="single" w:color="auto" w:sz="4" w:space="0"/>
              <w:right w:val="single" w:color="auto" w:sz="4" w:space="0"/>
            </w:tcBorders>
            <w:vAlign w:val="center"/>
          </w:tcPr>
          <w:p w14:paraId="767F6D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拆除涉水违法建设不少于60处</w:t>
            </w:r>
          </w:p>
        </w:tc>
        <w:tc>
          <w:tcPr>
            <w:tcW w:w="1121" w:type="dxa"/>
            <w:tcBorders>
              <w:top w:val="single" w:color="auto" w:sz="4" w:space="0"/>
              <w:left w:val="single" w:color="auto" w:sz="4" w:space="0"/>
              <w:bottom w:val="single" w:color="auto" w:sz="4" w:space="0"/>
              <w:right w:val="single" w:color="auto" w:sz="4" w:space="0"/>
            </w:tcBorders>
            <w:vAlign w:val="center"/>
          </w:tcPr>
          <w:p w14:paraId="28B469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拆除涉水违法建设62处</w:t>
            </w:r>
          </w:p>
        </w:tc>
        <w:tc>
          <w:tcPr>
            <w:tcW w:w="679" w:type="dxa"/>
            <w:tcBorders>
              <w:top w:val="single" w:color="auto" w:sz="4" w:space="0"/>
              <w:left w:val="single" w:color="auto" w:sz="4" w:space="0"/>
              <w:bottom w:val="single" w:color="auto" w:sz="4" w:space="0"/>
              <w:right w:val="single" w:color="auto" w:sz="4" w:space="0"/>
            </w:tcBorders>
            <w:vAlign w:val="center"/>
          </w:tcPr>
          <w:p w14:paraId="3709EE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1A52A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4A2238AE">
            <w:pPr>
              <w:jc w:val="center"/>
              <w:rPr>
                <w:rFonts w:hint="eastAsia" w:ascii="宋体" w:hAnsi="宋体" w:eastAsia="宋体" w:cs="宋体"/>
                <w:sz w:val="18"/>
                <w:szCs w:val="18"/>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vAlign w:val="center"/>
          </w:tcPr>
          <w:p w14:paraId="291BA64C">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DB4760">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47EE0C6D">
            <w:pPr>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center"/>
          </w:tcPr>
          <w:p w14:paraId="78A5F4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拆除面积</w:t>
            </w:r>
          </w:p>
        </w:tc>
        <w:tc>
          <w:tcPr>
            <w:tcW w:w="1404" w:type="dxa"/>
            <w:tcBorders>
              <w:top w:val="single" w:color="auto" w:sz="4" w:space="0"/>
              <w:left w:val="single" w:color="auto" w:sz="4" w:space="0"/>
              <w:bottom w:val="single" w:color="auto" w:sz="4" w:space="0"/>
              <w:right w:val="single" w:color="auto" w:sz="4" w:space="0"/>
            </w:tcBorders>
            <w:vAlign w:val="center"/>
          </w:tcPr>
          <w:p w14:paraId="34A3FF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拆除面积不少于1.5万平方米</w:t>
            </w:r>
          </w:p>
        </w:tc>
        <w:tc>
          <w:tcPr>
            <w:tcW w:w="1121" w:type="dxa"/>
            <w:tcBorders>
              <w:top w:val="single" w:color="auto" w:sz="4" w:space="0"/>
              <w:left w:val="single" w:color="auto" w:sz="4" w:space="0"/>
              <w:bottom w:val="single" w:color="auto" w:sz="4" w:space="0"/>
              <w:right w:val="single" w:color="auto" w:sz="4" w:space="0"/>
            </w:tcBorders>
            <w:vAlign w:val="center"/>
          </w:tcPr>
          <w:p w14:paraId="2CD24D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拆除面积1.8万平方米</w:t>
            </w:r>
          </w:p>
        </w:tc>
        <w:tc>
          <w:tcPr>
            <w:tcW w:w="679" w:type="dxa"/>
            <w:tcBorders>
              <w:top w:val="single" w:color="auto" w:sz="4" w:space="0"/>
              <w:left w:val="single" w:color="auto" w:sz="4" w:space="0"/>
              <w:bottom w:val="single" w:color="auto" w:sz="4" w:space="0"/>
              <w:right w:val="single" w:color="auto" w:sz="4" w:space="0"/>
            </w:tcBorders>
            <w:vAlign w:val="center"/>
          </w:tcPr>
          <w:p w14:paraId="271040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781C44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43929F5">
            <w:pPr>
              <w:jc w:val="center"/>
              <w:rPr>
                <w:rFonts w:hint="eastAsia" w:ascii="宋体" w:hAnsi="宋体" w:eastAsia="宋体" w:cs="宋体"/>
                <w:sz w:val="18"/>
                <w:szCs w:val="18"/>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1698FC92">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A12340A">
            <w:pPr>
              <w:jc w:val="center"/>
              <w:rPr>
                <w:rFonts w:hint="eastAsia" w:ascii="宋体" w:hAnsi="宋体" w:eastAsia="宋体" w:cs="宋体"/>
                <w:sz w:val="19"/>
                <w:szCs w:val="19"/>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720C5635">
            <w:pPr>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center"/>
          </w:tcPr>
          <w:p w14:paraId="27C1D3F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清表堤干</w:t>
            </w:r>
          </w:p>
        </w:tc>
        <w:tc>
          <w:tcPr>
            <w:tcW w:w="1404" w:type="dxa"/>
            <w:tcBorders>
              <w:top w:val="single" w:color="auto" w:sz="4" w:space="0"/>
              <w:left w:val="single" w:color="auto" w:sz="4" w:space="0"/>
              <w:bottom w:val="single" w:color="auto" w:sz="4" w:space="0"/>
              <w:right w:val="single" w:color="auto" w:sz="4" w:space="0"/>
            </w:tcBorders>
            <w:vAlign w:val="center"/>
          </w:tcPr>
          <w:p w14:paraId="15870B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清表堤干不少于5000平方米</w:t>
            </w:r>
          </w:p>
        </w:tc>
        <w:tc>
          <w:tcPr>
            <w:tcW w:w="1121" w:type="dxa"/>
            <w:tcBorders>
              <w:top w:val="single" w:color="auto" w:sz="4" w:space="0"/>
              <w:left w:val="single" w:color="auto" w:sz="4" w:space="0"/>
              <w:bottom w:val="single" w:color="auto" w:sz="4" w:space="0"/>
              <w:right w:val="single" w:color="auto" w:sz="4" w:space="0"/>
            </w:tcBorders>
            <w:vAlign w:val="center"/>
          </w:tcPr>
          <w:p w14:paraId="7DBE7A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清表堤干5800平方米</w:t>
            </w:r>
          </w:p>
        </w:tc>
        <w:tc>
          <w:tcPr>
            <w:tcW w:w="679" w:type="dxa"/>
            <w:tcBorders>
              <w:top w:val="single" w:color="auto" w:sz="4" w:space="0"/>
              <w:left w:val="single" w:color="auto" w:sz="4" w:space="0"/>
              <w:bottom w:val="single" w:color="auto" w:sz="4" w:space="0"/>
              <w:right w:val="single" w:color="auto" w:sz="4" w:space="0"/>
            </w:tcBorders>
            <w:vAlign w:val="center"/>
          </w:tcPr>
          <w:p w14:paraId="255373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F2629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01BC398">
            <w:pPr>
              <w:jc w:val="center"/>
              <w:rPr>
                <w:rFonts w:hint="eastAsia" w:ascii="宋体" w:hAnsi="宋体" w:eastAsia="宋体" w:cs="宋体"/>
                <w:sz w:val="18"/>
                <w:szCs w:val="18"/>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5A3588F5">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AB3C8F">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6C6217DA">
            <w:pPr>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center"/>
          </w:tcPr>
          <w:p w14:paraId="42FE218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改厕</w:t>
            </w:r>
          </w:p>
        </w:tc>
        <w:tc>
          <w:tcPr>
            <w:tcW w:w="1404" w:type="dxa"/>
            <w:tcBorders>
              <w:top w:val="single" w:color="auto" w:sz="4" w:space="0"/>
              <w:left w:val="single" w:color="auto" w:sz="4" w:space="0"/>
              <w:bottom w:val="single" w:color="auto" w:sz="4" w:space="0"/>
              <w:right w:val="single" w:color="auto" w:sz="4" w:space="0"/>
            </w:tcBorders>
            <w:vAlign w:val="center"/>
          </w:tcPr>
          <w:p w14:paraId="436631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改厕不少于70户</w:t>
            </w:r>
          </w:p>
        </w:tc>
        <w:tc>
          <w:tcPr>
            <w:tcW w:w="1121" w:type="dxa"/>
            <w:tcBorders>
              <w:top w:val="single" w:color="auto" w:sz="4" w:space="0"/>
              <w:left w:val="single" w:color="auto" w:sz="4" w:space="0"/>
              <w:bottom w:val="single" w:color="auto" w:sz="4" w:space="0"/>
              <w:right w:val="single" w:color="auto" w:sz="4" w:space="0"/>
            </w:tcBorders>
            <w:vAlign w:val="center"/>
          </w:tcPr>
          <w:p w14:paraId="5BEDAE1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改厕79户</w:t>
            </w:r>
          </w:p>
        </w:tc>
        <w:tc>
          <w:tcPr>
            <w:tcW w:w="679" w:type="dxa"/>
            <w:tcBorders>
              <w:top w:val="single" w:color="auto" w:sz="4" w:space="0"/>
              <w:left w:val="single" w:color="auto" w:sz="4" w:space="0"/>
              <w:bottom w:val="single" w:color="auto" w:sz="4" w:space="0"/>
              <w:right w:val="single" w:color="auto" w:sz="4" w:space="0"/>
            </w:tcBorders>
            <w:vAlign w:val="center"/>
          </w:tcPr>
          <w:p w14:paraId="4A950A3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30F08D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712F8105">
            <w:pPr>
              <w:jc w:val="center"/>
              <w:rPr>
                <w:rFonts w:hint="eastAsia" w:ascii="宋体" w:hAnsi="宋体" w:eastAsia="宋体" w:cs="宋体"/>
                <w:sz w:val="18"/>
                <w:szCs w:val="18"/>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3433DF62">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487E54E">
            <w:pPr>
              <w:jc w:val="center"/>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238090C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1DA6D43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资金使用进度</w:t>
            </w:r>
          </w:p>
        </w:tc>
        <w:tc>
          <w:tcPr>
            <w:tcW w:w="1404" w:type="dxa"/>
            <w:tcBorders>
              <w:top w:val="single" w:color="auto" w:sz="4" w:space="0"/>
              <w:left w:val="single" w:color="auto" w:sz="4" w:space="0"/>
              <w:bottom w:val="single" w:color="auto" w:sz="4" w:space="0"/>
              <w:right w:val="single" w:color="auto" w:sz="4" w:space="0"/>
            </w:tcBorders>
            <w:vAlign w:val="center"/>
          </w:tcPr>
          <w:p w14:paraId="1D8CAE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18FBDA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07CE95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A1C66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5819947E">
            <w:pPr>
              <w:jc w:val="center"/>
              <w:rPr>
                <w:rFonts w:hint="eastAsia" w:ascii="宋体" w:hAnsi="宋体" w:eastAsia="宋体" w:cs="宋体"/>
                <w:sz w:val="18"/>
                <w:szCs w:val="18"/>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386223BF">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8D5173">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49962410">
            <w:pPr>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center"/>
          </w:tcPr>
          <w:p w14:paraId="6A44DBC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奥敏游泳馆君兴液化气站销号进度</w:t>
            </w:r>
          </w:p>
        </w:tc>
        <w:tc>
          <w:tcPr>
            <w:tcW w:w="1404" w:type="dxa"/>
            <w:tcBorders>
              <w:top w:val="single" w:color="auto" w:sz="4" w:space="0"/>
              <w:left w:val="single" w:color="auto" w:sz="4" w:space="0"/>
              <w:bottom w:val="single" w:color="auto" w:sz="4" w:space="0"/>
              <w:right w:val="single" w:color="auto" w:sz="4" w:space="0"/>
            </w:tcBorders>
            <w:vAlign w:val="center"/>
          </w:tcPr>
          <w:p w14:paraId="2C43FF0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1A6BEB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605D643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A5375F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1FC84480">
            <w:pPr>
              <w:jc w:val="center"/>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63FEE696">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6B4BD20">
            <w:pPr>
              <w:jc w:val="center"/>
              <w:rPr>
                <w:rFonts w:hint="eastAsia" w:ascii="宋体" w:hAnsi="宋体" w:eastAsia="宋体" w:cs="宋体"/>
                <w:spacing w:val="3"/>
                <w:sz w:val="19"/>
                <w:szCs w:val="19"/>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4882917E">
            <w:pPr>
              <w:jc w:val="center"/>
              <w:rPr>
                <w:rFonts w:hint="eastAsia" w:ascii="宋体" w:hAnsi="宋体" w:eastAsia="宋体" w:cs="宋体"/>
                <w:spacing w:val="2"/>
                <w:sz w:val="19"/>
                <w:szCs w:val="19"/>
              </w:rPr>
            </w:pPr>
          </w:p>
        </w:tc>
        <w:tc>
          <w:tcPr>
            <w:tcW w:w="1244" w:type="dxa"/>
            <w:tcBorders>
              <w:top w:val="single" w:color="auto" w:sz="4" w:space="0"/>
              <w:left w:val="single" w:color="auto" w:sz="4" w:space="0"/>
              <w:bottom w:val="single" w:color="auto" w:sz="4" w:space="0"/>
              <w:right w:val="single" w:color="auto" w:sz="4" w:space="0"/>
            </w:tcBorders>
            <w:vAlign w:val="center"/>
          </w:tcPr>
          <w:p w14:paraId="4E937DD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周威养殖中心、岳东生态养殖中心围堤堤干拆除完成进度</w:t>
            </w:r>
          </w:p>
        </w:tc>
        <w:tc>
          <w:tcPr>
            <w:tcW w:w="1404" w:type="dxa"/>
            <w:tcBorders>
              <w:top w:val="single" w:color="auto" w:sz="4" w:space="0"/>
              <w:left w:val="single" w:color="auto" w:sz="4" w:space="0"/>
              <w:bottom w:val="single" w:color="auto" w:sz="4" w:space="0"/>
              <w:right w:val="single" w:color="auto" w:sz="4" w:space="0"/>
            </w:tcBorders>
            <w:vAlign w:val="center"/>
          </w:tcPr>
          <w:p w14:paraId="05E307B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3D20A8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0AF2B4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42D7A5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633168D">
            <w:pPr>
              <w:jc w:val="center"/>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7788015B">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E0AEE32">
            <w:pPr>
              <w:jc w:val="center"/>
              <w:rPr>
                <w:rFonts w:hint="eastAsia" w:ascii="宋体" w:hAnsi="宋体" w:eastAsia="宋体" w:cs="宋体"/>
                <w:sz w:val="19"/>
                <w:szCs w:val="19"/>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20"/>
                <w:szCs w:val="20"/>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58842E2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年底前完成奥敏游泳馆君兴液化气站销号</w:t>
            </w:r>
          </w:p>
        </w:tc>
        <w:tc>
          <w:tcPr>
            <w:tcW w:w="1404" w:type="dxa"/>
            <w:tcBorders>
              <w:top w:val="single" w:color="auto" w:sz="4" w:space="0"/>
              <w:left w:val="single" w:color="auto" w:sz="4" w:space="0"/>
              <w:bottom w:val="single" w:color="auto" w:sz="4" w:space="0"/>
              <w:right w:val="single" w:color="auto" w:sz="4" w:space="0"/>
            </w:tcBorders>
            <w:vAlign w:val="center"/>
          </w:tcPr>
          <w:p w14:paraId="244B85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2023年底前完成</w:t>
            </w:r>
          </w:p>
        </w:tc>
        <w:tc>
          <w:tcPr>
            <w:tcW w:w="1121" w:type="dxa"/>
            <w:tcBorders>
              <w:top w:val="single" w:color="auto" w:sz="4" w:space="0"/>
              <w:left w:val="single" w:color="auto" w:sz="4" w:space="0"/>
              <w:bottom w:val="single" w:color="auto" w:sz="4" w:space="0"/>
              <w:right w:val="single" w:color="auto" w:sz="4" w:space="0"/>
            </w:tcBorders>
            <w:vAlign w:val="center"/>
          </w:tcPr>
          <w:p w14:paraId="4C091D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已完成</w:t>
            </w:r>
          </w:p>
        </w:tc>
        <w:tc>
          <w:tcPr>
            <w:tcW w:w="679" w:type="dxa"/>
            <w:tcBorders>
              <w:top w:val="single" w:color="auto" w:sz="4" w:space="0"/>
              <w:left w:val="single" w:color="auto" w:sz="4" w:space="0"/>
              <w:bottom w:val="single" w:color="auto" w:sz="4" w:space="0"/>
              <w:right w:val="single" w:color="auto" w:sz="4" w:space="0"/>
            </w:tcBorders>
            <w:vAlign w:val="center"/>
          </w:tcPr>
          <w:p w14:paraId="5CFD3C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31253F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1F978E51">
            <w:pPr>
              <w:jc w:val="center"/>
              <w:rPr>
                <w:rFonts w:hint="eastAsia" w:ascii="宋体" w:hAnsi="宋体" w:eastAsia="宋体" w:cs="宋体"/>
                <w:sz w:val="18"/>
                <w:szCs w:val="18"/>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41495404">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B7F8EA">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68D4DD4E">
            <w:pPr>
              <w:jc w:val="center"/>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vAlign w:val="center"/>
          </w:tcPr>
          <w:p w14:paraId="713673A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周威养殖中心、岳东生态养殖中心围堤堤干拆除</w:t>
            </w:r>
          </w:p>
        </w:tc>
        <w:tc>
          <w:tcPr>
            <w:tcW w:w="1404" w:type="dxa"/>
            <w:tcBorders>
              <w:top w:val="single" w:color="auto" w:sz="4" w:space="0"/>
              <w:left w:val="single" w:color="auto" w:sz="4" w:space="0"/>
              <w:bottom w:val="single" w:color="auto" w:sz="4" w:space="0"/>
              <w:right w:val="single" w:color="auto" w:sz="4" w:space="0"/>
            </w:tcBorders>
            <w:vAlign w:val="center"/>
          </w:tcPr>
          <w:p w14:paraId="299DEF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2023年底前完成</w:t>
            </w:r>
          </w:p>
        </w:tc>
        <w:tc>
          <w:tcPr>
            <w:tcW w:w="1121" w:type="dxa"/>
            <w:tcBorders>
              <w:top w:val="single" w:color="auto" w:sz="4" w:space="0"/>
              <w:left w:val="single" w:color="auto" w:sz="4" w:space="0"/>
              <w:bottom w:val="single" w:color="auto" w:sz="4" w:space="0"/>
              <w:right w:val="single" w:color="auto" w:sz="4" w:space="0"/>
            </w:tcBorders>
            <w:vAlign w:val="center"/>
          </w:tcPr>
          <w:p w14:paraId="0DAEAF7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已完成</w:t>
            </w:r>
          </w:p>
        </w:tc>
        <w:tc>
          <w:tcPr>
            <w:tcW w:w="679" w:type="dxa"/>
            <w:tcBorders>
              <w:top w:val="single" w:color="auto" w:sz="4" w:space="0"/>
              <w:left w:val="single" w:color="auto" w:sz="4" w:space="0"/>
              <w:bottom w:val="single" w:color="auto" w:sz="4" w:space="0"/>
              <w:right w:val="single" w:color="auto" w:sz="4" w:space="0"/>
            </w:tcBorders>
            <w:vAlign w:val="center"/>
          </w:tcPr>
          <w:p w14:paraId="2A296A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364C95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322E2A5E">
            <w:pPr>
              <w:jc w:val="center"/>
              <w:rPr>
                <w:rFonts w:hint="eastAsia" w:ascii="宋体" w:hAnsi="宋体" w:eastAsia="宋体" w:cs="宋体"/>
                <w:sz w:val="18"/>
                <w:szCs w:val="18"/>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76ADA55E">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8B2418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6E9487B6">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4E94E2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改善营商环境</w:t>
            </w:r>
          </w:p>
        </w:tc>
        <w:tc>
          <w:tcPr>
            <w:tcW w:w="1404" w:type="dxa"/>
            <w:tcBorders>
              <w:top w:val="single" w:color="auto" w:sz="4" w:space="0"/>
              <w:left w:val="single" w:color="auto" w:sz="4" w:space="0"/>
              <w:bottom w:val="single" w:color="auto" w:sz="4" w:space="0"/>
              <w:right w:val="single" w:color="auto" w:sz="4" w:space="0"/>
            </w:tcBorders>
            <w:vAlign w:val="center"/>
          </w:tcPr>
          <w:p w14:paraId="153179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持续</w:t>
            </w:r>
          </w:p>
        </w:tc>
        <w:tc>
          <w:tcPr>
            <w:tcW w:w="1121" w:type="dxa"/>
            <w:tcBorders>
              <w:top w:val="single" w:color="auto" w:sz="4" w:space="0"/>
              <w:left w:val="single" w:color="auto" w:sz="4" w:space="0"/>
              <w:bottom w:val="single" w:color="auto" w:sz="4" w:space="0"/>
              <w:right w:val="single" w:color="auto" w:sz="4" w:space="0"/>
            </w:tcBorders>
            <w:vAlign w:val="center"/>
          </w:tcPr>
          <w:p w14:paraId="634A8CF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持续</w:t>
            </w:r>
          </w:p>
        </w:tc>
        <w:tc>
          <w:tcPr>
            <w:tcW w:w="679" w:type="dxa"/>
            <w:tcBorders>
              <w:top w:val="single" w:color="auto" w:sz="4" w:space="0"/>
              <w:left w:val="single" w:color="auto" w:sz="4" w:space="0"/>
              <w:bottom w:val="single" w:color="auto" w:sz="4" w:space="0"/>
              <w:right w:val="single" w:color="auto" w:sz="4" w:space="0"/>
            </w:tcBorders>
            <w:vAlign w:val="center"/>
          </w:tcPr>
          <w:p w14:paraId="0FCBC2C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36B7B36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A6D29A3">
            <w:pPr>
              <w:jc w:val="center"/>
              <w:rPr>
                <w:rFonts w:hint="eastAsia" w:ascii="宋体" w:hAnsi="宋体" w:eastAsia="宋体" w:cs="宋体"/>
                <w:sz w:val="18"/>
                <w:szCs w:val="18"/>
              </w:rPr>
            </w:pPr>
          </w:p>
        </w:tc>
      </w:tr>
      <w:tr w14:paraId="13582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2AF121EF">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383790E">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5B9FFF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6687F8A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居民生活水平提高</w:t>
            </w:r>
          </w:p>
        </w:tc>
        <w:tc>
          <w:tcPr>
            <w:tcW w:w="1404" w:type="dxa"/>
            <w:tcBorders>
              <w:top w:val="single" w:color="auto" w:sz="4" w:space="0"/>
              <w:left w:val="single" w:color="auto" w:sz="4" w:space="0"/>
              <w:bottom w:val="single" w:color="auto" w:sz="4" w:space="0"/>
              <w:right w:val="single" w:color="auto" w:sz="4" w:space="0"/>
            </w:tcBorders>
            <w:vAlign w:val="center"/>
          </w:tcPr>
          <w:p w14:paraId="623541C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改善居民居住环境</w:t>
            </w:r>
          </w:p>
        </w:tc>
        <w:tc>
          <w:tcPr>
            <w:tcW w:w="1121" w:type="dxa"/>
            <w:tcBorders>
              <w:top w:val="single" w:color="auto" w:sz="4" w:space="0"/>
              <w:left w:val="single" w:color="auto" w:sz="4" w:space="0"/>
              <w:bottom w:val="single" w:color="auto" w:sz="4" w:space="0"/>
              <w:right w:val="single" w:color="auto" w:sz="4" w:space="0"/>
            </w:tcBorders>
            <w:vAlign w:val="center"/>
          </w:tcPr>
          <w:p w14:paraId="3F88A7E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拆除涉水建筑59处，面积11232平方米，达标改厕79户。清理沿岸垃圾100吨。</w:t>
            </w:r>
          </w:p>
        </w:tc>
        <w:tc>
          <w:tcPr>
            <w:tcW w:w="679" w:type="dxa"/>
            <w:tcBorders>
              <w:top w:val="single" w:color="auto" w:sz="4" w:space="0"/>
              <w:left w:val="single" w:color="auto" w:sz="4" w:space="0"/>
              <w:bottom w:val="single" w:color="auto" w:sz="4" w:space="0"/>
              <w:right w:val="single" w:color="auto" w:sz="4" w:space="0"/>
            </w:tcBorders>
            <w:vAlign w:val="center"/>
          </w:tcPr>
          <w:p w14:paraId="5A4354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4768890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6114676C">
            <w:pPr>
              <w:jc w:val="center"/>
              <w:rPr>
                <w:rFonts w:hint="eastAsia" w:ascii="宋体" w:hAnsi="宋体" w:eastAsia="宋体" w:cs="宋体"/>
                <w:sz w:val="18"/>
                <w:szCs w:val="18"/>
              </w:rPr>
            </w:pPr>
          </w:p>
        </w:tc>
      </w:tr>
      <w:tr w14:paraId="133C9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24B52D41">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A71CA27">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5D7830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0FDCFA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环境质量提升</w:t>
            </w:r>
          </w:p>
        </w:tc>
        <w:tc>
          <w:tcPr>
            <w:tcW w:w="1404" w:type="dxa"/>
            <w:tcBorders>
              <w:top w:val="single" w:color="auto" w:sz="4" w:space="0"/>
              <w:left w:val="single" w:color="auto" w:sz="4" w:space="0"/>
              <w:bottom w:val="single" w:color="auto" w:sz="4" w:space="0"/>
              <w:right w:val="single" w:color="auto" w:sz="4" w:space="0"/>
            </w:tcBorders>
            <w:vAlign w:val="center"/>
          </w:tcPr>
          <w:p w14:paraId="799BC98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建筑垃圾全面清理</w:t>
            </w:r>
          </w:p>
        </w:tc>
        <w:tc>
          <w:tcPr>
            <w:tcW w:w="1121" w:type="dxa"/>
            <w:tcBorders>
              <w:top w:val="single" w:color="auto" w:sz="4" w:space="0"/>
              <w:left w:val="single" w:color="auto" w:sz="4" w:space="0"/>
              <w:bottom w:val="single" w:color="auto" w:sz="4" w:space="0"/>
              <w:right w:val="single" w:color="auto" w:sz="4" w:space="0"/>
            </w:tcBorders>
            <w:vAlign w:val="center"/>
          </w:tcPr>
          <w:p w14:paraId="089D0F5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清理沿岸垃圾50车、100余吨</w:t>
            </w:r>
          </w:p>
        </w:tc>
        <w:tc>
          <w:tcPr>
            <w:tcW w:w="679" w:type="dxa"/>
            <w:tcBorders>
              <w:top w:val="single" w:color="auto" w:sz="4" w:space="0"/>
              <w:left w:val="single" w:color="auto" w:sz="4" w:space="0"/>
              <w:bottom w:val="single" w:color="auto" w:sz="4" w:space="0"/>
              <w:right w:val="single" w:color="auto" w:sz="4" w:space="0"/>
            </w:tcBorders>
            <w:vAlign w:val="center"/>
          </w:tcPr>
          <w:p w14:paraId="79B7584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85B1A1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7A98414D">
            <w:pPr>
              <w:jc w:val="center"/>
              <w:rPr>
                <w:rFonts w:hint="eastAsia" w:ascii="宋体" w:hAnsi="宋体" w:eastAsia="宋体" w:cs="宋体"/>
                <w:sz w:val="18"/>
                <w:szCs w:val="18"/>
              </w:rPr>
            </w:pPr>
          </w:p>
        </w:tc>
      </w:tr>
      <w:tr w14:paraId="75D15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1AADFB40">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7CEDC19">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2C43AA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0B7CF08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改善居民居住环境、提高居民幸福感</w:t>
            </w:r>
          </w:p>
        </w:tc>
        <w:tc>
          <w:tcPr>
            <w:tcW w:w="1404" w:type="dxa"/>
            <w:tcBorders>
              <w:top w:val="single" w:color="auto" w:sz="4" w:space="0"/>
              <w:left w:val="single" w:color="auto" w:sz="4" w:space="0"/>
              <w:bottom w:val="single" w:color="auto" w:sz="4" w:space="0"/>
              <w:right w:val="single" w:color="auto" w:sz="4" w:space="0"/>
            </w:tcBorders>
            <w:vAlign w:val="center"/>
          </w:tcPr>
          <w:p w14:paraId="704BF0D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坚持南北港河流域环境治理</w:t>
            </w:r>
          </w:p>
        </w:tc>
        <w:tc>
          <w:tcPr>
            <w:tcW w:w="1121" w:type="dxa"/>
            <w:tcBorders>
              <w:top w:val="single" w:color="auto" w:sz="4" w:space="0"/>
              <w:left w:val="single" w:color="auto" w:sz="4" w:space="0"/>
              <w:bottom w:val="single" w:color="auto" w:sz="4" w:space="0"/>
              <w:right w:val="single" w:color="auto" w:sz="4" w:space="0"/>
            </w:tcBorders>
            <w:vAlign w:val="center"/>
          </w:tcPr>
          <w:p w14:paraId="3DE82D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持续进行南北港流域环境治理、治理范围达到辖区涉南港河流域100%</w:t>
            </w:r>
          </w:p>
        </w:tc>
        <w:tc>
          <w:tcPr>
            <w:tcW w:w="679" w:type="dxa"/>
            <w:tcBorders>
              <w:top w:val="single" w:color="auto" w:sz="4" w:space="0"/>
              <w:left w:val="single" w:color="auto" w:sz="4" w:space="0"/>
              <w:bottom w:val="single" w:color="auto" w:sz="4" w:space="0"/>
              <w:right w:val="single" w:color="auto" w:sz="4" w:space="0"/>
            </w:tcBorders>
            <w:vAlign w:val="center"/>
          </w:tcPr>
          <w:p w14:paraId="01DACAD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5BFCEF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1DCED99E">
            <w:pPr>
              <w:jc w:val="center"/>
              <w:rPr>
                <w:rFonts w:hint="eastAsia" w:ascii="宋体" w:hAnsi="宋体" w:eastAsia="宋体" w:cs="宋体"/>
                <w:sz w:val="18"/>
                <w:szCs w:val="18"/>
              </w:rPr>
            </w:pPr>
          </w:p>
        </w:tc>
      </w:tr>
      <w:tr w14:paraId="4578A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2B2F00A8">
            <w:pPr>
              <w:jc w:val="center"/>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753171E0">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2ED450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7B900DE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居民满意度</w:t>
            </w:r>
          </w:p>
        </w:tc>
        <w:tc>
          <w:tcPr>
            <w:tcW w:w="1404" w:type="dxa"/>
            <w:tcBorders>
              <w:top w:val="single" w:color="auto" w:sz="4" w:space="0"/>
              <w:left w:val="single" w:color="auto" w:sz="4" w:space="0"/>
              <w:bottom w:val="single" w:color="auto" w:sz="4" w:space="0"/>
              <w:right w:val="single" w:color="auto" w:sz="4" w:space="0"/>
            </w:tcBorders>
            <w:vAlign w:val="center"/>
          </w:tcPr>
          <w:p w14:paraId="015611D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≧96%</w:t>
            </w:r>
          </w:p>
        </w:tc>
        <w:tc>
          <w:tcPr>
            <w:tcW w:w="1121" w:type="dxa"/>
            <w:tcBorders>
              <w:top w:val="single" w:color="auto" w:sz="4" w:space="0"/>
              <w:left w:val="single" w:color="auto" w:sz="4" w:space="0"/>
              <w:bottom w:val="single" w:color="auto" w:sz="4" w:space="0"/>
              <w:right w:val="single" w:color="auto" w:sz="4" w:space="0"/>
            </w:tcBorders>
            <w:vAlign w:val="center"/>
          </w:tcPr>
          <w:p w14:paraId="597D491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94%</w:t>
            </w:r>
          </w:p>
        </w:tc>
        <w:tc>
          <w:tcPr>
            <w:tcW w:w="679" w:type="dxa"/>
            <w:tcBorders>
              <w:top w:val="single" w:color="auto" w:sz="4" w:space="0"/>
              <w:left w:val="single" w:color="auto" w:sz="4" w:space="0"/>
              <w:bottom w:val="single" w:color="auto" w:sz="4" w:space="0"/>
              <w:right w:val="single" w:color="auto" w:sz="4" w:space="0"/>
            </w:tcBorders>
            <w:vAlign w:val="center"/>
          </w:tcPr>
          <w:p w14:paraId="05CF7F0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070136C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3.00</w:t>
            </w:r>
          </w:p>
        </w:tc>
        <w:tc>
          <w:tcPr>
            <w:tcW w:w="1309" w:type="dxa"/>
            <w:tcBorders>
              <w:top w:val="single" w:color="auto" w:sz="4" w:space="0"/>
              <w:left w:val="single" w:color="auto" w:sz="4" w:space="0"/>
              <w:bottom w:val="single" w:color="auto" w:sz="4" w:space="0"/>
              <w:right w:val="single" w:color="auto" w:sz="4" w:space="0"/>
            </w:tcBorders>
            <w:vAlign w:val="center"/>
          </w:tcPr>
          <w:p w14:paraId="7F196CC7">
            <w:pPr>
              <w:jc w:val="center"/>
              <w:rPr>
                <w:rFonts w:hint="eastAsia" w:ascii="宋体" w:hAnsi="宋体" w:eastAsia="宋体" w:cs="宋体"/>
                <w:sz w:val="18"/>
                <w:szCs w:val="18"/>
              </w:rPr>
            </w:pPr>
          </w:p>
        </w:tc>
      </w:tr>
      <w:tr w14:paraId="58F21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7066FC14">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3E9387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540FDD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9F3FA9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整治经费投入</w:t>
            </w:r>
          </w:p>
        </w:tc>
        <w:tc>
          <w:tcPr>
            <w:tcW w:w="1404" w:type="dxa"/>
            <w:tcBorders>
              <w:top w:val="single" w:color="auto" w:sz="4" w:space="0"/>
              <w:left w:val="single" w:color="auto" w:sz="4" w:space="0"/>
              <w:bottom w:val="single" w:color="auto" w:sz="4" w:space="0"/>
              <w:right w:val="single" w:color="auto" w:sz="4" w:space="0"/>
            </w:tcBorders>
            <w:vAlign w:val="center"/>
          </w:tcPr>
          <w:p w14:paraId="07B9F3C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≧1400万</w:t>
            </w:r>
          </w:p>
        </w:tc>
        <w:tc>
          <w:tcPr>
            <w:tcW w:w="1121" w:type="dxa"/>
            <w:tcBorders>
              <w:top w:val="single" w:color="auto" w:sz="4" w:space="0"/>
              <w:left w:val="single" w:color="auto" w:sz="4" w:space="0"/>
              <w:bottom w:val="single" w:color="auto" w:sz="4" w:space="0"/>
              <w:right w:val="single" w:color="auto" w:sz="4" w:space="0"/>
            </w:tcBorders>
            <w:vAlign w:val="center"/>
          </w:tcPr>
          <w:p w14:paraId="0F3369F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1439.52万</w:t>
            </w:r>
          </w:p>
        </w:tc>
        <w:tc>
          <w:tcPr>
            <w:tcW w:w="679" w:type="dxa"/>
            <w:tcBorders>
              <w:top w:val="single" w:color="auto" w:sz="4" w:space="0"/>
              <w:left w:val="single" w:color="auto" w:sz="4" w:space="0"/>
              <w:bottom w:val="single" w:color="auto" w:sz="4" w:space="0"/>
              <w:right w:val="single" w:color="auto" w:sz="4" w:space="0"/>
            </w:tcBorders>
            <w:vAlign w:val="center"/>
          </w:tcPr>
          <w:p w14:paraId="1769ABB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624F5D1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4C8468B5">
            <w:pPr>
              <w:jc w:val="center"/>
              <w:rPr>
                <w:rFonts w:hint="eastAsia" w:ascii="宋体" w:hAnsi="宋体" w:eastAsia="宋体" w:cs="宋体"/>
                <w:sz w:val="18"/>
                <w:szCs w:val="18"/>
              </w:rPr>
            </w:pPr>
          </w:p>
        </w:tc>
      </w:tr>
      <w:tr w14:paraId="1B4DB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44721578">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AC8E352">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1778A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D7A25A9">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7B582B8B">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3CB08B9F">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32892FCA">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CCB3989">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6CC2BBE5">
            <w:pPr>
              <w:jc w:val="center"/>
              <w:rPr>
                <w:rFonts w:hint="eastAsia" w:ascii="宋体" w:hAnsi="宋体" w:eastAsia="宋体" w:cs="宋体"/>
                <w:sz w:val="18"/>
                <w:szCs w:val="18"/>
              </w:rPr>
            </w:pPr>
          </w:p>
        </w:tc>
      </w:tr>
      <w:tr w14:paraId="5587B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64F19EDA">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B7BA349">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7F89DF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1B898FFC">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5CB828BA">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4D78E64E">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2F58833C">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7BECDA14">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1394E35C">
            <w:pPr>
              <w:jc w:val="center"/>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21CC18B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517FE75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1309" w:type="dxa"/>
            <w:vAlign w:val="top"/>
          </w:tcPr>
          <w:p w14:paraId="0E10417D">
            <w:pPr>
              <w:pStyle w:val="9"/>
              <w:rPr>
                <w:rFonts w:hint="eastAsia" w:ascii="宋体" w:hAnsi="宋体" w:eastAsia="宋体" w:cs="宋体"/>
                <w:sz w:val="18"/>
                <w:szCs w:val="18"/>
              </w:rPr>
            </w:pPr>
          </w:p>
        </w:tc>
      </w:tr>
    </w:tbl>
    <w:p w14:paraId="3C6236D1">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0C985C1">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2024年度岳阳市岳阳楼区奇家岭街道办事处整体支出</w:t>
      </w: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15</w:t>
      </w:r>
      <w:r>
        <w:rPr>
          <w:rFonts w:ascii="楷体" w:hAnsi="楷体" w:eastAsia="楷体" w:cs="楷体"/>
          <w:spacing w:val="-8"/>
          <w:sz w:val="31"/>
          <w:szCs w:val="31"/>
        </w:rPr>
        <w:t>日</w:t>
      </w:r>
    </w:p>
    <w:p w14:paraId="787AD60A">
      <w:pPr>
        <w:spacing w:line="335" w:lineRule="auto"/>
        <w:rPr>
          <w:rFonts w:ascii="Arial"/>
        </w:rPr>
      </w:pP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4" w:type="default"/>
          <w:pgSz w:w="11900" w:h="16833"/>
          <w:pgMar w:top="1401" w:right="1583" w:bottom="1445" w:left="1618" w:header="0" w:footer="1170" w:gutter="0"/>
          <w:cols w:space="720" w:num="1"/>
        </w:sectPr>
      </w:pPr>
    </w:p>
    <w:p w14:paraId="3A4BFDB2">
      <w:pPr>
        <w:spacing w:line="640" w:lineRule="exact"/>
        <w:jc w:val="center"/>
        <w:rPr>
          <w:rFonts w:hint="eastAsia" w:ascii="方正小标宋简体" w:hAnsi="方正小标宋简体" w:eastAsia="方正小标宋简体" w:cs="方正小标宋简体"/>
          <w:b/>
          <w:bCs/>
          <w:spacing w:val="7"/>
          <w:sz w:val="44"/>
          <w:szCs w:val="44"/>
        </w:rPr>
      </w:pPr>
      <w:r>
        <w:rPr>
          <w:rFonts w:hint="eastAsia" w:ascii="方正小标宋简体" w:hAnsi="方正小标宋简体" w:eastAsia="方正小标宋简体" w:cs="方正小标宋简体"/>
          <w:b/>
          <w:bCs/>
          <w:spacing w:val="7"/>
          <w:sz w:val="44"/>
          <w:szCs w:val="44"/>
        </w:rPr>
        <w:t>2024年度岳阳市岳阳楼区奇家岭街道办事处整体支出</w:t>
      </w:r>
    </w:p>
    <w:p w14:paraId="10505D13">
      <w:pPr>
        <w:spacing w:line="640" w:lineRule="exact"/>
        <w:jc w:val="center"/>
        <w:rPr>
          <w:rFonts w:hint="eastAsia" w:ascii="方正小标宋简体" w:hAnsi="方正小标宋简体" w:eastAsia="方正小标宋简体" w:cs="方正小标宋简体"/>
          <w:b/>
          <w:bCs/>
          <w:spacing w:val="7"/>
          <w:sz w:val="44"/>
          <w:szCs w:val="44"/>
        </w:rPr>
      </w:pPr>
      <w:r>
        <w:rPr>
          <w:rFonts w:hint="eastAsia" w:ascii="方正小标宋简体" w:hAnsi="方正小标宋简体" w:eastAsia="方正小标宋简体" w:cs="方正小标宋简体"/>
          <w:b/>
          <w:bCs/>
          <w:spacing w:val="7"/>
          <w:sz w:val="44"/>
          <w:szCs w:val="44"/>
        </w:rPr>
        <w:t>绩效自评报告</w:t>
      </w:r>
    </w:p>
    <w:p w14:paraId="760F5959">
      <w:pPr>
        <w:spacing w:line="283" w:lineRule="auto"/>
        <w:rPr>
          <w:rFonts w:ascii="Arial"/>
        </w:rPr>
      </w:pPr>
    </w:p>
    <w:p w14:paraId="45E3950E">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一、单位</w:t>
      </w:r>
      <w:r>
        <w:rPr>
          <w:rFonts w:ascii="黑体" w:hAnsi="黑体" w:eastAsia="黑体" w:cs="黑体"/>
          <w:b/>
          <w:bCs/>
          <w:spacing w:val="9"/>
          <w:position w:val="21"/>
          <w:sz w:val="32"/>
          <w:szCs w:val="32"/>
        </w:rPr>
        <w:t>基本情况</w:t>
      </w:r>
    </w:p>
    <w:p w14:paraId="43C4C159">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ascii="仿宋" w:hAnsi="仿宋" w:eastAsia="仿宋" w:cs="仿宋"/>
          <w:snapToGrid w:val="0"/>
          <w:color w:val="000000"/>
          <w:spacing w:val="12"/>
          <w:kern w:val="0"/>
          <w:sz w:val="32"/>
          <w:szCs w:val="32"/>
          <w:lang w:val="en-US" w:eastAsia="en-US" w:bidi="ar-SA"/>
        </w:rPr>
      </w:pPr>
      <w:r>
        <w:rPr>
          <w:rFonts w:ascii="仿宋" w:hAnsi="仿宋" w:eastAsia="仿宋" w:cs="仿宋"/>
          <w:snapToGrid w:val="0"/>
          <w:color w:val="000000"/>
          <w:spacing w:val="12"/>
          <w:kern w:val="0"/>
          <w:sz w:val="32"/>
          <w:szCs w:val="32"/>
          <w:lang w:val="en-US" w:eastAsia="en-US" w:bidi="ar-SA"/>
        </w:rPr>
        <w:t>奇家岭街道办事处原名北港街道办事处，2002年由原北港乡改制而成，2007年7月岳阳楼区区划调整后更名为奇家岭街道办事处。该办地处岳阳市城区东南郊，交通要道学院路贯穿南北，辖区北部被南湖环抱，东与经济开发区康王乡毗邻，西南与该区郭镇乡接壤，版图面积16.79平方公里。</w:t>
      </w:r>
    </w:p>
    <w:p w14:paraId="02953DA1">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hint="eastAsia" w:ascii="仿宋" w:hAnsi="仿宋" w:eastAsia="仿宋" w:cs="仿宋"/>
          <w:snapToGrid w:val="0"/>
          <w:color w:val="000000"/>
          <w:spacing w:val="12"/>
          <w:kern w:val="0"/>
          <w:sz w:val="32"/>
          <w:szCs w:val="32"/>
          <w:lang w:val="en-US" w:eastAsia="zh-CN" w:bidi="ar-SA"/>
        </w:rPr>
      </w:pPr>
      <w:r>
        <w:rPr>
          <w:rFonts w:ascii="仿宋" w:hAnsi="仿宋" w:eastAsia="仿宋" w:cs="仿宋"/>
          <w:snapToGrid w:val="0"/>
          <w:color w:val="000000"/>
          <w:spacing w:val="12"/>
          <w:kern w:val="0"/>
          <w:sz w:val="32"/>
          <w:szCs w:val="32"/>
          <w:lang w:val="en-US" w:eastAsia="en-US" w:bidi="ar-SA"/>
        </w:rPr>
        <w:t>本部门现有人数</w:t>
      </w:r>
      <w:r>
        <w:rPr>
          <w:rFonts w:hint="eastAsia" w:ascii="仿宋" w:hAnsi="仿宋" w:eastAsia="仿宋" w:cs="仿宋"/>
          <w:snapToGrid w:val="0"/>
          <w:color w:val="000000"/>
          <w:spacing w:val="12"/>
          <w:kern w:val="0"/>
          <w:sz w:val="32"/>
          <w:szCs w:val="32"/>
          <w:lang w:val="en-US" w:eastAsia="zh-CN" w:bidi="ar-SA"/>
        </w:rPr>
        <w:t>139</w:t>
      </w:r>
      <w:r>
        <w:rPr>
          <w:rFonts w:ascii="仿宋" w:hAnsi="仿宋" w:eastAsia="仿宋" w:cs="仿宋"/>
          <w:snapToGrid w:val="0"/>
          <w:color w:val="000000"/>
          <w:spacing w:val="12"/>
          <w:kern w:val="0"/>
          <w:sz w:val="32"/>
          <w:szCs w:val="32"/>
          <w:lang w:val="en-US" w:eastAsia="en-US" w:bidi="ar-SA"/>
        </w:rPr>
        <w:t>人，其中：在职编制8</w:t>
      </w:r>
      <w:r>
        <w:rPr>
          <w:rFonts w:hint="eastAsia" w:ascii="仿宋" w:hAnsi="仿宋" w:eastAsia="仿宋" w:cs="仿宋"/>
          <w:snapToGrid w:val="0"/>
          <w:color w:val="000000"/>
          <w:spacing w:val="12"/>
          <w:kern w:val="0"/>
          <w:sz w:val="32"/>
          <w:szCs w:val="32"/>
          <w:lang w:val="en-US" w:eastAsia="zh-CN" w:bidi="ar-SA"/>
        </w:rPr>
        <w:t>6</w:t>
      </w:r>
      <w:r>
        <w:rPr>
          <w:rFonts w:ascii="仿宋" w:hAnsi="仿宋" w:eastAsia="仿宋" w:cs="仿宋"/>
          <w:snapToGrid w:val="0"/>
          <w:color w:val="000000"/>
          <w:spacing w:val="12"/>
          <w:kern w:val="0"/>
          <w:sz w:val="32"/>
          <w:szCs w:val="32"/>
          <w:lang w:val="en-US" w:eastAsia="en-US" w:bidi="ar-SA"/>
        </w:rPr>
        <w:t>人；离退休5</w:t>
      </w:r>
      <w:r>
        <w:rPr>
          <w:rFonts w:hint="eastAsia" w:ascii="仿宋" w:hAnsi="仿宋" w:eastAsia="仿宋" w:cs="仿宋"/>
          <w:snapToGrid w:val="0"/>
          <w:color w:val="000000"/>
          <w:spacing w:val="12"/>
          <w:kern w:val="0"/>
          <w:sz w:val="32"/>
          <w:szCs w:val="32"/>
          <w:lang w:val="en-US" w:eastAsia="zh-CN" w:bidi="ar-SA"/>
        </w:rPr>
        <w:t>3</w:t>
      </w:r>
      <w:r>
        <w:rPr>
          <w:rFonts w:ascii="仿宋" w:hAnsi="仿宋" w:eastAsia="仿宋" w:cs="仿宋"/>
          <w:snapToGrid w:val="0"/>
          <w:color w:val="000000"/>
          <w:spacing w:val="12"/>
          <w:kern w:val="0"/>
          <w:sz w:val="32"/>
          <w:szCs w:val="32"/>
          <w:lang w:val="en-US" w:eastAsia="en-US" w:bidi="ar-SA"/>
        </w:rPr>
        <w:t>人。本部门内设：党政办公室、党建办公室、经济发展办公室、社会事务办公室、应急管理办公室、综治信访办公室6个股室。下设：社会事业综合服务中心、产业项目综合服务中心、公共服务和网格化中心、环境卫生服务中心、综合行政执法大队、退役军人服务站6个事业单位。街道下辖5个社区(村):学院路社区、奇家社区、奇西社区、蔡家社区、仓田村。</w:t>
      </w:r>
    </w:p>
    <w:p w14:paraId="637512AA">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二、一般公共预算支出情况</w:t>
      </w:r>
    </w:p>
    <w:p w14:paraId="430BC06D">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19" w:firstLineChars="200"/>
        <w:jc w:val="both"/>
        <w:textAlignment w:val="baseline"/>
        <w:rPr>
          <w:rFonts w:ascii="楷体" w:hAnsi="楷体" w:eastAsia="楷体" w:cs="楷体"/>
          <w:b/>
          <w:bCs/>
          <w:snapToGrid w:val="0"/>
          <w:color w:val="000000"/>
          <w:spacing w:val="-6"/>
          <w:kern w:val="0"/>
          <w:sz w:val="32"/>
          <w:szCs w:val="32"/>
          <w:lang w:val="en-US" w:eastAsia="en-US" w:bidi="ar-SA"/>
        </w:rPr>
      </w:pPr>
      <w:r>
        <w:rPr>
          <w:rFonts w:ascii="楷体" w:hAnsi="楷体" w:eastAsia="楷体" w:cs="楷体"/>
          <w:b/>
          <w:bCs/>
          <w:snapToGrid w:val="0"/>
          <w:color w:val="000000"/>
          <w:spacing w:val="-6"/>
          <w:kern w:val="0"/>
          <w:sz w:val="32"/>
          <w:szCs w:val="32"/>
          <w:lang w:val="en-US" w:eastAsia="en-US" w:bidi="ar-SA"/>
        </w:rPr>
        <w:t>(一)基本支出情况</w:t>
      </w:r>
    </w:p>
    <w:p w14:paraId="724F7417">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仿宋" w:hAnsi="仿宋" w:eastAsia="仿宋" w:cs="黑体"/>
          <w:color w:val="000000"/>
          <w:sz w:val="32"/>
          <w:szCs w:val="32"/>
          <w:highlight w:val="none"/>
          <w:lang w:val="en-US" w:eastAsia="zh-CN" w:bidi="ar-SA"/>
        </w:rPr>
      </w:pPr>
      <w:r>
        <w:rPr>
          <w:rFonts w:hint="eastAsia" w:ascii="仿宋" w:hAnsi="仿宋" w:eastAsia="仿宋" w:cs="黑体"/>
          <w:color w:val="000000"/>
          <w:sz w:val="32"/>
          <w:szCs w:val="32"/>
          <w:highlight w:val="none"/>
          <w:lang w:val="en-US" w:eastAsia="zh-CN" w:bidi="ar-SA"/>
        </w:rPr>
        <w:t>2024年度财政拨款基本支出2734.95万元，其中：</w:t>
      </w:r>
    </w:p>
    <w:p w14:paraId="708AA4B5">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仿宋" w:hAnsi="仿宋" w:eastAsia="仿宋" w:cs="黑体"/>
          <w:color w:val="000000"/>
          <w:sz w:val="32"/>
          <w:szCs w:val="32"/>
          <w:highlight w:val="none"/>
          <w:lang w:val="en-US" w:eastAsia="zh-CN" w:bidi="ar-SA"/>
        </w:rPr>
      </w:pPr>
      <w:r>
        <w:rPr>
          <w:rFonts w:hint="eastAsia" w:ascii="仿宋" w:hAnsi="仿宋" w:eastAsia="仿宋" w:cs="黑体"/>
          <w:color w:val="000000"/>
          <w:sz w:val="32"/>
          <w:szCs w:val="32"/>
          <w:highlight w:val="none"/>
          <w:lang w:val="en-US" w:eastAsia="zh-CN" w:bidi="ar-SA"/>
        </w:rPr>
        <w:t>人员经费1764.94万元，占基本支出的64.53%，主要包括基本工资、津贴补贴、奖金、伙食补助费、绩效工资、机关事业单位基本养老保险缴费、职业年金缴费、职工基本医疗保险缴费、其他社会保障缴费、住房公积金、其他工资福利支出、退休费、生活补助、救济费、医疗费补助、奖励金、其他对个人和家庭的补助。</w:t>
      </w:r>
    </w:p>
    <w:p w14:paraId="336B0CB6">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黑体" w:hAnsi="Calibri" w:eastAsia="黑体" w:cs="黑体"/>
          <w:color w:val="000000"/>
          <w:spacing w:val="12"/>
          <w:sz w:val="32"/>
          <w:szCs w:val="32"/>
          <w:lang w:val="en-US" w:eastAsia="zh-CN" w:bidi="ar-SA"/>
        </w:rPr>
      </w:pPr>
      <w:r>
        <w:rPr>
          <w:rFonts w:hint="eastAsia" w:ascii="仿宋" w:hAnsi="仿宋" w:eastAsia="仿宋" w:cs="黑体"/>
          <w:color w:val="000000"/>
          <w:sz w:val="32"/>
          <w:szCs w:val="32"/>
          <w:highlight w:val="none"/>
          <w:lang w:val="en-US" w:eastAsia="zh-CN" w:bidi="ar-SA"/>
        </w:rPr>
        <w:t>公用经费970.01万元，占基本支出的35.47%，主要包括办公费、印刷费、咨询费、水费、电费、差旅费、维修（护）费、租赁费、培训费、劳务费、委托业务费、工会经费、福利费、其他交通费用、税金及附加费用、其他商品和服务支出、办公设备购置。</w:t>
      </w:r>
    </w:p>
    <w:p w14:paraId="7900DB38">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39" w:firstLineChars="200"/>
        <w:jc w:val="both"/>
        <w:textAlignment w:val="baseline"/>
        <w:outlineLvl w:val="2"/>
        <w:rPr>
          <w:rFonts w:ascii="楷体" w:hAnsi="楷体" w:eastAsia="楷体" w:cs="楷体"/>
          <w:snapToGrid w:val="0"/>
          <w:color w:val="000000"/>
          <w:kern w:val="0"/>
          <w:sz w:val="32"/>
          <w:szCs w:val="32"/>
          <w:lang w:eastAsia="en-US"/>
        </w:rPr>
      </w:pPr>
      <w:r>
        <w:rPr>
          <w:rFonts w:ascii="楷体" w:hAnsi="楷体" w:eastAsia="楷体" w:cs="楷体"/>
          <w:b/>
          <w:bCs/>
          <w:snapToGrid w:val="0"/>
          <w:color w:val="000000"/>
          <w:spacing w:val="-1"/>
          <w:kern w:val="0"/>
          <w:sz w:val="32"/>
          <w:szCs w:val="32"/>
          <w:lang w:eastAsia="en-US"/>
        </w:rPr>
        <w:t>(二)项目支出情况</w:t>
      </w:r>
    </w:p>
    <w:p w14:paraId="07D07EB4">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ascii="仿宋" w:hAnsi="仿宋" w:eastAsia="仿宋" w:cs="仿宋"/>
          <w:snapToGrid w:val="0"/>
          <w:color w:val="000000"/>
          <w:spacing w:val="12"/>
          <w:kern w:val="0"/>
          <w:sz w:val="32"/>
          <w:szCs w:val="32"/>
          <w:lang w:val="en-US" w:eastAsia="en-US" w:bidi="ar-SA"/>
        </w:rPr>
      </w:pPr>
      <w:r>
        <w:rPr>
          <w:rFonts w:ascii="仿宋" w:hAnsi="仿宋" w:eastAsia="仿宋" w:cs="仿宋"/>
          <w:snapToGrid w:val="0"/>
          <w:color w:val="000000"/>
          <w:spacing w:val="12"/>
          <w:kern w:val="0"/>
          <w:sz w:val="32"/>
          <w:szCs w:val="32"/>
          <w:lang w:val="en-US" w:eastAsia="en-US" w:bidi="ar-SA"/>
        </w:rPr>
        <w:t>项目资金拨入情况分析</w:t>
      </w:r>
      <w:r>
        <w:rPr>
          <w:rFonts w:hint="eastAsia" w:ascii="仿宋" w:hAnsi="仿宋" w:eastAsia="仿宋" w:cs="仿宋"/>
          <w:snapToGrid w:val="0"/>
          <w:color w:val="000000"/>
          <w:spacing w:val="12"/>
          <w:kern w:val="0"/>
          <w:sz w:val="32"/>
          <w:szCs w:val="32"/>
          <w:lang w:val="en-US" w:eastAsia="zh-CN" w:bidi="ar-SA"/>
        </w:rPr>
        <w:t>:</w:t>
      </w:r>
      <w:r>
        <w:rPr>
          <w:rFonts w:ascii="仿宋" w:hAnsi="仿宋" w:eastAsia="仿宋" w:cs="仿宋"/>
          <w:snapToGrid w:val="0"/>
          <w:color w:val="000000"/>
          <w:spacing w:val="12"/>
          <w:kern w:val="0"/>
          <w:sz w:val="32"/>
          <w:szCs w:val="32"/>
          <w:lang w:val="en-US" w:eastAsia="en-US" w:bidi="ar-SA"/>
        </w:rPr>
        <w:t>202</w:t>
      </w:r>
      <w:r>
        <w:rPr>
          <w:rFonts w:hint="eastAsia" w:ascii="仿宋" w:hAnsi="仿宋" w:eastAsia="仿宋" w:cs="仿宋"/>
          <w:snapToGrid w:val="0"/>
          <w:color w:val="000000"/>
          <w:spacing w:val="12"/>
          <w:kern w:val="0"/>
          <w:sz w:val="32"/>
          <w:szCs w:val="32"/>
          <w:lang w:val="en-US" w:eastAsia="zh-CN" w:bidi="ar-SA"/>
        </w:rPr>
        <w:t>4</w:t>
      </w:r>
      <w:r>
        <w:rPr>
          <w:rFonts w:ascii="仿宋" w:hAnsi="仿宋" w:eastAsia="仿宋" w:cs="仿宋"/>
          <w:snapToGrid w:val="0"/>
          <w:color w:val="000000"/>
          <w:spacing w:val="12"/>
          <w:kern w:val="0"/>
          <w:sz w:val="32"/>
          <w:szCs w:val="32"/>
          <w:lang w:val="en-US" w:eastAsia="en-US" w:bidi="ar-SA"/>
        </w:rPr>
        <w:t>年岳阳楼区奇家岭街道办事处项目资金到位率100%。</w:t>
      </w:r>
    </w:p>
    <w:p w14:paraId="3BAA5982">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ascii="仿宋" w:hAnsi="仿宋" w:eastAsia="仿宋" w:cs="仿宋"/>
          <w:snapToGrid w:val="0"/>
          <w:color w:val="000000"/>
          <w:spacing w:val="12"/>
          <w:kern w:val="0"/>
          <w:sz w:val="32"/>
          <w:szCs w:val="32"/>
          <w:lang w:val="en-US" w:eastAsia="en-US" w:bidi="ar-SA"/>
        </w:rPr>
      </w:pPr>
      <w:r>
        <w:rPr>
          <w:rFonts w:ascii="仿宋" w:hAnsi="仿宋" w:eastAsia="仿宋" w:cs="仿宋"/>
          <w:snapToGrid w:val="0"/>
          <w:color w:val="000000"/>
          <w:spacing w:val="12"/>
          <w:kern w:val="0"/>
          <w:sz w:val="32"/>
          <w:szCs w:val="32"/>
          <w:lang w:val="en-US" w:eastAsia="en-US" w:bidi="ar-SA"/>
        </w:rPr>
        <w:t>项目资金使用情况分析</w:t>
      </w:r>
      <w:r>
        <w:rPr>
          <w:rFonts w:hint="eastAsia" w:ascii="仿宋" w:hAnsi="仿宋" w:eastAsia="仿宋" w:cs="仿宋"/>
          <w:snapToGrid w:val="0"/>
          <w:color w:val="000000"/>
          <w:spacing w:val="12"/>
          <w:kern w:val="0"/>
          <w:sz w:val="32"/>
          <w:szCs w:val="32"/>
          <w:lang w:val="en-US" w:eastAsia="zh-CN" w:bidi="ar-SA"/>
        </w:rPr>
        <w:t>:</w:t>
      </w:r>
      <w:r>
        <w:rPr>
          <w:rFonts w:ascii="仿宋" w:hAnsi="仿宋" w:eastAsia="仿宋" w:cs="仿宋"/>
          <w:snapToGrid w:val="0"/>
          <w:color w:val="000000"/>
          <w:spacing w:val="12"/>
          <w:kern w:val="0"/>
          <w:sz w:val="32"/>
          <w:szCs w:val="32"/>
          <w:lang w:val="en-US" w:eastAsia="en-US" w:bidi="ar-SA"/>
        </w:rPr>
        <w:t>202</w:t>
      </w:r>
      <w:r>
        <w:rPr>
          <w:rFonts w:hint="eastAsia" w:ascii="仿宋" w:hAnsi="仿宋" w:eastAsia="仿宋" w:cs="仿宋"/>
          <w:snapToGrid w:val="0"/>
          <w:color w:val="000000"/>
          <w:spacing w:val="12"/>
          <w:kern w:val="0"/>
          <w:sz w:val="32"/>
          <w:szCs w:val="32"/>
          <w:lang w:val="en-US" w:eastAsia="zh-CN" w:bidi="ar-SA"/>
        </w:rPr>
        <w:t>4</w:t>
      </w:r>
      <w:r>
        <w:rPr>
          <w:rFonts w:ascii="仿宋" w:hAnsi="仿宋" w:eastAsia="仿宋" w:cs="仿宋"/>
          <w:snapToGrid w:val="0"/>
          <w:color w:val="000000"/>
          <w:spacing w:val="12"/>
          <w:kern w:val="0"/>
          <w:sz w:val="32"/>
          <w:szCs w:val="32"/>
          <w:lang w:val="en-US" w:eastAsia="en-US" w:bidi="ar-SA"/>
        </w:rPr>
        <w:t>年度项目支出</w:t>
      </w:r>
      <w:r>
        <w:rPr>
          <w:rFonts w:hint="eastAsia" w:ascii="仿宋" w:hAnsi="仿宋" w:eastAsia="仿宋" w:cs="仿宋"/>
          <w:snapToGrid w:val="0"/>
          <w:color w:val="000000"/>
          <w:spacing w:val="12"/>
          <w:kern w:val="0"/>
          <w:sz w:val="32"/>
          <w:szCs w:val="32"/>
          <w:lang w:val="en-US" w:eastAsia="zh-CN" w:bidi="ar-SA"/>
        </w:rPr>
        <w:t>1782.44</w:t>
      </w:r>
      <w:r>
        <w:rPr>
          <w:rFonts w:ascii="仿宋" w:hAnsi="仿宋" w:eastAsia="仿宋" w:cs="仿宋"/>
          <w:snapToGrid w:val="0"/>
          <w:color w:val="000000"/>
          <w:spacing w:val="12"/>
          <w:kern w:val="0"/>
          <w:sz w:val="32"/>
          <w:szCs w:val="32"/>
          <w:lang w:val="en-US" w:eastAsia="en-US" w:bidi="ar-SA"/>
        </w:rPr>
        <w:t>万元，其中超30万元的项目支出共计</w:t>
      </w:r>
      <w:r>
        <w:rPr>
          <w:rFonts w:hint="eastAsia" w:ascii="仿宋" w:hAnsi="仿宋" w:eastAsia="仿宋" w:cs="仿宋"/>
          <w:snapToGrid w:val="0"/>
          <w:color w:val="000000"/>
          <w:spacing w:val="12"/>
          <w:kern w:val="0"/>
          <w:sz w:val="32"/>
          <w:szCs w:val="32"/>
          <w:lang w:val="en-US" w:eastAsia="zh-CN" w:bidi="ar-SA"/>
        </w:rPr>
        <w:t>1439</w:t>
      </w:r>
      <w:r>
        <w:rPr>
          <w:rFonts w:ascii="仿宋" w:hAnsi="仿宋" w:eastAsia="仿宋" w:cs="仿宋"/>
          <w:snapToGrid w:val="0"/>
          <w:color w:val="000000"/>
          <w:spacing w:val="12"/>
          <w:kern w:val="0"/>
          <w:sz w:val="32"/>
          <w:szCs w:val="32"/>
          <w:lang w:val="en-US" w:eastAsia="en-US" w:bidi="ar-SA"/>
        </w:rPr>
        <w:t>.</w:t>
      </w:r>
      <w:r>
        <w:rPr>
          <w:rFonts w:hint="eastAsia" w:ascii="仿宋" w:hAnsi="仿宋" w:eastAsia="仿宋" w:cs="仿宋"/>
          <w:snapToGrid w:val="0"/>
          <w:color w:val="000000"/>
          <w:spacing w:val="12"/>
          <w:kern w:val="0"/>
          <w:sz w:val="32"/>
          <w:szCs w:val="32"/>
          <w:lang w:val="en-US" w:eastAsia="zh-CN" w:bidi="ar-SA"/>
        </w:rPr>
        <w:t>52</w:t>
      </w:r>
      <w:r>
        <w:rPr>
          <w:rFonts w:ascii="仿宋" w:hAnsi="仿宋" w:eastAsia="仿宋" w:cs="仿宋"/>
          <w:snapToGrid w:val="0"/>
          <w:color w:val="000000"/>
          <w:spacing w:val="12"/>
          <w:kern w:val="0"/>
          <w:sz w:val="32"/>
          <w:szCs w:val="32"/>
          <w:lang w:val="en-US" w:eastAsia="en-US" w:bidi="ar-SA"/>
        </w:rPr>
        <w:t>万元，占总项目支出</w:t>
      </w:r>
      <w:r>
        <w:rPr>
          <w:rFonts w:hint="eastAsia" w:ascii="仿宋" w:hAnsi="仿宋" w:eastAsia="仿宋" w:cs="仿宋"/>
          <w:snapToGrid w:val="0"/>
          <w:color w:val="000000"/>
          <w:spacing w:val="12"/>
          <w:kern w:val="0"/>
          <w:sz w:val="32"/>
          <w:szCs w:val="32"/>
          <w:lang w:val="en-US" w:eastAsia="zh-CN" w:bidi="ar-SA"/>
        </w:rPr>
        <w:t>80.76</w:t>
      </w:r>
      <w:r>
        <w:rPr>
          <w:rFonts w:ascii="仿宋" w:hAnsi="仿宋" w:eastAsia="仿宋" w:cs="仿宋"/>
          <w:snapToGrid w:val="0"/>
          <w:color w:val="000000"/>
          <w:spacing w:val="12"/>
          <w:kern w:val="0"/>
          <w:sz w:val="32"/>
          <w:szCs w:val="32"/>
          <w:lang w:val="en-US" w:eastAsia="en-US" w:bidi="ar-SA"/>
        </w:rPr>
        <w:t>%。</w:t>
      </w:r>
    </w:p>
    <w:p w14:paraId="76997C4B">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三、政府性基金预算支出情况</w:t>
      </w:r>
    </w:p>
    <w:p w14:paraId="78D8EC15">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ascii="仿宋" w:hAnsi="仿宋" w:eastAsia="仿宋" w:cs="仿宋"/>
          <w:snapToGrid w:val="0"/>
          <w:color w:val="000000"/>
          <w:spacing w:val="12"/>
          <w:kern w:val="0"/>
          <w:sz w:val="32"/>
          <w:szCs w:val="32"/>
          <w:lang w:val="en-US" w:eastAsia="en-US" w:bidi="ar-SA"/>
        </w:rPr>
      </w:pPr>
      <w:r>
        <w:rPr>
          <w:rFonts w:ascii="仿宋" w:hAnsi="仿宋" w:eastAsia="仿宋" w:cs="仿宋"/>
          <w:snapToGrid w:val="0"/>
          <w:color w:val="000000"/>
          <w:spacing w:val="12"/>
          <w:kern w:val="0"/>
          <w:sz w:val="32"/>
          <w:szCs w:val="32"/>
          <w:lang w:val="en-US" w:eastAsia="en-US" w:bidi="ar-SA"/>
        </w:rPr>
        <w:t>本单位无政府性基金预算支出。</w:t>
      </w:r>
    </w:p>
    <w:p w14:paraId="01CD2673">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四、国有资本经营预算支出情况</w:t>
      </w:r>
    </w:p>
    <w:p w14:paraId="1B1800CB">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ascii="仿宋" w:hAnsi="仿宋" w:eastAsia="仿宋" w:cs="仿宋"/>
          <w:snapToGrid w:val="0"/>
          <w:color w:val="000000"/>
          <w:spacing w:val="12"/>
          <w:kern w:val="0"/>
          <w:sz w:val="32"/>
          <w:szCs w:val="32"/>
          <w:lang w:val="en-US" w:eastAsia="en-US" w:bidi="ar-SA"/>
        </w:rPr>
      </w:pPr>
      <w:r>
        <w:rPr>
          <w:rFonts w:ascii="仿宋" w:hAnsi="仿宋" w:eastAsia="仿宋" w:cs="仿宋"/>
          <w:snapToGrid w:val="0"/>
          <w:color w:val="000000"/>
          <w:spacing w:val="12"/>
          <w:kern w:val="0"/>
          <w:sz w:val="32"/>
          <w:szCs w:val="32"/>
          <w:lang w:val="en-US" w:eastAsia="en-US" w:bidi="ar-SA"/>
        </w:rPr>
        <w:t>本单位无国有资本经营预算支出。</w:t>
      </w:r>
    </w:p>
    <w:p w14:paraId="19C2173B">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五、社会保险基金预算支出情况</w:t>
      </w:r>
    </w:p>
    <w:p w14:paraId="03F7BE26">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ascii="仿宋" w:hAnsi="仿宋" w:eastAsia="仿宋" w:cs="仿宋"/>
          <w:snapToGrid w:val="0"/>
          <w:color w:val="000000"/>
          <w:spacing w:val="12"/>
          <w:kern w:val="0"/>
          <w:sz w:val="32"/>
          <w:szCs w:val="32"/>
          <w:lang w:val="en-US" w:eastAsia="en-US" w:bidi="ar-SA"/>
        </w:rPr>
      </w:pPr>
      <w:r>
        <w:rPr>
          <w:rFonts w:ascii="仿宋" w:hAnsi="仿宋" w:eastAsia="仿宋" w:cs="仿宋"/>
          <w:snapToGrid w:val="0"/>
          <w:color w:val="000000"/>
          <w:spacing w:val="12"/>
          <w:kern w:val="0"/>
          <w:sz w:val="32"/>
          <w:szCs w:val="32"/>
          <w:lang w:val="en-US" w:eastAsia="en-US" w:bidi="ar-SA"/>
        </w:rPr>
        <w:t>本单位无社会保险基金预算支出。</w:t>
      </w:r>
    </w:p>
    <w:p w14:paraId="554B32E1">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六、部门整体支出绩效情况</w:t>
      </w:r>
    </w:p>
    <w:p w14:paraId="7ACCDE01">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ascii="仿宋" w:hAnsi="仿宋" w:eastAsia="仿宋" w:cs="仿宋"/>
          <w:snapToGrid w:val="0"/>
          <w:color w:val="000000"/>
          <w:spacing w:val="12"/>
          <w:kern w:val="0"/>
          <w:sz w:val="32"/>
          <w:szCs w:val="32"/>
          <w:lang w:val="en-US" w:eastAsia="en-US" w:bidi="ar-SA"/>
        </w:rPr>
      </w:pPr>
      <w:r>
        <w:rPr>
          <w:rFonts w:ascii="仿宋" w:hAnsi="仿宋" w:eastAsia="仿宋" w:cs="仿宋"/>
          <w:snapToGrid w:val="0"/>
          <w:color w:val="000000"/>
          <w:spacing w:val="12"/>
          <w:kern w:val="0"/>
          <w:sz w:val="32"/>
          <w:szCs w:val="32"/>
          <w:lang w:val="en-US" w:eastAsia="en-US" w:bidi="ar-SA"/>
        </w:rPr>
        <w:t>2023年，在区委、区政府的坚强领导下，奇家岭街道党工委紧紧围绕“七个岳阳”以及建设省域副中心城市的核心引领区和首善之区奋斗目标，团结带领一班人，担当作为，攻城拔寨，顺利完成了南北港河水环境综合治理攻坚，首倡的“群英断是非”工作法获评全国新时代“枫桥经验”先进典型和全国2023年全面深化改革典型案例。</w:t>
      </w:r>
    </w:p>
    <w:p w14:paraId="0A0541E1">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spacing w:val="12"/>
          <w:sz w:val="32"/>
          <w:szCs w:val="32"/>
        </w:rPr>
        <w:sectPr>
          <w:headerReference r:id="rId5" w:type="default"/>
          <w:footerReference r:id="rId6" w:type="default"/>
          <w:pgSz w:w="11900" w:h="16820"/>
          <w:pgMar w:top="400" w:right="1654" w:bottom="963" w:left="1720" w:header="0" w:footer="441" w:gutter="0"/>
          <w:cols w:space="720" w:num="1"/>
        </w:sectPr>
      </w:pPr>
    </w:p>
    <w:p w14:paraId="3763DCC9">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03" w:firstLineChars="200"/>
        <w:jc w:val="both"/>
        <w:textAlignment w:val="baseline"/>
        <w:outlineLvl w:val="1"/>
        <w:rPr>
          <w:rFonts w:ascii="黑体" w:hAnsi="黑体" w:eastAsia="黑体" w:cs="黑体"/>
          <w:snapToGrid w:val="0"/>
          <w:color w:val="000000"/>
          <w:kern w:val="0"/>
          <w:sz w:val="32"/>
          <w:szCs w:val="32"/>
          <w:lang w:eastAsia="en-US"/>
        </w:rPr>
      </w:pPr>
      <w:r>
        <w:rPr>
          <w:rFonts w:ascii="黑体" w:hAnsi="黑体" w:eastAsia="黑体" w:cs="黑体"/>
          <w:b/>
          <w:bCs/>
          <w:snapToGrid w:val="0"/>
          <w:color w:val="000000"/>
          <w:spacing w:val="-10"/>
          <w:kern w:val="0"/>
          <w:sz w:val="32"/>
          <w:szCs w:val="32"/>
          <w:lang w:eastAsia="en-US"/>
        </w:rPr>
        <w:t>一、工作总结</w:t>
      </w:r>
    </w:p>
    <w:p w14:paraId="4418F94D">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20" w:firstLineChars="200"/>
        <w:jc w:val="both"/>
        <w:textAlignment w:val="baseline"/>
        <w:rPr>
          <w:rFonts w:ascii="仿宋" w:hAnsi="仿宋" w:eastAsia="仿宋" w:cs="仿宋"/>
          <w:snapToGrid w:val="0"/>
          <w:color w:val="000000"/>
          <w:spacing w:val="12"/>
          <w:kern w:val="0"/>
          <w:sz w:val="32"/>
          <w:szCs w:val="32"/>
          <w:lang w:val="en-US" w:eastAsia="en-US" w:bidi="ar-SA"/>
        </w:rPr>
      </w:pPr>
      <w:r>
        <w:rPr>
          <w:rFonts w:ascii="宋体" w:hAnsi="宋体" w:eastAsia="宋体" w:cs="宋体"/>
          <w:snapToGrid w:val="0"/>
          <w:color w:val="000000"/>
          <w:spacing w:val="-5"/>
          <w:kern w:val="0"/>
          <w:sz w:val="32"/>
          <w:szCs w:val="32"/>
          <w:lang w:val="en-US" w:eastAsia="en-US" w:bidi="ar-SA"/>
        </w:rPr>
        <w:t>1</w:t>
      </w:r>
      <w:r>
        <w:rPr>
          <w:rFonts w:ascii="仿宋" w:hAnsi="仿宋" w:eastAsia="仿宋" w:cs="仿宋"/>
          <w:b/>
          <w:bCs/>
          <w:snapToGrid w:val="0"/>
          <w:color w:val="000000"/>
          <w:spacing w:val="-5"/>
          <w:kern w:val="0"/>
          <w:sz w:val="32"/>
          <w:szCs w:val="32"/>
          <w:lang w:val="en-US" w:eastAsia="en-US" w:bidi="ar-SA"/>
        </w:rPr>
        <w:t>.</w:t>
      </w:r>
      <w:r>
        <w:rPr>
          <w:rFonts w:ascii="楷体" w:hAnsi="楷体" w:eastAsia="楷体" w:cs="楷体"/>
          <w:b/>
          <w:bCs/>
          <w:snapToGrid w:val="0"/>
          <w:color w:val="000000"/>
          <w:spacing w:val="-5"/>
          <w:kern w:val="0"/>
          <w:sz w:val="32"/>
          <w:szCs w:val="32"/>
          <w:lang w:val="en-US" w:eastAsia="en-US" w:bidi="ar-SA"/>
        </w:rPr>
        <w:t>坚持一往无前抓经济，发展质量实现新跃升。</w:t>
      </w:r>
      <w:r>
        <w:rPr>
          <w:rFonts w:ascii="仿宋" w:hAnsi="仿宋" w:eastAsia="仿宋" w:cs="仿宋"/>
          <w:snapToGrid w:val="0"/>
          <w:color w:val="000000"/>
          <w:spacing w:val="12"/>
          <w:kern w:val="0"/>
          <w:sz w:val="32"/>
          <w:szCs w:val="32"/>
          <w:lang w:val="en-US" w:eastAsia="en-US" w:bidi="ar-SA"/>
        </w:rPr>
        <w:t>紧紧围绕高质量发展首要任务，全力以赴抓项目、促经济、谋发展，经济社会发展势头好、潜力大、后劲足。</w:t>
      </w:r>
      <w:r>
        <w:rPr>
          <w:rFonts w:ascii="仿宋" w:hAnsi="仿宋" w:eastAsia="仿宋" w:cs="仿宋"/>
          <w:b/>
          <w:bCs/>
          <w:snapToGrid w:val="0"/>
          <w:color w:val="000000"/>
          <w:spacing w:val="-4"/>
          <w:kern w:val="0"/>
          <w:sz w:val="32"/>
          <w:szCs w:val="32"/>
          <w:lang w:val="en-US" w:eastAsia="en-US" w:bidi="ar-SA"/>
        </w:rPr>
        <w:t>项目建设提质增速。</w:t>
      </w:r>
      <w:r>
        <w:rPr>
          <w:rFonts w:ascii="仿宋" w:hAnsi="仿宋" w:eastAsia="仿宋" w:cs="仿宋"/>
          <w:snapToGrid w:val="0"/>
          <w:color w:val="000000"/>
          <w:spacing w:val="12"/>
          <w:kern w:val="0"/>
          <w:sz w:val="32"/>
          <w:szCs w:val="32"/>
          <w:lang w:val="en-US" w:eastAsia="en-US" w:bidi="ar-SA"/>
        </w:rPr>
        <w:t>全面清零仓田教育储备用地A、C地块，顺利完成许家桥渍水点整治项目、四化建南片区征拆项目，奇家社区便民服务中心已投入使用，快速推进理工东院家属区旧改项目等20个旧改配套项目拟如期竣工验收。稳步推进蔡家、仓田城乡供水一体化项目，提质修补木鱼山北路、元叶巷等道路5条，修缮村组、小区路灯219盏，达到了“路平、水畅、灯亮”的良好效果。整体规划设计石咀居民点，率先启动“四网合一”飞天线缆、消防设施改造工程，进一步完善硬件设施，为大学生科技创新城落地提供完善的硬件基础。</w:t>
      </w:r>
      <w:r>
        <w:rPr>
          <w:rFonts w:ascii="仿宋" w:hAnsi="仿宋" w:eastAsia="仿宋" w:cs="仿宋"/>
          <w:b/>
          <w:bCs/>
          <w:snapToGrid w:val="0"/>
          <w:color w:val="000000"/>
          <w:spacing w:val="-7"/>
          <w:kern w:val="0"/>
          <w:sz w:val="32"/>
          <w:szCs w:val="32"/>
          <w:lang w:val="en-US" w:eastAsia="en-US" w:bidi="ar-SA"/>
        </w:rPr>
        <w:t>财税建设稳步推进。</w:t>
      </w:r>
      <w:r>
        <w:rPr>
          <w:rFonts w:ascii="仿宋" w:hAnsi="仿宋" w:eastAsia="仿宋" w:cs="仿宋"/>
          <w:snapToGrid w:val="0"/>
          <w:color w:val="000000"/>
          <w:spacing w:val="12"/>
          <w:kern w:val="0"/>
          <w:sz w:val="32"/>
          <w:szCs w:val="32"/>
          <w:lang w:val="en-US" w:eastAsia="en-US" w:bidi="ar-SA"/>
        </w:rPr>
        <w:t>落实“七联七包”制度，实行税收监测制度，定期走访重点税源企业12家、20余次，针对税收下降较多的紫澜运输公司等企业定向开展结对帮扶行动，倾听需求，纾难解困。夯实税源管理基础，重点对接湖南理工学院在(拟)建项目，确定项目承接企业均在楼区注册、纳税，确保税源不流失，固投均入库，实现应缴尽缴。扎实推进“三资”清查，清理集体经济合同16份、重新签订合同10份，严防国有、集体资产流失。</w:t>
      </w:r>
      <w:r>
        <w:rPr>
          <w:rFonts w:ascii="仿宋" w:hAnsi="仿宋" w:eastAsia="仿宋" w:cs="仿宋"/>
          <w:b/>
          <w:bCs/>
          <w:snapToGrid w:val="0"/>
          <w:color w:val="000000"/>
          <w:spacing w:val="3"/>
          <w:kern w:val="0"/>
          <w:sz w:val="32"/>
          <w:szCs w:val="32"/>
          <w:lang w:val="en-US" w:eastAsia="en-US" w:bidi="ar-SA"/>
        </w:rPr>
        <w:t>营商环境争优</w:t>
      </w:r>
      <w:r>
        <w:rPr>
          <w:rFonts w:ascii="仿宋" w:hAnsi="仿宋" w:eastAsia="仿宋" w:cs="仿宋"/>
          <w:snapToGrid w:val="0"/>
          <w:color w:val="000000"/>
          <w:spacing w:val="-3"/>
          <w:kern w:val="0"/>
          <w:sz w:val="32"/>
          <w:szCs w:val="32"/>
          <w:lang w:val="en-US" w:eastAsia="en-US" w:bidi="ar-SA"/>
        </w:rPr>
        <w:t>跃进。</w:t>
      </w:r>
      <w:r>
        <w:rPr>
          <w:rFonts w:ascii="仿宋" w:hAnsi="仿宋" w:eastAsia="仿宋" w:cs="仿宋"/>
          <w:snapToGrid w:val="0"/>
          <w:color w:val="000000"/>
          <w:spacing w:val="12"/>
          <w:kern w:val="0"/>
          <w:sz w:val="32"/>
          <w:szCs w:val="32"/>
          <w:lang w:val="en-US" w:eastAsia="en-US" w:bidi="ar-SA"/>
        </w:rPr>
        <w:t>联合湖南理工学院召开创新创业校地共商会，共商共讨发挥区位优势，推动地方、学校、企业高质量发展；大力发展楼宇经济，详细摸底辖区内空置写字楼、工厂仓库等情况，努力盘活现有资产资源；推进寓外乡友数据库建设、湘商回归、市场主体倍增等工程，积极筹建奇家岭街道商会，会员单位达80余家。</w:t>
      </w:r>
    </w:p>
    <w:p w14:paraId="204C5E30">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52" w:firstLineChars="200"/>
        <w:jc w:val="both"/>
        <w:textAlignment w:val="baseline"/>
        <w:rPr>
          <w:rFonts w:ascii="仿宋" w:hAnsi="仿宋" w:eastAsia="仿宋" w:cs="仿宋"/>
          <w:snapToGrid w:val="0"/>
          <w:color w:val="000000"/>
          <w:kern w:val="0"/>
          <w:sz w:val="32"/>
          <w:szCs w:val="32"/>
          <w:lang w:val="en-US" w:eastAsia="en-US" w:bidi="ar-SA"/>
        </w:rPr>
      </w:pPr>
      <w:r>
        <w:rPr>
          <w:rFonts w:ascii="Times New Roman" w:hAnsi="Times New Roman" w:eastAsia="Times New Roman" w:cs="Times New Roman"/>
          <w:b/>
          <w:bCs/>
          <w:snapToGrid w:val="0"/>
          <w:color w:val="000000"/>
          <w:spacing w:val="3"/>
          <w:kern w:val="0"/>
          <w:sz w:val="32"/>
          <w:szCs w:val="32"/>
          <w:lang w:val="en-US" w:eastAsia="en-US" w:bidi="ar-SA"/>
        </w:rPr>
        <w:t>2.</w:t>
      </w:r>
      <w:r>
        <w:rPr>
          <w:rFonts w:ascii="楷体" w:hAnsi="楷体" w:eastAsia="楷体" w:cs="楷体"/>
          <w:b/>
          <w:bCs/>
          <w:snapToGrid w:val="0"/>
          <w:color w:val="000000"/>
          <w:spacing w:val="3"/>
          <w:kern w:val="0"/>
          <w:sz w:val="32"/>
          <w:szCs w:val="32"/>
          <w:lang w:val="en-US" w:eastAsia="en-US" w:bidi="ar-SA"/>
        </w:rPr>
        <w:t>坚持一腔热情惠民生，幸福生活绘就新画卷。</w:t>
      </w:r>
      <w:r>
        <w:rPr>
          <w:rFonts w:ascii="仿宋" w:hAnsi="仿宋" w:eastAsia="仿宋" w:cs="仿宋"/>
          <w:snapToGrid w:val="0"/>
          <w:color w:val="000000"/>
          <w:spacing w:val="12"/>
          <w:kern w:val="0"/>
          <w:sz w:val="32"/>
          <w:szCs w:val="32"/>
          <w:lang w:val="en-US" w:eastAsia="en-US" w:bidi="ar-SA"/>
        </w:rPr>
        <w:t>始终践行以人民为中心的发展思想，强化公共服务，推进乡村振兴，提升人居品质，努力让人民群众得到更多实惠。</w:t>
      </w:r>
      <w:r>
        <w:rPr>
          <w:rFonts w:ascii="仿宋" w:hAnsi="仿宋" w:eastAsia="仿宋" w:cs="仿宋"/>
          <w:b/>
          <w:bCs/>
          <w:snapToGrid w:val="0"/>
          <w:color w:val="000000"/>
          <w:spacing w:val="2"/>
          <w:kern w:val="0"/>
          <w:sz w:val="32"/>
          <w:szCs w:val="32"/>
          <w:lang w:val="en-US" w:eastAsia="en-US" w:bidi="ar-SA"/>
        </w:rPr>
        <w:t>公共服务添暖</w:t>
      </w:r>
      <w:r>
        <w:rPr>
          <w:rFonts w:ascii="仿宋" w:hAnsi="仿宋" w:eastAsia="仿宋" w:cs="仿宋"/>
          <w:snapToGrid w:val="0"/>
          <w:color w:val="000000"/>
          <w:spacing w:val="10"/>
          <w:kern w:val="0"/>
          <w:sz w:val="32"/>
          <w:szCs w:val="32"/>
          <w:lang w:val="en-US" w:eastAsia="en-US" w:bidi="ar-SA"/>
        </w:rPr>
        <w:t>色。</w:t>
      </w:r>
      <w:r>
        <w:rPr>
          <w:rFonts w:ascii="仿宋" w:hAnsi="仿宋" w:eastAsia="仿宋" w:cs="仿宋"/>
          <w:snapToGrid w:val="0"/>
          <w:color w:val="000000"/>
          <w:spacing w:val="12"/>
          <w:kern w:val="0"/>
          <w:sz w:val="32"/>
          <w:szCs w:val="32"/>
          <w:lang w:val="en-US" w:eastAsia="en-US" w:bidi="ar-SA"/>
        </w:rPr>
        <w:t>深化“党建+网格化微治理”,搭建“微网格点单平台”,累计办理公共服务823件、居民服务1911件，处理12345、市长信箱、网络舆情604条，推广注册“湘易办”便民APP16278人次。扎实做好救助、优抚、就业等民生保障工作，共动态管理低保对象701户、月保障金额39.2万元，临时救助505人、救助金额55.8万元，发放残补236人、36.5万元，居民医保全覆盖完成4.7万多人；节日慰问退役军人(含优抚)、退休干部共120人，共发放慰问金14.8万元；稳定和扩大就业，新增就业劳动力400余人，帮助就业困难群体14人，城镇登记失业率降至3.2%,不断增强人民群众的获得感、幸福感、安全感。</w:t>
      </w:r>
      <w:r>
        <w:rPr>
          <w:rFonts w:ascii="仿宋" w:hAnsi="仿宋" w:eastAsia="仿宋" w:cs="仿宋"/>
          <w:b/>
          <w:bCs/>
          <w:snapToGrid w:val="0"/>
          <w:color w:val="000000"/>
          <w:spacing w:val="6"/>
          <w:kern w:val="0"/>
          <w:sz w:val="32"/>
          <w:szCs w:val="32"/>
          <w:lang w:val="en-US" w:eastAsia="en-US" w:bidi="ar-SA"/>
        </w:rPr>
        <w:t>乡村振兴见成色</w:t>
      </w:r>
      <w:r>
        <w:rPr>
          <w:rFonts w:ascii="仿宋" w:hAnsi="仿宋" w:eastAsia="仿宋" w:cs="仿宋"/>
          <w:snapToGrid w:val="0"/>
          <w:color w:val="000000"/>
          <w:spacing w:val="12"/>
          <w:kern w:val="0"/>
          <w:sz w:val="32"/>
          <w:szCs w:val="32"/>
          <w:lang w:val="en-US" w:eastAsia="en-US" w:bidi="ar-SA"/>
        </w:rPr>
        <w:t>。加力促进脱贫人口收入持续增长，帮助55户脱贫户人均年收入从8000元增至10000元，比上年增加2000元，增长12%,脱贫基础更加稳固、成效更可持续</w:t>
      </w:r>
      <w:r>
        <w:rPr>
          <w:rFonts w:hint="eastAsia" w:ascii="仿宋" w:hAnsi="仿宋" w:eastAsia="仿宋" w:cs="仿宋"/>
          <w:snapToGrid w:val="0"/>
          <w:color w:val="000000"/>
          <w:spacing w:val="12"/>
          <w:kern w:val="0"/>
          <w:sz w:val="32"/>
          <w:szCs w:val="32"/>
          <w:lang w:val="en-US" w:eastAsia="zh-CN" w:bidi="ar-SA"/>
        </w:rPr>
        <w:t>。</w:t>
      </w:r>
      <w:r>
        <w:rPr>
          <w:rFonts w:ascii="仿宋" w:hAnsi="仿宋" w:eastAsia="仿宋" w:cs="仿宋"/>
          <w:snapToGrid w:val="0"/>
          <w:color w:val="000000"/>
          <w:spacing w:val="3"/>
          <w:kern w:val="0"/>
          <w:sz w:val="32"/>
          <w:szCs w:val="32"/>
          <w:lang w:val="en-US" w:eastAsia="en-US" w:bidi="ar-SA"/>
        </w:rPr>
        <w:t>坚决落实粮食安全责任制，扎实开展耕地“非粮化”“非</w:t>
      </w:r>
      <w:r>
        <w:rPr>
          <w:rFonts w:ascii="仿宋" w:hAnsi="仿宋" w:eastAsia="仿宋" w:cs="仿宋"/>
          <w:snapToGrid w:val="0"/>
          <w:color w:val="000000"/>
          <w:spacing w:val="2"/>
          <w:kern w:val="0"/>
          <w:sz w:val="32"/>
          <w:szCs w:val="32"/>
          <w:lang w:val="en-US" w:eastAsia="en-US" w:bidi="ar-SA"/>
        </w:rPr>
        <w:t>农化”</w:t>
      </w:r>
      <w:r>
        <w:rPr>
          <w:rFonts w:ascii="仿宋" w:hAnsi="仿宋" w:eastAsia="仿宋" w:cs="仿宋"/>
          <w:snapToGrid w:val="0"/>
          <w:color w:val="000000"/>
          <w:spacing w:val="13"/>
          <w:kern w:val="0"/>
          <w:sz w:val="32"/>
          <w:szCs w:val="32"/>
          <w:lang w:val="en-US" w:eastAsia="en-US" w:bidi="ar-SA"/>
        </w:rPr>
        <w:t>整治行动，整治占用耕地图斑6个，复耕复垦撂荒耕地62亩。</w:t>
      </w:r>
      <w:r>
        <w:rPr>
          <w:rFonts w:ascii="仿宋" w:hAnsi="仿宋" w:eastAsia="仿宋" w:cs="仿宋"/>
          <w:snapToGrid w:val="0"/>
          <w:color w:val="000000"/>
          <w:spacing w:val="12"/>
          <w:kern w:val="0"/>
          <w:sz w:val="32"/>
          <w:szCs w:val="32"/>
          <w:lang w:val="en-US" w:eastAsia="en-US" w:bidi="ar-SA"/>
        </w:rPr>
        <w:t>加大力度推动仓田美丽屋场建设，新申报乡村振兴项目3个，</w:t>
      </w:r>
      <w:r>
        <w:rPr>
          <w:rFonts w:ascii="仿宋" w:hAnsi="仿宋" w:eastAsia="仿宋" w:cs="仿宋"/>
          <w:snapToGrid w:val="0"/>
          <w:color w:val="000000"/>
          <w:spacing w:val="7"/>
          <w:kern w:val="0"/>
          <w:sz w:val="32"/>
          <w:szCs w:val="32"/>
          <w:lang w:val="en-US" w:eastAsia="en-US" w:bidi="ar-SA"/>
        </w:rPr>
        <w:t>开展技能培训7场次，以村集体经济合作社入股岳阳清明农业</w:t>
      </w:r>
      <w:r>
        <w:rPr>
          <w:rFonts w:ascii="仿宋" w:hAnsi="仿宋" w:eastAsia="仿宋" w:cs="仿宋"/>
          <w:snapToGrid w:val="0"/>
          <w:color w:val="000000"/>
          <w:spacing w:val="13"/>
          <w:kern w:val="0"/>
          <w:sz w:val="32"/>
          <w:szCs w:val="32"/>
          <w:lang w:val="en-US" w:eastAsia="en-US" w:bidi="ar-SA"/>
        </w:rPr>
        <w:t>发展有限公司，预计收入达13.5万元，全面</w:t>
      </w:r>
      <w:r>
        <w:rPr>
          <w:rFonts w:ascii="仿宋" w:hAnsi="仿宋" w:eastAsia="仿宋" w:cs="仿宋"/>
          <w:snapToGrid w:val="0"/>
          <w:color w:val="000000"/>
          <w:spacing w:val="12"/>
          <w:kern w:val="0"/>
          <w:sz w:val="32"/>
          <w:szCs w:val="32"/>
          <w:lang w:val="en-US" w:eastAsia="en-US" w:bidi="ar-SA"/>
        </w:rPr>
        <w:t>推进乡村振兴不</w:t>
      </w:r>
      <w:r>
        <w:rPr>
          <w:rFonts w:ascii="仿宋" w:hAnsi="仿宋" w:eastAsia="仿宋" w:cs="仿宋"/>
          <w:snapToGrid w:val="0"/>
          <w:color w:val="000000"/>
          <w:spacing w:val="-1"/>
          <w:kern w:val="0"/>
          <w:sz w:val="32"/>
          <w:szCs w:val="32"/>
          <w:lang w:val="en-US" w:eastAsia="en-US" w:bidi="ar-SA"/>
        </w:rPr>
        <w:t>断取得新进展，顺利通过乡村振兴市检。</w:t>
      </w:r>
      <w:r>
        <w:rPr>
          <w:rFonts w:ascii="仿宋" w:hAnsi="仿宋" w:eastAsia="仿宋" w:cs="仿宋"/>
          <w:b/>
          <w:bCs/>
          <w:snapToGrid w:val="0"/>
          <w:color w:val="000000"/>
          <w:spacing w:val="-1"/>
          <w:kern w:val="0"/>
          <w:sz w:val="32"/>
          <w:szCs w:val="32"/>
          <w:lang w:val="en-US" w:eastAsia="en-US" w:bidi="ar-SA"/>
        </w:rPr>
        <w:t>人居品质增亮色。</w:t>
      </w:r>
      <w:r>
        <w:rPr>
          <w:rFonts w:ascii="仿宋" w:hAnsi="仿宋" w:eastAsia="仿宋" w:cs="仿宋"/>
          <w:snapToGrid w:val="0"/>
          <w:color w:val="000000"/>
          <w:spacing w:val="-1"/>
          <w:kern w:val="0"/>
          <w:sz w:val="32"/>
          <w:szCs w:val="32"/>
          <w:lang w:val="en-US" w:eastAsia="en-US" w:bidi="ar-SA"/>
        </w:rPr>
        <w:t>全</w:t>
      </w:r>
      <w:r>
        <w:rPr>
          <w:rFonts w:ascii="仿宋" w:hAnsi="仿宋" w:eastAsia="仿宋" w:cs="仿宋"/>
          <w:snapToGrid w:val="0"/>
          <w:color w:val="000000"/>
          <w:spacing w:val="2"/>
          <w:kern w:val="0"/>
          <w:sz w:val="32"/>
          <w:szCs w:val="32"/>
          <w:lang w:val="en-US" w:eastAsia="en-US" w:bidi="ar-SA"/>
        </w:rPr>
        <w:t>力以赴抓好国家文明卫生城市建设工作，聚焦市容市貌、市场</w:t>
      </w:r>
      <w:r>
        <w:rPr>
          <w:rFonts w:ascii="仿宋" w:hAnsi="仿宋" w:eastAsia="仿宋" w:cs="仿宋"/>
          <w:snapToGrid w:val="0"/>
          <w:color w:val="000000"/>
          <w:spacing w:val="1"/>
          <w:kern w:val="0"/>
          <w:sz w:val="32"/>
          <w:szCs w:val="32"/>
          <w:lang w:val="en-US" w:eastAsia="en-US" w:bidi="ar-SA"/>
        </w:rPr>
        <w:t>环境、交通秩序等重要领域开展专项整治行</w:t>
      </w:r>
      <w:r>
        <w:rPr>
          <w:rFonts w:ascii="仿宋" w:hAnsi="仿宋" w:eastAsia="仿宋" w:cs="仿宋"/>
          <w:snapToGrid w:val="0"/>
          <w:color w:val="000000"/>
          <w:kern w:val="0"/>
          <w:sz w:val="32"/>
          <w:szCs w:val="32"/>
          <w:lang w:val="en-US" w:eastAsia="en-US" w:bidi="ar-SA"/>
        </w:rPr>
        <w:t>动，有效整治飞线</w:t>
      </w:r>
      <w:r>
        <w:rPr>
          <w:rFonts w:ascii="仿宋" w:hAnsi="仿宋" w:eastAsia="仿宋" w:cs="仿宋"/>
          <w:snapToGrid w:val="0"/>
          <w:color w:val="000000"/>
          <w:spacing w:val="1"/>
          <w:kern w:val="0"/>
          <w:sz w:val="32"/>
          <w:szCs w:val="32"/>
          <w:lang w:val="en-US" w:eastAsia="en-US" w:bidi="ar-SA"/>
        </w:rPr>
        <w:t>充电、地面油污、牛皮癣等顽瘴痼疾，常态化开展</w:t>
      </w:r>
      <w:r>
        <w:rPr>
          <w:rFonts w:ascii="仿宋" w:hAnsi="仿宋" w:eastAsia="仿宋" w:cs="仿宋"/>
          <w:snapToGrid w:val="0"/>
          <w:color w:val="000000"/>
          <w:kern w:val="0"/>
          <w:sz w:val="32"/>
          <w:szCs w:val="32"/>
          <w:lang w:val="en-US" w:eastAsia="en-US" w:bidi="ar-SA"/>
        </w:rPr>
        <w:t>每周环卫大</w:t>
      </w:r>
      <w:r>
        <w:rPr>
          <w:rFonts w:ascii="仿宋" w:hAnsi="仿宋" w:eastAsia="仿宋" w:cs="仿宋"/>
          <w:snapToGrid w:val="0"/>
          <w:color w:val="000000"/>
          <w:spacing w:val="13"/>
          <w:kern w:val="0"/>
          <w:sz w:val="32"/>
          <w:szCs w:val="32"/>
          <w:lang w:val="en-US" w:eastAsia="en-US" w:bidi="ar-SA"/>
        </w:rPr>
        <w:t>扫除，新增垃圾分类设施20余处、美化垃</w:t>
      </w:r>
      <w:r>
        <w:rPr>
          <w:rFonts w:ascii="仿宋" w:hAnsi="仿宋" w:eastAsia="仿宋" w:cs="仿宋"/>
          <w:snapToGrid w:val="0"/>
          <w:color w:val="000000"/>
          <w:spacing w:val="12"/>
          <w:kern w:val="0"/>
          <w:sz w:val="32"/>
          <w:szCs w:val="32"/>
          <w:lang w:val="en-US" w:eastAsia="en-US" w:bidi="ar-SA"/>
        </w:rPr>
        <w:t>圾屋60座、清理陈年垃圾、建筑垃圾3200余吨；务实推进厕所革命</w:t>
      </w:r>
      <w:r>
        <w:rPr>
          <w:rFonts w:ascii="仿宋" w:hAnsi="仿宋" w:eastAsia="仿宋" w:cs="仿宋"/>
          <w:snapToGrid w:val="0"/>
          <w:color w:val="000000"/>
          <w:spacing w:val="11"/>
          <w:kern w:val="0"/>
          <w:sz w:val="32"/>
          <w:szCs w:val="32"/>
          <w:lang w:val="en-US" w:eastAsia="en-US" w:bidi="ar-SA"/>
        </w:rPr>
        <w:t>，全覆盖开</w:t>
      </w:r>
      <w:r>
        <w:rPr>
          <w:rFonts w:ascii="仿宋" w:hAnsi="仿宋" w:eastAsia="仿宋" w:cs="仿宋"/>
          <w:snapToGrid w:val="0"/>
          <w:color w:val="000000"/>
          <w:spacing w:val="6"/>
          <w:kern w:val="0"/>
          <w:sz w:val="32"/>
          <w:szCs w:val="32"/>
          <w:lang w:val="en-US" w:eastAsia="en-US" w:bidi="ar-SA"/>
        </w:rPr>
        <w:t>展户厕问题摸排整改及“回头看”,摸排问题户厕，整改率达</w:t>
      </w:r>
      <w:r>
        <w:rPr>
          <w:rFonts w:ascii="仿宋" w:hAnsi="仿宋" w:eastAsia="仿宋" w:cs="仿宋"/>
          <w:snapToGrid w:val="0"/>
          <w:color w:val="000000"/>
          <w:spacing w:val="10"/>
          <w:kern w:val="0"/>
          <w:sz w:val="32"/>
          <w:szCs w:val="32"/>
          <w:lang w:val="en-US" w:eastAsia="en-US" w:bidi="ar-SA"/>
        </w:rPr>
        <w:t>100%,人居环境品质全面提升。</w:t>
      </w:r>
    </w:p>
    <w:p w14:paraId="60E62FAE">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27" w:firstLineChars="200"/>
        <w:jc w:val="both"/>
        <w:textAlignment w:val="baseline"/>
        <w:rPr>
          <w:rFonts w:ascii="仿宋" w:hAnsi="仿宋" w:eastAsia="仿宋" w:cs="仿宋"/>
          <w:snapToGrid w:val="0"/>
          <w:color w:val="000000"/>
          <w:spacing w:val="3"/>
          <w:kern w:val="0"/>
          <w:sz w:val="32"/>
          <w:szCs w:val="32"/>
          <w:lang w:val="en-US" w:eastAsia="en-US" w:bidi="ar-SA"/>
        </w:rPr>
      </w:pPr>
      <w:r>
        <w:rPr>
          <w:rFonts w:ascii="宋体" w:hAnsi="宋体" w:eastAsia="宋体" w:cs="宋体"/>
          <w:b/>
          <w:bCs/>
          <w:snapToGrid w:val="0"/>
          <w:color w:val="000000"/>
          <w:spacing w:val="-4"/>
          <w:kern w:val="0"/>
          <w:sz w:val="32"/>
          <w:szCs w:val="32"/>
          <w:lang w:val="en-US" w:eastAsia="en-US" w:bidi="ar-SA"/>
        </w:rPr>
        <w:t>3.</w:t>
      </w:r>
      <w:r>
        <w:rPr>
          <w:rFonts w:ascii="楷体" w:hAnsi="楷体" w:eastAsia="楷体" w:cs="楷体"/>
          <w:b/>
          <w:bCs/>
          <w:snapToGrid w:val="0"/>
          <w:color w:val="000000"/>
          <w:spacing w:val="-4"/>
          <w:kern w:val="0"/>
          <w:sz w:val="32"/>
          <w:szCs w:val="32"/>
          <w:lang w:val="en-US" w:eastAsia="en-US" w:bidi="ar-SA"/>
        </w:rPr>
        <w:t>坚持一丝不苟守阵地，安全稳定续写新篇章。</w:t>
      </w:r>
      <w:r>
        <w:rPr>
          <w:rFonts w:ascii="仿宋" w:hAnsi="仿宋" w:eastAsia="仿宋" w:cs="仿宋"/>
          <w:snapToGrid w:val="0"/>
          <w:color w:val="000000"/>
          <w:spacing w:val="-5"/>
          <w:kern w:val="0"/>
          <w:sz w:val="32"/>
          <w:szCs w:val="32"/>
          <w:lang w:val="en-US" w:eastAsia="en-US" w:bidi="ar-SA"/>
        </w:rPr>
        <w:t>更好统筹发展和安全，有效防范化解各种风险挑战，严守生产、信访、</w:t>
      </w:r>
      <w:r>
        <w:rPr>
          <w:rFonts w:ascii="仿宋" w:hAnsi="仿宋" w:eastAsia="仿宋" w:cs="仿宋"/>
          <w:snapToGrid w:val="0"/>
          <w:color w:val="000000"/>
          <w:spacing w:val="1"/>
          <w:kern w:val="0"/>
          <w:sz w:val="32"/>
          <w:szCs w:val="32"/>
          <w:lang w:val="en-US" w:eastAsia="en-US" w:bidi="ar-SA"/>
        </w:rPr>
        <w:t>生态安全，实现高质量发展和高水平安全协同推进。</w:t>
      </w:r>
      <w:r>
        <w:rPr>
          <w:rFonts w:ascii="仿宋" w:hAnsi="仿宋" w:eastAsia="仿宋" w:cs="仿宋"/>
          <w:b/>
          <w:bCs/>
          <w:snapToGrid w:val="0"/>
          <w:color w:val="000000"/>
          <w:spacing w:val="1"/>
          <w:kern w:val="0"/>
          <w:sz w:val="32"/>
          <w:szCs w:val="32"/>
          <w:lang w:val="en-US" w:eastAsia="en-US" w:bidi="ar-SA"/>
        </w:rPr>
        <w:t>紧</w:t>
      </w:r>
      <w:r>
        <w:rPr>
          <w:rFonts w:ascii="仿宋" w:hAnsi="仿宋" w:eastAsia="仿宋" w:cs="仿宋"/>
          <w:b/>
          <w:bCs/>
          <w:snapToGrid w:val="0"/>
          <w:color w:val="000000"/>
          <w:kern w:val="0"/>
          <w:sz w:val="32"/>
          <w:szCs w:val="32"/>
          <w:lang w:val="en-US" w:eastAsia="en-US" w:bidi="ar-SA"/>
        </w:rPr>
        <w:t>绷安全</w:t>
      </w:r>
      <w:r>
        <w:rPr>
          <w:rFonts w:ascii="仿宋" w:hAnsi="仿宋" w:eastAsia="仿宋" w:cs="仿宋"/>
          <w:b/>
          <w:bCs/>
          <w:snapToGrid w:val="0"/>
          <w:color w:val="000000"/>
          <w:spacing w:val="2"/>
          <w:kern w:val="0"/>
          <w:sz w:val="32"/>
          <w:szCs w:val="32"/>
          <w:lang w:val="en-US" w:eastAsia="en-US" w:bidi="ar-SA"/>
        </w:rPr>
        <w:t>发展之弦。</w:t>
      </w:r>
      <w:r>
        <w:rPr>
          <w:rFonts w:ascii="仿宋" w:hAnsi="仿宋" w:eastAsia="仿宋" w:cs="仿宋"/>
          <w:snapToGrid w:val="0"/>
          <w:color w:val="000000"/>
          <w:spacing w:val="2"/>
          <w:kern w:val="0"/>
          <w:sz w:val="32"/>
          <w:szCs w:val="32"/>
          <w:lang w:val="en-US" w:eastAsia="en-US" w:bidi="ar-SA"/>
        </w:rPr>
        <w:t>深入推进安全生产三年整治行动，对高龄老</w:t>
      </w:r>
      <w:r>
        <w:rPr>
          <w:rFonts w:ascii="仿宋" w:hAnsi="仿宋" w:eastAsia="仿宋" w:cs="仿宋"/>
          <w:snapToGrid w:val="0"/>
          <w:color w:val="000000"/>
          <w:spacing w:val="1"/>
          <w:kern w:val="0"/>
          <w:sz w:val="32"/>
          <w:szCs w:val="32"/>
          <w:lang w:val="en-US" w:eastAsia="en-US" w:bidi="ar-SA"/>
        </w:rPr>
        <w:t>人、独</w:t>
      </w:r>
      <w:r>
        <w:rPr>
          <w:rFonts w:ascii="仿宋" w:hAnsi="仿宋" w:eastAsia="仿宋" w:cs="仿宋"/>
          <w:snapToGrid w:val="0"/>
          <w:color w:val="000000"/>
          <w:spacing w:val="-5"/>
          <w:kern w:val="0"/>
          <w:sz w:val="32"/>
          <w:szCs w:val="32"/>
          <w:lang w:val="en-US" w:eastAsia="en-US" w:bidi="ar-SA"/>
        </w:rPr>
        <w:t>居老人等重点人群开展“敲门入户”五进、五看、五嘱咐行动，</w:t>
      </w:r>
      <w:r>
        <w:rPr>
          <w:rFonts w:ascii="仿宋" w:hAnsi="仿宋" w:eastAsia="仿宋" w:cs="仿宋"/>
          <w:snapToGrid w:val="0"/>
          <w:color w:val="000000"/>
          <w:spacing w:val="6"/>
          <w:kern w:val="0"/>
          <w:sz w:val="32"/>
          <w:szCs w:val="32"/>
          <w:lang w:val="en-US" w:eastAsia="en-US" w:bidi="ar-SA"/>
        </w:rPr>
        <w:t>共走访326户、发放宣传手册326份，组织国安知识、防溺</w:t>
      </w:r>
      <w:r>
        <w:rPr>
          <w:rFonts w:ascii="仿宋" w:hAnsi="仿宋" w:eastAsia="仿宋" w:cs="仿宋"/>
          <w:snapToGrid w:val="0"/>
          <w:color w:val="000000"/>
          <w:spacing w:val="5"/>
          <w:kern w:val="0"/>
          <w:sz w:val="32"/>
          <w:szCs w:val="32"/>
          <w:lang w:val="en-US" w:eastAsia="en-US" w:bidi="ar-SA"/>
        </w:rPr>
        <w:t>水、</w:t>
      </w:r>
      <w:r>
        <w:rPr>
          <w:rFonts w:ascii="仿宋" w:hAnsi="仿宋" w:eastAsia="仿宋" w:cs="仿宋"/>
          <w:snapToGrid w:val="0"/>
          <w:color w:val="000000"/>
          <w:spacing w:val="15"/>
          <w:kern w:val="0"/>
          <w:sz w:val="32"/>
          <w:szCs w:val="32"/>
          <w:lang w:val="en-US" w:eastAsia="en-US" w:bidi="ar-SA"/>
        </w:rPr>
        <w:t>燃气安全宣传讲座10次；持续开展消防通</w:t>
      </w:r>
      <w:r>
        <w:rPr>
          <w:rFonts w:ascii="仿宋" w:hAnsi="仿宋" w:eastAsia="仿宋" w:cs="仿宋"/>
          <w:snapToGrid w:val="0"/>
          <w:color w:val="000000"/>
          <w:spacing w:val="14"/>
          <w:kern w:val="0"/>
          <w:sz w:val="32"/>
          <w:szCs w:val="32"/>
          <w:lang w:val="en-US" w:eastAsia="en-US" w:bidi="ar-SA"/>
        </w:rPr>
        <w:t>道保畅、房屋顶楼</w:t>
      </w:r>
      <w:r>
        <w:rPr>
          <w:rFonts w:ascii="仿宋" w:hAnsi="仿宋" w:eastAsia="仿宋" w:cs="仿宋"/>
          <w:snapToGrid w:val="0"/>
          <w:color w:val="000000"/>
          <w:spacing w:val="1"/>
          <w:kern w:val="0"/>
          <w:sz w:val="32"/>
          <w:szCs w:val="32"/>
          <w:lang w:val="en-US" w:eastAsia="en-US" w:bidi="ar-SA"/>
        </w:rPr>
        <w:t>“扫雷”、自建房安全监测整治等工作，辖</w:t>
      </w:r>
      <w:r>
        <w:rPr>
          <w:rFonts w:ascii="仿宋" w:hAnsi="仿宋" w:eastAsia="仿宋" w:cs="仿宋"/>
          <w:snapToGrid w:val="0"/>
          <w:color w:val="000000"/>
          <w:kern w:val="0"/>
          <w:sz w:val="32"/>
          <w:szCs w:val="32"/>
          <w:lang w:val="en-US" w:eastAsia="en-US" w:bidi="ar-SA"/>
        </w:rPr>
        <w:t>区范围内经营性</w:t>
      </w:r>
      <w:r>
        <w:rPr>
          <w:rFonts w:ascii="宋体" w:hAnsi="宋体" w:eastAsia="宋体" w:cs="宋体"/>
          <w:snapToGrid w:val="0"/>
          <w:color w:val="000000"/>
          <w:kern w:val="0"/>
          <w:sz w:val="32"/>
          <w:szCs w:val="32"/>
          <w:lang w:val="en-US" w:eastAsia="en-US" w:bidi="ar-SA"/>
        </w:rPr>
        <w:t>C</w:t>
      </w:r>
      <w:r>
        <w:rPr>
          <w:rFonts w:hint="eastAsia" w:ascii="宋体" w:hAnsi="宋体" w:eastAsia="宋体" w:cs="宋体"/>
          <w:snapToGrid w:val="0"/>
          <w:color w:val="000000"/>
          <w:kern w:val="0"/>
          <w:sz w:val="32"/>
          <w:szCs w:val="32"/>
          <w:lang w:val="en-US" w:eastAsia="zh-CN" w:bidi="ar-SA"/>
        </w:rPr>
        <w:t>、</w:t>
      </w:r>
      <w:r>
        <w:rPr>
          <w:rFonts w:ascii="宋体" w:hAnsi="宋体" w:eastAsia="宋体" w:cs="宋体"/>
          <w:snapToGrid w:val="0"/>
          <w:color w:val="000000"/>
          <w:spacing w:val="14"/>
          <w:kern w:val="0"/>
          <w:sz w:val="32"/>
          <w:szCs w:val="32"/>
          <w:lang w:val="en-US" w:eastAsia="en-US" w:bidi="ar-SA"/>
        </w:rPr>
        <w:t>D</w:t>
      </w:r>
      <w:r>
        <w:rPr>
          <w:rFonts w:ascii="仿宋" w:hAnsi="仿宋" w:eastAsia="仿宋" w:cs="仿宋"/>
          <w:snapToGrid w:val="0"/>
          <w:color w:val="000000"/>
          <w:spacing w:val="14"/>
          <w:kern w:val="0"/>
          <w:sz w:val="32"/>
          <w:szCs w:val="32"/>
          <w:lang w:val="en-US" w:eastAsia="en-US" w:bidi="ar-SA"/>
        </w:rPr>
        <w:t>级危房全部销号，居住性危房“四原”重建11户，在全区</w:t>
      </w:r>
      <w:r>
        <w:rPr>
          <w:rFonts w:ascii="仿宋" w:hAnsi="仿宋" w:eastAsia="仿宋" w:cs="仿宋"/>
          <w:snapToGrid w:val="0"/>
          <w:color w:val="000000"/>
          <w:spacing w:val="15"/>
          <w:kern w:val="0"/>
          <w:sz w:val="32"/>
          <w:szCs w:val="32"/>
          <w:lang w:val="en-US" w:eastAsia="en-US" w:bidi="ar-SA"/>
        </w:rPr>
        <w:t>率先零补偿拆除烟囱5个；全力防汛备汛，常态巡查山塘32</w:t>
      </w:r>
      <w:r>
        <w:rPr>
          <w:rFonts w:ascii="仿宋" w:hAnsi="仿宋" w:eastAsia="仿宋" w:cs="仿宋"/>
          <w:snapToGrid w:val="0"/>
          <w:color w:val="000000"/>
          <w:spacing w:val="9"/>
          <w:kern w:val="0"/>
          <w:sz w:val="32"/>
          <w:szCs w:val="32"/>
          <w:lang w:val="en-US" w:eastAsia="en-US" w:bidi="ar-SA"/>
        </w:rPr>
        <w:t>处，排查整改安全隐患10余处，增设防溺水警示牌11块、救</w:t>
      </w:r>
      <w:r>
        <w:rPr>
          <w:rFonts w:ascii="仿宋" w:hAnsi="仿宋" w:eastAsia="仿宋" w:cs="仿宋"/>
          <w:snapToGrid w:val="0"/>
          <w:color w:val="000000"/>
          <w:kern w:val="0"/>
          <w:sz w:val="32"/>
          <w:szCs w:val="32"/>
          <w:lang w:val="en-US" w:eastAsia="en-US" w:bidi="ar-SA"/>
        </w:rPr>
        <w:t>生衣20件，严格防控暑期水域安全。</w:t>
      </w:r>
      <w:r>
        <w:rPr>
          <w:rFonts w:ascii="仿宋" w:hAnsi="仿宋" w:eastAsia="仿宋" w:cs="仿宋"/>
          <w:b/>
          <w:bCs/>
          <w:snapToGrid w:val="0"/>
          <w:color w:val="000000"/>
          <w:kern w:val="0"/>
          <w:sz w:val="32"/>
          <w:szCs w:val="32"/>
          <w:lang w:val="en-US" w:eastAsia="en-US" w:bidi="ar-SA"/>
        </w:rPr>
        <w:t>紧筑信访维</w:t>
      </w:r>
      <w:r>
        <w:rPr>
          <w:rFonts w:ascii="仿宋" w:hAnsi="仿宋" w:eastAsia="仿宋" w:cs="仿宋"/>
          <w:b/>
          <w:bCs/>
          <w:snapToGrid w:val="0"/>
          <w:color w:val="000000"/>
          <w:spacing w:val="-1"/>
          <w:kern w:val="0"/>
          <w:sz w:val="32"/>
          <w:szCs w:val="32"/>
          <w:lang w:val="en-US" w:eastAsia="en-US" w:bidi="ar-SA"/>
        </w:rPr>
        <w:t>稳之墙。</w:t>
      </w:r>
      <w:r>
        <w:rPr>
          <w:rFonts w:ascii="仿宋" w:hAnsi="仿宋" w:eastAsia="仿宋" w:cs="仿宋"/>
          <w:snapToGrid w:val="0"/>
          <w:color w:val="000000"/>
          <w:spacing w:val="-1"/>
          <w:kern w:val="0"/>
          <w:sz w:val="32"/>
          <w:szCs w:val="32"/>
          <w:lang w:val="en-US" w:eastAsia="en-US" w:bidi="ar-SA"/>
        </w:rPr>
        <w:t>深</w:t>
      </w:r>
      <w:r>
        <w:rPr>
          <w:rFonts w:ascii="仿宋" w:hAnsi="仿宋" w:eastAsia="仿宋" w:cs="仿宋"/>
          <w:snapToGrid w:val="0"/>
          <w:color w:val="000000"/>
          <w:spacing w:val="-14"/>
          <w:kern w:val="0"/>
          <w:sz w:val="32"/>
          <w:szCs w:val="32"/>
          <w:lang w:val="en-US" w:eastAsia="en-US" w:bidi="ar-SA"/>
        </w:rPr>
        <w:t>化信访积案清零行动，严格落实“五包一”稳控责任，运用“群</w:t>
      </w:r>
      <w:r>
        <w:rPr>
          <w:rFonts w:ascii="仿宋" w:hAnsi="仿宋" w:eastAsia="仿宋" w:cs="仿宋"/>
          <w:snapToGrid w:val="0"/>
          <w:color w:val="000000"/>
          <w:spacing w:val="8"/>
          <w:kern w:val="0"/>
          <w:sz w:val="32"/>
          <w:szCs w:val="32"/>
          <w:lang w:val="en-US" w:eastAsia="en-US" w:bidi="ar-SA"/>
        </w:rPr>
        <w:t>英断是非”工作法，超前化解矛盾纠纷13个，及时稳控华泰</w:t>
      </w:r>
      <w:r>
        <w:rPr>
          <w:rFonts w:ascii="仿宋" w:hAnsi="仿宋" w:eastAsia="仿宋" w:cs="仿宋"/>
          <w:snapToGrid w:val="0"/>
          <w:color w:val="000000"/>
          <w:kern w:val="0"/>
          <w:sz w:val="32"/>
          <w:szCs w:val="32"/>
          <w:lang w:val="en-US" w:eastAsia="en-US" w:bidi="ar-SA"/>
        </w:rPr>
        <w:t>小区、肖家咀、大寨田88号住户、南北港河业主等重点群体，</w:t>
      </w:r>
      <w:r>
        <w:rPr>
          <w:rFonts w:ascii="仿宋" w:hAnsi="仿宋" w:eastAsia="仿宋" w:cs="仿宋"/>
          <w:snapToGrid w:val="0"/>
          <w:color w:val="000000"/>
          <w:spacing w:val="-5"/>
          <w:kern w:val="0"/>
          <w:sz w:val="32"/>
          <w:szCs w:val="32"/>
          <w:lang w:val="en-US" w:eastAsia="en-US" w:bidi="ar-SA"/>
        </w:rPr>
        <w:t>持续实现特护期和敏感期赴省进京“零上访”目标。</w:t>
      </w:r>
      <w:r>
        <w:rPr>
          <w:rFonts w:ascii="仿宋" w:hAnsi="仿宋" w:eastAsia="仿宋" w:cs="仿宋"/>
          <w:snapToGrid w:val="0"/>
          <w:color w:val="000000"/>
          <w:spacing w:val="-6"/>
          <w:kern w:val="0"/>
          <w:sz w:val="32"/>
          <w:szCs w:val="32"/>
          <w:lang w:val="en-US" w:eastAsia="en-US" w:bidi="ar-SA"/>
        </w:rPr>
        <w:t>认真处置</w:t>
      </w:r>
      <w:r>
        <w:rPr>
          <w:rFonts w:ascii="仿宋" w:hAnsi="仿宋" w:eastAsia="仿宋" w:cs="仿宋"/>
          <w:snapToGrid w:val="0"/>
          <w:color w:val="000000"/>
          <w:spacing w:val="-4"/>
          <w:kern w:val="0"/>
          <w:sz w:val="32"/>
          <w:szCs w:val="32"/>
          <w:lang w:val="en-US" w:eastAsia="en-US" w:bidi="ar-SA"/>
        </w:rPr>
        <w:t>省委巡视组交办信访件，成功办结3件，包案领导见面率100%,</w:t>
      </w:r>
      <w:r>
        <w:rPr>
          <w:rFonts w:ascii="仿宋" w:hAnsi="仿宋" w:eastAsia="仿宋" w:cs="仿宋"/>
          <w:snapToGrid w:val="0"/>
          <w:color w:val="000000"/>
          <w:kern w:val="0"/>
          <w:sz w:val="32"/>
          <w:szCs w:val="32"/>
          <w:lang w:val="en-US" w:eastAsia="en-US" w:bidi="ar-SA"/>
        </w:rPr>
        <w:t>处理结果群众满意度100%。</w:t>
      </w:r>
      <w:r>
        <w:rPr>
          <w:rFonts w:ascii="仿宋" w:hAnsi="仿宋" w:eastAsia="仿宋" w:cs="仿宋"/>
          <w:b/>
          <w:bCs/>
          <w:snapToGrid w:val="0"/>
          <w:color w:val="000000"/>
          <w:kern w:val="0"/>
          <w:sz w:val="32"/>
          <w:szCs w:val="32"/>
          <w:lang w:val="en-US" w:eastAsia="en-US" w:bidi="ar-SA"/>
        </w:rPr>
        <w:t>紧抓生态安全之效。</w:t>
      </w:r>
      <w:r>
        <w:rPr>
          <w:rFonts w:ascii="仿宋" w:hAnsi="仿宋" w:eastAsia="仿宋" w:cs="仿宋"/>
          <w:snapToGrid w:val="0"/>
          <w:color w:val="000000"/>
          <w:kern w:val="0"/>
          <w:sz w:val="32"/>
          <w:szCs w:val="32"/>
          <w:lang w:val="en-US" w:eastAsia="en-US" w:bidi="ar-SA"/>
        </w:rPr>
        <w:t>扛牢“守护</w:t>
      </w:r>
      <w:r>
        <w:rPr>
          <w:rFonts w:ascii="仿宋" w:hAnsi="仿宋" w:eastAsia="仿宋" w:cs="仿宋"/>
          <w:snapToGrid w:val="0"/>
          <w:color w:val="000000"/>
          <w:spacing w:val="-4"/>
          <w:kern w:val="0"/>
          <w:sz w:val="32"/>
          <w:szCs w:val="32"/>
          <w:lang w:val="en-US" w:eastAsia="en-US" w:bidi="ar-SA"/>
        </w:rPr>
        <w:t>好一江碧水”的政治责任，巩固提升南北港河流域综合治理成</w:t>
      </w:r>
      <w:r>
        <w:rPr>
          <w:rFonts w:ascii="仿宋" w:hAnsi="仿宋" w:eastAsia="仿宋" w:cs="仿宋"/>
          <w:snapToGrid w:val="0"/>
          <w:color w:val="000000"/>
          <w:spacing w:val="12"/>
          <w:kern w:val="0"/>
          <w:sz w:val="32"/>
          <w:szCs w:val="32"/>
          <w:lang w:val="en-US" w:eastAsia="en-US" w:bidi="ar-SA"/>
        </w:rPr>
        <w:t>效，累计拆除涉水违法建设62处、面积约1.8万平方米，完</w:t>
      </w:r>
      <w:r>
        <w:rPr>
          <w:rFonts w:ascii="仿宋" w:hAnsi="仿宋" w:eastAsia="仿宋" w:cs="仿宋"/>
          <w:snapToGrid w:val="0"/>
          <w:color w:val="000000"/>
          <w:spacing w:val="-6"/>
          <w:kern w:val="0"/>
          <w:sz w:val="32"/>
          <w:szCs w:val="32"/>
          <w:lang w:val="en-US" w:eastAsia="en-US" w:bidi="ar-SA"/>
        </w:rPr>
        <w:t>成君兴液化气站、奥敏游泳馆、周威生态养殖中心、岳东生态</w:t>
      </w:r>
      <w:r>
        <w:rPr>
          <w:rFonts w:ascii="仿宋" w:hAnsi="仿宋" w:eastAsia="仿宋" w:cs="仿宋"/>
          <w:snapToGrid w:val="0"/>
          <w:color w:val="000000"/>
          <w:spacing w:val="-5"/>
          <w:kern w:val="0"/>
          <w:sz w:val="32"/>
          <w:szCs w:val="32"/>
          <w:lang w:val="en-US" w:eastAsia="en-US" w:bidi="ar-SA"/>
        </w:rPr>
        <w:t>养殖中心整治销号；认真落实河长、林长、田长制等工作</w:t>
      </w:r>
      <w:r>
        <w:rPr>
          <w:rFonts w:ascii="仿宋" w:hAnsi="仿宋" w:eastAsia="仿宋" w:cs="仿宋"/>
          <w:snapToGrid w:val="0"/>
          <w:color w:val="000000"/>
          <w:spacing w:val="-6"/>
          <w:kern w:val="0"/>
          <w:sz w:val="32"/>
          <w:szCs w:val="32"/>
          <w:lang w:val="en-US" w:eastAsia="en-US" w:bidi="ar-SA"/>
        </w:rPr>
        <w:t>，保</w:t>
      </w:r>
      <w:r>
        <w:rPr>
          <w:rFonts w:ascii="仿宋" w:hAnsi="仿宋" w:eastAsia="仿宋" w:cs="仿宋"/>
          <w:snapToGrid w:val="0"/>
          <w:color w:val="000000"/>
          <w:spacing w:val="7"/>
          <w:kern w:val="0"/>
          <w:sz w:val="32"/>
          <w:szCs w:val="32"/>
          <w:lang w:val="en-US" w:eastAsia="en-US" w:bidi="ar-SA"/>
        </w:rPr>
        <w:t>持常态巡查巡逻，依法严打散乱污企业10余家，做好中央环</w:t>
      </w:r>
      <w:r>
        <w:rPr>
          <w:rFonts w:ascii="仿宋" w:hAnsi="仿宋" w:eastAsia="仿宋" w:cs="仿宋"/>
          <w:snapToGrid w:val="0"/>
          <w:color w:val="000000"/>
          <w:spacing w:val="-5"/>
          <w:kern w:val="0"/>
          <w:sz w:val="32"/>
          <w:szCs w:val="32"/>
          <w:lang w:val="en-US" w:eastAsia="en-US" w:bidi="ar-SA"/>
        </w:rPr>
        <w:t>保督察交办问题整改，关停取缔亿发坩埚厂和非法成品油提炼</w:t>
      </w:r>
      <w:r>
        <w:rPr>
          <w:rFonts w:ascii="仿宋" w:hAnsi="仿宋" w:eastAsia="仿宋" w:cs="仿宋"/>
          <w:snapToGrid w:val="0"/>
          <w:color w:val="000000"/>
          <w:spacing w:val="7"/>
          <w:kern w:val="0"/>
          <w:sz w:val="32"/>
          <w:szCs w:val="32"/>
          <w:lang w:val="en-US" w:eastAsia="en-US" w:bidi="ar-SA"/>
        </w:rPr>
        <w:t>作坊2家，刑事立案1人，查处违法焚烧秸秆垃圾、违规熏制</w:t>
      </w:r>
      <w:r>
        <w:rPr>
          <w:rFonts w:ascii="仿宋" w:hAnsi="仿宋" w:eastAsia="仿宋" w:cs="仿宋"/>
          <w:snapToGrid w:val="0"/>
          <w:color w:val="000000"/>
          <w:spacing w:val="6"/>
          <w:kern w:val="0"/>
          <w:sz w:val="32"/>
          <w:szCs w:val="32"/>
          <w:lang w:val="en-US" w:eastAsia="en-US" w:bidi="ar-SA"/>
        </w:rPr>
        <w:t>等行为39起，批评教育39人次，全力打好蓝天、碧水、净土</w:t>
      </w:r>
      <w:r>
        <w:rPr>
          <w:rFonts w:ascii="仿宋" w:hAnsi="仿宋" w:eastAsia="仿宋" w:cs="仿宋"/>
          <w:snapToGrid w:val="0"/>
          <w:color w:val="000000"/>
          <w:spacing w:val="-5"/>
          <w:kern w:val="0"/>
          <w:sz w:val="32"/>
          <w:szCs w:val="32"/>
          <w:lang w:val="en-US" w:eastAsia="en-US" w:bidi="ar-SA"/>
        </w:rPr>
        <w:t>保卫战。扎实推进殡葬秩序整治工作，领导干部全员签订殡葬</w:t>
      </w:r>
      <w:r>
        <w:rPr>
          <w:rFonts w:ascii="仿宋" w:hAnsi="仿宋" w:eastAsia="仿宋" w:cs="仿宋"/>
          <w:snapToGrid w:val="0"/>
          <w:color w:val="000000"/>
          <w:spacing w:val="1"/>
          <w:kern w:val="0"/>
          <w:sz w:val="32"/>
          <w:szCs w:val="32"/>
          <w:lang w:val="en-US" w:eastAsia="en-US" w:bidi="ar-SA"/>
        </w:rPr>
        <w:t>秩序整治工作承诺书，开展移风易俗微宣讲</w:t>
      </w:r>
      <w:r>
        <w:rPr>
          <w:rFonts w:ascii="仿宋" w:hAnsi="仿宋" w:eastAsia="仿宋" w:cs="仿宋"/>
          <w:snapToGrid w:val="0"/>
          <w:color w:val="000000"/>
          <w:kern w:val="0"/>
          <w:sz w:val="32"/>
          <w:szCs w:val="32"/>
          <w:lang w:val="en-US" w:eastAsia="en-US" w:bidi="ar-SA"/>
        </w:rPr>
        <w:t>5场，劝导文明治</w:t>
      </w:r>
      <w:r>
        <w:rPr>
          <w:rFonts w:ascii="仿宋" w:hAnsi="仿宋" w:eastAsia="仿宋" w:cs="仿宋"/>
          <w:snapToGrid w:val="0"/>
          <w:color w:val="000000"/>
          <w:spacing w:val="3"/>
          <w:kern w:val="0"/>
          <w:sz w:val="32"/>
          <w:szCs w:val="32"/>
          <w:lang w:val="en-US" w:eastAsia="en-US" w:bidi="ar-SA"/>
        </w:rPr>
        <w:t>丧12户，大力弘扬绿色文明殡葬新风。</w:t>
      </w:r>
    </w:p>
    <w:p w14:paraId="5AA0117C">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63" w:firstLineChars="200"/>
        <w:jc w:val="both"/>
        <w:textAlignment w:val="baseline"/>
        <w:rPr>
          <w:rFonts w:ascii="仿宋" w:hAnsi="仿宋" w:eastAsia="仿宋" w:cs="仿宋"/>
          <w:snapToGrid w:val="0"/>
          <w:color w:val="000000"/>
          <w:kern w:val="0"/>
          <w:sz w:val="32"/>
          <w:szCs w:val="32"/>
          <w:lang w:val="en-US" w:eastAsia="en-US" w:bidi="ar-SA"/>
        </w:rPr>
      </w:pPr>
      <w:r>
        <w:rPr>
          <w:rFonts w:hint="eastAsia" w:ascii="仿宋" w:hAnsi="仿宋" w:eastAsia="仿宋" w:cs="仿宋"/>
          <w:b/>
          <w:bCs/>
          <w:snapToGrid w:val="0"/>
          <w:color w:val="000000"/>
          <w:spacing w:val="5"/>
          <w:kern w:val="0"/>
          <w:sz w:val="32"/>
          <w:szCs w:val="32"/>
          <w:lang w:val="en-US" w:eastAsia="zh-CN" w:bidi="ar-SA"/>
        </w:rPr>
        <w:t>4、</w:t>
      </w:r>
      <w:r>
        <w:rPr>
          <w:rFonts w:ascii="仿宋" w:hAnsi="仿宋" w:eastAsia="仿宋" w:cs="仿宋"/>
          <w:b/>
          <w:bCs/>
          <w:snapToGrid w:val="0"/>
          <w:color w:val="000000"/>
          <w:spacing w:val="5"/>
          <w:kern w:val="0"/>
          <w:sz w:val="32"/>
          <w:szCs w:val="32"/>
          <w:lang w:val="en-US" w:eastAsia="en-US" w:bidi="ar-SA"/>
        </w:rPr>
        <w:t>坚持一以贯之强引领，党的建设取得新成效</w:t>
      </w:r>
      <w:r>
        <w:rPr>
          <w:rFonts w:ascii="楷体" w:hAnsi="楷体" w:eastAsia="楷体" w:cs="楷体"/>
          <w:b/>
          <w:bCs/>
          <w:snapToGrid w:val="0"/>
          <w:color w:val="000000"/>
          <w:spacing w:val="5"/>
          <w:kern w:val="0"/>
          <w:sz w:val="32"/>
          <w:szCs w:val="32"/>
          <w:lang w:val="en-US" w:eastAsia="en-US" w:bidi="ar-SA"/>
        </w:rPr>
        <w:t>。</w:t>
      </w:r>
      <w:r>
        <w:rPr>
          <w:rFonts w:ascii="仿宋" w:hAnsi="仿宋" w:eastAsia="仿宋" w:cs="仿宋"/>
          <w:snapToGrid w:val="0"/>
          <w:color w:val="000000"/>
          <w:spacing w:val="5"/>
          <w:kern w:val="0"/>
          <w:sz w:val="32"/>
          <w:szCs w:val="32"/>
          <w:lang w:val="en-US" w:eastAsia="en-US" w:bidi="ar-SA"/>
        </w:rPr>
        <w:t>把党的领</w:t>
      </w:r>
      <w:r>
        <w:rPr>
          <w:rFonts w:ascii="仿宋" w:hAnsi="仿宋" w:eastAsia="仿宋" w:cs="仿宋"/>
          <w:snapToGrid w:val="0"/>
          <w:color w:val="000000"/>
          <w:kern w:val="0"/>
          <w:sz w:val="32"/>
          <w:szCs w:val="32"/>
          <w:lang w:val="en-US" w:eastAsia="en-US" w:bidi="ar-SA"/>
        </w:rPr>
        <w:t>导落实到各领域各方面各环节，在强引领、优作风上持续发力，</w:t>
      </w:r>
      <w:r>
        <w:rPr>
          <w:rFonts w:ascii="仿宋" w:hAnsi="仿宋" w:eastAsia="仿宋" w:cs="仿宋"/>
          <w:snapToGrid w:val="0"/>
          <w:color w:val="000000"/>
          <w:spacing w:val="1"/>
          <w:kern w:val="0"/>
          <w:sz w:val="32"/>
          <w:szCs w:val="32"/>
          <w:lang w:val="en-US" w:eastAsia="en-US" w:bidi="ar-SA"/>
        </w:rPr>
        <w:t>深入推进新时代党的建设新的伟大工程。</w:t>
      </w:r>
      <w:r>
        <w:rPr>
          <w:rFonts w:ascii="仿宋" w:hAnsi="仿宋" w:eastAsia="仿宋" w:cs="仿宋"/>
          <w:b/>
          <w:bCs/>
          <w:snapToGrid w:val="0"/>
          <w:color w:val="000000"/>
          <w:spacing w:val="1"/>
          <w:kern w:val="0"/>
          <w:sz w:val="32"/>
          <w:szCs w:val="32"/>
          <w:lang w:val="en-US" w:eastAsia="en-US" w:bidi="ar-SA"/>
        </w:rPr>
        <w:t>基层基础不断夯实。</w:t>
      </w:r>
      <w:r>
        <w:rPr>
          <w:rFonts w:ascii="仿宋" w:hAnsi="仿宋" w:eastAsia="仿宋" w:cs="仿宋"/>
          <w:snapToGrid w:val="0"/>
          <w:color w:val="000000"/>
          <w:spacing w:val="2"/>
          <w:kern w:val="0"/>
          <w:sz w:val="32"/>
          <w:szCs w:val="32"/>
          <w:lang w:val="en-US" w:eastAsia="en-US" w:bidi="ar-SA"/>
        </w:rPr>
        <w:t>严格落实“第一议题”制度，持续推进学习贯彻习近平新时代</w:t>
      </w:r>
      <w:r>
        <w:rPr>
          <w:rFonts w:ascii="仿宋" w:hAnsi="仿宋" w:eastAsia="仿宋" w:cs="仿宋"/>
          <w:snapToGrid w:val="0"/>
          <w:color w:val="000000"/>
          <w:kern w:val="0"/>
          <w:sz w:val="32"/>
          <w:szCs w:val="32"/>
          <w:lang w:val="en-US" w:eastAsia="en-US" w:bidi="ar-SA"/>
        </w:rPr>
        <w:t>中国特色社会主义思想和党的二十大精神往深里做、往心里走、</w:t>
      </w:r>
      <w:r>
        <w:rPr>
          <w:rFonts w:ascii="仿宋" w:hAnsi="仿宋" w:eastAsia="仿宋" w:cs="仿宋"/>
          <w:snapToGrid w:val="0"/>
          <w:color w:val="000000"/>
          <w:spacing w:val="14"/>
          <w:kern w:val="0"/>
          <w:sz w:val="32"/>
          <w:szCs w:val="32"/>
          <w:lang w:val="en-US" w:eastAsia="en-US" w:bidi="ar-SA"/>
        </w:rPr>
        <w:t>往实里抓，进机关、进校园、进网格开展学习宣讲活动40余次，开展书记讲党课2次，集中研讨4次，举办青年读书分享</w:t>
      </w:r>
      <w:r>
        <w:rPr>
          <w:rFonts w:ascii="仿宋" w:hAnsi="仿宋" w:eastAsia="仿宋" w:cs="仿宋"/>
          <w:snapToGrid w:val="0"/>
          <w:color w:val="000000"/>
          <w:spacing w:val="8"/>
          <w:kern w:val="0"/>
          <w:sz w:val="32"/>
          <w:szCs w:val="32"/>
          <w:lang w:val="en-US" w:eastAsia="en-US" w:bidi="ar-SA"/>
        </w:rPr>
        <w:t>会1场，组织街道干部到何长工、屈子祠廉政教育基地、城陵矶水文站等教育基地开展实训活动3次，邀请市区专家开展业务培训2场次，党员干部在以学增智中不断提升能力。全面落</w:t>
      </w:r>
      <w:r>
        <w:rPr>
          <w:rFonts w:ascii="仿宋" w:hAnsi="仿宋" w:eastAsia="仿宋" w:cs="仿宋"/>
          <w:snapToGrid w:val="0"/>
          <w:color w:val="000000"/>
          <w:spacing w:val="15"/>
          <w:kern w:val="0"/>
          <w:sz w:val="32"/>
          <w:szCs w:val="32"/>
          <w:lang w:val="en-US" w:eastAsia="en-US" w:bidi="ar-SA"/>
        </w:rPr>
        <w:t>实片组邻“三长制”和村(居)民代表常态化</w:t>
      </w:r>
      <w:r>
        <w:rPr>
          <w:rFonts w:ascii="仿宋" w:hAnsi="仿宋" w:eastAsia="仿宋" w:cs="仿宋"/>
          <w:snapToGrid w:val="0"/>
          <w:color w:val="000000"/>
          <w:spacing w:val="14"/>
          <w:kern w:val="0"/>
          <w:sz w:val="32"/>
          <w:szCs w:val="32"/>
          <w:lang w:val="en-US" w:eastAsia="en-US" w:bidi="ar-SA"/>
        </w:rPr>
        <w:t>联系服务群众制</w:t>
      </w:r>
      <w:r>
        <w:rPr>
          <w:rFonts w:ascii="仿宋" w:hAnsi="仿宋" w:eastAsia="仿宋" w:cs="仿宋"/>
          <w:snapToGrid w:val="0"/>
          <w:color w:val="000000"/>
          <w:spacing w:val="8"/>
          <w:kern w:val="0"/>
          <w:sz w:val="32"/>
          <w:szCs w:val="32"/>
          <w:lang w:val="en-US" w:eastAsia="en-US" w:bidi="ar-SA"/>
        </w:rPr>
        <w:t>度，打造学院路岳磁小区和奇家社区第五网格2个示范点，选</w:t>
      </w:r>
      <w:r>
        <w:rPr>
          <w:rFonts w:ascii="仿宋" w:hAnsi="仿宋" w:eastAsia="仿宋" w:cs="仿宋"/>
          <w:snapToGrid w:val="0"/>
          <w:color w:val="000000"/>
          <w:spacing w:val="14"/>
          <w:kern w:val="0"/>
          <w:sz w:val="32"/>
          <w:szCs w:val="32"/>
          <w:lang w:val="en-US" w:eastAsia="en-US" w:bidi="ar-SA"/>
        </w:rPr>
        <w:t>拔片组邻长122人，党员承诺践诺773人次</w:t>
      </w:r>
      <w:r>
        <w:rPr>
          <w:rFonts w:ascii="仿宋" w:hAnsi="仿宋" w:eastAsia="仿宋" w:cs="仿宋"/>
          <w:snapToGrid w:val="0"/>
          <w:color w:val="000000"/>
          <w:spacing w:val="13"/>
          <w:kern w:val="0"/>
          <w:sz w:val="32"/>
          <w:szCs w:val="32"/>
          <w:lang w:val="en-US" w:eastAsia="en-US" w:bidi="ar-SA"/>
        </w:rPr>
        <w:t>，切实打通了服务</w:t>
      </w:r>
      <w:r>
        <w:rPr>
          <w:rFonts w:ascii="仿宋" w:hAnsi="仿宋" w:eastAsia="仿宋" w:cs="仿宋"/>
          <w:snapToGrid w:val="0"/>
          <w:color w:val="000000"/>
          <w:spacing w:val="2"/>
          <w:kern w:val="0"/>
          <w:sz w:val="32"/>
          <w:szCs w:val="32"/>
          <w:lang w:val="en-US" w:eastAsia="en-US" w:bidi="ar-SA"/>
        </w:rPr>
        <w:t>群众的“最后一米”。</w:t>
      </w:r>
      <w:r>
        <w:rPr>
          <w:rFonts w:ascii="仿宋" w:hAnsi="仿宋" w:eastAsia="仿宋" w:cs="仿宋"/>
          <w:b/>
          <w:bCs/>
          <w:snapToGrid w:val="0"/>
          <w:color w:val="000000"/>
          <w:spacing w:val="2"/>
          <w:kern w:val="0"/>
          <w:sz w:val="32"/>
          <w:szCs w:val="32"/>
          <w:lang w:val="en-US" w:eastAsia="en-US" w:bidi="ar-SA"/>
        </w:rPr>
        <w:t>大兴调研走深走实。</w:t>
      </w:r>
      <w:r>
        <w:rPr>
          <w:rFonts w:ascii="仿宋" w:hAnsi="仿宋" w:eastAsia="仿宋" w:cs="仿宋"/>
          <w:snapToGrid w:val="0"/>
          <w:color w:val="000000"/>
          <w:spacing w:val="2"/>
          <w:kern w:val="0"/>
          <w:sz w:val="32"/>
          <w:szCs w:val="32"/>
          <w:lang w:val="en-US" w:eastAsia="en-US" w:bidi="ar-SA"/>
        </w:rPr>
        <w:t>坚持第一站位谋划</w:t>
      </w:r>
      <w:r>
        <w:rPr>
          <w:rFonts w:ascii="仿宋" w:hAnsi="仿宋" w:eastAsia="仿宋" w:cs="仿宋"/>
          <w:snapToGrid w:val="0"/>
          <w:color w:val="000000"/>
          <w:spacing w:val="3"/>
          <w:kern w:val="0"/>
          <w:sz w:val="32"/>
          <w:szCs w:val="32"/>
          <w:lang w:val="en-US" w:eastAsia="en-US" w:bidi="ar-SA"/>
        </w:rPr>
        <w:t>部署主题教育工作，把实的要求贯穿全过程，切实推动“走找</w:t>
      </w:r>
      <w:r>
        <w:rPr>
          <w:rFonts w:ascii="仿宋" w:hAnsi="仿宋" w:eastAsia="仿宋" w:cs="仿宋"/>
          <w:snapToGrid w:val="0"/>
          <w:color w:val="000000"/>
          <w:spacing w:val="9"/>
          <w:kern w:val="0"/>
          <w:sz w:val="32"/>
          <w:szCs w:val="32"/>
          <w:lang w:val="en-US" w:eastAsia="en-US" w:bidi="ar-SA"/>
        </w:rPr>
        <w:t>想促”走深走实，街道班子带头认领调研课题4个</w:t>
      </w:r>
      <w:r>
        <w:rPr>
          <w:rFonts w:ascii="仿宋" w:hAnsi="仿宋" w:eastAsia="仿宋" w:cs="仿宋"/>
          <w:snapToGrid w:val="0"/>
          <w:color w:val="000000"/>
          <w:spacing w:val="8"/>
          <w:kern w:val="0"/>
          <w:sz w:val="32"/>
          <w:szCs w:val="32"/>
          <w:lang w:val="en-US" w:eastAsia="en-US" w:bidi="ar-SA"/>
        </w:rPr>
        <w:t>、调研子课</w:t>
      </w:r>
      <w:r>
        <w:rPr>
          <w:rFonts w:ascii="仿宋" w:hAnsi="仿宋" w:eastAsia="仿宋" w:cs="仿宋"/>
          <w:snapToGrid w:val="0"/>
          <w:color w:val="000000"/>
          <w:spacing w:val="27"/>
          <w:kern w:val="0"/>
          <w:sz w:val="32"/>
          <w:szCs w:val="32"/>
          <w:lang w:val="en-US" w:eastAsia="en-US" w:bidi="ar-SA"/>
        </w:rPr>
        <w:t>题11个，组织32名青年干部组成11个调研小组</w:t>
      </w:r>
      <w:r>
        <w:rPr>
          <w:rFonts w:ascii="仿宋" w:hAnsi="仿宋" w:eastAsia="仿宋" w:cs="仿宋"/>
          <w:snapToGrid w:val="0"/>
          <w:color w:val="000000"/>
          <w:spacing w:val="26"/>
          <w:kern w:val="0"/>
          <w:sz w:val="32"/>
          <w:szCs w:val="32"/>
          <w:lang w:val="en-US" w:eastAsia="en-US" w:bidi="ar-SA"/>
        </w:rPr>
        <w:t>，围绕城乡</w:t>
      </w:r>
      <w:r>
        <w:rPr>
          <w:rFonts w:ascii="仿宋" w:hAnsi="仿宋" w:eastAsia="仿宋" w:cs="仿宋"/>
          <w:snapToGrid w:val="0"/>
          <w:color w:val="000000"/>
          <w:kern w:val="0"/>
          <w:sz w:val="32"/>
          <w:szCs w:val="32"/>
          <w:lang w:val="en-US" w:eastAsia="en-US" w:bidi="ar-SA"/>
        </w:rPr>
        <w:t>结合部突出的民生建房、生态环保、城乡供水等领域矛盾问题，</w:t>
      </w:r>
      <w:r>
        <w:rPr>
          <w:rFonts w:ascii="仿宋" w:hAnsi="仿宋" w:eastAsia="仿宋" w:cs="仿宋"/>
          <w:snapToGrid w:val="0"/>
          <w:color w:val="000000"/>
          <w:spacing w:val="26"/>
          <w:kern w:val="0"/>
          <w:sz w:val="32"/>
          <w:szCs w:val="32"/>
          <w:lang w:val="en-US" w:eastAsia="en-US" w:bidi="ar-SA"/>
        </w:rPr>
        <w:t>收集领办民生问题96个，已办结82个，办结率86%</w:t>
      </w:r>
      <w:r>
        <w:rPr>
          <w:rFonts w:ascii="仿宋" w:hAnsi="仿宋" w:eastAsia="仿宋" w:cs="仿宋"/>
          <w:snapToGrid w:val="0"/>
          <w:color w:val="000000"/>
          <w:spacing w:val="25"/>
          <w:kern w:val="0"/>
          <w:sz w:val="32"/>
          <w:szCs w:val="32"/>
          <w:lang w:val="en-US" w:eastAsia="en-US" w:bidi="ar-SA"/>
        </w:rPr>
        <w:t>,居民满</w:t>
      </w:r>
      <w:r>
        <w:rPr>
          <w:rFonts w:ascii="仿宋" w:hAnsi="仿宋" w:eastAsia="仿宋" w:cs="仿宋"/>
          <w:snapToGrid w:val="0"/>
          <w:color w:val="000000"/>
          <w:spacing w:val="10"/>
          <w:kern w:val="0"/>
          <w:sz w:val="32"/>
          <w:szCs w:val="32"/>
          <w:lang w:val="en-US" w:eastAsia="en-US" w:bidi="ar-SA"/>
        </w:rPr>
        <w:t>意度达100%。</w:t>
      </w:r>
      <w:r>
        <w:rPr>
          <w:rFonts w:ascii="仿宋" w:hAnsi="仿宋" w:eastAsia="仿宋" w:cs="仿宋"/>
          <w:b/>
          <w:bCs/>
          <w:snapToGrid w:val="0"/>
          <w:color w:val="000000"/>
          <w:spacing w:val="10"/>
          <w:kern w:val="0"/>
          <w:sz w:val="32"/>
          <w:szCs w:val="32"/>
          <w:lang w:val="en-US" w:eastAsia="en-US" w:bidi="ar-SA"/>
        </w:rPr>
        <w:t>作风建设不断优化。</w:t>
      </w:r>
      <w:r>
        <w:rPr>
          <w:rFonts w:ascii="仿宋" w:hAnsi="仿宋" w:eastAsia="仿宋" w:cs="仿宋"/>
          <w:snapToGrid w:val="0"/>
          <w:color w:val="000000"/>
          <w:spacing w:val="10"/>
          <w:kern w:val="0"/>
          <w:sz w:val="32"/>
          <w:szCs w:val="32"/>
          <w:lang w:val="en-US" w:eastAsia="en-US" w:bidi="ar-SA"/>
        </w:rPr>
        <w:t>深入开展机</w:t>
      </w:r>
      <w:r>
        <w:rPr>
          <w:rFonts w:ascii="仿宋" w:hAnsi="仿宋" w:eastAsia="仿宋" w:cs="仿宋"/>
          <w:snapToGrid w:val="0"/>
          <w:color w:val="000000"/>
          <w:spacing w:val="9"/>
          <w:kern w:val="0"/>
          <w:sz w:val="32"/>
          <w:szCs w:val="32"/>
          <w:lang w:val="en-US" w:eastAsia="en-US" w:bidi="ar-SA"/>
        </w:rPr>
        <w:t>关纪律督查、</w:t>
      </w:r>
      <w:r>
        <w:rPr>
          <w:rFonts w:ascii="仿宋" w:hAnsi="仿宋" w:eastAsia="仿宋" w:cs="仿宋"/>
          <w:snapToGrid w:val="0"/>
          <w:color w:val="000000"/>
          <w:kern w:val="0"/>
          <w:sz w:val="32"/>
          <w:szCs w:val="32"/>
          <w:lang w:val="en-US" w:eastAsia="en-US" w:bidi="ar-SA"/>
        </w:rPr>
        <w:t>“十严禁”“两带头五整治”专项行动，严格实施工作日禁止</w:t>
      </w:r>
      <w:r>
        <w:rPr>
          <w:rFonts w:ascii="仿宋" w:hAnsi="仿宋" w:eastAsia="仿宋" w:cs="仿宋"/>
          <w:snapToGrid w:val="0"/>
          <w:color w:val="000000"/>
          <w:spacing w:val="17"/>
          <w:kern w:val="0"/>
          <w:sz w:val="32"/>
          <w:szCs w:val="32"/>
          <w:lang w:val="en-US" w:eastAsia="en-US" w:bidi="ar-SA"/>
        </w:rPr>
        <w:t>饮酒规定，发布作风通报4期，办理市纪委交办案件1起，主</w:t>
      </w:r>
      <w:r>
        <w:rPr>
          <w:rFonts w:ascii="仿宋" w:hAnsi="仿宋" w:eastAsia="仿宋" w:cs="仿宋"/>
          <w:snapToGrid w:val="0"/>
          <w:color w:val="000000"/>
          <w:spacing w:val="25"/>
          <w:kern w:val="0"/>
          <w:sz w:val="32"/>
          <w:szCs w:val="32"/>
          <w:lang w:val="en-US" w:eastAsia="en-US" w:bidi="ar-SA"/>
        </w:rPr>
        <w:t>动投案11人，党纪立案13起，处分13人，推进作风</w:t>
      </w:r>
      <w:r>
        <w:rPr>
          <w:rFonts w:ascii="仿宋" w:hAnsi="仿宋" w:eastAsia="仿宋" w:cs="仿宋"/>
          <w:snapToGrid w:val="0"/>
          <w:color w:val="000000"/>
          <w:spacing w:val="24"/>
          <w:kern w:val="0"/>
          <w:sz w:val="32"/>
          <w:szCs w:val="32"/>
          <w:lang w:val="en-US" w:eastAsia="en-US" w:bidi="ar-SA"/>
        </w:rPr>
        <w:t>建设常</w:t>
      </w:r>
      <w:r>
        <w:rPr>
          <w:rFonts w:ascii="仿宋" w:hAnsi="仿宋" w:eastAsia="仿宋" w:cs="仿宋"/>
          <w:snapToGrid w:val="0"/>
          <w:color w:val="000000"/>
          <w:spacing w:val="1"/>
          <w:kern w:val="0"/>
          <w:sz w:val="32"/>
          <w:szCs w:val="32"/>
          <w:lang w:val="en-US" w:eastAsia="en-US" w:bidi="ar-SA"/>
        </w:rPr>
        <w:t>态化长效化；围绕巡视巡察、环保督察反馈意见，召开专题会</w:t>
      </w:r>
      <w:r>
        <w:rPr>
          <w:rFonts w:ascii="仿宋" w:hAnsi="仿宋" w:eastAsia="仿宋" w:cs="仿宋"/>
          <w:snapToGrid w:val="0"/>
          <w:color w:val="000000"/>
          <w:spacing w:val="20"/>
          <w:kern w:val="0"/>
          <w:sz w:val="32"/>
          <w:szCs w:val="32"/>
          <w:lang w:val="en-US" w:eastAsia="en-US" w:bidi="ar-SA"/>
        </w:rPr>
        <w:t>议8次，相应制定92条整改措施，确保问题立行立改、工作</w:t>
      </w:r>
      <w:r>
        <w:rPr>
          <w:rFonts w:ascii="仿宋" w:hAnsi="仿宋" w:eastAsia="仿宋" w:cs="仿宋"/>
          <w:snapToGrid w:val="0"/>
          <w:color w:val="000000"/>
          <w:spacing w:val="26"/>
          <w:kern w:val="0"/>
          <w:sz w:val="32"/>
          <w:szCs w:val="32"/>
          <w:lang w:val="en-US" w:eastAsia="en-US" w:bidi="ar-SA"/>
        </w:rPr>
        <w:t>落细落实。</w:t>
      </w:r>
    </w:p>
    <w:p w14:paraId="7E67BC7E">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二、特色亮点</w:t>
      </w:r>
    </w:p>
    <w:p w14:paraId="2EAF0D11">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35" w:firstLineChars="200"/>
        <w:jc w:val="both"/>
        <w:textAlignment w:val="baseline"/>
        <w:rPr>
          <w:rFonts w:ascii="仿宋" w:hAnsi="仿宋" w:eastAsia="仿宋" w:cs="仿宋"/>
          <w:snapToGrid w:val="0"/>
          <w:color w:val="000000"/>
          <w:kern w:val="0"/>
          <w:sz w:val="32"/>
          <w:szCs w:val="32"/>
          <w:lang w:val="en-US" w:eastAsia="en-US" w:bidi="ar-SA"/>
        </w:rPr>
      </w:pPr>
      <w:r>
        <w:rPr>
          <w:rFonts w:ascii="楷体" w:hAnsi="楷体" w:eastAsia="楷体" w:cs="楷体"/>
          <w:b/>
          <w:bCs/>
          <w:snapToGrid w:val="0"/>
          <w:color w:val="000000"/>
          <w:spacing w:val="-2"/>
          <w:kern w:val="0"/>
          <w:sz w:val="32"/>
          <w:szCs w:val="32"/>
          <w:lang w:val="en-US" w:eastAsia="en-US" w:bidi="ar-SA"/>
        </w:rPr>
        <w:t>1.“群英断是非”工作法在全国推广。</w:t>
      </w:r>
      <w:r>
        <w:rPr>
          <w:rFonts w:ascii="仿宋" w:hAnsi="仿宋" w:eastAsia="仿宋" w:cs="仿宋"/>
          <w:snapToGrid w:val="0"/>
          <w:color w:val="000000"/>
          <w:spacing w:val="-2"/>
          <w:kern w:val="0"/>
          <w:sz w:val="32"/>
          <w:szCs w:val="32"/>
          <w:lang w:val="en-US" w:eastAsia="en-US" w:bidi="ar-SA"/>
        </w:rPr>
        <w:t>不断继承优化“群</w:t>
      </w:r>
      <w:r>
        <w:rPr>
          <w:rFonts w:ascii="仿宋" w:hAnsi="仿宋" w:eastAsia="仿宋" w:cs="仿宋"/>
          <w:snapToGrid w:val="0"/>
          <w:color w:val="000000"/>
          <w:spacing w:val="2"/>
          <w:kern w:val="0"/>
          <w:sz w:val="32"/>
          <w:szCs w:val="32"/>
          <w:lang w:val="en-US" w:eastAsia="en-US" w:bidi="ar-SA"/>
        </w:rPr>
        <w:t>英断是非”工作法，全国现场会成功在京举行，</w:t>
      </w:r>
      <w:r>
        <w:rPr>
          <w:rFonts w:ascii="仿宋" w:hAnsi="仿宋" w:eastAsia="仿宋" w:cs="仿宋"/>
          <w:snapToGrid w:val="0"/>
          <w:color w:val="000000"/>
          <w:spacing w:val="1"/>
          <w:kern w:val="0"/>
          <w:sz w:val="32"/>
          <w:szCs w:val="32"/>
          <w:lang w:val="en-US" w:eastAsia="en-US" w:bidi="ar-SA"/>
        </w:rPr>
        <w:t>该工作法被中</w:t>
      </w:r>
      <w:r>
        <w:rPr>
          <w:rFonts w:ascii="仿宋" w:hAnsi="仿宋" w:eastAsia="仿宋" w:cs="仿宋"/>
          <w:snapToGrid w:val="0"/>
          <w:color w:val="000000"/>
          <w:spacing w:val="-10"/>
          <w:kern w:val="0"/>
          <w:sz w:val="32"/>
          <w:szCs w:val="32"/>
          <w:lang w:val="en-US" w:eastAsia="en-US" w:bidi="ar-SA"/>
        </w:rPr>
        <w:t>央政法委、新华社每日电讯头版着重推介，获</w:t>
      </w:r>
      <w:r>
        <w:rPr>
          <w:rFonts w:ascii="仿宋" w:hAnsi="仿宋" w:eastAsia="仿宋" w:cs="仿宋"/>
          <w:snapToGrid w:val="0"/>
          <w:color w:val="000000"/>
          <w:spacing w:val="-11"/>
          <w:kern w:val="0"/>
          <w:sz w:val="32"/>
          <w:szCs w:val="32"/>
          <w:lang w:val="en-US" w:eastAsia="en-US" w:bidi="ar-SA"/>
        </w:rPr>
        <w:t>评全国新时代“枫</w:t>
      </w:r>
      <w:r>
        <w:rPr>
          <w:rFonts w:ascii="仿宋" w:hAnsi="仿宋" w:eastAsia="仿宋" w:cs="仿宋"/>
          <w:snapToGrid w:val="0"/>
          <w:color w:val="000000"/>
          <w:spacing w:val="10"/>
          <w:kern w:val="0"/>
          <w:sz w:val="32"/>
          <w:szCs w:val="32"/>
          <w:lang w:val="en-US" w:eastAsia="en-US" w:bidi="ar-SA"/>
        </w:rPr>
        <w:t>桥经验”先进典型和全国2023年全面深化改革典型案例，树</w:t>
      </w:r>
      <w:r>
        <w:rPr>
          <w:rFonts w:ascii="仿宋" w:hAnsi="仿宋" w:eastAsia="仿宋" w:cs="仿宋"/>
          <w:snapToGrid w:val="0"/>
          <w:color w:val="000000"/>
          <w:kern w:val="0"/>
          <w:sz w:val="32"/>
          <w:szCs w:val="32"/>
          <w:lang w:val="en-US" w:eastAsia="en-US" w:bidi="ar-SA"/>
        </w:rPr>
        <w:t>稳了基层治理新名片。</w:t>
      </w:r>
    </w:p>
    <w:p w14:paraId="53F2E296">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60" w:firstLineChars="200"/>
        <w:jc w:val="both"/>
        <w:textAlignment w:val="baseline"/>
        <w:rPr>
          <w:rFonts w:ascii="仿宋" w:hAnsi="仿宋" w:eastAsia="仿宋" w:cs="仿宋"/>
          <w:snapToGrid w:val="0"/>
          <w:color w:val="000000"/>
          <w:kern w:val="0"/>
          <w:sz w:val="32"/>
          <w:szCs w:val="32"/>
          <w:lang w:val="en-US" w:eastAsia="en-US" w:bidi="ar-SA"/>
        </w:rPr>
      </w:pPr>
      <w:r>
        <w:rPr>
          <w:rFonts w:ascii="Times New Roman" w:hAnsi="Times New Roman" w:eastAsia="Times New Roman" w:cs="Times New Roman"/>
          <w:b/>
          <w:bCs/>
          <w:snapToGrid w:val="0"/>
          <w:color w:val="000000"/>
          <w:spacing w:val="5"/>
          <w:kern w:val="0"/>
          <w:sz w:val="32"/>
          <w:szCs w:val="32"/>
          <w:lang w:val="en-US" w:eastAsia="en-US" w:bidi="ar-SA"/>
        </w:rPr>
        <w:t>2.</w:t>
      </w:r>
      <w:r>
        <w:rPr>
          <w:rFonts w:ascii="仿宋" w:hAnsi="仿宋" w:eastAsia="仿宋" w:cs="仿宋"/>
          <w:b/>
          <w:bCs/>
          <w:snapToGrid w:val="0"/>
          <w:color w:val="000000"/>
          <w:spacing w:val="5"/>
          <w:kern w:val="0"/>
          <w:sz w:val="32"/>
          <w:szCs w:val="32"/>
          <w:lang w:val="en-US" w:eastAsia="en-US" w:bidi="ar-SA"/>
        </w:rPr>
        <w:t>南北港河综合治理中展现楼区担当</w:t>
      </w:r>
      <w:r>
        <w:rPr>
          <w:rFonts w:ascii="楷体" w:hAnsi="楷体" w:eastAsia="楷体" w:cs="楷体"/>
          <w:b/>
          <w:bCs/>
          <w:snapToGrid w:val="0"/>
          <w:color w:val="000000"/>
          <w:spacing w:val="5"/>
          <w:kern w:val="0"/>
          <w:sz w:val="32"/>
          <w:szCs w:val="32"/>
          <w:lang w:val="en-US" w:eastAsia="en-US" w:bidi="ar-SA"/>
        </w:rPr>
        <w:t>。</w:t>
      </w:r>
      <w:r>
        <w:rPr>
          <w:rFonts w:ascii="仿宋" w:hAnsi="仿宋" w:eastAsia="仿宋" w:cs="仿宋"/>
          <w:snapToGrid w:val="0"/>
          <w:color w:val="000000"/>
          <w:spacing w:val="5"/>
          <w:kern w:val="0"/>
          <w:sz w:val="32"/>
          <w:szCs w:val="32"/>
          <w:lang w:val="en-US" w:eastAsia="en-US" w:bidi="ar-SA"/>
        </w:rPr>
        <w:t>扛牢“守护好一</w:t>
      </w:r>
      <w:r>
        <w:rPr>
          <w:rFonts w:ascii="仿宋" w:hAnsi="仿宋" w:eastAsia="仿宋" w:cs="仿宋"/>
          <w:snapToGrid w:val="0"/>
          <w:color w:val="000000"/>
          <w:spacing w:val="3"/>
          <w:kern w:val="0"/>
          <w:sz w:val="32"/>
          <w:szCs w:val="32"/>
          <w:lang w:val="en-US" w:eastAsia="en-US" w:bidi="ar-SA"/>
        </w:rPr>
        <w:t>江碧水”的政治责任，巩固提升南北港河流</w:t>
      </w:r>
      <w:r>
        <w:rPr>
          <w:rFonts w:ascii="仿宋" w:hAnsi="仿宋" w:eastAsia="仿宋" w:cs="仿宋"/>
          <w:snapToGrid w:val="0"/>
          <w:color w:val="000000"/>
          <w:spacing w:val="2"/>
          <w:kern w:val="0"/>
          <w:sz w:val="32"/>
          <w:szCs w:val="32"/>
          <w:lang w:val="en-US" w:eastAsia="en-US" w:bidi="ar-SA"/>
        </w:rPr>
        <w:t>域综合治理成效，</w:t>
      </w:r>
      <w:r>
        <w:rPr>
          <w:rFonts w:ascii="仿宋" w:hAnsi="仿宋" w:eastAsia="仿宋" w:cs="仿宋"/>
          <w:snapToGrid w:val="0"/>
          <w:color w:val="000000"/>
          <w:spacing w:val="-1"/>
          <w:kern w:val="0"/>
          <w:sz w:val="32"/>
          <w:szCs w:val="32"/>
          <w:lang w:val="en-US" w:eastAsia="en-US" w:bidi="ar-SA"/>
        </w:rPr>
        <w:t>在谈判难度大、资金调度难的重重困难中，累计拆除涉水违法</w:t>
      </w:r>
      <w:r>
        <w:rPr>
          <w:rFonts w:ascii="仿宋" w:hAnsi="仿宋" w:eastAsia="仿宋" w:cs="仿宋"/>
          <w:snapToGrid w:val="0"/>
          <w:color w:val="000000"/>
          <w:spacing w:val="16"/>
          <w:kern w:val="0"/>
          <w:sz w:val="32"/>
          <w:szCs w:val="32"/>
          <w:lang w:val="en-US" w:eastAsia="en-US" w:bidi="ar-SA"/>
        </w:rPr>
        <w:t>建设62处、面积约1.8万平方米，完成君兴液化气站、奥敏</w:t>
      </w:r>
      <w:r>
        <w:rPr>
          <w:rFonts w:ascii="仿宋" w:hAnsi="仿宋" w:eastAsia="仿宋" w:cs="仿宋"/>
          <w:snapToGrid w:val="0"/>
          <w:color w:val="000000"/>
          <w:kern w:val="0"/>
          <w:sz w:val="32"/>
          <w:szCs w:val="32"/>
          <w:lang w:val="en-US" w:eastAsia="en-US" w:bidi="ar-SA"/>
        </w:rPr>
        <w:t>游泳馆、周威生态养殖中心、岳东生态养殖中心整治销号，向</w:t>
      </w:r>
      <w:r>
        <w:rPr>
          <w:rFonts w:ascii="仿宋" w:hAnsi="仿宋" w:eastAsia="仿宋" w:cs="仿宋"/>
          <w:snapToGrid w:val="0"/>
          <w:color w:val="000000"/>
          <w:spacing w:val="2"/>
          <w:kern w:val="0"/>
          <w:sz w:val="32"/>
          <w:szCs w:val="32"/>
          <w:lang w:val="en-US" w:eastAsia="en-US" w:bidi="ar-SA"/>
        </w:rPr>
        <w:t>全市展现了核心引领区和首善之区的责任与担当。</w:t>
      </w:r>
    </w:p>
    <w:p w14:paraId="57DD29F1">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三、问题困难</w:t>
      </w:r>
    </w:p>
    <w:p w14:paraId="1E845A45">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8" w:firstLineChars="200"/>
        <w:jc w:val="both"/>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12"/>
          <w:kern w:val="0"/>
          <w:sz w:val="32"/>
          <w:szCs w:val="32"/>
          <w:lang w:val="en-US" w:eastAsia="en-US" w:bidi="ar-SA"/>
        </w:rPr>
        <w:t>2023年，虽然在各项重点工作上取得了一定的成绩，但</w:t>
      </w:r>
      <w:r>
        <w:rPr>
          <w:rFonts w:ascii="仿宋" w:hAnsi="仿宋" w:eastAsia="仿宋" w:cs="仿宋"/>
          <w:snapToGrid w:val="0"/>
          <w:color w:val="000000"/>
          <w:spacing w:val="2"/>
          <w:kern w:val="0"/>
          <w:sz w:val="32"/>
          <w:szCs w:val="32"/>
          <w:lang w:val="en-US" w:eastAsia="en-US" w:bidi="ar-SA"/>
        </w:rPr>
        <w:t>也清醒地认识到，我们存在的问题和面临的挑战：</w:t>
      </w:r>
    </w:p>
    <w:p w14:paraId="777ADA55">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59" w:firstLineChars="200"/>
        <w:jc w:val="both"/>
        <w:textAlignment w:val="baseline"/>
        <w:rPr>
          <w:rFonts w:hint="eastAsia" w:ascii="仿宋" w:hAnsi="仿宋" w:eastAsia="仿宋" w:cs="仿宋"/>
          <w:snapToGrid w:val="0"/>
          <w:color w:val="000000"/>
          <w:spacing w:val="3"/>
          <w:kern w:val="0"/>
          <w:sz w:val="32"/>
          <w:szCs w:val="32"/>
          <w:lang w:val="en-US" w:eastAsia="zh-CN" w:bidi="ar-SA"/>
        </w:rPr>
      </w:pPr>
      <w:r>
        <w:rPr>
          <w:rFonts w:ascii="宋体" w:hAnsi="宋体" w:eastAsia="宋体" w:cs="宋体"/>
          <w:b/>
          <w:bCs/>
          <w:snapToGrid w:val="0"/>
          <w:color w:val="000000"/>
          <w:spacing w:val="4"/>
          <w:kern w:val="0"/>
          <w:sz w:val="32"/>
          <w:szCs w:val="32"/>
          <w:lang w:val="en-US" w:eastAsia="en-US" w:bidi="ar-SA"/>
        </w:rPr>
        <w:t>1.</w:t>
      </w:r>
      <w:r>
        <w:rPr>
          <w:rFonts w:ascii="仿宋" w:hAnsi="仿宋" w:eastAsia="仿宋" w:cs="仿宋"/>
          <w:b/>
          <w:bCs/>
          <w:snapToGrid w:val="0"/>
          <w:color w:val="000000"/>
          <w:spacing w:val="4"/>
          <w:kern w:val="0"/>
          <w:sz w:val="32"/>
          <w:szCs w:val="32"/>
          <w:lang w:val="en-US" w:eastAsia="en-US" w:bidi="ar-SA"/>
        </w:rPr>
        <w:t>科教中心地位面临挑战</w:t>
      </w:r>
      <w:r>
        <w:rPr>
          <w:rFonts w:ascii="楷体" w:hAnsi="楷体" w:eastAsia="楷体" w:cs="楷体"/>
          <w:b/>
          <w:bCs/>
          <w:snapToGrid w:val="0"/>
          <w:color w:val="000000"/>
          <w:spacing w:val="4"/>
          <w:kern w:val="0"/>
          <w:sz w:val="32"/>
          <w:szCs w:val="32"/>
          <w:lang w:val="en-US" w:eastAsia="en-US" w:bidi="ar-SA"/>
        </w:rPr>
        <w:t>。</w:t>
      </w:r>
      <w:r>
        <w:rPr>
          <w:rFonts w:ascii="仿宋" w:hAnsi="仿宋" w:eastAsia="仿宋" w:cs="仿宋"/>
          <w:snapToGrid w:val="0"/>
          <w:color w:val="000000"/>
          <w:spacing w:val="4"/>
          <w:kern w:val="0"/>
          <w:sz w:val="32"/>
          <w:szCs w:val="32"/>
          <w:lang w:val="en-US" w:eastAsia="en-US" w:bidi="ar-SA"/>
        </w:rPr>
        <w:t>虽然岳阳最高学府湖南理工学院坐落我们辖区，独具天然优势，但南湖新区赶山路附近，</w:t>
      </w:r>
      <w:r>
        <w:rPr>
          <w:rFonts w:ascii="仿宋" w:hAnsi="仿宋" w:eastAsia="仿宋" w:cs="仿宋"/>
          <w:snapToGrid w:val="0"/>
          <w:color w:val="000000"/>
          <w:spacing w:val="2"/>
          <w:kern w:val="0"/>
          <w:sz w:val="32"/>
          <w:szCs w:val="32"/>
          <w:lang w:val="en-US" w:eastAsia="en-US" w:bidi="ar-SA"/>
        </w:rPr>
        <w:t>新建了岳阳学院，原拟建设于仓田的一职及电大整体搬迁项目</w:t>
      </w:r>
      <w:r>
        <w:rPr>
          <w:rFonts w:ascii="仿宋" w:hAnsi="仿宋" w:eastAsia="仿宋" w:cs="仿宋"/>
          <w:snapToGrid w:val="0"/>
          <w:color w:val="000000"/>
          <w:spacing w:val="3"/>
          <w:kern w:val="0"/>
          <w:sz w:val="32"/>
          <w:szCs w:val="32"/>
          <w:lang w:val="en-US" w:eastAsia="en-US" w:bidi="ar-SA"/>
        </w:rPr>
        <w:t>也改建到了此处，加之原有的湘北女校、湖南师大附属南湖中</w:t>
      </w:r>
    </w:p>
    <w:p w14:paraId="40CE012D">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28" w:firstLineChars="200"/>
        <w:jc w:val="both"/>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3"/>
          <w:kern w:val="0"/>
          <w:sz w:val="32"/>
          <w:szCs w:val="32"/>
          <w:lang w:val="en-US" w:eastAsia="en-US" w:bidi="ar-SA"/>
        </w:rPr>
        <w:t>学等学校，已形成了庞大的教育聚集区，且有新建楼盘</w:t>
      </w:r>
      <w:r>
        <w:rPr>
          <w:rFonts w:ascii="仿宋" w:hAnsi="仿宋" w:eastAsia="仿宋" w:cs="仿宋"/>
          <w:snapToGrid w:val="0"/>
          <w:color w:val="000000"/>
          <w:spacing w:val="-4"/>
          <w:kern w:val="0"/>
          <w:sz w:val="32"/>
          <w:szCs w:val="32"/>
          <w:lang w:val="en-US" w:eastAsia="en-US" w:bidi="ar-SA"/>
        </w:rPr>
        <w:t>、医院、</w:t>
      </w:r>
      <w:r>
        <w:rPr>
          <w:rFonts w:ascii="仿宋" w:hAnsi="仿宋" w:eastAsia="仿宋" w:cs="仿宋"/>
          <w:snapToGrid w:val="0"/>
          <w:color w:val="000000"/>
          <w:spacing w:val="3"/>
          <w:kern w:val="0"/>
          <w:sz w:val="32"/>
          <w:szCs w:val="32"/>
          <w:lang w:val="en-US" w:eastAsia="en-US" w:bidi="ar-SA"/>
        </w:rPr>
        <w:t>商业综合体和大片闲置土地加持，基础设施优于我们，科教中</w:t>
      </w:r>
    </w:p>
    <w:p w14:paraId="001B1A9D">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52" w:firstLineChars="200"/>
        <w:jc w:val="both"/>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3"/>
          <w:kern w:val="0"/>
          <w:sz w:val="32"/>
          <w:szCs w:val="32"/>
          <w:lang w:val="en-US" w:eastAsia="en-US" w:bidi="ar-SA"/>
        </w:rPr>
        <w:t>心的定位面临巨大挑战。</w:t>
      </w:r>
    </w:p>
    <w:p w14:paraId="2398ADCB">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64" w:firstLineChars="200"/>
        <w:jc w:val="both"/>
        <w:textAlignment w:val="baseline"/>
        <w:rPr>
          <w:rFonts w:ascii="仿宋" w:hAnsi="仿宋" w:eastAsia="仿宋" w:cs="仿宋"/>
          <w:snapToGrid w:val="0"/>
          <w:color w:val="000000"/>
          <w:kern w:val="0"/>
          <w:sz w:val="32"/>
          <w:szCs w:val="32"/>
          <w:lang w:val="en-US" w:eastAsia="en-US" w:bidi="ar-SA"/>
        </w:rPr>
      </w:pPr>
      <w:r>
        <w:rPr>
          <w:rFonts w:ascii="Times New Roman" w:hAnsi="Times New Roman" w:eastAsia="Times New Roman" w:cs="Times New Roman"/>
          <w:b/>
          <w:bCs/>
          <w:snapToGrid w:val="0"/>
          <w:color w:val="000000"/>
          <w:spacing w:val="6"/>
          <w:kern w:val="0"/>
          <w:sz w:val="32"/>
          <w:szCs w:val="32"/>
          <w:lang w:val="en-US" w:eastAsia="en-US" w:bidi="ar-SA"/>
        </w:rPr>
        <w:t>2.</w:t>
      </w:r>
      <w:r>
        <w:rPr>
          <w:rFonts w:ascii="楷体" w:hAnsi="楷体" w:eastAsia="楷体" w:cs="楷体"/>
          <w:b/>
          <w:bCs/>
          <w:snapToGrid w:val="0"/>
          <w:color w:val="000000"/>
          <w:spacing w:val="6"/>
          <w:kern w:val="0"/>
          <w:sz w:val="32"/>
          <w:szCs w:val="32"/>
          <w:lang w:val="en-US" w:eastAsia="en-US" w:bidi="ar-SA"/>
        </w:rPr>
        <w:t>基础设施提升困难</w:t>
      </w:r>
      <w:r>
        <w:rPr>
          <w:rFonts w:ascii="仿宋" w:hAnsi="仿宋" w:eastAsia="仿宋" w:cs="仿宋"/>
          <w:b/>
          <w:bCs/>
          <w:snapToGrid w:val="0"/>
          <w:color w:val="000000"/>
          <w:spacing w:val="6"/>
          <w:kern w:val="0"/>
          <w:sz w:val="32"/>
          <w:szCs w:val="32"/>
          <w:lang w:val="en-US" w:eastAsia="en-US" w:bidi="ar-SA"/>
        </w:rPr>
        <w:t>。</w:t>
      </w:r>
      <w:r>
        <w:rPr>
          <w:rFonts w:ascii="仿宋" w:hAnsi="仿宋" w:eastAsia="仿宋" w:cs="仿宋"/>
          <w:snapToGrid w:val="0"/>
          <w:color w:val="000000"/>
          <w:spacing w:val="6"/>
          <w:kern w:val="0"/>
          <w:sz w:val="32"/>
          <w:szCs w:val="32"/>
          <w:lang w:val="en-US" w:eastAsia="en-US" w:bidi="ar-SA"/>
        </w:rPr>
        <w:t>街道最后一个征拆项目仓田教育</w:t>
      </w:r>
      <w:r>
        <w:rPr>
          <w:rFonts w:ascii="仿宋" w:hAnsi="仿宋" w:eastAsia="仿宋" w:cs="仿宋"/>
          <w:snapToGrid w:val="0"/>
          <w:color w:val="000000"/>
          <w:spacing w:val="10"/>
          <w:kern w:val="0"/>
          <w:sz w:val="32"/>
          <w:szCs w:val="32"/>
          <w:lang w:val="en-US" w:eastAsia="en-US" w:bidi="ar-SA"/>
        </w:rPr>
        <w:t>储备用地</w:t>
      </w:r>
      <w:r>
        <w:rPr>
          <w:rFonts w:ascii="Times New Roman" w:hAnsi="Times New Roman" w:eastAsia="Times New Roman" w:cs="Times New Roman"/>
          <w:snapToGrid w:val="0"/>
          <w:color w:val="000000"/>
          <w:spacing w:val="10"/>
          <w:kern w:val="0"/>
          <w:sz w:val="32"/>
          <w:szCs w:val="32"/>
          <w:lang w:val="en-US" w:eastAsia="en-US" w:bidi="ar-SA"/>
        </w:rPr>
        <w:t>A</w:t>
      </w:r>
      <w:r>
        <w:rPr>
          <w:rFonts w:ascii="宋体" w:hAnsi="宋体" w:eastAsia="宋体" w:cs="宋体"/>
          <w:snapToGrid w:val="0"/>
          <w:color w:val="000000"/>
          <w:spacing w:val="10"/>
          <w:kern w:val="0"/>
          <w:sz w:val="32"/>
          <w:szCs w:val="32"/>
          <w:lang w:val="en-US" w:eastAsia="en-US" w:bidi="ar-SA"/>
        </w:rPr>
        <w:t>、</w:t>
      </w:r>
      <w:r>
        <w:rPr>
          <w:rFonts w:ascii="Times New Roman" w:hAnsi="Times New Roman" w:eastAsia="Times New Roman" w:cs="Times New Roman"/>
          <w:snapToGrid w:val="0"/>
          <w:color w:val="000000"/>
          <w:spacing w:val="10"/>
          <w:kern w:val="0"/>
          <w:sz w:val="32"/>
          <w:szCs w:val="32"/>
          <w:lang w:val="en-US" w:eastAsia="en-US" w:bidi="ar-SA"/>
        </w:rPr>
        <w:t>C</w:t>
      </w:r>
      <w:r>
        <w:rPr>
          <w:rFonts w:ascii="仿宋" w:hAnsi="仿宋" w:eastAsia="仿宋" w:cs="仿宋"/>
          <w:snapToGrid w:val="0"/>
          <w:color w:val="000000"/>
          <w:spacing w:val="10"/>
          <w:kern w:val="0"/>
          <w:sz w:val="32"/>
          <w:szCs w:val="32"/>
          <w:lang w:val="en-US" w:eastAsia="en-US" w:bidi="ar-SA"/>
        </w:rPr>
        <w:t>地块已全面清零，当前房地产经济下行的大环</w:t>
      </w:r>
      <w:r>
        <w:rPr>
          <w:rFonts w:ascii="仿宋" w:hAnsi="仿宋" w:eastAsia="仿宋" w:cs="仿宋"/>
          <w:snapToGrid w:val="0"/>
          <w:color w:val="000000"/>
          <w:spacing w:val="1"/>
          <w:kern w:val="0"/>
          <w:sz w:val="32"/>
          <w:szCs w:val="32"/>
          <w:lang w:val="en-US" w:eastAsia="en-US" w:bidi="ar-SA"/>
        </w:rPr>
        <w:t>境，再像之前的大批量征拆项目已不可能，而且楼区财政压力</w:t>
      </w:r>
      <w:r>
        <w:rPr>
          <w:rFonts w:ascii="仿宋" w:hAnsi="仿宋" w:eastAsia="仿宋" w:cs="仿宋"/>
          <w:snapToGrid w:val="0"/>
          <w:color w:val="000000"/>
          <w:kern w:val="0"/>
          <w:sz w:val="32"/>
          <w:szCs w:val="32"/>
          <w:lang w:val="en-US" w:eastAsia="en-US" w:bidi="ar-SA"/>
        </w:rPr>
        <w:t>大，从区财政争取资金困难极大，那么面对如此薄弱的基础设</w:t>
      </w:r>
      <w:r>
        <w:rPr>
          <w:rFonts w:ascii="仿宋" w:hAnsi="仿宋" w:eastAsia="仿宋" w:cs="仿宋"/>
          <w:snapToGrid w:val="0"/>
          <w:color w:val="000000"/>
          <w:spacing w:val="5"/>
          <w:kern w:val="0"/>
          <w:sz w:val="32"/>
          <w:szCs w:val="32"/>
          <w:lang w:val="en-US" w:eastAsia="en-US" w:bidi="ar-SA"/>
        </w:rPr>
        <w:t>施要如何提档升级、闲置资源如何盘活，是考验我们的难题。</w:t>
      </w:r>
    </w:p>
    <w:p w14:paraId="0D23EF7F">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64" w:firstLineChars="200"/>
        <w:jc w:val="both"/>
        <w:textAlignment w:val="baseline"/>
        <w:rPr>
          <w:rFonts w:ascii="仿宋" w:hAnsi="仿宋" w:eastAsia="仿宋" w:cs="仿宋"/>
          <w:snapToGrid w:val="0"/>
          <w:color w:val="000000"/>
          <w:kern w:val="0"/>
          <w:sz w:val="32"/>
          <w:szCs w:val="32"/>
          <w:lang w:val="en-US" w:eastAsia="en-US" w:bidi="ar-SA"/>
        </w:rPr>
      </w:pPr>
      <w:r>
        <w:rPr>
          <w:rFonts w:ascii="Times New Roman" w:hAnsi="Times New Roman" w:eastAsia="Times New Roman" w:cs="Times New Roman"/>
          <w:b/>
          <w:bCs/>
          <w:snapToGrid w:val="0"/>
          <w:color w:val="000000"/>
          <w:spacing w:val="6"/>
          <w:kern w:val="0"/>
          <w:sz w:val="32"/>
          <w:szCs w:val="32"/>
          <w:lang w:val="en-US" w:eastAsia="en-US" w:bidi="ar-SA"/>
        </w:rPr>
        <w:t>3.</w:t>
      </w:r>
      <w:r>
        <w:rPr>
          <w:rFonts w:ascii="仿宋" w:hAnsi="仿宋" w:eastAsia="仿宋" w:cs="仿宋"/>
          <w:b/>
          <w:bCs/>
          <w:snapToGrid w:val="0"/>
          <w:color w:val="000000"/>
          <w:spacing w:val="6"/>
          <w:kern w:val="0"/>
          <w:sz w:val="32"/>
          <w:szCs w:val="32"/>
          <w:lang w:val="en-US" w:eastAsia="en-US" w:bidi="ar-SA"/>
        </w:rPr>
        <w:t>发展思维亟待转变</w:t>
      </w:r>
      <w:r>
        <w:rPr>
          <w:rFonts w:ascii="楷体" w:hAnsi="楷体" w:eastAsia="楷体" w:cs="楷体"/>
          <w:b/>
          <w:bCs/>
          <w:snapToGrid w:val="0"/>
          <w:color w:val="000000"/>
          <w:spacing w:val="6"/>
          <w:kern w:val="0"/>
          <w:sz w:val="32"/>
          <w:szCs w:val="32"/>
          <w:lang w:val="en-US" w:eastAsia="en-US" w:bidi="ar-SA"/>
        </w:rPr>
        <w:t>。</w:t>
      </w:r>
      <w:r>
        <w:rPr>
          <w:rFonts w:ascii="仿宋" w:hAnsi="仿宋" w:eastAsia="仿宋" w:cs="仿宋"/>
          <w:snapToGrid w:val="0"/>
          <w:color w:val="000000"/>
          <w:spacing w:val="6"/>
          <w:kern w:val="0"/>
          <w:sz w:val="32"/>
          <w:szCs w:val="32"/>
          <w:lang w:val="en-US" w:eastAsia="en-US" w:bidi="ar-SA"/>
        </w:rPr>
        <w:t>部分干部还是老思</w:t>
      </w:r>
      <w:r>
        <w:rPr>
          <w:rFonts w:ascii="仿宋" w:hAnsi="仿宋" w:eastAsia="仿宋" w:cs="仿宋"/>
          <w:snapToGrid w:val="0"/>
          <w:color w:val="000000"/>
          <w:spacing w:val="5"/>
          <w:kern w:val="0"/>
          <w:sz w:val="32"/>
          <w:szCs w:val="32"/>
          <w:lang w:val="en-US" w:eastAsia="en-US" w:bidi="ar-SA"/>
        </w:rPr>
        <w:t>想，认为奇家</w:t>
      </w:r>
      <w:r>
        <w:rPr>
          <w:rFonts w:ascii="仿宋" w:hAnsi="仿宋" w:eastAsia="仿宋" w:cs="仿宋"/>
          <w:snapToGrid w:val="0"/>
          <w:color w:val="000000"/>
          <w:spacing w:val="4"/>
          <w:kern w:val="0"/>
          <w:sz w:val="32"/>
          <w:szCs w:val="32"/>
          <w:lang w:val="en-US" w:eastAsia="en-US" w:bidi="ar-SA"/>
        </w:rPr>
        <w:t>岭除了学府新城连高楼都没有的地方，闹热经济与我们无关，</w:t>
      </w:r>
      <w:r>
        <w:rPr>
          <w:rFonts w:ascii="仿宋" w:hAnsi="仿宋" w:eastAsia="仿宋" w:cs="仿宋"/>
          <w:snapToGrid w:val="0"/>
          <w:color w:val="000000"/>
          <w:kern w:val="0"/>
          <w:sz w:val="32"/>
          <w:szCs w:val="32"/>
          <w:lang w:val="en-US" w:eastAsia="en-US" w:bidi="ar-SA"/>
        </w:rPr>
        <w:t>以至于抓经济工作上热下冷，大家都事不关己、高高挂起，没</w:t>
      </w:r>
      <w:r>
        <w:rPr>
          <w:rFonts w:ascii="仿宋" w:hAnsi="仿宋" w:eastAsia="仿宋" w:cs="仿宋"/>
          <w:snapToGrid w:val="0"/>
          <w:color w:val="000000"/>
          <w:spacing w:val="3"/>
          <w:kern w:val="0"/>
          <w:sz w:val="32"/>
          <w:szCs w:val="32"/>
          <w:lang w:val="en-US" w:eastAsia="en-US" w:bidi="ar-SA"/>
        </w:rPr>
        <w:t>有真正团结协作、使出全力。</w:t>
      </w:r>
    </w:p>
    <w:p w14:paraId="61E7D6E4">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四、工作计划</w:t>
      </w:r>
    </w:p>
    <w:p w14:paraId="05321B63">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92" w:firstLineChars="200"/>
        <w:jc w:val="both"/>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13"/>
          <w:kern w:val="0"/>
          <w:sz w:val="32"/>
          <w:szCs w:val="32"/>
          <w:lang w:val="en-US" w:eastAsia="en-US" w:bidi="ar-SA"/>
        </w:rPr>
        <w:t>2024年，我们将紧扣“七个岳阳”建设要求，全力以赴</w:t>
      </w:r>
      <w:r>
        <w:rPr>
          <w:rFonts w:ascii="仿宋" w:hAnsi="仿宋" w:eastAsia="仿宋" w:cs="仿宋"/>
          <w:snapToGrid w:val="0"/>
          <w:color w:val="000000"/>
          <w:spacing w:val="1"/>
          <w:kern w:val="0"/>
          <w:sz w:val="32"/>
          <w:szCs w:val="32"/>
          <w:lang w:val="en-US" w:eastAsia="en-US" w:bidi="ar-SA"/>
        </w:rPr>
        <w:t>抓经济、优环境、保稳定、惠民生，不断推动</w:t>
      </w:r>
      <w:r>
        <w:rPr>
          <w:rFonts w:ascii="仿宋" w:hAnsi="仿宋" w:eastAsia="仿宋" w:cs="仿宋"/>
          <w:snapToGrid w:val="0"/>
          <w:color w:val="000000"/>
          <w:kern w:val="0"/>
          <w:sz w:val="32"/>
          <w:szCs w:val="32"/>
          <w:lang w:val="en-US" w:eastAsia="en-US" w:bidi="ar-SA"/>
        </w:rPr>
        <w:t>奇家岭城市新区</w:t>
      </w:r>
      <w:r>
        <w:rPr>
          <w:rFonts w:ascii="仿宋" w:hAnsi="仿宋" w:eastAsia="仿宋" w:cs="仿宋"/>
          <w:snapToGrid w:val="0"/>
          <w:color w:val="000000"/>
          <w:spacing w:val="3"/>
          <w:kern w:val="0"/>
          <w:sz w:val="32"/>
          <w:szCs w:val="32"/>
          <w:lang w:val="en-US" w:eastAsia="en-US" w:bidi="ar-SA"/>
        </w:rPr>
        <w:t>高质量发展和高水平安全。</w:t>
      </w:r>
    </w:p>
    <w:p w14:paraId="2E8CB8E0">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55" w:firstLineChars="200"/>
        <w:jc w:val="both"/>
        <w:textAlignment w:val="baseline"/>
        <w:rPr>
          <w:rFonts w:ascii="仿宋" w:hAnsi="仿宋" w:eastAsia="仿宋" w:cs="仿宋"/>
          <w:snapToGrid w:val="0"/>
          <w:color w:val="000000"/>
          <w:kern w:val="0"/>
          <w:sz w:val="32"/>
          <w:szCs w:val="32"/>
          <w:lang w:val="en-US" w:eastAsia="en-US" w:bidi="ar-SA"/>
        </w:rPr>
      </w:pPr>
      <w:r>
        <w:rPr>
          <w:rFonts w:ascii="宋体" w:hAnsi="宋体" w:eastAsia="宋体" w:cs="宋体"/>
          <w:b/>
          <w:bCs/>
          <w:snapToGrid w:val="0"/>
          <w:color w:val="000000"/>
          <w:spacing w:val="3"/>
          <w:kern w:val="0"/>
          <w:sz w:val="32"/>
          <w:szCs w:val="32"/>
          <w:lang w:val="en-US" w:eastAsia="en-US" w:bidi="ar-SA"/>
        </w:rPr>
        <w:t>1.</w:t>
      </w:r>
      <w:r>
        <w:rPr>
          <w:rFonts w:ascii="仿宋" w:hAnsi="仿宋" w:eastAsia="仿宋" w:cs="仿宋"/>
          <w:b/>
          <w:bCs/>
          <w:snapToGrid w:val="0"/>
          <w:color w:val="000000"/>
          <w:spacing w:val="3"/>
          <w:kern w:val="0"/>
          <w:sz w:val="32"/>
          <w:szCs w:val="32"/>
          <w:lang w:val="en-US" w:eastAsia="en-US" w:bidi="ar-SA"/>
        </w:rPr>
        <w:t>围绕“实力岳阳”攻坚项目建设</w:t>
      </w:r>
      <w:r>
        <w:rPr>
          <w:rFonts w:ascii="楷体" w:hAnsi="楷体" w:eastAsia="楷体" w:cs="楷体"/>
          <w:b/>
          <w:bCs/>
          <w:snapToGrid w:val="0"/>
          <w:color w:val="000000"/>
          <w:spacing w:val="3"/>
          <w:kern w:val="0"/>
          <w:sz w:val="32"/>
          <w:szCs w:val="32"/>
          <w:lang w:val="en-US" w:eastAsia="en-US" w:bidi="ar-SA"/>
        </w:rPr>
        <w:t>。</w:t>
      </w:r>
      <w:r>
        <w:rPr>
          <w:rFonts w:ascii="仿宋" w:hAnsi="仿宋" w:eastAsia="仿宋" w:cs="仿宋"/>
          <w:snapToGrid w:val="0"/>
          <w:color w:val="000000"/>
          <w:spacing w:val="3"/>
          <w:kern w:val="0"/>
          <w:sz w:val="32"/>
          <w:szCs w:val="32"/>
          <w:lang w:val="en-US" w:eastAsia="en-US" w:bidi="ar-SA"/>
        </w:rPr>
        <w:t>加速完成赶山东路</w:t>
      </w:r>
      <w:r>
        <w:rPr>
          <w:rFonts w:ascii="仿宋" w:hAnsi="仿宋" w:eastAsia="仿宋" w:cs="仿宋"/>
          <w:snapToGrid w:val="0"/>
          <w:color w:val="000000"/>
          <w:spacing w:val="6"/>
          <w:kern w:val="0"/>
          <w:sz w:val="32"/>
          <w:szCs w:val="32"/>
          <w:lang w:val="en-US" w:eastAsia="en-US" w:bidi="ar-SA"/>
        </w:rPr>
        <w:t>加油站征拆、教育储备用地</w:t>
      </w:r>
      <w:r>
        <w:rPr>
          <w:rFonts w:ascii="Times New Roman" w:hAnsi="Times New Roman" w:eastAsia="Times New Roman" w:cs="Times New Roman"/>
          <w:snapToGrid w:val="0"/>
          <w:color w:val="000000"/>
          <w:spacing w:val="6"/>
          <w:kern w:val="0"/>
          <w:sz w:val="32"/>
          <w:szCs w:val="32"/>
          <w:lang w:val="en-US" w:eastAsia="en-US" w:bidi="ar-SA"/>
        </w:rPr>
        <w:t>A</w:t>
      </w:r>
      <w:r>
        <w:rPr>
          <w:rFonts w:ascii="宋体" w:hAnsi="宋体" w:eastAsia="宋体" w:cs="宋体"/>
          <w:snapToGrid w:val="0"/>
          <w:color w:val="000000"/>
          <w:spacing w:val="6"/>
          <w:kern w:val="0"/>
          <w:sz w:val="32"/>
          <w:szCs w:val="32"/>
          <w:lang w:val="en-US" w:eastAsia="en-US" w:bidi="ar-SA"/>
        </w:rPr>
        <w:t>、</w:t>
      </w:r>
      <w:r>
        <w:rPr>
          <w:rFonts w:ascii="Times New Roman" w:hAnsi="Times New Roman" w:eastAsia="Times New Roman" w:cs="Times New Roman"/>
          <w:snapToGrid w:val="0"/>
          <w:color w:val="000000"/>
          <w:spacing w:val="6"/>
          <w:kern w:val="0"/>
          <w:sz w:val="32"/>
          <w:szCs w:val="32"/>
          <w:lang w:val="en-US" w:eastAsia="en-US" w:bidi="ar-SA"/>
        </w:rPr>
        <w:t>C</w:t>
      </w:r>
      <w:r>
        <w:rPr>
          <w:rFonts w:ascii="仿宋" w:hAnsi="仿宋" w:eastAsia="仿宋" w:cs="仿宋"/>
          <w:snapToGrid w:val="0"/>
          <w:color w:val="000000"/>
          <w:spacing w:val="6"/>
          <w:kern w:val="0"/>
          <w:sz w:val="32"/>
          <w:szCs w:val="32"/>
          <w:lang w:val="en-US" w:eastAsia="en-US" w:bidi="ar-SA"/>
        </w:rPr>
        <w:t>地块扫尾工作和净地出让；</w:t>
      </w:r>
      <w:r>
        <w:rPr>
          <w:rFonts w:ascii="仿宋" w:hAnsi="仿宋" w:eastAsia="仿宋" w:cs="仿宋"/>
          <w:snapToGrid w:val="0"/>
          <w:color w:val="000000"/>
          <w:spacing w:val="2"/>
          <w:kern w:val="0"/>
          <w:sz w:val="32"/>
          <w:szCs w:val="32"/>
          <w:lang w:val="en-US" w:eastAsia="en-US" w:bidi="ar-SA"/>
        </w:rPr>
        <w:t>按节点完成理工东院家属区和旧改配套设施项目施工，稳步推动石咀大学生创业街区立面改造和消防安全整治，努力将打造成集首店经济、小店经济、微醺夜经济、“它”经济、甜蜜</w:t>
      </w:r>
      <w:r>
        <w:rPr>
          <w:rFonts w:hint="eastAsia" w:ascii="仿宋" w:hAnsi="仿宋" w:eastAsia="仿宋" w:cs="仿宋"/>
          <w:snapToGrid w:val="0"/>
          <w:color w:val="000000"/>
          <w:spacing w:val="2"/>
          <w:kern w:val="0"/>
          <w:sz w:val="32"/>
          <w:szCs w:val="32"/>
          <w:lang w:val="en-US" w:eastAsia="zh-CN" w:bidi="ar-SA"/>
        </w:rPr>
        <w:t>经济</w:t>
      </w:r>
      <w:r>
        <w:rPr>
          <w:rFonts w:ascii="仿宋" w:hAnsi="仿宋" w:eastAsia="仿宋" w:cs="仿宋"/>
          <w:snapToGrid w:val="0"/>
          <w:color w:val="000000"/>
          <w:spacing w:val="4"/>
          <w:kern w:val="0"/>
          <w:sz w:val="32"/>
          <w:szCs w:val="32"/>
          <w:lang w:val="en-US" w:eastAsia="en-US" w:bidi="ar-SA"/>
        </w:rPr>
        <w:t>、亲子经济等特色经济于一体的网红街区。持续优化路网，</w:t>
      </w:r>
      <w:r>
        <w:rPr>
          <w:rFonts w:ascii="仿宋" w:hAnsi="仿宋" w:eastAsia="仿宋" w:cs="仿宋"/>
          <w:snapToGrid w:val="0"/>
          <w:color w:val="000000"/>
          <w:spacing w:val="2"/>
          <w:kern w:val="0"/>
          <w:sz w:val="32"/>
          <w:szCs w:val="32"/>
          <w:lang w:val="en-US" w:eastAsia="en-US" w:bidi="ar-SA"/>
        </w:rPr>
        <w:t>解决木鱼山北路和九家垅路道路破损问题。夯实水利基础，扎</w:t>
      </w:r>
      <w:r>
        <w:rPr>
          <w:rFonts w:ascii="仿宋" w:hAnsi="仿宋" w:eastAsia="仿宋" w:cs="仿宋"/>
          <w:snapToGrid w:val="0"/>
          <w:color w:val="000000"/>
          <w:kern w:val="0"/>
          <w:sz w:val="32"/>
          <w:szCs w:val="32"/>
          <w:lang w:val="en-US" w:eastAsia="en-US" w:bidi="ar-SA"/>
        </w:rPr>
        <w:t>实完成许家桥巷渍水点整治项目后续工作，配合三峡集团雨污</w:t>
      </w:r>
      <w:r>
        <w:rPr>
          <w:rFonts w:ascii="仿宋" w:hAnsi="仿宋" w:eastAsia="仿宋" w:cs="仿宋"/>
          <w:snapToGrid w:val="0"/>
          <w:color w:val="000000"/>
          <w:spacing w:val="-7"/>
          <w:kern w:val="0"/>
          <w:sz w:val="32"/>
          <w:szCs w:val="32"/>
          <w:lang w:val="en-US" w:eastAsia="en-US" w:bidi="ar-SA"/>
        </w:rPr>
        <w:t>分流建设，提升下水管网的排水防涝净化能力；加快完成蔡家、</w:t>
      </w:r>
      <w:r>
        <w:rPr>
          <w:rFonts w:ascii="仿宋" w:hAnsi="仿宋" w:eastAsia="仿宋" w:cs="仿宋"/>
          <w:snapToGrid w:val="0"/>
          <w:color w:val="000000"/>
          <w:spacing w:val="3"/>
          <w:kern w:val="0"/>
          <w:sz w:val="32"/>
          <w:szCs w:val="32"/>
          <w:lang w:val="en-US" w:eastAsia="en-US" w:bidi="ar-SA"/>
        </w:rPr>
        <w:t>仓田城乡供水一体化施工，着力改善城乡结合部供水管理乱、水质差、损耗大现状，让居民群众早日用上放心水、便宜水。</w:t>
      </w:r>
    </w:p>
    <w:p w14:paraId="1E01CBF7">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23" w:firstLineChars="200"/>
        <w:jc w:val="both"/>
        <w:textAlignment w:val="baseline"/>
        <w:rPr>
          <w:rFonts w:ascii="仿宋" w:hAnsi="仿宋" w:eastAsia="仿宋" w:cs="仿宋"/>
          <w:snapToGrid w:val="0"/>
          <w:color w:val="000000"/>
          <w:kern w:val="0"/>
          <w:sz w:val="32"/>
          <w:szCs w:val="32"/>
          <w:lang w:val="en-US" w:eastAsia="en-US" w:bidi="ar-SA"/>
        </w:rPr>
      </w:pPr>
      <w:r>
        <w:rPr>
          <w:rFonts w:ascii="宋体" w:hAnsi="宋体" w:eastAsia="宋体" w:cs="宋体"/>
          <w:b/>
          <w:bCs/>
          <w:snapToGrid w:val="0"/>
          <w:color w:val="000000"/>
          <w:spacing w:val="-5"/>
          <w:kern w:val="0"/>
          <w:sz w:val="32"/>
          <w:szCs w:val="32"/>
          <w:lang w:val="en-US" w:eastAsia="en-US" w:bidi="ar-SA"/>
        </w:rPr>
        <w:t>2.</w:t>
      </w:r>
      <w:r>
        <w:rPr>
          <w:rFonts w:ascii="楷体" w:hAnsi="楷体" w:eastAsia="楷体" w:cs="楷体"/>
          <w:b/>
          <w:bCs/>
          <w:snapToGrid w:val="0"/>
          <w:color w:val="000000"/>
          <w:spacing w:val="-5"/>
          <w:kern w:val="0"/>
          <w:sz w:val="32"/>
          <w:szCs w:val="32"/>
          <w:lang w:val="en-US" w:eastAsia="en-US" w:bidi="ar-SA"/>
        </w:rPr>
        <w:t>围绕“富饶岳阳”推进闹热经济。</w:t>
      </w:r>
      <w:r>
        <w:rPr>
          <w:rFonts w:ascii="仿宋" w:hAnsi="仿宋" w:eastAsia="仿宋" w:cs="仿宋"/>
          <w:snapToGrid w:val="0"/>
          <w:color w:val="000000"/>
          <w:spacing w:val="-5"/>
          <w:kern w:val="0"/>
          <w:sz w:val="32"/>
          <w:szCs w:val="32"/>
          <w:lang w:val="en-US" w:eastAsia="en-US" w:bidi="ar-SA"/>
        </w:rPr>
        <w:t>加大招商引资力度，</w:t>
      </w:r>
      <w:r>
        <w:rPr>
          <w:rFonts w:ascii="仿宋" w:hAnsi="仿宋" w:eastAsia="仿宋" w:cs="仿宋"/>
          <w:snapToGrid w:val="0"/>
          <w:color w:val="000000"/>
          <w:spacing w:val="-1"/>
          <w:kern w:val="0"/>
          <w:sz w:val="32"/>
          <w:szCs w:val="32"/>
          <w:lang w:val="en-US" w:eastAsia="en-US" w:bidi="ar-SA"/>
        </w:rPr>
        <w:t>持续开展“湘商回归和返乡创业”三年行动，建立健全“校地</w:t>
      </w:r>
      <w:r>
        <w:rPr>
          <w:rFonts w:ascii="仿宋" w:hAnsi="仿宋" w:eastAsia="仿宋" w:cs="仿宋"/>
          <w:snapToGrid w:val="0"/>
          <w:color w:val="000000"/>
          <w:spacing w:val="2"/>
          <w:kern w:val="0"/>
          <w:sz w:val="32"/>
          <w:szCs w:val="32"/>
          <w:lang w:val="en-US" w:eastAsia="en-US" w:bidi="ar-SA"/>
        </w:rPr>
        <w:t>共商”会议制度，借助湖南理工学院的科研优势和平台优势，</w:t>
      </w:r>
      <w:r>
        <w:rPr>
          <w:rFonts w:ascii="仿宋" w:hAnsi="仿宋" w:eastAsia="仿宋" w:cs="仿宋"/>
          <w:snapToGrid w:val="0"/>
          <w:color w:val="000000"/>
          <w:spacing w:val="-1"/>
          <w:kern w:val="0"/>
          <w:sz w:val="32"/>
          <w:szCs w:val="32"/>
          <w:lang w:val="en-US" w:eastAsia="en-US" w:bidi="ar-SA"/>
        </w:rPr>
        <w:t>推动人才资源跨界融合、高效协同。盘活闲置资源，充分发挥</w:t>
      </w:r>
      <w:r>
        <w:rPr>
          <w:rFonts w:ascii="仿宋" w:hAnsi="仿宋" w:eastAsia="仿宋" w:cs="仿宋"/>
          <w:snapToGrid w:val="0"/>
          <w:color w:val="000000"/>
          <w:spacing w:val="-3"/>
          <w:kern w:val="0"/>
          <w:sz w:val="32"/>
          <w:szCs w:val="32"/>
          <w:lang w:val="en-US" w:eastAsia="en-US" w:bidi="ar-SA"/>
        </w:rPr>
        <w:t>乡友、战友、校友“三友”作用，争取将岳磁老厂区地块、仓</w:t>
      </w:r>
      <w:r>
        <w:rPr>
          <w:rFonts w:ascii="仿宋" w:hAnsi="仿宋" w:eastAsia="仿宋" w:cs="仿宋"/>
          <w:snapToGrid w:val="0"/>
          <w:color w:val="000000"/>
          <w:spacing w:val="5"/>
          <w:kern w:val="0"/>
          <w:sz w:val="32"/>
          <w:szCs w:val="32"/>
          <w:lang w:val="en-US" w:eastAsia="en-US" w:bidi="ar-SA"/>
        </w:rPr>
        <w:t>田蔬菜市场地块、赶山东路教育储备用地</w:t>
      </w:r>
      <w:r>
        <w:rPr>
          <w:rFonts w:ascii="宋体" w:hAnsi="宋体" w:eastAsia="宋体" w:cs="宋体"/>
          <w:snapToGrid w:val="0"/>
          <w:color w:val="000000"/>
          <w:kern w:val="0"/>
          <w:sz w:val="32"/>
          <w:szCs w:val="32"/>
          <w:lang w:val="en-US" w:eastAsia="en-US" w:bidi="ar-SA"/>
        </w:rPr>
        <w:t>AC</w:t>
      </w:r>
      <w:r>
        <w:rPr>
          <w:rFonts w:ascii="仿宋" w:hAnsi="仿宋" w:eastAsia="仿宋" w:cs="仿宋"/>
          <w:snapToGrid w:val="0"/>
          <w:color w:val="000000"/>
          <w:spacing w:val="5"/>
          <w:kern w:val="0"/>
          <w:sz w:val="32"/>
          <w:szCs w:val="32"/>
          <w:lang w:val="en-US" w:eastAsia="en-US" w:bidi="ar-SA"/>
        </w:rPr>
        <w:t>地块等土地成功</w:t>
      </w:r>
      <w:r>
        <w:rPr>
          <w:rFonts w:ascii="仿宋" w:hAnsi="仿宋" w:eastAsia="仿宋" w:cs="仿宋"/>
          <w:snapToGrid w:val="0"/>
          <w:color w:val="000000"/>
          <w:spacing w:val="-3"/>
          <w:kern w:val="0"/>
          <w:sz w:val="32"/>
          <w:szCs w:val="32"/>
          <w:lang w:val="en-US" w:eastAsia="en-US" w:bidi="ar-SA"/>
        </w:rPr>
        <w:t>出让，以“腾笼换鸟”换得“凤凰涅槃”。打造全生命周期服</w:t>
      </w:r>
      <w:r>
        <w:rPr>
          <w:rFonts w:ascii="仿宋" w:hAnsi="仿宋" w:eastAsia="仿宋" w:cs="仿宋"/>
          <w:snapToGrid w:val="0"/>
          <w:color w:val="000000"/>
          <w:spacing w:val="-1"/>
          <w:kern w:val="0"/>
          <w:sz w:val="32"/>
          <w:szCs w:val="32"/>
          <w:lang w:val="en-US" w:eastAsia="en-US" w:bidi="ar-SA"/>
        </w:rPr>
        <w:t>务企业机制，常态开展“走找想促”“七联七包”等</w:t>
      </w:r>
      <w:r>
        <w:rPr>
          <w:rFonts w:ascii="仿宋" w:hAnsi="仿宋" w:eastAsia="仿宋" w:cs="仿宋"/>
          <w:snapToGrid w:val="0"/>
          <w:color w:val="000000"/>
          <w:spacing w:val="-2"/>
          <w:kern w:val="0"/>
          <w:sz w:val="32"/>
          <w:szCs w:val="32"/>
          <w:lang w:val="en-US" w:eastAsia="en-US" w:bidi="ar-SA"/>
        </w:rPr>
        <w:t>活动，切</w:t>
      </w:r>
      <w:r>
        <w:rPr>
          <w:rFonts w:ascii="仿宋" w:hAnsi="仿宋" w:eastAsia="仿宋" w:cs="仿宋"/>
          <w:snapToGrid w:val="0"/>
          <w:color w:val="000000"/>
          <w:spacing w:val="-1"/>
          <w:kern w:val="0"/>
          <w:sz w:val="32"/>
          <w:szCs w:val="32"/>
          <w:lang w:val="en-US" w:eastAsia="en-US" w:bidi="ar-SA"/>
        </w:rPr>
        <w:t>实做好奖励激励政策宣传和项目建设协调服务，以优质的“管</w:t>
      </w:r>
      <w:r>
        <w:rPr>
          <w:rFonts w:ascii="仿宋" w:hAnsi="仿宋" w:eastAsia="仿宋" w:cs="仿宋"/>
          <w:snapToGrid w:val="0"/>
          <w:color w:val="000000"/>
          <w:kern w:val="0"/>
          <w:sz w:val="32"/>
          <w:szCs w:val="32"/>
          <w:lang w:val="en-US" w:eastAsia="en-US" w:bidi="ar-SA"/>
        </w:rPr>
        <w:t>家”服务吸引更多更好项目落地奇家岭。</w:t>
      </w:r>
    </w:p>
    <w:p w14:paraId="1C1A6E11">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24" w:firstLineChars="200"/>
        <w:jc w:val="both"/>
        <w:textAlignment w:val="baseline"/>
        <w:rPr>
          <w:rFonts w:ascii="仿宋" w:hAnsi="仿宋" w:eastAsia="仿宋" w:cs="仿宋"/>
          <w:snapToGrid w:val="0"/>
          <w:color w:val="000000"/>
          <w:kern w:val="0"/>
          <w:sz w:val="32"/>
          <w:szCs w:val="32"/>
          <w:lang w:val="en-US" w:eastAsia="en-US" w:bidi="ar-SA"/>
        </w:rPr>
      </w:pPr>
      <w:r>
        <w:rPr>
          <w:rFonts w:ascii="Times New Roman" w:hAnsi="Times New Roman" w:eastAsia="Times New Roman" w:cs="Times New Roman"/>
          <w:b/>
          <w:bCs/>
          <w:snapToGrid w:val="0"/>
          <w:color w:val="000000"/>
          <w:spacing w:val="-4"/>
          <w:kern w:val="0"/>
          <w:sz w:val="32"/>
          <w:szCs w:val="32"/>
          <w:lang w:val="en-US" w:eastAsia="en-US" w:bidi="ar-SA"/>
        </w:rPr>
        <w:t>3.</w:t>
      </w:r>
      <w:r>
        <w:rPr>
          <w:rFonts w:ascii="仿宋" w:hAnsi="仿宋" w:eastAsia="仿宋" w:cs="仿宋"/>
          <w:b/>
          <w:bCs/>
          <w:snapToGrid w:val="0"/>
          <w:color w:val="000000"/>
          <w:spacing w:val="-4"/>
          <w:kern w:val="0"/>
          <w:sz w:val="32"/>
          <w:szCs w:val="32"/>
          <w:lang w:val="en-US" w:eastAsia="en-US" w:bidi="ar-SA"/>
        </w:rPr>
        <w:t>围绕“美丽岳阳”厚植绿色底蕴</w:t>
      </w:r>
      <w:r>
        <w:rPr>
          <w:rFonts w:ascii="楷体" w:hAnsi="楷体" w:eastAsia="楷体" w:cs="楷体"/>
          <w:b/>
          <w:bCs/>
          <w:snapToGrid w:val="0"/>
          <w:color w:val="000000"/>
          <w:spacing w:val="-4"/>
          <w:kern w:val="0"/>
          <w:sz w:val="32"/>
          <w:szCs w:val="32"/>
          <w:lang w:val="en-US" w:eastAsia="en-US" w:bidi="ar-SA"/>
        </w:rPr>
        <w:t>。</w:t>
      </w:r>
      <w:r>
        <w:rPr>
          <w:rFonts w:ascii="仿宋" w:hAnsi="仿宋" w:eastAsia="仿宋" w:cs="仿宋"/>
          <w:snapToGrid w:val="0"/>
          <w:color w:val="000000"/>
          <w:spacing w:val="-4"/>
          <w:kern w:val="0"/>
          <w:sz w:val="32"/>
          <w:szCs w:val="32"/>
          <w:lang w:val="en-US" w:eastAsia="en-US" w:bidi="ar-SA"/>
        </w:rPr>
        <w:t>始终牢记殷</w:t>
      </w:r>
      <w:r>
        <w:rPr>
          <w:rFonts w:ascii="仿宋" w:hAnsi="仿宋" w:eastAsia="仿宋" w:cs="仿宋"/>
          <w:snapToGrid w:val="0"/>
          <w:color w:val="000000"/>
          <w:spacing w:val="-5"/>
          <w:kern w:val="0"/>
          <w:sz w:val="32"/>
          <w:szCs w:val="32"/>
          <w:lang w:val="en-US" w:eastAsia="en-US" w:bidi="ar-SA"/>
        </w:rPr>
        <w:t>殷嘱托，</w:t>
      </w:r>
      <w:r>
        <w:rPr>
          <w:rFonts w:ascii="仿宋" w:hAnsi="仿宋" w:eastAsia="仿宋" w:cs="仿宋"/>
          <w:snapToGrid w:val="0"/>
          <w:color w:val="000000"/>
          <w:spacing w:val="-1"/>
          <w:kern w:val="0"/>
          <w:sz w:val="32"/>
          <w:szCs w:val="32"/>
          <w:lang w:val="en-US" w:eastAsia="en-US" w:bidi="ar-SA"/>
        </w:rPr>
        <w:t>扛牢守护好一江碧水政治责任，不断提升高质量发展的“含绿量”。全力推进上级环保督察交办问题整改，以亿发坩埚厂和非法提炼成品油作坊案件为教训，加大辖区巡查、</w:t>
      </w:r>
      <w:r>
        <w:rPr>
          <w:rFonts w:ascii="仿宋" w:hAnsi="仿宋" w:eastAsia="仿宋" w:cs="仿宋"/>
          <w:snapToGrid w:val="0"/>
          <w:color w:val="000000"/>
          <w:spacing w:val="-2"/>
          <w:kern w:val="0"/>
          <w:sz w:val="32"/>
          <w:szCs w:val="32"/>
          <w:lang w:val="en-US" w:eastAsia="en-US" w:bidi="ar-SA"/>
        </w:rPr>
        <w:t>摸排、打击</w:t>
      </w:r>
      <w:r>
        <w:rPr>
          <w:rFonts w:ascii="仿宋" w:hAnsi="仿宋" w:eastAsia="仿宋" w:cs="仿宋"/>
          <w:snapToGrid w:val="0"/>
          <w:color w:val="000000"/>
          <w:spacing w:val="-1"/>
          <w:kern w:val="0"/>
          <w:sz w:val="32"/>
          <w:szCs w:val="32"/>
          <w:lang w:val="en-US" w:eastAsia="en-US" w:bidi="ar-SA"/>
        </w:rPr>
        <w:t>力度，严防问题反弹及同类环保问题发生。认真落实河长、林</w:t>
      </w:r>
      <w:r>
        <w:rPr>
          <w:rFonts w:ascii="仿宋" w:hAnsi="仿宋" w:eastAsia="仿宋" w:cs="仿宋"/>
          <w:snapToGrid w:val="0"/>
          <w:color w:val="000000"/>
          <w:spacing w:val="2"/>
          <w:kern w:val="0"/>
          <w:sz w:val="32"/>
          <w:szCs w:val="32"/>
          <w:lang w:val="en-US" w:eastAsia="en-US" w:bidi="ar-SA"/>
        </w:rPr>
        <w:t>长等工作，加强巡逻巡查，保持高压态势，严厉打击散乱污</w:t>
      </w:r>
      <w:r>
        <w:rPr>
          <w:rFonts w:ascii="仿宋" w:hAnsi="仿宋" w:eastAsia="仿宋" w:cs="仿宋"/>
          <w:snapToGrid w:val="0"/>
          <w:color w:val="000000"/>
          <w:spacing w:val="-4"/>
          <w:kern w:val="0"/>
          <w:sz w:val="32"/>
          <w:szCs w:val="32"/>
          <w:lang w:val="en-US" w:eastAsia="en-US" w:bidi="ar-SA"/>
        </w:rPr>
        <w:t>占用河道、占用林地、焚烧秸秆等违法行为，切实保护生态环</w:t>
      </w:r>
      <w:r>
        <w:rPr>
          <w:rFonts w:ascii="仿宋" w:hAnsi="仿宋" w:eastAsia="仿宋" w:cs="仿宋"/>
          <w:snapToGrid w:val="0"/>
          <w:color w:val="000000"/>
          <w:spacing w:val="-2"/>
          <w:kern w:val="0"/>
          <w:sz w:val="32"/>
          <w:szCs w:val="32"/>
          <w:lang w:val="en-US" w:eastAsia="en-US" w:bidi="ar-SA"/>
        </w:rPr>
        <w:t>境。精修城市颜值，巩固提升全国文明卫生城市</w:t>
      </w:r>
      <w:r>
        <w:rPr>
          <w:rFonts w:ascii="仿宋" w:hAnsi="仿宋" w:eastAsia="仿宋" w:cs="仿宋"/>
          <w:snapToGrid w:val="0"/>
          <w:color w:val="000000"/>
          <w:spacing w:val="-3"/>
          <w:kern w:val="0"/>
          <w:sz w:val="32"/>
          <w:szCs w:val="32"/>
          <w:lang w:val="en-US" w:eastAsia="en-US" w:bidi="ar-SA"/>
        </w:rPr>
        <w:t>创建成果，围</w:t>
      </w:r>
      <w:r>
        <w:rPr>
          <w:rFonts w:ascii="仿宋" w:hAnsi="仿宋" w:eastAsia="仿宋" w:cs="仿宋"/>
          <w:snapToGrid w:val="0"/>
          <w:color w:val="000000"/>
          <w:spacing w:val="-10"/>
          <w:kern w:val="0"/>
          <w:sz w:val="32"/>
          <w:szCs w:val="32"/>
          <w:lang w:val="en-US" w:eastAsia="en-US" w:bidi="ar-SA"/>
        </w:rPr>
        <w:t>绕马路市场、飞线充电、噪音扰民、油烟排放、城市“十乱”、</w:t>
      </w:r>
      <w:r>
        <w:rPr>
          <w:rFonts w:ascii="仿宋" w:hAnsi="仿宋" w:eastAsia="仿宋" w:cs="仿宋"/>
          <w:snapToGrid w:val="0"/>
          <w:color w:val="000000"/>
          <w:spacing w:val="-4"/>
          <w:kern w:val="0"/>
          <w:sz w:val="32"/>
          <w:szCs w:val="32"/>
          <w:lang w:val="en-US" w:eastAsia="en-US" w:bidi="ar-SA"/>
        </w:rPr>
        <w:t>交通治堵等突出问题，紧盯奇家岭老街、湘北大道两侧等重点区域，常态开展奇家岭街道市容秩序百日攻坚行动，切实营造干净整洁有序的市容环境。</w:t>
      </w:r>
    </w:p>
    <w:p w14:paraId="789C1AF2">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51" w:firstLineChars="200"/>
        <w:jc w:val="both"/>
        <w:textAlignment w:val="baseline"/>
        <w:rPr>
          <w:rFonts w:ascii="仿宋" w:hAnsi="仿宋" w:eastAsia="仿宋" w:cs="仿宋"/>
          <w:snapToGrid w:val="0"/>
          <w:color w:val="000000"/>
          <w:kern w:val="0"/>
          <w:sz w:val="32"/>
          <w:szCs w:val="32"/>
          <w:lang w:val="en-US" w:eastAsia="en-US" w:bidi="ar-SA"/>
        </w:rPr>
      </w:pPr>
      <w:r>
        <w:rPr>
          <w:rFonts w:ascii="宋体" w:hAnsi="宋体" w:eastAsia="宋体" w:cs="宋体"/>
          <w:b/>
          <w:bCs/>
          <w:snapToGrid w:val="0"/>
          <w:color w:val="000000"/>
          <w:spacing w:val="2"/>
          <w:kern w:val="0"/>
          <w:sz w:val="32"/>
          <w:szCs w:val="32"/>
          <w:lang w:val="en-US" w:eastAsia="en-US" w:bidi="ar-SA"/>
        </w:rPr>
        <w:t>4.</w:t>
      </w:r>
      <w:r>
        <w:rPr>
          <w:rFonts w:ascii="仿宋" w:hAnsi="仿宋" w:eastAsia="仿宋" w:cs="仿宋"/>
          <w:b/>
          <w:bCs/>
          <w:snapToGrid w:val="0"/>
          <w:color w:val="000000"/>
          <w:spacing w:val="2"/>
          <w:kern w:val="0"/>
          <w:sz w:val="32"/>
          <w:szCs w:val="32"/>
          <w:lang w:val="en-US" w:eastAsia="en-US" w:bidi="ar-SA"/>
        </w:rPr>
        <w:t>围绕“开放岳阳”唱响奇家品牌</w:t>
      </w:r>
      <w:r>
        <w:rPr>
          <w:rFonts w:ascii="楷体" w:hAnsi="楷体" w:eastAsia="楷体" w:cs="楷体"/>
          <w:b/>
          <w:bCs/>
          <w:snapToGrid w:val="0"/>
          <w:color w:val="000000"/>
          <w:spacing w:val="2"/>
          <w:kern w:val="0"/>
          <w:sz w:val="32"/>
          <w:szCs w:val="32"/>
          <w:lang w:val="en-US" w:eastAsia="en-US" w:bidi="ar-SA"/>
        </w:rPr>
        <w:t>。</w:t>
      </w:r>
      <w:r>
        <w:rPr>
          <w:rFonts w:ascii="仿宋" w:hAnsi="仿宋" w:eastAsia="仿宋" w:cs="仿宋"/>
          <w:snapToGrid w:val="0"/>
          <w:color w:val="000000"/>
          <w:spacing w:val="2"/>
          <w:kern w:val="0"/>
          <w:sz w:val="32"/>
          <w:szCs w:val="32"/>
          <w:lang w:val="en-US" w:eastAsia="en-US" w:bidi="ar-SA"/>
        </w:rPr>
        <w:t>深化基层治理，继</w:t>
      </w:r>
      <w:r>
        <w:rPr>
          <w:rFonts w:ascii="仿宋" w:hAnsi="仿宋" w:eastAsia="仿宋" w:cs="仿宋"/>
          <w:snapToGrid w:val="0"/>
          <w:color w:val="000000"/>
          <w:spacing w:val="-3"/>
          <w:kern w:val="0"/>
          <w:sz w:val="32"/>
          <w:szCs w:val="32"/>
          <w:lang w:val="en-US" w:eastAsia="en-US" w:bidi="ar-SA"/>
        </w:rPr>
        <w:t>承发扬“群英断是非”工作法，进一步完善“群英谱”和“经</w:t>
      </w:r>
      <w:r>
        <w:rPr>
          <w:rFonts w:ascii="仿宋" w:hAnsi="仿宋" w:eastAsia="仿宋" w:cs="仿宋"/>
          <w:snapToGrid w:val="0"/>
          <w:color w:val="000000"/>
          <w:spacing w:val="1"/>
          <w:kern w:val="0"/>
          <w:sz w:val="32"/>
          <w:szCs w:val="32"/>
          <w:lang w:val="en-US" w:eastAsia="en-US" w:bidi="ar-SA"/>
        </w:rPr>
        <w:t>典案例库”,每个社区培养1名以上专业讲解的社区工作人员，</w:t>
      </w:r>
      <w:r>
        <w:rPr>
          <w:rFonts w:ascii="仿宋" w:hAnsi="仿宋" w:eastAsia="仿宋" w:cs="仿宋"/>
          <w:snapToGrid w:val="0"/>
          <w:color w:val="000000"/>
          <w:spacing w:val="-3"/>
          <w:kern w:val="0"/>
          <w:sz w:val="32"/>
          <w:szCs w:val="32"/>
          <w:lang w:val="en-US" w:eastAsia="en-US" w:bidi="ar-SA"/>
        </w:rPr>
        <w:t>切实做好来自全国各地的调研接待工作，树稳“新时代枫桥经验”的实践品牌。打造生态名片，巩固提升南北港河综合治理</w:t>
      </w:r>
      <w:r>
        <w:rPr>
          <w:rFonts w:ascii="仿宋" w:hAnsi="仿宋" w:eastAsia="仿宋" w:cs="仿宋"/>
          <w:snapToGrid w:val="0"/>
          <w:color w:val="000000"/>
          <w:kern w:val="0"/>
          <w:sz w:val="32"/>
          <w:szCs w:val="32"/>
          <w:lang w:val="en-US" w:eastAsia="en-US" w:bidi="ar-SA"/>
        </w:rPr>
        <w:t>成效，妥善处置后续遗留问题，继续对接新开行、汇城集团，</w:t>
      </w:r>
      <w:r>
        <w:rPr>
          <w:rFonts w:ascii="仿宋" w:hAnsi="仿宋" w:eastAsia="仿宋" w:cs="仿宋"/>
          <w:snapToGrid w:val="0"/>
          <w:color w:val="000000"/>
          <w:spacing w:val="9"/>
          <w:kern w:val="0"/>
          <w:sz w:val="32"/>
          <w:szCs w:val="32"/>
          <w:lang w:val="en-US" w:eastAsia="en-US" w:bidi="ar-SA"/>
        </w:rPr>
        <w:t>争取将南北港河水流域环境综合治理纳入长江经济带绿色发</w:t>
      </w:r>
      <w:r>
        <w:rPr>
          <w:rFonts w:ascii="仿宋" w:hAnsi="仿宋" w:eastAsia="仿宋" w:cs="仿宋"/>
          <w:snapToGrid w:val="0"/>
          <w:color w:val="000000"/>
          <w:spacing w:val="-1"/>
          <w:kern w:val="0"/>
          <w:sz w:val="32"/>
          <w:szCs w:val="32"/>
          <w:lang w:val="en-US" w:eastAsia="en-US" w:bidi="ar-SA"/>
        </w:rPr>
        <w:t>展示范区建设项目，推动建设集休闲娱乐、健身运动、科普观</w:t>
      </w:r>
      <w:r>
        <w:rPr>
          <w:rFonts w:ascii="仿宋" w:hAnsi="仿宋" w:eastAsia="仿宋" w:cs="仿宋"/>
          <w:snapToGrid w:val="0"/>
          <w:color w:val="000000"/>
          <w:kern w:val="0"/>
          <w:sz w:val="32"/>
          <w:szCs w:val="32"/>
          <w:lang w:val="en-US" w:eastAsia="en-US" w:bidi="ar-SA"/>
        </w:rPr>
        <w:t>赏于一体的综合性沿河风光带。</w:t>
      </w:r>
    </w:p>
    <w:p w14:paraId="4483890C">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52" w:firstLineChars="200"/>
        <w:jc w:val="both"/>
        <w:textAlignment w:val="baseline"/>
        <w:rPr>
          <w:rFonts w:ascii="仿宋" w:hAnsi="仿宋" w:eastAsia="仿宋" w:cs="仿宋"/>
          <w:snapToGrid w:val="0"/>
          <w:color w:val="000000"/>
          <w:kern w:val="0"/>
          <w:sz w:val="32"/>
          <w:szCs w:val="32"/>
          <w:lang w:val="en-US" w:eastAsia="en-US" w:bidi="ar-SA"/>
        </w:rPr>
      </w:pPr>
      <w:r>
        <w:rPr>
          <w:rFonts w:ascii="Arial" w:hAnsi="Arial" w:eastAsia="Arial" w:cs="Arial"/>
          <w:b/>
          <w:bCs/>
          <w:snapToGrid w:val="0"/>
          <w:color w:val="000000"/>
          <w:spacing w:val="3"/>
          <w:kern w:val="0"/>
          <w:sz w:val="32"/>
          <w:szCs w:val="32"/>
          <w:lang w:val="en-US" w:eastAsia="en-US" w:bidi="ar-SA"/>
        </w:rPr>
        <w:t>5.</w:t>
      </w:r>
      <w:r>
        <w:rPr>
          <w:rFonts w:ascii="仿宋" w:hAnsi="仿宋" w:eastAsia="仿宋" w:cs="仿宋"/>
          <w:b/>
          <w:bCs/>
          <w:snapToGrid w:val="0"/>
          <w:color w:val="000000"/>
          <w:spacing w:val="3"/>
          <w:kern w:val="0"/>
          <w:sz w:val="32"/>
          <w:szCs w:val="32"/>
          <w:lang w:val="en-US" w:eastAsia="en-US" w:bidi="ar-SA"/>
        </w:rPr>
        <w:t>围绕“幸福岳阳”增进民生福祉</w:t>
      </w:r>
      <w:r>
        <w:rPr>
          <w:rFonts w:ascii="楷体" w:hAnsi="楷体" w:eastAsia="楷体" w:cs="楷体"/>
          <w:b/>
          <w:bCs/>
          <w:snapToGrid w:val="0"/>
          <w:color w:val="000000"/>
          <w:spacing w:val="3"/>
          <w:kern w:val="0"/>
          <w:sz w:val="32"/>
          <w:szCs w:val="32"/>
          <w:lang w:val="en-US" w:eastAsia="en-US" w:bidi="ar-SA"/>
        </w:rPr>
        <w:t>。</w:t>
      </w:r>
      <w:r>
        <w:rPr>
          <w:rFonts w:ascii="仿宋" w:hAnsi="仿宋" w:eastAsia="仿宋" w:cs="仿宋"/>
          <w:snapToGrid w:val="0"/>
          <w:color w:val="000000"/>
          <w:spacing w:val="3"/>
          <w:kern w:val="0"/>
          <w:sz w:val="32"/>
          <w:szCs w:val="32"/>
          <w:lang w:val="en-US" w:eastAsia="en-US" w:bidi="ar-SA"/>
        </w:rPr>
        <w:t>扎实做好低保、救</w:t>
      </w:r>
      <w:r>
        <w:rPr>
          <w:rFonts w:ascii="仿宋" w:hAnsi="仿宋" w:eastAsia="仿宋" w:cs="仿宋"/>
          <w:snapToGrid w:val="0"/>
          <w:color w:val="000000"/>
          <w:spacing w:val="-13"/>
          <w:kern w:val="0"/>
          <w:sz w:val="32"/>
          <w:szCs w:val="32"/>
          <w:lang w:val="en-US" w:eastAsia="en-US" w:bidi="ar-SA"/>
        </w:rPr>
        <w:t>助、健康、就业、优抚等民生实事，深入推进“温暖社保”“医</w:t>
      </w:r>
      <w:r>
        <w:rPr>
          <w:rFonts w:ascii="仿宋" w:hAnsi="仿宋" w:eastAsia="仿宋" w:cs="仿宋"/>
          <w:snapToGrid w:val="0"/>
          <w:color w:val="000000"/>
          <w:spacing w:val="-1"/>
          <w:kern w:val="0"/>
          <w:sz w:val="32"/>
          <w:szCs w:val="32"/>
          <w:lang w:val="en-US" w:eastAsia="en-US" w:bidi="ar-SA"/>
        </w:rPr>
        <w:t>保全覆盖”等专项行动，确保规模企业和灵活就业人员养老保</w:t>
      </w:r>
      <w:r>
        <w:rPr>
          <w:rFonts w:ascii="仿宋" w:hAnsi="仿宋" w:eastAsia="仿宋" w:cs="仿宋"/>
          <w:snapToGrid w:val="0"/>
          <w:color w:val="000000"/>
          <w:spacing w:val="4"/>
          <w:kern w:val="0"/>
          <w:sz w:val="32"/>
          <w:szCs w:val="32"/>
          <w:lang w:val="en-US" w:eastAsia="en-US" w:bidi="ar-SA"/>
        </w:rPr>
        <w:t>险提标扩面，基本医疗保险参保率达95%以上、特殊困难群众</w:t>
      </w:r>
      <w:r>
        <w:rPr>
          <w:rFonts w:ascii="仿宋" w:hAnsi="仿宋" w:eastAsia="仿宋" w:cs="仿宋"/>
          <w:snapToGrid w:val="0"/>
          <w:color w:val="000000"/>
          <w:spacing w:val="-1"/>
          <w:kern w:val="0"/>
          <w:sz w:val="32"/>
          <w:szCs w:val="32"/>
          <w:lang w:val="en-US" w:eastAsia="en-US" w:bidi="ar-SA"/>
        </w:rPr>
        <w:t>参保实现全覆盖。巩固和拓展脱贫攻坚成果，健全防返贫动态监测和帮扶机制，大力推进仓田美丽屋场建设和仓</w:t>
      </w:r>
      <w:r>
        <w:rPr>
          <w:rFonts w:ascii="仿宋" w:hAnsi="仿宋" w:eastAsia="仿宋" w:cs="仿宋"/>
          <w:snapToGrid w:val="0"/>
          <w:color w:val="000000"/>
          <w:spacing w:val="-2"/>
          <w:kern w:val="0"/>
          <w:sz w:val="32"/>
          <w:szCs w:val="32"/>
          <w:lang w:val="en-US" w:eastAsia="en-US" w:bidi="ar-SA"/>
        </w:rPr>
        <w:t>田农村集体</w:t>
      </w:r>
      <w:r>
        <w:rPr>
          <w:rFonts w:ascii="仿宋" w:hAnsi="仿宋" w:eastAsia="仿宋" w:cs="仿宋"/>
          <w:snapToGrid w:val="0"/>
          <w:color w:val="000000"/>
          <w:spacing w:val="-1"/>
          <w:kern w:val="0"/>
          <w:sz w:val="32"/>
          <w:szCs w:val="32"/>
          <w:lang w:val="en-US" w:eastAsia="en-US" w:bidi="ar-SA"/>
        </w:rPr>
        <w:t>产业项目落地，以产业兴旺推动乡村振兴。严打违法建设，</w:t>
      </w:r>
      <w:r>
        <w:rPr>
          <w:rFonts w:hint="eastAsia" w:ascii="仿宋" w:hAnsi="仿宋" w:eastAsia="仿宋" w:cs="仿宋"/>
          <w:snapToGrid w:val="0"/>
          <w:color w:val="000000"/>
          <w:spacing w:val="-1"/>
          <w:kern w:val="0"/>
          <w:sz w:val="32"/>
          <w:szCs w:val="32"/>
          <w:lang w:val="en-US" w:eastAsia="zh-CN" w:bidi="ar-SA"/>
        </w:rPr>
        <w:t>深</w:t>
      </w:r>
      <w:r>
        <w:rPr>
          <w:rFonts w:ascii="仿宋" w:hAnsi="仿宋" w:eastAsia="仿宋" w:cs="仿宋"/>
          <w:snapToGrid w:val="0"/>
          <w:color w:val="000000"/>
          <w:spacing w:val="5"/>
          <w:kern w:val="0"/>
          <w:sz w:val="32"/>
          <w:szCs w:val="32"/>
          <w:lang w:val="en-US" w:eastAsia="en-US" w:bidi="ar-SA"/>
        </w:rPr>
        <w:t>化存量违建三年清零行动，持续开展校园周边违法建设集中整</w:t>
      </w:r>
      <w:r>
        <w:rPr>
          <w:rFonts w:ascii="仿宋" w:hAnsi="仿宋" w:eastAsia="仿宋" w:cs="仿宋"/>
          <w:snapToGrid w:val="0"/>
          <w:color w:val="000000"/>
          <w:spacing w:val="7"/>
          <w:kern w:val="0"/>
          <w:sz w:val="32"/>
          <w:szCs w:val="32"/>
          <w:lang w:val="en-US" w:eastAsia="en-US" w:bidi="ar-SA"/>
        </w:rPr>
        <w:t>治，按计划完成危房“四原”重建申报，切实</w:t>
      </w:r>
      <w:r>
        <w:rPr>
          <w:rFonts w:ascii="仿宋" w:hAnsi="仿宋" w:eastAsia="仿宋" w:cs="仿宋"/>
          <w:snapToGrid w:val="0"/>
          <w:color w:val="000000"/>
          <w:spacing w:val="6"/>
          <w:kern w:val="0"/>
          <w:sz w:val="32"/>
          <w:szCs w:val="32"/>
          <w:lang w:val="en-US" w:eastAsia="en-US" w:bidi="ar-SA"/>
        </w:rPr>
        <w:t>维护建房秩序和</w:t>
      </w:r>
      <w:r>
        <w:rPr>
          <w:rFonts w:ascii="仿宋" w:hAnsi="仿宋" w:eastAsia="仿宋" w:cs="仿宋"/>
          <w:snapToGrid w:val="0"/>
          <w:color w:val="000000"/>
          <w:spacing w:val="11"/>
          <w:kern w:val="0"/>
          <w:sz w:val="32"/>
          <w:szCs w:val="32"/>
          <w:lang w:val="en-US" w:eastAsia="en-US" w:bidi="ar-SA"/>
        </w:rPr>
        <w:t>公平正义。认真落实“田长制”,有序推进违法占用耕地图斑</w:t>
      </w:r>
      <w:r>
        <w:rPr>
          <w:rFonts w:ascii="仿宋" w:hAnsi="仿宋" w:eastAsia="仿宋" w:cs="仿宋"/>
          <w:snapToGrid w:val="0"/>
          <w:color w:val="000000"/>
          <w:spacing w:val="6"/>
          <w:kern w:val="0"/>
          <w:sz w:val="32"/>
          <w:szCs w:val="32"/>
          <w:lang w:val="en-US" w:eastAsia="en-US" w:bidi="ar-SA"/>
        </w:rPr>
        <w:t>整改，坚决遏制耕地“非农化”“非粮化”行为，守牢自然资</w:t>
      </w:r>
      <w:r>
        <w:rPr>
          <w:rFonts w:ascii="仿宋" w:hAnsi="仿宋" w:eastAsia="仿宋" w:cs="仿宋"/>
          <w:snapToGrid w:val="0"/>
          <w:color w:val="000000"/>
          <w:spacing w:val="5"/>
          <w:kern w:val="0"/>
          <w:sz w:val="32"/>
          <w:szCs w:val="32"/>
          <w:lang w:val="en-US" w:eastAsia="en-US" w:bidi="ar-SA"/>
        </w:rPr>
        <w:t>源红线。注重精神文明建设，常态开展“我们的节日”“文艺</w:t>
      </w:r>
      <w:r>
        <w:rPr>
          <w:rFonts w:ascii="仿宋" w:hAnsi="仿宋" w:eastAsia="仿宋" w:cs="仿宋"/>
          <w:snapToGrid w:val="0"/>
          <w:color w:val="000000"/>
          <w:spacing w:val="-4"/>
          <w:kern w:val="0"/>
          <w:sz w:val="32"/>
          <w:szCs w:val="32"/>
          <w:lang w:val="en-US" w:eastAsia="en-US" w:bidi="ar-SA"/>
        </w:rPr>
        <w:t>进社区”“爱老敬老”等志愿活动，完善新时代文明实践所(站)</w:t>
      </w:r>
      <w:r>
        <w:rPr>
          <w:rFonts w:ascii="仿宋" w:hAnsi="仿宋" w:eastAsia="仿宋" w:cs="仿宋"/>
          <w:snapToGrid w:val="0"/>
          <w:color w:val="000000"/>
          <w:spacing w:val="6"/>
          <w:kern w:val="0"/>
          <w:sz w:val="32"/>
          <w:szCs w:val="32"/>
          <w:lang w:val="en-US" w:eastAsia="en-US" w:bidi="ar-SA"/>
        </w:rPr>
        <w:t>服务功能，不断丰富群众精神文化生活。</w:t>
      </w:r>
    </w:p>
    <w:p w14:paraId="10CC2D27">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75" w:firstLineChars="200"/>
        <w:jc w:val="both"/>
        <w:textAlignment w:val="baseline"/>
        <w:rPr>
          <w:rFonts w:ascii="仿宋" w:hAnsi="仿宋" w:eastAsia="仿宋" w:cs="仿宋"/>
          <w:snapToGrid w:val="0"/>
          <w:color w:val="000000"/>
          <w:kern w:val="0"/>
          <w:sz w:val="32"/>
          <w:szCs w:val="32"/>
          <w:lang w:val="en-US" w:eastAsia="en-US" w:bidi="ar-SA"/>
        </w:rPr>
      </w:pPr>
      <w:r>
        <w:rPr>
          <w:rFonts w:ascii="宋体" w:hAnsi="宋体" w:eastAsia="宋体" w:cs="宋体"/>
          <w:b/>
          <w:bCs/>
          <w:snapToGrid w:val="0"/>
          <w:color w:val="000000"/>
          <w:spacing w:val="8"/>
          <w:kern w:val="0"/>
          <w:sz w:val="32"/>
          <w:szCs w:val="32"/>
          <w:lang w:val="en-US" w:eastAsia="en-US" w:bidi="ar-SA"/>
        </w:rPr>
        <w:t>6.</w:t>
      </w:r>
      <w:r>
        <w:rPr>
          <w:rFonts w:ascii="仿宋" w:hAnsi="仿宋" w:eastAsia="仿宋" w:cs="仿宋"/>
          <w:b/>
          <w:bCs/>
          <w:snapToGrid w:val="0"/>
          <w:color w:val="000000"/>
          <w:spacing w:val="8"/>
          <w:kern w:val="0"/>
          <w:sz w:val="32"/>
          <w:szCs w:val="32"/>
          <w:lang w:val="en-US" w:eastAsia="en-US" w:bidi="ar-SA"/>
        </w:rPr>
        <w:t>围绕“平安岳阳”守护大局稳定</w:t>
      </w:r>
      <w:r>
        <w:rPr>
          <w:rFonts w:ascii="楷体" w:hAnsi="楷体" w:eastAsia="楷体" w:cs="楷体"/>
          <w:b/>
          <w:bCs/>
          <w:snapToGrid w:val="0"/>
          <w:color w:val="000000"/>
          <w:spacing w:val="8"/>
          <w:kern w:val="0"/>
          <w:sz w:val="32"/>
          <w:szCs w:val="32"/>
          <w:lang w:val="en-US" w:eastAsia="en-US" w:bidi="ar-SA"/>
        </w:rPr>
        <w:t>。</w:t>
      </w:r>
      <w:r>
        <w:rPr>
          <w:rFonts w:ascii="仿宋" w:hAnsi="仿宋" w:eastAsia="仿宋" w:cs="仿宋"/>
          <w:snapToGrid w:val="0"/>
          <w:color w:val="000000"/>
          <w:spacing w:val="8"/>
          <w:kern w:val="0"/>
          <w:sz w:val="32"/>
          <w:szCs w:val="32"/>
          <w:lang w:val="en-US" w:eastAsia="en-US" w:bidi="ar-SA"/>
        </w:rPr>
        <w:t>大抓风</w:t>
      </w:r>
      <w:r>
        <w:rPr>
          <w:rFonts w:ascii="仿宋" w:hAnsi="仿宋" w:eastAsia="仿宋" w:cs="仿宋"/>
          <w:snapToGrid w:val="0"/>
          <w:color w:val="000000"/>
          <w:spacing w:val="7"/>
          <w:kern w:val="0"/>
          <w:sz w:val="32"/>
          <w:szCs w:val="32"/>
          <w:lang w:val="en-US" w:eastAsia="en-US" w:bidi="ar-SA"/>
        </w:rPr>
        <w:t>险防控，树</w:t>
      </w:r>
      <w:r>
        <w:rPr>
          <w:rFonts w:ascii="仿宋" w:hAnsi="仿宋" w:eastAsia="仿宋" w:cs="仿宋"/>
          <w:snapToGrid w:val="0"/>
          <w:color w:val="000000"/>
          <w:spacing w:val="4"/>
          <w:kern w:val="0"/>
          <w:sz w:val="32"/>
          <w:szCs w:val="32"/>
          <w:lang w:val="en-US" w:eastAsia="en-US" w:bidi="ar-SA"/>
        </w:rPr>
        <w:t>牢过紧日子思想，严格控制预算执行，严禁超预算、超标准安排支出，大力削减低效无效支出，全年一般性支出再压减20%,确保“三保”底线兜紧兜牢。大抓生产安全，持续推进居民自</w:t>
      </w:r>
      <w:r>
        <w:rPr>
          <w:rFonts w:ascii="仿宋" w:hAnsi="仿宋" w:eastAsia="仿宋" w:cs="仿宋"/>
          <w:snapToGrid w:val="0"/>
          <w:color w:val="000000"/>
          <w:spacing w:val="7"/>
          <w:kern w:val="0"/>
          <w:sz w:val="32"/>
          <w:szCs w:val="32"/>
          <w:lang w:val="en-US" w:eastAsia="en-US" w:bidi="ar-SA"/>
        </w:rPr>
        <w:t>建房、消防安全、城镇燃气、危化品、建筑施工、校园安全、</w:t>
      </w:r>
      <w:r>
        <w:rPr>
          <w:rFonts w:ascii="仿宋" w:hAnsi="仿宋" w:eastAsia="仿宋" w:cs="仿宋"/>
          <w:snapToGrid w:val="0"/>
          <w:color w:val="000000"/>
          <w:spacing w:val="3"/>
          <w:kern w:val="0"/>
          <w:sz w:val="32"/>
          <w:szCs w:val="32"/>
          <w:lang w:val="en-US" w:eastAsia="en-US" w:bidi="ar-SA"/>
        </w:rPr>
        <w:t>武广铁路仓田段沿线等重点行业领域专项整治，全链条排查消</w:t>
      </w:r>
      <w:r>
        <w:rPr>
          <w:rFonts w:ascii="仿宋" w:hAnsi="仿宋" w:eastAsia="仿宋" w:cs="仿宋"/>
          <w:snapToGrid w:val="0"/>
          <w:color w:val="000000"/>
          <w:spacing w:val="10"/>
          <w:kern w:val="0"/>
          <w:sz w:val="32"/>
          <w:szCs w:val="32"/>
          <w:lang w:val="en-US" w:eastAsia="en-US" w:bidi="ar-SA"/>
        </w:rPr>
        <w:t>除安全隐患风险，当好居民群众的安全“守护者”;全程跟踪</w:t>
      </w:r>
      <w:r>
        <w:rPr>
          <w:rFonts w:ascii="仿宋" w:hAnsi="仿宋" w:eastAsia="仿宋" w:cs="仿宋"/>
          <w:snapToGrid w:val="0"/>
          <w:color w:val="000000"/>
          <w:spacing w:val="-2"/>
          <w:kern w:val="0"/>
          <w:sz w:val="32"/>
          <w:szCs w:val="32"/>
          <w:lang w:val="en-US" w:eastAsia="en-US" w:bidi="ar-SA"/>
        </w:rPr>
        <w:t>护航仓田消防站建设，为辖区增添安全硬基础。大</w:t>
      </w:r>
      <w:r>
        <w:rPr>
          <w:rFonts w:ascii="仿宋" w:hAnsi="仿宋" w:eastAsia="仿宋" w:cs="仿宋"/>
          <w:snapToGrid w:val="0"/>
          <w:color w:val="000000"/>
          <w:spacing w:val="-3"/>
          <w:kern w:val="0"/>
          <w:sz w:val="32"/>
          <w:szCs w:val="32"/>
          <w:lang w:val="en-US" w:eastAsia="en-US" w:bidi="ar-SA"/>
        </w:rPr>
        <w:t>抓信访维稳。</w:t>
      </w:r>
      <w:r>
        <w:rPr>
          <w:rFonts w:ascii="仿宋" w:hAnsi="仿宋" w:eastAsia="仿宋" w:cs="仿宋"/>
          <w:snapToGrid w:val="0"/>
          <w:color w:val="000000"/>
          <w:spacing w:val="7"/>
          <w:kern w:val="0"/>
          <w:sz w:val="32"/>
          <w:szCs w:val="32"/>
          <w:lang w:val="en-US" w:eastAsia="en-US" w:bidi="ar-SA"/>
        </w:rPr>
        <w:t>充分发挥“群英断是非”工作法的矛盾调处作用，</w:t>
      </w:r>
      <w:r>
        <w:rPr>
          <w:rFonts w:ascii="仿宋" w:hAnsi="仿宋" w:eastAsia="仿宋" w:cs="仿宋"/>
          <w:snapToGrid w:val="0"/>
          <w:color w:val="000000"/>
          <w:spacing w:val="6"/>
          <w:kern w:val="0"/>
          <w:sz w:val="32"/>
          <w:szCs w:val="32"/>
          <w:lang w:val="en-US" w:eastAsia="en-US" w:bidi="ar-SA"/>
        </w:rPr>
        <w:t>超前介入、</w:t>
      </w:r>
      <w:r>
        <w:rPr>
          <w:rFonts w:ascii="仿宋" w:hAnsi="仿宋" w:eastAsia="仿宋" w:cs="仿宋"/>
          <w:snapToGrid w:val="0"/>
          <w:color w:val="000000"/>
          <w:spacing w:val="17"/>
          <w:kern w:val="0"/>
          <w:sz w:val="32"/>
          <w:szCs w:val="32"/>
          <w:lang w:val="en-US" w:eastAsia="en-US" w:bidi="ar-SA"/>
        </w:rPr>
        <w:t>化解可能出现的矛盾纠纷，积极做好肖家咀、华泰、大寨田88号、南港河业主重点群体稳控工作，全力争创信访三无单</w:t>
      </w:r>
      <w:r>
        <w:rPr>
          <w:rFonts w:ascii="仿宋" w:hAnsi="仿宋" w:eastAsia="仿宋" w:cs="仿宋"/>
          <w:snapToGrid w:val="0"/>
          <w:color w:val="000000"/>
          <w:spacing w:val="5"/>
          <w:kern w:val="0"/>
          <w:sz w:val="32"/>
          <w:szCs w:val="32"/>
          <w:lang w:val="en-US" w:eastAsia="en-US" w:bidi="ar-SA"/>
        </w:rPr>
        <w:t>位；深化平安乡街创建，持续抓好治安防控、禁毒、打击非法</w:t>
      </w:r>
      <w:r>
        <w:rPr>
          <w:rFonts w:ascii="仿宋" w:hAnsi="仿宋" w:eastAsia="仿宋" w:cs="仿宋"/>
          <w:snapToGrid w:val="0"/>
          <w:color w:val="000000"/>
          <w:spacing w:val="8"/>
          <w:kern w:val="0"/>
          <w:sz w:val="32"/>
          <w:szCs w:val="32"/>
          <w:lang w:val="en-US" w:eastAsia="en-US" w:bidi="ar-SA"/>
        </w:rPr>
        <w:t>集资、传销、反电诈等工作，营造平安稳定的社会环境。</w:t>
      </w:r>
    </w:p>
    <w:p w14:paraId="4A2AF0DF">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55" w:firstLineChars="200"/>
        <w:jc w:val="both"/>
        <w:textAlignment w:val="baseline"/>
        <w:rPr>
          <w:rFonts w:ascii="仿宋" w:hAnsi="仿宋" w:eastAsia="仿宋" w:cs="仿宋"/>
          <w:snapToGrid w:val="0"/>
          <w:color w:val="000000"/>
          <w:kern w:val="0"/>
          <w:sz w:val="32"/>
          <w:szCs w:val="32"/>
          <w:lang w:val="en-US" w:eastAsia="en-US" w:bidi="ar-SA"/>
        </w:rPr>
      </w:pPr>
      <w:r>
        <w:rPr>
          <w:rFonts w:ascii="宋体" w:hAnsi="宋体" w:eastAsia="宋体" w:cs="宋体"/>
          <w:b/>
          <w:bCs/>
          <w:snapToGrid w:val="0"/>
          <w:color w:val="000000"/>
          <w:spacing w:val="3"/>
          <w:kern w:val="0"/>
          <w:sz w:val="32"/>
          <w:szCs w:val="32"/>
          <w:lang w:val="en-US" w:eastAsia="en-US" w:bidi="ar-SA"/>
        </w:rPr>
        <w:t>7.</w:t>
      </w:r>
      <w:r>
        <w:rPr>
          <w:rFonts w:ascii="楷体" w:hAnsi="楷体" w:eastAsia="楷体" w:cs="楷体"/>
          <w:b/>
          <w:bCs/>
          <w:snapToGrid w:val="0"/>
          <w:color w:val="000000"/>
          <w:spacing w:val="3"/>
          <w:kern w:val="0"/>
          <w:sz w:val="32"/>
          <w:szCs w:val="32"/>
          <w:lang w:val="en-US" w:eastAsia="en-US" w:bidi="ar-SA"/>
        </w:rPr>
        <w:t>围绕“新风岳阳”锻造过硬队伍。</w:t>
      </w:r>
      <w:r>
        <w:rPr>
          <w:rFonts w:ascii="仿宋" w:hAnsi="仿宋" w:eastAsia="仿宋" w:cs="仿宋"/>
          <w:snapToGrid w:val="0"/>
          <w:color w:val="000000"/>
          <w:spacing w:val="3"/>
          <w:kern w:val="0"/>
          <w:sz w:val="32"/>
          <w:szCs w:val="32"/>
          <w:lang w:val="en-US" w:eastAsia="en-US" w:bidi="ar-SA"/>
        </w:rPr>
        <w:t>在“学”字上出招。</w:t>
      </w:r>
      <w:r>
        <w:rPr>
          <w:rFonts w:ascii="仿宋" w:hAnsi="仿宋" w:eastAsia="仿宋" w:cs="仿宋"/>
          <w:snapToGrid w:val="0"/>
          <w:color w:val="000000"/>
          <w:spacing w:val="18"/>
          <w:kern w:val="0"/>
          <w:sz w:val="32"/>
          <w:szCs w:val="32"/>
          <w:lang w:val="en-US" w:eastAsia="en-US" w:bidi="ar-SA"/>
        </w:rPr>
        <w:t>推动学习贯彻习近平新时代中国特色社会主义思想主</w:t>
      </w:r>
      <w:r>
        <w:rPr>
          <w:rFonts w:ascii="仿宋" w:hAnsi="仿宋" w:eastAsia="仿宋" w:cs="仿宋"/>
          <w:snapToGrid w:val="0"/>
          <w:color w:val="000000"/>
          <w:spacing w:val="17"/>
          <w:kern w:val="0"/>
          <w:sz w:val="32"/>
          <w:szCs w:val="32"/>
          <w:lang w:val="en-US" w:eastAsia="en-US" w:bidi="ar-SA"/>
        </w:rPr>
        <w:t>题教育</w:t>
      </w:r>
      <w:r>
        <w:rPr>
          <w:rFonts w:ascii="仿宋" w:hAnsi="仿宋" w:eastAsia="仿宋" w:cs="仿宋"/>
          <w:snapToGrid w:val="0"/>
          <w:color w:val="000000"/>
          <w:kern w:val="0"/>
          <w:sz w:val="32"/>
          <w:szCs w:val="32"/>
          <w:lang w:val="en-US" w:eastAsia="en-US" w:bidi="ar-SA"/>
        </w:rPr>
        <w:t>常态化，落实青年理论学习、中心组理论学习、“一月一课一</w:t>
      </w:r>
      <w:r>
        <w:rPr>
          <w:rFonts w:ascii="仿宋" w:hAnsi="仿宋" w:eastAsia="仿宋" w:cs="仿宋"/>
          <w:snapToGrid w:val="0"/>
          <w:color w:val="000000"/>
          <w:spacing w:val="4"/>
          <w:kern w:val="0"/>
          <w:sz w:val="32"/>
          <w:szCs w:val="32"/>
          <w:lang w:val="en-US" w:eastAsia="en-US" w:bidi="ar-SA"/>
        </w:rPr>
        <w:t>片一实践”等制度，切实教育引导党员干部在干中学、在学中干。在“改”字上发力。全面落实巡察整改工作，对照巡察组</w:t>
      </w:r>
      <w:r>
        <w:rPr>
          <w:rFonts w:ascii="仿宋" w:hAnsi="仿宋" w:eastAsia="仿宋" w:cs="仿宋"/>
          <w:snapToGrid w:val="0"/>
          <w:color w:val="000000"/>
          <w:spacing w:val="3"/>
          <w:kern w:val="0"/>
          <w:sz w:val="32"/>
          <w:szCs w:val="32"/>
          <w:lang w:val="en-US" w:eastAsia="en-US" w:bidi="ar-SA"/>
        </w:rPr>
        <w:t>反馈的问题，进一步细化措施、明晰责任、跟踪调度，确保如</w:t>
      </w:r>
      <w:r>
        <w:rPr>
          <w:rFonts w:ascii="仿宋" w:hAnsi="仿宋" w:eastAsia="仿宋" w:cs="仿宋"/>
          <w:snapToGrid w:val="0"/>
          <w:color w:val="000000"/>
          <w:spacing w:val="-7"/>
          <w:kern w:val="0"/>
          <w:sz w:val="32"/>
          <w:szCs w:val="32"/>
          <w:lang w:val="en-US" w:eastAsia="en-US" w:bidi="ar-SA"/>
        </w:rPr>
        <w:t>期完成整改，顺利通过验收。在“优”字上用功。持</w:t>
      </w:r>
      <w:r>
        <w:rPr>
          <w:rFonts w:ascii="仿宋" w:hAnsi="仿宋" w:eastAsia="仿宋" w:cs="仿宋"/>
          <w:snapToGrid w:val="0"/>
          <w:color w:val="000000"/>
          <w:spacing w:val="-8"/>
          <w:kern w:val="0"/>
          <w:sz w:val="32"/>
          <w:szCs w:val="32"/>
          <w:lang w:val="en-US" w:eastAsia="en-US" w:bidi="ar-SA"/>
        </w:rPr>
        <w:t>续开展“四</w:t>
      </w:r>
      <w:r>
        <w:rPr>
          <w:rFonts w:ascii="仿宋" w:hAnsi="仿宋" w:eastAsia="仿宋" w:cs="仿宋"/>
          <w:snapToGrid w:val="0"/>
          <w:color w:val="000000"/>
          <w:spacing w:val="-3"/>
          <w:kern w:val="0"/>
          <w:sz w:val="32"/>
          <w:szCs w:val="32"/>
          <w:lang w:val="en-US" w:eastAsia="en-US" w:bidi="ar-SA"/>
        </w:rPr>
        <w:t>个十严禁”“两带头五整治”等专项行动，常态开展警示</w:t>
      </w:r>
      <w:r>
        <w:rPr>
          <w:rFonts w:ascii="仿宋" w:hAnsi="仿宋" w:eastAsia="仿宋" w:cs="仿宋"/>
          <w:snapToGrid w:val="0"/>
          <w:color w:val="000000"/>
          <w:spacing w:val="-4"/>
          <w:kern w:val="0"/>
          <w:sz w:val="32"/>
          <w:szCs w:val="32"/>
          <w:lang w:val="en-US" w:eastAsia="en-US" w:bidi="ar-SA"/>
        </w:rPr>
        <w:t>教育、</w:t>
      </w:r>
      <w:r>
        <w:rPr>
          <w:rFonts w:ascii="仿宋" w:hAnsi="仿宋" w:eastAsia="仿宋" w:cs="仿宋"/>
          <w:snapToGrid w:val="0"/>
          <w:color w:val="000000"/>
          <w:spacing w:val="3"/>
          <w:kern w:val="0"/>
          <w:sz w:val="32"/>
          <w:szCs w:val="32"/>
          <w:lang w:val="en-US" w:eastAsia="en-US" w:bidi="ar-SA"/>
        </w:rPr>
        <w:t>清廉机关建设等活动，严格日常考勤和工作日酒精抽查检测等</w:t>
      </w:r>
      <w:r>
        <w:rPr>
          <w:rFonts w:ascii="仿宋" w:hAnsi="仿宋" w:eastAsia="仿宋" w:cs="仿宋"/>
          <w:snapToGrid w:val="0"/>
          <w:color w:val="000000"/>
          <w:spacing w:val="4"/>
          <w:kern w:val="0"/>
          <w:sz w:val="32"/>
          <w:szCs w:val="32"/>
          <w:lang w:val="en-US" w:eastAsia="en-US" w:bidi="ar-SA"/>
        </w:rPr>
        <w:t>制度，以严管厚爱护航干部成长；坚持“人岗相</w:t>
      </w:r>
      <w:r>
        <w:rPr>
          <w:rFonts w:ascii="仿宋" w:hAnsi="仿宋" w:eastAsia="仿宋" w:cs="仿宋"/>
          <w:snapToGrid w:val="0"/>
          <w:color w:val="000000"/>
          <w:spacing w:val="3"/>
          <w:kern w:val="0"/>
          <w:sz w:val="32"/>
          <w:szCs w:val="32"/>
          <w:lang w:val="en-US" w:eastAsia="en-US" w:bidi="ar-SA"/>
        </w:rPr>
        <w:t>适”的用人原</w:t>
      </w:r>
      <w:r>
        <w:rPr>
          <w:rFonts w:ascii="仿宋" w:hAnsi="仿宋" w:eastAsia="仿宋" w:cs="仿宋"/>
          <w:snapToGrid w:val="0"/>
          <w:color w:val="000000"/>
          <w:spacing w:val="5"/>
          <w:kern w:val="0"/>
          <w:sz w:val="32"/>
          <w:szCs w:val="32"/>
          <w:lang w:val="en-US" w:eastAsia="en-US" w:bidi="ar-SA"/>
        </w:rPr>
        <w:t>则，对内设股室和二级机构负责人进行轮岗交流，着</w:t>
      </w:r>
      <w:r>
        <w:rPr>
          <w:rFonts w:ascii="仿宋" w:hAnsi="仿宋" w:eastAsia="仿宋" w:cs="仿宋"/>
          <w:snapToGrid w:val="0"/>
          <w:color w:val="000000"/>
          <w:spacing w:val="4"/>
          <w:kern w:val="0"/>
          <w:sz w:val="32"/>
          <w:szCs w:val="32"/>
          <w:lang w:val="en-US" w:eastAsia="en-US" w:bidi="ar-SA"/>
        </w:rPr>
        <w:t>力激活干</w:t>
      </w:r>
      <w:r>
        <w:rPr>
          <w:rFonts w:ascii="仿宋" w:hAnsi="仿宋" w:eastAsia="仿宋" w:cs="仿宋"/>
          <w:snapToGrid w:val="0"/>
          <w:color w:val="000000"/>
          <w:spacing w:val="8"/>
          <w:kern w:val="0"/>
          <w:sz w:val="32"/>
          <w:szCs w:val="32"/>
          <w:lang w:val="en-US" w:eastAsia="en-US" w:bidi="ar-SA"/>
        </w:rPr>
        <w:t>部队伍“一池春水”。</w:t>
      </w:r>
    </w:p>
    <w:p w14:paraId="1EB9CB8F">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outlineLvl w:val="1"/>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kern w:val="0"/>
          <w:sz w:val="32"/>
          <w:szCs w:val="32"/>
          <w:lang w:eastAsia="en-US"/>
        </w:rPr>
        <w:t>九、部门整体支出绩效自评结果拟应用和公开情况</w:t>
      </w:r>
    </w:p>
    <w:p w14:paraId="514B34D8">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72" w:firstLineChars="200"/>
        <w:jc w:val="both"/>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8"/>
          <w:kern w:val="0"/>
          <w:sz w:val="32"/>
          <w:szCs w:val="32"/>
          <w:lang w:val="en-US" w:eastAsia="en-US" w:bidi="ar-SA"/>
        </w:rPr>
        <w:t>其他需要说明的情况</w:t>
      </w:r>
      <w:r>
        <w:rPr>
          <w:rFonts w:hint="eastAsia" w:ascii="仿宋" w:hAnsi="仿宋" w:eastAsia="仿宋" w:cs="仿宋"/>
          <w:snapToGrid w:val="0"/>
          <w:color w:val="000000"/>
          <w:spacing w:val="8"/>
          <w:kern w:val="0"/>
          <w:sz w:val="32"/>
          <w:szCs w:val="32"/>
          <w:lang w:val="en-US" w:eastAsia="zh-CN" w:bidi="ar-SA"/>
        </w:rPr>
        <w:t>：</w:t>
      </w:r>
      <w:r>
        <w:rPr>
          <w:rFonts w:ascii="仿宋" w:hAnsi="仿宋" w:eastAsia="仿宋" w:cs="仿宋"/>
          <w:snapToGrid w:val="0"/>
          <w:color w:val="000000"/>
          <w:kern w:val="0"/>
          <w:sz w:val="32"/>
          <w:szCs w:val="32"/>
          <w:lang w:val="en-US" w:eastAsia="en-US" w:bidi="ar-SA"/>
        </w:rPr>
        <w:t>无</w:t>
      </w:r>
    </w:p>
    <w:p w14:paraId="77828043">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ascii="仿宋" w:hAnsi="仿宋" w:eastAsia="仿宋" w:cs="仿宋"/>
          <w:snapToGrid w:val="0"/>
          <w:color w:val="000000"/>
          <w:kern w:val="0"/>
          <w:sz w:val="32"/>
          <w:szCs w:val="32"/>
          <w:lang w:val="en-US" w:eastAsia="en-US" w:bidi="ar-SA"/>
        </w:rPr>
      </w:pPr>
    </w:p>
    <w:p w14:paraId="15D356B0">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kern w:val="0"/>
          <w:sz w:val="32"/>
          <w:szCs w:val="32"/>
          <w:lang w:val="en-US" w:eastAsia="en-US" w:bidi="ar-SA"/>
        </w:rPr>
        <w:t>报告需要以下附件：</w:t>
      </w:r>
    </w:p>
    <w:p w14:paraId="12677A2E">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68" w:firstLineChars="200"/>
        <w:jc w:val="both"/>
        <w:textAlignment w:val="baseline"/>
        <w:rPr>
          <w:rFonts w:ascii="仿宋" w:hAnsi="仿宋" w:eastAsia="仿宋" w:cs="仿宋"/>
          <w:snapToGrid w:val="0"/>
          <w:color w:val="000000"/>
          <w:kern w:val="0"/>
          <w:sz w:val="32"/>
          <w:szCs w:val="32"/>
          <w:lang w:val="en-US" w:eastAsia="en-US" w:bidi="ar-SA"/>
        </w:rPr>
      </w:pPr>
      <w:r>
        <w:rPr>
          <w:rFonts w:ascii="宋体" w:hAnsi="宋体" w:eastAsia="宋体" w:cs="宋体"/>
          <w:snapToGrid w:val="0"/>
          <w:color w:val="000000"/>
          <w:spacing w:val="7"/>
          <w:kern w:val="0"/>
          <w:sz w:val="32"/>
          <w:szCs w:val="32"/>
          <w:lang w:val="en-US" w:eastAsia="en-US" w:bidi="ar-SA"/>
        </w:rPr>
        <w:t>1、</w:t>
      </w:r>
      <w:r>
        <w:rPr>
          <w:rFonts w:ascii="仿宋" w:hAnsi="仿宋" w:eastAsia="仿宋" w:cs="仿宋"/>
          <w:snapToGrid w:val="0"/>
          <w:color w:val="000000"/>
          <w:spacing w:val="7"/>
          <w:kern w:val="0"/>
          <w:sz w:val="32"/>
          <w:szCs w:val="32"/>
          <w:lang w:val="en-US" w:eastAsia="en-US" w:bidi="ar-SA"/>
        </w:rPr>
        <w:t>部门整体支出绩效评价基础数据表</w:t>
      </w:r>
    </w:p>
    <w:p w14:paraId="08BD15A2">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0" w:firstLineChars="200"/>
        <w:jc w:val="both"/>
        <w:textAlignment w:val="baseline"/>
        <w:rPr>
          <w:rFonts w:ascii="仿宋" w:hAnsi="仿宋" w:eastAsia="仿宋" w:cs="仿宋"/>
          <w:snapToGrid w:val="0"/>
          <w:color w:val="000000"/>
          <w:kern w:val="0"/>
          <w:sz w:val="32"/>
          <w:szCs w:val="32"/>
          <w:lang w:val="en-US" w:eastAsia="en-US" w:bidi="ar-SA"/>
        </w:rPr>
      </w:pPr>
      <w:r>
        <w:rPr>
          <w:rFonts w:ascii="宋体" w:hAnsi="宋体" w:eastAsia="宋体" w:cs="宋体"/>
          <w:snapToGrid w:val="0"/>
          <w:color w:val="000000"/>
          <w:spacing w:val="10"/>
          <w:kern w:val="0"/>
          <w:sz w:val="32"/>
          <w:szCs w:val="32"/>
          <w:lang w:val="en-US" w:eastAsia="en-US" w:bidi="ar-SA"/>
        </w:rPr>
        <w:t>2、</w:t>
      </w:r>
      <w:r>
        <w:rPr>
          <w:rFonts w:ascii="仿宋" w:hAnsi="仿宋" w:eastAsia="仿宋" w:cs="仿宋"/>
          <w:snapToGrid w:val="0"/>
          <w:color w:val="000000"/>
          <w:spacing w:val="10"/>
          <w:kern w:val="0"/>
          <w:sz w:val="32"/>
          <w:szCs w:val="32"/>
          <w:lang w:val="en-US" w:eastAsia="en-US" w:bidi="ar-SA"/>
        </w:rPr>
        <w:t>部门整体支出绩效自评表</w:t>
      </w:r>
    </w:p>
    <w:p w14:paraId="40D00296">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4" w:firstLineChars="200"/>
        <w:jc w:val="both"/>
        <w:textAlignment w:val="baseline"/>
        <w:rPr>
          <w:rFonts w:ascii="仿宋" w:hAnsi="仿宋" w:eastAsia="仿宋" w:cs="仿宋"/>
          <w:snapToGrid w:val="0"/>
          <w:color w:val="000000"/>
          <w:kern w:val="0"/>
          <w:sz w:val="32"/>
          <w:szCs w:val="32"/>
          <w:lang w:val="en-US" w:eastAsia="en-US" w:bidi="ar-SA"/>
        </w:rPr>
      </w:pPr>
      <w:r>
        <w:rPr>
          <w:rFonts w:ascii="宋体" w:hAnsi="宋体" w:eastAsia="宋体" w:cs="宋体"/>
          <w:snapToGrid w:val="0"/>
          <w:color w:val="000000"/>
          <w:spacing w:val="11"/>
          <w:kern w:val="0"/>
          <w:sz w:val="32"/>
          <w:szCs w:val="32"/>
          <w:lang w:val="en-US" w:eastAsia="en-US" w:bidi="ar-SA"/>
        </w:rPr>
        <w:t>3、</w:t>
      </w:r>
      <w:r>
        <w:rPr>
          <w:rFonts w:ascii="仿宋" w:hAnsi="仿宋" w:eastAsia="仿宋" w:cs="仿宋"/>
          <w:snapToGrid w:val="0"/>
          <w:color w:val="000000"/>
          <w:spacing w:val="11"/>
          <w:kern w:val="0"/>
          <w:sz w:val="32"/>
          <w:szCs w:val="32"/>
          <w:lang w:val="en-US" w:eastAsia="en-US" w:bidi="ar-SA"/>
        </w:rPr>
        <w:t>项目支出绩效自评表(一个一级项目支出一张表)</w:t>
      </w:r>
    </w:p>
    <w:p w14:paraId="3624E59A">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0" w:firstLineChars="200"/>
        <w:jc w:val="both"/>
        <w:textAlignment w:val="baseline"/>
        <w:rPr>
          <w:rFonts w:ascii="仿宋" w:hAnsi="仿宋" w:eastAsia="仿宋" w:cs="仿宋"/>
          <w:snapToGrid w:val="0"/>
          <w:color w:val="000000"/>
          <w:spacing w:val="10"/>
          <w:kern w:val="0"/>
          <w:sz w:val="32"/>
          <w:szCs w:val="32"/>
          <w:lang w:val="en-US" w:eastAsia="en-US" w:bidi="ar-SA"/>
        </w:rPr>
      </w:pPr>
      <w:r>
        <w:rPr>
          <w:rFonts w:ascii="仿宋" w:hAnsi="仿宋" w:eastAsia="仿宋" w:cs="仿宋"/>
          <w:snapToGrid w:val="0"/>
          <w:color w:val="000000"/>
          <w:spacing w:val="10"/>
          <w:kern w:val="0"/>
          <w:sz w:val="32"/>
          <w:szCs w:val="32"/>
          <w:lang w:val="en-US" w:eastAsia="en-US" w:bidi="ar-SA"/>
        </w:rPr>
        <w:t>4、政府性基金预算支出情况表</w:t>
      </w:r>
    </w:p>
    <w:p w14:paraId="06A90305">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0" w:firstLineChars="200"/>
        <w:jc w:val="both"/>
        <w:textAlignment w:val="baseline"/>
        <w:rPr>
          <w:rFonts w:ascii="仿宋" w:hAnsi="仿宋" w:eastAsia="仿宋" w:cs="仿宋"/>
          <w:snapToGrid w:val="0"/>
          <w:color w:val="000000"/>
          <w:spacing w:val="10"/>
          <w:kern w:val="0"/>
          <w:sz w:val="32"/>
          <w:szCs w:val="32"/>
          <w:lang w:val="en-US" w:eastAsia="en-US" w:bidi="ar-SA"/>
        </w:rPr>
      </w:pPr>
      <w:r>
        <w:rPr>
          <w:rFonts w:ascii="仿宋" w:hAnsi="仿宋" w:eastAsia="仿宋" w:cs="仿宋"/>
          <w:snapToGrid w:val="0"/>
          <w:color w:val="000000"/>
          <w:spacing w:val="10"/>
          <w:kern w:val="0"/>
          <w:sz w:val="32"/>
          <w:szCs w:val="32"/>
          <w:lang w:val="en-US" w:eastAsia="en-US" w:bidi="ar-SA"/>
        </w:rPr>
        <w:t>5、国有资本经营预算支出情况表</w:t>
      </w:r>
    </w:p>
    <w:p w14:paraId="26292885">
      <w:pPr>
        <w:keepNext w:val="0"/>
        <w:keepLines w:val="0"/>
        <w:pageBreakBefore w:val="0"/>
        <w:widowControl/>
        <w:kinsoku w:val="0"/>
        <w:wordWrap/>
        <w:overflowPunct/>
        <w:topLinePunct w:val="0"/>
        <w:autoSpaceDE w:val="0"/>
        <w:autoSpaceDN w:val="0"/>
        <w:bidi w:val="0"/>
        <w:adjustRightInd w:val="0"/>
        <w:snapToGrid w:val="0"/>
        <w:spacing w:line="578" w:lineRule="exact"/>
        <w:ind w:left="0" w:right="0" w:firstLine="680" w:firstLineChars="200"/>
        <w:jc w:val="both"/>
        <w:textAlignment w:val="baseline"/>
        <w:rPr>
          <w:rFonts w:hint="eastAsia" w:ascii="仿宋" w:hAnsi="仿宋" w:eastAsia="仿宋" w:cs="仿宋"/>
          <w:snapToGrid w:val="0"/>
          <w:color w:val="000000"/>
          <w:spacing w:val="10"/>
          <w:kern w:val="0"/>
          <w:sz w:val="32"/>
          <w:szCs w:val="32"/>
          <w:lang w:val="en-US" w:eastAsia="zh-CN" w:bidi="ar-SA"/>
        </w:rPr>
      </w:pPr>
      <w:r>
        <w:rPr>
          <w:rFonts w:ascii="仿宋" w:hAnsi="仿宋" w:eastAsia="仿宋" w:cs="仿宋"/>
          <w:snapToGrid w:val="0"/>
          <w:color w:val="000000"/>
          <w:spacing w:val="10"/>
          <w:kern w:val="0"/>
          <w:sz w:val="32"/>
          <w:szCs w:val="32"/>
          <w:lang w:val="en-US" w:eastAsia="en-US" w:bidi="ar-SA"/>
        </w:rPr>
        <w:t>6、社会保险基金预算支出情况表</w:t>
      </w:r>
    </w:p>
    <w:p w14:paraId="50A2C3F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7"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F4BD9FC-77FA-46D6-ADCB-B5E76120CA15}"/>
  </w:font>
  <w:font w:name="黑体">
    <w:panose1 w:val="02010609060101010101"/>
    <w:charset w:val="86"/>
    <w:family w:val="auto"/>
    <w:pitch w:val="default"/>
    <w:sig w:usb0="800002BF" w:usb1="38CF7CFA" w:usb2="00000016" w:usb3="00000000" w:csb0="00040001" w:csb1="00000000"/>
    <w:embedRegular r:id="rId2" w:fontKey="{84846E0B-D0A3-4CD3-9CC8-D5E816A033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4E0C839-1E9C-460E-AFD5-8AC31D1F5E85}"/>
  </w:font>
  <w:font w:name="仿宋">
    <w:panose1 w:val="02010609060101010101"/>
    <w:charset w:val="86"/>
    <w:family w:val="auto"/>
    <w:pitch w:val="default"/>
    <w:sig w:usb0="800002BF" w:usb1="38CF7CFA" w:usb2="00000016" w:usb3="00000000" w:csb0="00040001" w:csb1="00000000"/>
    <w:embedRegular r:id="rId4" w:fontKey="{B516C0E8-89D2-41A2-9510-22067DAB63EE}"/>
  </w:font>
  <w:font w:name="方正小标宋简体">
    <w:panose1 w:val="02010600010101010101"/>
    <w:charset w:val="86"/>
    <w:family w:val="auto"/>
    <w:pitch w:val="default"/>
    <w:sig w:usb0="00000001" w:usb1="080E0000" w:usb2="00000000" w:usb3="00000000" w:csb0="00040000" w:csb1="00000000"/>
    <w:embedRegular r:id="rId5" w:fontKey="{3A9E33DC-A32D-4E99-8C67-81A5C2BA26AC}"/>
  </w:font>
  <w:font w:name="新宋体">
    <w:panose1 w:val="02010609030101010101"/>
    <w:charset w:val="86"/>
    <w:family w:val="auto"/>
    <w:pitch w:val="default"/>
    <w:sig w:usb0="00000203" w:usb1="288F0000" w:usb2="00000006" w:usb3="00000000" w:csb0="00040001" w:csb1="00000000"/>
    <w:embedRegular r:id="rId6" w:fontKey="{E9346547-F88A-4BED-B126-BDB364BF5F2F}"/>
  </w:font>
  <w:font w:name="楷体">
    <w:panose1 w:val="02010609060101010101"/>
    <w:charset w:val="86"/>
    <w:family w:val="auto"/>
    <w:pitch w:val="default"/>
    <w:sig w:usb0="800002BF" w:usb1="38CF7CFA" w:usb2="00000016" w:usb3="00000000" w:csb0="00040001" w:csb1="00000000"/>
    <w:embedRegular r:id="rId7" w:fontKey="{D09DC9E0-1074-42C9-B189-783AD2F95AAA}"/>
  </w:font>
  <w:font w:name="仿宋_GB2312">
    <w:altName w:val="仿宋"/>
    <w:panose1 w:val="02010609030101010101"/>
    <w:charset w:val="86"/>
    <w:family w:val="auto"/>
    <w:pitch w:val="default"/>
    <w:sig w:usb0="00000000" w:usb1="00000000" w:usb2="00000000" w:usb3="00000000" w:csb0="00040000" w:csb1="00000000"/>
    <w:embedRegular r:id="rId8" w:fontKey="{F3B7C92D-B617-4F25-B32C-D4A988671FA6}"/>
  </w:font>
  <w:font w:name="WPSEMBED1">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2"/>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9809D">
    <w:pPr>
      <w:widowControl/>
      <w:kinsoku w:val="0"/>
      <w:autoSpaceDE w:val="0"/>
      <w:autoSpaceDN w:val="0"/>
      <w:adjustRightInd w:val="0"/>
      <w:snapToGrid w:val="0"/>
      <w:spacing w:line="236" w:lineRule="auto"/>
      <w:jc w:val="left"/>
      <w:textAlignment w:val="baseline"/>
      <w:rPr>
        <w:rFonts w:ascii="宋体" w:hAnsi="宋体" w:eastAsia="宋体" w:cs="宋体"/>
        <w:snapToGrid w:val="0"/>
        <w:color w:val="000000"/>
        <w:kern w:val="0"/>
        <w:sz w:val="40"/>
        <w:szCs w:val="40"/>
        <w:lang w:eastAsia="en-US"/>
      </w:rPr>
    </w:pPr>
    <w:r>
      <w:rPr>
        <w:rFonts w:ascii="宋体" w:hAnsi="宋体" w:eastAsia="宋体" w:cs="宋体"/>
        <w:snapToGrid w:val="0"/>
        <w:color w:val="000000"/>
        <w:spacing w:val="-5"/>
        <w:kern w:val="0"/>
        <w:sz w:val="40"/>
        <w:szCs w:val="40"/>
        <w:lang w:eastAsia="en-US"/>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52269">
    <w:pPr>
      <w:widowControl/>
      <w:kinsoku w:val="0"/>
      <w:autoSpaceDE w:val="0"/>
      <w:autoSpaceDN w:val="0"/>
      <w:adjustRightInd w:val="0"/>
      <w:snapToGrid w:val="0"/>
      <w:spacing w:line="14" w:lineRule="auto"/>
      <w:jc w:val="left"/>
      <w:textAlignment w:val="baseline"/>
      <w:rPr>
        <w:rFonts w:ascii="Arial" w:hAnsi="Arial" w:eastAsia="Arial" w:cs="Arial"/>
        <w:snapToGrid w:val="0"/>
        <w:color w:val="000000"/>
        <w:kern w:val="0"/>
        <w:sz w:val="2"/>
        <w:szCs w:val="21"/>
        <w:lang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8E2022"/>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8130E"/>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9525D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13E61"/>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1F732F"/>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DC5877"/>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835D8"/>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8D0A96"/>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B87DED"/>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AE76CD"/>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DA6504"/>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DD102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2BB8"/>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8000</Words>
  <Characters>8720</Characters>
  <Lines>0</Lines>
  <Paragraphs>0</Paragraphs>
  <TotalTime>4</TotalTime>
  <ScaleCrop>false</ScaleCrop>
  <LinksUpToDate>false</LinksUpToDate>
  <CharactersWithSpaces>8746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2026-08-24T08:28:04Z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4B5FDDC259FB49A4A0EBEC5A4BB60567_11</vt:lpwstr>
  </property>
  <property fmtid="{D5CDD505-2E9C-101B-9397-08002B2CF9AE}" pid="4" name="KSOTemplateDocerSaveRecord">
    <vt:lpwstr>eyJoZGlkIjoiM2ExM2I1Y2E5MTg1NzJhN2FkNjlmNDg5OTI5OGY3ZTQiLCJ1c2VySWQiOiI0MTQ2OTI3NDEifQ==</vt:lpwstr>
  </property>
</Properties>
</file>