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岳阳市岳阳楼区洛王街道办事处</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center"/>
          </w:tcPr>
          <w:p w14:paraId="4AB54792">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59</w:t>
            </w:r>
          </w:p>
        </w:tc>
        <w:tc>
          <w:tcPr>
            <w:tcW w:w="2254" w:type="dxa"/>
            <w:gridSpan w:val="2"/>
            <w:vAlign w:val="center"/>
          </w:tcPr>
          <w:p w14:paraId="1C536A8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58</w:t>
            </w:r>
          </w:p>
        </w:tc>
        <w:tc>
          <w:tcPr>
            <w:tcW w:w="1750" w:type="dxa"/>
            <w:gridSpan w:val="2"/>
            <w:vAlign w:val="center"/>
          </w:tcPr>
          <w:p w14:paraId="3CE81DC9">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98.31%</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3B56339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4F71E97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3C548A6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1E4877B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2FC72C42">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25C7E019">
            <w:pPr>
              <w:keepNext w:val="0"/>
              <w:keepLines w:val="0"/>
              <w:widowControl/>
              <w:suppressLineNumbers w:val="0"/>
              <w:jc w:val="center"/>
              <w:textAlignment w:val="center"/>
              <w:rPr>
                <w:rFonts w:hint="eastAsia" w:ascii="宋体" w:hAnsi="宋体" w:eastAsia="宋体" w:cs="宋体"/>
                <w:color w:val="000000"/>
                <w:sz w:val="24"/>
                <w:szCs w:val="24"/>
              </w:rPr>
            </w:pP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65312D3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00B9A7E5">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01540FBB">
            <w:pPr>
              <w:keepNext w:val="0"/>
              <w:keepLines w:val="0"/>
              <w:widowControl/>
              <w:suppressLineNumbers w:val="0"/>
              <w:jc w:val="center"/>
              <w:textAlignment w:val="center"/>
              <w:rPr>
                <w:rFonts w:hint="eastAsia" w:ascii="宋体" w:hAnsi="宋体" w:eastAsia="宋体" w:cs="宋体"/>
                <w:color w:val="000000"/>
                <w:sz w:val="24"/>
                <w:szCs w:val="24"/>
              </w:rPr>
            </w:pP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F1237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30131B3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7780B7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34D0E98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719A0D6C">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5B8B122A">
            <w:pPr>
              <w:keepNext w:val="0"/>
              <w:keepLines w:val="0"/>
              <w:widowControl/>
              <w:suppressLineNumbers w:val="0"/>
              <w:jc w:val="center"/>
              <w:textAlignment w:val="center"/>
              <w:rPr>
                <w:rFonts w:hint="eastAsia" w:ascii="宋体" w:hAnsi="宋体" w:eastAsia="宋体" w:cs="宋体"/>
                <w:color w:val="000000"/>
                <w:sz w:val="24"/>
                <w:szCs w:val="24"/>
              </w:rPr>
            </w:pP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910DF6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6E1F5970">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35853D59">
            <w:pPr>
              <w:keepNext w:val="0"/>
              <w:keepLines w:val="0"/>
              <w:widowControl/>
              <w:suppressLineNumbers w:val="0"/>
              <w:jc w:val="center"/>
              <w:textAlignment w:val="center"/>
              <w:rPr>
                <w:rFonts w:hint="eastAsia" w:ascii="宋体" w:hAnsi="宋体" w:eastAsia="宋体" w:cs="宋体"/>
                <w:color w:val="000000"/>
                <w:sz w:val="24"/>
                <w:szCs w:val="24"/>
              </w:rPr>
            </w:pP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579CB865">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1657.93</w:t>
            </w:r>
          </w:p>
        </w:tc>
        <w:tc>
          <w:tcPr>
            <w:tcW w:w="2254" w:type="dxa"/>
            <w:gridSpan w:val="2"/>
            <w:vAlign w:val="center"/>
          </w:tcPr>
          <w:p w14:paraId="1094E5DA">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429</w:t>
            </w:r>
          </w:p>
        </w:tc>
        <w:tc>
          <w:tcPr>
            <w:tcW w:w="1750" w:type="dxa"/>
            <w:gridSpan w:val="2"/>
            <w:vAlign w:val="center"/>
          </w:tcPr>
          <w:p w14:paraId="783FFD84">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4727.04</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867F6C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center"/>
          </w:tcPr>
          <w:p w14:paraId="134EE476">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1010.50</w:t>
            </w:r>
          </w:p>
        </w:tc>
        <w:tc>
          <w:tcPr>
            <w:tcW w:w="2254" w:type="dxa"/>
            <w:gridSpan w:val="2"/>
            <w:vAlign w:val="center"/>
          </w:tcPr>
          <w:p w14:paraId="4FC6071B">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1F33F3A1">
            <w:pPr>
              <w:keepNext w:val="0"/>
              <w:keepLines w:val="0"/>
              <w:widowControl/>
              <w:suppressLineNumbers w:val="0"/>
              <w:jc w:val="both"/>
              <w:textAlignment w:val="center"/>
              <w:rPr>
                <w:rFonts w:hint="default" w:ascii="宋体" w:hAnsi="宋体" w:eastAsia="宋体" w:cs="宋体"/>
                <w:color w:val="000000"/>
                <w:sz w:val="24"/>
                <w:szCs w:val="24"/>
                <w:lang w:val="en-US" w:eastAsia="zh-CN"/>
              </w:rPr>
            </w:pP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E6309A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center"/>
          </w:tcPr>
          <w:p w14:paraId="456EEA9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549EA2E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29FB08B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254251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w:t>
            </w:r>
            <w:r>
              <w:rPr>
                <w:rFonts w:hint="eastAsia" w:ascii="宋体" w:hAnsi="宋体" w:eastAsia="宋体" w:cs="宋体"/>
                <w:color w:val="000000"/>
                <w:spacing w:val="1"/>
                <w:sz w:val="24"/>
                <w:szCs w:val="24"/>
                <w:lang w:val="en-US" w:eastAsia="zh-CN"/>
              </w:rPr>
              <w:t>本级</w:t>
            </w:r>
            <w:r>
              <w:rPr>
                <w:rFonts w:hint="eastAsia" w:ascii="宋体" w:hAnsi="宋体" w:eastAsia="宋体" w:cs="宋体"/>
                <w:color w:val="000000"/>
                <w:spacing w:val="1"/>
                <w:sz w:val="24"/>
                <w:szCs w:val="24"/>
              </w:rPr>
              <w:t>专项资金(一个专项一行)</w:t>
            </w:r>
          </w:p>
        </w:tc>
        <w:tc>
          <w:tcPr>
            <w:tcW w:w="1815" w:type="dxa"/>
            <w:gridSpan w:val="2"/>
            <w:shd w:val="clear" w:color="auto" w:fill="auto"/>
            <w:vAlign w:val="center"/>
          </w:tcPr>
          <w:p w14:paraId="6E2C2DD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647.43</w:t>
            </w:r>
          </w:p>
        </w:tc>
        <w:tc>
          <w:tcPr>
            <w:tcW w:w="2254" w:type="dxa"/>
            <w:gridSpan w:val="2"/>
            <w:vAlign w:val="center"/>
          </w:tcPr>
          <w:p w14:paraId="0C5BB5E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4D0772A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kern w:val="2"/>
                <w:sz w:val="24"/>
                <w:szCs w:val="24"/>
                <w:lang w:val="en-US" w:eastAsia="zh-CN" w:bidi="ar-SA"/>
              </w:rPr>
              <w:t>4727.04</w:t>
            </w:r>
          </w:p>
        </w:tc>
      </w:tr>
      <w:tr w14:paraId="5EB43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2677025A">
            <w:pPr>
              <w:spacing w:before="133" w:line="200" w:lineRule="auto"/>
              <w:ind w:left="384" w:firstLine="242" w:firstLineChars="100"/>
              <w:jc w:val="left"/>
              <w:rPr>
                <w:rFonts w:hint="eastAsia" w:ascii="宋体" w:hAnsi="宋体" w:eastAsia="宋体" w:cs="宋体"/>
                <w:color w:val="000000"/>
                <w:spacing w:val="1"/>
                <w:sz w:val="24"/>
                <w:szCs w:val="24"/>
              </w:rPr>
            </w:pPr>
            <w:r>
              <w:rPr>
                <w:rFonts w:hint="eastAsia" w:ascii="宋体" w:hAnsi="宋体" w:eastAsia="宋体" w:cs="宋体"/>
                <w:color w:val="000000"/>
                <w:spacing w:val="1"/>
                <w:sz w:val="24"/>
                <w:szCs w:val="24"/>
                <w:lang w:val="en-US" w:eastAsia="zh-CN"/>
              </w:rPr>
              <w:t>股室资金</w:t>
            </w:r>
          </w:p>
        </w:tc>
        <w:tc>
          <w:tcPr>
            <w:tcW w:w="1815" w:type="dxa"/>
            <w:gridSpan w:val="2"/>
            <w:shd w:val="clear" w:color="auto" w:fill="auto"/>
            <w:vAlign w:val="center"/>
          </w:tcPr>
          <w:p w14:paraId="18AB7228">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6019C99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7F71E7D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116.48</w:t>
            </w:r>
          </w:p>
        </w:tc>
      </w:tr>
      <w:tr w14:paraId="75A8A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A554577">
            <w:pPr>
              <w:spacing w:before="133" w:line="200"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城管环卫资金</w:t>
            </w:r>
          </w:p>
        </w:tc>
        <w:tc>
          <w:tcPr>
            <w:tcW w:w="1815" w:type="dxa"/>
            <w:gridSpan w:val="2"/>
            <w:shd w:val="clear" w:color="auto" w:fill="auto"/>
            <w:vAlign w:val="center"/>
          </w:tcPr>
          <w:p w14:paraId="7BBF353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114E1CAA">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0F70ACEC">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437.5</w:t>
            </w:r>
          </w:p>
        </w:tc>
      </w:tr>
      <w:tr w14:paraId="64144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617FAD5">
            <w:pPr>
              <w:spacing w:before="133" w:line="200"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民政资金</w:t>
            </w:r>
          </w:p>
        </w:tc>
        <w:tc>
          <w:tcPr>
            <w:tcW w:w="1815" w:type="dxa"/>
            <w:gridSpan w:val="2"/>
            <w:shd w:val="clear" w:color="auto" w:fill="auto"/>
            <w:vAlign w:val="center"/>
          </w:tcPr>
          <w:p w14:paraId="3BDC145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2CA31CDD">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756A346C">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4.82</w:t>
            </w:r>
          </w:p>
        </w:tc>
      </w:tr>
      <w:tr w14:paraId="4228D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478C9267">
            <w:pPr>
              <w:spacing w:before="133" w:line="200"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便民服务中心建设</w:t>
            </w:r>
          </w:p>
        </w:tc>
        <w:tc>
          <w:tcPr>
            <w:tcW w:w="1815" w:type="dxa"/>
            <w:gridSpan w:val="2"/>
            <w:shd w:val="clear" w:color="auto" w:fill="auto"/>
            <w:vAlign w:val="center"/>
          </w:tcPr>
          <w:p w14:paraId="79680DC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54" w:type="dxa"/>
            <w:gridSpan w:val="2"/>
            <w:vAlign w:val="center"/>
          </w:tcPr>
          <w:p w14:paraId="60F3235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1F70B72C">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1233</w:t>
            </w:r>
          </w:p>
        </w:tc>
      </w:tr>
      <w:tr w14:paraId="042A8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1D86AFD1">
            <w:pPr>
              <w:spacing w:before="133" w:line="200"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洛王新天地小区北侧排水设施改造</w:t>
            </w:r>
          </w:p>
        </w:tc>
        <w:tc>
          <w:tcPr>
            <w:tcW w:w="1815" w:type="dxa"/>
            <w:gridSpan w:val="2"/>
            <w:shd w:val="clear" w:color="auto" w:fill="auto"/>
            <w:vAlign w:val="center"/>
          </w:tcPr>
          <w:p w14:paraId="0F0BCFD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54" w:type="dxa"/>
            <w:gridSpan w:val="2"/>
            <w:vAlign w:val="center"/>
          </w:tcPr>
          <w:p w14:paraId="3154761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2CC0774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2500.58</w:t>
            </w:r>
          </w:p>
        </w:tc>
      </w:tr>
      <w:tr w14:paraId="4DEB2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76FFB17A">
            <w:pPr>
              <w:spacing w:before="133" w:line="200"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日常运转资金</w:t>
            </w:r>
          </w:p>
        </w:tc>
        <w:tc>
          <w:tcPr>
            <w:tcW w:w="1815" w:type="dxa"/>
            <w:gridSpan w:val="2"/>
            <w:shd w:val="clear" w:color="auto" w:fill="auto"/>
            <w:vAlign w:val="center"/>
          </w:tcPr>
          <w:p w14:paraId="5FBBA2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54" w:type="dxa"/>
            <w:gridSpan w:val="2"/>
            <w:vAlign w:val="center"/>
          </w:tcPr>
          <w:p w14:paraId="3CC882A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2A2545A5">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257.95</w:t>
            </w:r>
          </w:p>
        </w:tc>
      </w:tr>
      <w:tr w14:paraId="07764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44F2F1E8">
            <w:pPr>
              <w:spacing w:before="133" w:line="200"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计生资金</w:t>
            </w:r>
          </w:p>
        </w:tc>
        <w:tc>
          <w:tcPr>
            <w:tcW w:w="1815" w:type="dxa"/>
            <w:gridSpan w:val="2"/>
            <w:shd w:val="clear" w:color="auto" w:fill="auto"/>
            <w:vAlign w:val="center"/>
          </w:tcPr>
          <w:p w14:paraId="0C6ED8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54" w:type="dxa"/>
            <w:gridSpan w:val="2"/>
            <w:vAlign w:val="center"/>
          </w:tcPr>
          <w:p w14:paraId="0B0BC9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4EFD28A5">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1.59</w:t>
            </w:r>
          </w:p>
        </w:tc>
      </w:tr>
      <w:tr w14:paraId="1D1A4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096E2463">
            <w:pPr>
              <w:spacing w:before="133" w:line="200"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控违资金</w:t>
            </w:r>
          </w:p>
        </w:tc>
        <w:tc>
          <w:tcPr>
            <w:tcW w:w="1815" w:type="dxa"/>
            <w:gridSpan w:val="2"/>
            <w:shd w:val="clear" w:color="auto" w:fill="auto"/>
            <w:vAlign w:val="center"/>
          </w:tcPr>
          <w:p w14:paraId="3EB9F89D">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729B7C2C">
            <w:pPr>
              <w:keepNext w:val="0"/>
              <w:keepLines w:val="0"/>
              <w:widowControl/>
              <w:suppressLineNumbers w:val="0"/>
              <w:jc w:val="center"/>
              <w:textAlignment w:val="center"/>
              <w:rPr>
                <w:rFonts w:hint="eastAsia" w:ascii="宋体" w:hAnsi="宋体" w:eastAsia="宋体" w:cs="宋体"/>
                <w:color w:val="000000"/>
                <w:sz w:val="24"/>
                <w:szCs w:val="24"/>
              </w:rPr>
            </w:pPr>
            <w:bookmarkStart w:id="0" w:name="_GoBack"/>
            <w:bookmarkEnd w:id="0"/>
          </w:p>
        </w:tc>
        <w:tc>
          <w:tcPr>
            <w:tcW w:w="1750" w:type="dxa"/>
            <w:gridSpan w:val="2"/>
            <w:vAlign w:val="center"/>
          </w:tcPr>
          <w:p w14:paraId="5126A070">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13.94</w:t>
            </w:r>
          </w:p>
        </w:tc>
      </w:tr>
      <w:tr w14:paraId="024CD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3659D721">
            <w:pPr>
              <w:spacing w:before="133" w:line="200"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五经普资金</w:t>
            </w:r>
          </w:p>
        </w:tc>
        <w:tc>
          <w:tcPr>
            <w:tcW w:w="1815" w:type="dxa"/>
            <w:gridSpan w:val="2"/>
            <w:shd w:val="clear" w:color="auto" w:fill="auto"/>
            <w:vAlign w:val="center"/>
          </w:tcPr>
          <w:p w14:paraId="59E2560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54" w:type="dxa"/>
            <w:gridSpan w:val="2"/>
            <w:vAlign w:val="center"/>
          </w:tcPr>
          <w:p w14:paraId="4D114A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6EB8F95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11.69</w:t>
            </w:r>
          </w:p>
        </w:tc>
      </w:tr>
      <w:tr w14:paraId="708AF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6F1D3915">
            <w:pPr>
              <w:spacing w:before="133" w:line="200"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人社资金</w:t>
            </w:r>
          </w:p>
        </w:tc>
        <w:tc>
          <w:tcPr>
            <w:tcW w:w="1815" w:type="dxa"/>
            <w:gridSpan w:val="2"/>
            <w:shd w:val="clear" w:color="auto" w:fill="auto"/>
            <w:vAlign w:val="center"/>
          </w:tcPr>
          <w:p w14:paraId="4286EFB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54" w:type="dxa"/>
            <w:gridSpan w:val="2"/>
            <w:vAlign w:val="center"/>
          </w:tcPr>
          <w:p w14:paraId="288C3A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03BEFEA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5.65</w:t>
            </w: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537A4D3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170.54</w:t>
            </w:r>
          </w:p>
        </w:tc>
        <w:tc>
          <w:tcPr>
            <w:tcW w:w="2254" w:type="dxa"/>
            <w:gridSpan w:val="2"/>
            <w:vAlign w:val="center"/>
          </w:tcPr>
          <w:p w14:paraId="269A9575">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109.8</w:t>
            </w:r>
          </w:p>
        </w:tc>
        <w:tc>
          <w:tcPr>
            <w:tcW w:w="1750" w:type="dxa"/>
            <w:gridSpan w:val="2"/>
            <w:vAlign w:val="center"/>
          </w:tcPr>
          <w:p w14:paraId="6656F26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default" w:ascii="宋体" w:hAnsi="宋体" w:eastAsia="宋体" w:cs="宋体"/>
                <w:color w:val="000000"/>
                <w:kern w:val="2"/>
                <w:sz w:val="24"/>
                <w:szCs w:val="24"/>
                <w:lang w:val="en-US" w:eastAsia="zh-CN" w:bidi="ar-SA"/>
              </w:rPr>
              <w:t>112.89</w:t>
            </w: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86.98</w:t>
            </w:r>
          </w:p>
        </w:tc>
        <w:tc>
          <w:tcPr>
            <w:tcW w:w="2254" w:type="dxa"/>
            <w:gridSpan w:val="2"/>
            <w:vAlign w:val="center"/>
          </w:tcPr>
          <w:p w14:paraId="56CE4FB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15</w:t>
            </w:r>
          </w:p>
        </w:tc>
        <w:tc>
          <w:tcPr>
            <w:tcW w:w="1750" w:type="dxa"/>
            <w:gridSpan w:val="2"/>
            <w:vAlign w:val="center"/>
          </w:tcPr>
          <w:p w14:paraId="520D8EE4">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10.11</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8.42</w:t>
            </w:r>
          </w:p>
        </w:tc>
        <w:tc>
          <w:tcPr>
            <w:tcW w:w="2254" w:type="dxa"/>
            <w:gridSpan w:val="2"/>
            <w:vAlign w:val="center"/>
          </w:tcPr>
          <w:p w14:paraId="67D7DD2C">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1.9</w:t>
            </w:r>
          </w:p>
        </w:tc>
        <w:tc>
          <w:tcPr>
            <w:tcW w:w="1750" w:type="dxa"/>
            <w:gridSpan w:val="2"/>
            <w:vAlign w:val="center"/>
          </w:tcPr>
          <w:p w14:paraId="17ACC5F1">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2.68</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0.81</w:t>
            </w:r>
          </w:p>
        </w:tc>
        <w:tc>
          <w:tcPr>
            <w:tcW w:w="2254" w:type="dxa"/>
            <w:gridSpan w:val="2"/>
            <w:vAlign w:val="center"/>
          </w:tcPr>
          <w:p w14:paraId="2B9FDBD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0.3</w:t>
            </w:r>
          </w:p>
        </w:tc>
        <w:tc>
          <w:tcPr>
            <w:tcW w:w="1750" w:type="dxa"/>
            <w:gridSpan w:val="2"/>
            <w:vAlign w:val="center"/>
          </w:tcPr>
          <w:p w14:paraId="16867AC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0.35</w:t>
            </w: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90.06</w:t>
            </w:r>
          </w:p>
        </w:tc>
        <w:tc>
          <w:tcPr>
            <w:tcW w:w="2254" w:type="dxa"/>
            <w:gridSpan w:val="2"/>
            <w:vAlign w:val="center"/>
          </w:tcPr>
          <w:p w14:paraId="117B7920">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227.5</w:t>
            </w:r>
          </w:p>
        </w:tc>
        <w:tc>
          <w:tcPr>
            <w:tcW w:w="1750" w:type="dxa"/>
            <w:gridSpan w:val="2"/>
            <w:vAlign w:val="center"/>
          </w:tcPr>
          <w:p w14:paraId="5563A2F5">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961.21</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5E549C57">
            <w:pPr>
              <w:rPr>
                <w:rFonts w:hint="eastAsia" w:ascii="宋体" w:hAnsi="宋体" w:eastAsia="宋体" w:cs="宋体"/>
                <w:color w:val="000000"/>
                <w:sz w:val="24"/>
                <w:szCs w:val="24"/>
              </w:rPr>
            </w:pPr>
          </w:p>
        </w:tc>
        <w:tc>
          <w:tcPr>
            <w:tcW w:w="2254" w:type="dxa"/>
            <w:gridSpan w:val="2"/>
            <w:vAlign w:val="top"/>
          </w:tcPr>
          <w:p w14:paraId="09E890F4">
            <w:pPr>
              <w:rPr>
                <w:rFonts w:hint="eastAsia" w:ascii="宋体" w:hAnsi="宋体" w:eastAsia="宋体" w:cs="宋体"/>
                <w:color w:val="000000"/>
                <w:sz w:val="24"/>
                <w:szCs w:val="24"/>
              </w:rPr>
            </w:pPr>
          </w:p>
        </w:tc>
        <w:tc>
          <w:tcPr>
            <w:tcW w:w="1750" w:type="dxa"/>
            <w:gridSpan w:val="2"/>
            <w:vAlign w:val="top"/>
          </w:tcPr>
          <w:p w14:paraId="1B64B7EF">
            <w:pPr>
              <w:rPr>
                <w:rFonts w:hint="eastAsia" w:ascii="宋体" w:hAnsi="宋体" w:eastAsia="宋体" w:cs="宋体"/>
                <w:color w:val="000000"/>
                <w:sz w:val="24"/>
                <w:szCs w:val="24"/>
              </w:rPr>
            </w:pP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top"/>
          </w:tcPr>
          <w:p w14:paraId="02268D98">
            <w:pPr>
              <w:rPr>
                <w:rFonts w:hint="eastAsia" w:ascii="宋体" w:hAnsi="宋体" w:eastAsia="宋体" w:cs="宋体"/>
                <w:color w:val="000000"/>
                <w:sz w:val="21"/>
              </w:rPr>
            </w:pPr>
          </w:p>
        </w:tc>
        <w:tc>
          <w:tcPr>
            <w:tcW w:w="990" w:type="dxa"/>
            <w:vAlign w:val="top"/>
          </w:tcPr>
          <w:p w14:paraId="6E26E96E">
            <w:pPr>
              <w:rPr>
                <w:rFonts w:hint="eastAsia" w:ascii="宋体" w:hAnsi="宋体" w:eastAsia="宋体" w:cs="宋体"/>
                <w:color w:val="000000"/>
                <w:sz w:val="21"/>
              </w:rPr>
            </w:pPr>
          </w:p>
        </w:tc>
        <w:tc>
          <w:tcPr>
            <w:tcW w:w="1140" w:type="dxa"/>
            <w:vAlign w:val="top"/>
          </w:tcPr>
          <w:p w14:paraId="02A5B55D">
            <w:pPr>
              <w:rPr>
                <w:rFonts w:hint="eastAsia" w:ascii="宋体" w:hAnsi="宋体" w:eastAsia="宋体" w:cs="宋体"/>
                <w:color w:val="000000"/>
                <w:sz w:val="21"/>
              </w:rPr>
            </w:pPr>
          </w:p>
        </w:tc>
        <w:tc>
          <w:tcPr>
            <w:tcW w:w="1114" w:type="dxa"/>
            <w:vAlign w:val="top"/>
          </w:tcPr>
          <w:p w14:paraId="66EEB18D">
            <w:pPr>
              <w:rPr>
                <w:rFonts w:hint="eastAsia" w:ascii="宋体" w:hAnsi="宋体" w:eastAsia="宋体" w:cs="宋体"/>
                <w:color w:val="000000"/>
                <w:sz w:val="21"/>
              </w:rPr>
            </w:pPr>
          </w:p>
        </w:tc>
        <w:tc>
          <w:tcPr>
            <w:tcW w:w="881" w:type="dxa"/>
            <w:vAlign w:val="top"/>
          </w:tcPr>
          <w:p w14:paraId="5A860F1D">
            <w:pPr>
              <w:rPr>
                <w:rFonts w:hint="eastAsia" w:ascii="宋体" w:hAnsi="宋体" w:eastAsia="宋体" w:cs="宋体"/>
                <w:color w:val="000000"/>
                <w:sz w:val="21"/>
              </w:rPr>
            </w:pPr>
          </w:p>
        </w:tc>
        <w:tc>
          <w:tcPr>
            <w:tcW w:w="869" w:type="dxa"/>
            <w:vAlign w:val="top"/>
          </w:tcPr>
          <w:p w14:paraId="20F00850">
            <w:pP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6A596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r>
              <w:rPr>
                <w:rFonts w:hint="eastAsia" w:ascii="宋体" w:hAnsi="宋体" w:eastAsia="宋体" w:cs="宋体"/>
                <w:color w:val="000000"/>
                <w:sz w:val="21"/>
              </w:rPr>
              <w:t>节约用水用电，办公用品的领取有专人保管，按人员分配。</w:t>
            </w:r>
          </w:p>
        </w:tc>
      </w:tr>
    </w:tbl>
    <w:p w14:paraId="3167EC7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7AC41FF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2785A671">
      <w:pPr>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br w:type="page"/>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44"/>
        <w:gridCol w:w="1053"/>
        <w:gridCol w:w="1580"/>
        <w:gridCol w:w="1212"/>
        <w:gridCol w:w="1286"/>
        <w:gridCol w:w="735"/>
        <w:gridCol w:w="739"/>
        <w:gridCol w:w="1450"/>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1"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002" w:type="dxa"/>
            <w:gridSpan w:val="6"/>
            <w:vAlign w:val="top"/>
          </w:tcPr>
          <w:p w14:paraId="79C329C0">
            <w:pPr>
              <w:pStyle w:val="9"/>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岳阳市岳阳楼区洛王街道办事处</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9"/>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1997" w:type="dxa"/>
            <w:gridSpan w:val="2"/>
            <w:vAlign w:val="top"/>
          </w:tcPr>
          <w:p w14:paraId="58EA4AAC">
            <w:pPr>
              <w:pStyle w:val="9"/>
              <w:spacing w:line="235" w:lineRule="exact"/>
              <w:rPr>
                <w:rFonts w:hint="eastAsia" w:ascii="宋体" w:hAnsi="宋体" w:eastAsia="宋体" w:cs="宋体"/>
                <w:sz w:val="20"/>
              </w:rPr>
            </w:pPr>
          </w:p>
        </w:tc>
        <w:tc>
          <w:tcPr>
            <w:tcW w:w="1580"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12"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6"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35"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9"/>
              <w:rPr>
                <w:rFonts w:hint="eastAsia" w:ascii="宋体" w:hAnsi="宋体" w:eastAsia="宋体" w:cs="宋体"/>
              </w:rPr>
            </w:pPr>
          </w:p>
        </w:tc>
        <w:tc>
          <w:tcPr>
            <w:tcW w:w="1997"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580" w:type="dxa"/>
            <w:vAlign w:val="center"/>
          </w:tcPr>
          <w:p w14:paraId="5247C3F1">
            <w:pPr>
              <w:spacing w:before="21" w:line="207" w:lineRule="auto"/>
              <w:jc w:val="center"/>
              <w:rPr>
                <w:rFonts w:hint="eastAsia" w:ascii="宋体" w:hAnsi="宋体" w:eastAsia="宋体" w:cs="宋体"/>
                <w:spacing w:val="1"/>
                <w:sz w:val="19"/>
                <w:szCs w:val="19"/>
                <w:highlight w:val="none"/>
                <w:lang w:val="en-US" w:eastAsia="zh-CN"/>
              </w:rPr>
            </w:pPr>
            <w:r>
              <w:rPr>
                <w:rFonts w:hint="default" w:ascii="宋体" w:hAnsi="宋体" w:eastAsia="宋体" w:cs="宋体"/>
                <w:spacing w:val="1"/>
                <w:sz w:val="19"/>
                <w:szCs w:val="19"/>
                <w:highlight w:val="none"/>
                <w:lang w:val="en-US" w:eastAsia="zh-CN"/>
              </w:rPr>
              <w:t>1447.51</w:t>
            </w:r>
          </w:p>
        </w:tc>
        <w:tc>
          <w:tcPr>
            <w:tcW w:w="1212" w:type="dxa"/>
            <w:vAlign w:val="center"/>
          </w:tcPr>
          <w:p w14:paraId="122C9419">
            <w:pPr>
              <w:spacing w:before="21" w:line="207" w:lineRule="auto"/>
              <w:jc w:val="center"/>
              <w:rPr>
                <w:rFonts w:hint="eastAsia" w:ascii="宋体" w:hAnsi="宋体" w:eastAsia="宋体" w:cs="宋体"/>
                <w:spacing w:val="1"/>
                <w:sz w:val="19"/>
                <w:szCs w:val="19"/>
                <w:highlight w:val="none"/>
                <w:lang w:val="en-US" w:eastAsia="zh-CN"/>
              </w:rPr>
            </w:pPr>
            <w:r>
              <w:rPr>
                <w:rFonts w:hint="default" w:ascii="宋体" w:hAnsi="宋体" w:eastAsia="宋体" w:cs="宋体"/>
                <w:spacing w:val="1"/>
                <w:sz w:val="19"/>
                <w:szCs w:val="19"/>
                <w:highlight w:val="none"/>
                <w:lang w:val="en-US" w:eastAsia="zh-CN"/>
              </w:rPr>
              <w:t>6800.86</w:t>
            </w:r>
          </w:p>
        </w:tc>
        <w:tc>
          <w:tcPr>
            <w:tcW w:w="1286" w:type="dxa"/>
            <w:vAlign w:val="center"/>
          </w:tcPr>
          <w:p w14:paraId="3E29C041">
            <w:pPr>
              <w:spacing w:before="21" w:line="207" w:lineRule="auto"/>
              <w:jc w:val="center"/>
              <w:rPr>
                <w:rFonts w:hint="eastAsia" w:ascii="宋体" w:hAnsi="宋体" w:eastAsia="宋体" w:cs="宋体"/>
                <w:spacing w:val="1"/>
                <w:sz w:val="19"/>
                <w:szCs w:val="19"/>
                <w:highlight w:val="none"/>
                <w:lang w:val="en-US" w:eastAsia="zh-CN"/>
              </w:rPr>
            </w:pPr>
            <w:r>
              <w:rPr>
                <w:rFonts w:hint="default" w:ascii="宋体" w:hAnsi="宋体" w:eastAsia="宋体" w:cs="宋体"/>
                <w:spacing w:val="1"/>
                <w:sz w:val="19"/>
                <w:szCs w:val="19"/>
                <w:highlight w:val="none"/>
                <w:lang w:val="en-US" w:eastAsia="zh-CN"/>
              </w:rPr>
              <w:t>5717.38</w:t>
            </w:r>
          </w:p>
        </w:tc>
        <w:tc>
          <w:tcPr>
            <w:tcW w:w="735" w:type="dxa"/>
            <w:vAlign w:val="center"/>
          </w:tcPr>
          <w:p w14:paraId="7CE703A1">
            <w:pPr>
              <w:spacing w:before="21" w:line="207" w:lineRule="auto"/>
              <w:jc w:val="center"/>
              <w:rPr>
                <w:rFonts w:hint="eastAsia" w:ascii="宋体" w:hAnsi="宋体" w:eastAsia="宋体" w:cs="宋体"/>
                <w:spacing w:val="1"/>
                <w:sz w:val="19"/>
                <w:szCs w:val="19"/>
                <w:highlight w:val="none"/>
                <w:lang w:val="en-US" w:eastAsia="zh-CN"/>
              </w:rPr>
            </w:pPr>
            <w:r>
              <w:rPr>
                <w:rFonts w:hint="default" w:ascii="宋体" w:hAnsi="宋体" w:eastAsia="宋体" w:cs="宋体"/>
                <w:spacing w:val="1"/>
                <w:sz w:val="19"/>
                <w:szCs w:val="19"/>
                <w:highlight w:val="none"/>
                <w:lang w:val="en-US" w:eastAsia="zh-CN"/>
              </w:rPr>
              <w:t>10</w:t>
            </w:r>
          </w:p>
        </w:tc>
        <w:tc>
          <w:tcPr>
            <w:tcW w:w="739" w:type="dxa"/>
            <w:vAlign w:val="center"/>
          </w:tcPr>
          <w:p w14:paraId="0A3E9397">
            <w:pPr>
              <w:spacing w:before="21" w:line="207" w:lineRule="auto"/>
              <w:jc w:val="center"/>
              <w:rPr>
                <w:rFonts w:hint="eastAsia" w:ascii="宋体" w:hAnsi="宋体" w:eastAsia="宋体" w:cs="宋体"/>
                <w:spacing w:val="1"/>
                <w:sz w:val="19"/>
                <w:szCs w:val="19"/>
                <w:highlight w:val="none"/>
                <w:lang w:val="en-US" w:eastAsia="zh-CN"/>
              </w:rPr>
            </w:pPr>
            <w:r>
              <w:rPr>
                <w:rFonts w:hint="default" w:ascii="宋体" w:hAnsi="宋体" w:eastAsia="宋体" w:cs="宋体"/>
                <w:spacing w:val="1"/>
                <w:sz w:val="19"/>
                <w:szCs w:val="19"/>
                <w:highlight w:val="none"/>
                <w:lang w:val="en-US" w:eastAsia="zh-CN"/>
              </w:rPr>
              <w:t>84.06%</w:t>
            </w:r>
          </w:p>
        </w:tc>
        <w:tc>
          <w:tcPr>
            <w:tcW w:w="1450" w:type="dxa"/>
            <w:vAlign w:val="center"/>
          </w:tcPr>
          <w:p w14:paraId="6CA57E7D">
            <w:pPr>
              <w:spacing w:before="21" w:line="207" w:lineRule="auto"/>
              <w:jc w:val="center"/>
              <w:rPr>
                <w:rFonts w:hint="eastAsia" w:ascii="宋体" w:hAnsi="宋体" w:eastAsia="宋体" w:cs="宋体"/>
                <w:spacing w:val="1"/>
                <w:sz w:val="19"/>
                <w:szCs w:val="19"/>
                <w:highlight w:val="none"/>
                <w:lang w:val="en-US" w:eastAsia="zh-CN"/>
              </w:rPr>
            </w:pPr>
            <w:r>
              <w:rPr>
                <w:rFonts w:hint="default" w:ascii="宋体" w:hAnsi="宋体" w:eastAsia="宋体" w:cs="宋体"/>
                <w:spacing w:val="1"/>
                <w:sz w:val="19"/>
                <w:szCs w:val="19"/>
                <w:highlight w:val="none"/>
                <w:lang w:val="en-US" w:eastAsia="zh-CN"/>
              </w:rPr>
              <w:t>8.41</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9"/>
              <w:rPr>
                <w:rFonts w:hint="eastAsia" w:ascii="宋体" w:hAnsi="宋体" w:eastAsia="宋体" w:cs="宋体"/>
              </w:rPr>
            </w:pPr>
          </w:p>
        </w:tc>
        <w:tc>
          <w:tcPr>
            <w:tcW w:w="4789"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210"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9"/>
              <w:rPr>
                <w:rFonts w:hint="eastAsia" w:ascii="宋体" w:hAnsi="宋体" w:eastAsia="宋体" w:cs="宋体"/>
              </w:rPr>
            </w:pPr>
          </w:p>
        </w:tc>
        <w:tc>
          <w:tcPr>
            <w:tcW w:w="4789"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highlight w:val="none"/>
                <w:lang w:val="en-US" w:eastAsia="zh-CN"/>
              </w:rPr>
              <w:t>3079.29</w:t>
            </w:r>
          </w:p>
        </w:tc>
        <w:tc>
          <w:tcPr>
            <w:tcW w:w="4210"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990.34</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9"/>
              <w:rPr>
                <w:rFonts w:hint="eastAsia" w:ascii="宋体" w:hAnsi="宋体" w:eastAsia="宋体" w:cs="宋体"/>
              </w:rPr>
            </w:pPr>
          </w:p>
        </w:tc>
        <w:tc>
          <w:tcPr>
            <w:tcW w:w="4789" w:type="dxa"/>
            <w:gridSpan w:val="4"/>
            <w:vAlign w:val="top"/>
          </w:tcPr>
          <w:p w14:paraId="3475A9B0">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政府性基金拨款：2494.26</w:t>
            </w:r>
          </w:p>
        </w:tc>
        <w:tc>
          <w:tcPr>
            <w:tcW w:w="4210"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4727.04</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9"/>
              <w:rPr>
                <w:rFonts w:hint="eastAsia" w:ascii="宋体" w:hAnsi="宋体" w:eastAsia="宋体" w:cs="宋体"/>
              </w:rPr>
            </w:pPr>
          </w:p>
        </w:tc>
        <w:tc>
          <w:tcPr>
            <w:tcW w:w="4789"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210" w:type="dxa"/>
            <w:gridSpan w:val="4"/>
            <w:vAlign w:val="top"/>
          </w:tcPr>
          <w:p w14:paraId="6172FD80">
            <w:pPr>
              <w:pStyle w:val="9"/>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9"/>
              <w:rPr>
                <w:rFonts w:hint="eastAsia" w:ascii="宋体" w:hAnsi="宋体" w:eastAsia="宋体" w:cs="宋体"/>
              </w:rPr>
            </w:pPr>
          </w:p>
        </w:tc>
        <w:tc>
          <w:tcPr>
            <w:tcW w:w="4789"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highlight w:val="none"/>
                <w:lang w:val="en-US" w:eastAsia="zh-CN"/>
              </w:rPr>
              <w:t>143.84</w:t>
            </w:r>
          </w:p>
        </w:tc>
        <w:tc>
          <w:tcPr>
            <w:tcW w:w="4210" w:type="dxa"/>
            <w:gridSpan w:val="4"/>
            <w:vAlign w:val="top"/>
          </w:tcPr>
          <w:p w14:paraId="492CC969">
            <w:pPr>
              <w:pStyle w:val="9"/>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9"/>
              <w:spacing w:line="242" w:lineRule="auto"/>
              <w:rPr>
                <w:rFonts w:hint="eastAsia" w:ascii="宋体" w:hAnsi="宋体" w:eastAsia="宋体" w:cs="宋体"/>
              </w:rPr>
            </w:pPr>
          </w:p>
          <w:p w14:paraId="56827C23">
            <w:pPr>
              <w:pStyle w:val="9"/>
              <w:spacing w:line="243" w:lineRule="auto"/>
              <w:rPr>
                <w:rFonts w:hint="eastAsia" w:ascii="宋体" w:hAnsi="宋体" w:eastAsia="宋体" w:cs="宋体"/>
              </w:rPr>
            </w:pPr>
          </w:p>
          <w:p w14:paraId="551FB045">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789"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10"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9"/>
              <w:rPr>
                <w:rFonts w:hint="eastAsia" w:ascii="宋体" w:hAnsi="宋体" w:eastAsia="宋体" w:cs="宋体"/>
              </w:rPr>
            </w:pPr>
          </w:p>
        </w:tc>
        <w:tc>
          <w:tcPr>
            <w:tcW w:w="4789" w:type="dxa"/>
            <w:gridSpan w:val="4"/>
            <w:vAlign w:val="center"/>
          </w:tcPr>
          <w:p w14:paraId="2CA2C432">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1、优化营商环境，提高辖区经济发展，完成税收年初下达入库任务 2、促进社会就业，保障社会稳定 3、组织公共服务，完成城镇居民医保征缴工作，征缴率达100% 4、实施综合管理，确保财政资金使用合法合规；控制三公经费变动率；节能降耗、减少水电费开支，水费相较2023年少20吨，电费相较2023年少260度；保障预决算及时公开及工资及时发放 5、维护平安稳定，加强综治治安巡逻，每周不少于两次，提高群众满意度，满意度达95% 6、严抓安全生产工作，保证全年零重大事故发生 7、禁违拆违工作，全年累计拆除存量违法建设不少于125处、面积不少于1.1万平方米</w:t>
            </w:r>
          </w:p>
        </w:tc>
        <w:tc>
          <w:tcPr>
            <w:tcW w:w="4210" w:type="dxa"/>
            <w:gridSpan w:val="4"/>
            <w:vAlign w:val="center"/>
          </w:tcPr>
          <w:p w14:paraId="68748D6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已完成</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tcBorders>
              <w:top w:val="single" w:color="auto" w:sz="4" w:space="0"/>
              <w:left w:val="single" w:color="auto" w:sz="4" w:space="0"/>
              <w:bottom w:val="single" w:color="auto" w:sz="4" w:space="0"/>
              <w:right w:val="single" w:color="auto" w:sz="4" w:space="0"/>
            </w:tcBorders>
            <w:vAlign w:val="center"/>
          </w:tcPr>
          <w:p w14:paraId="137D322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绩效指标</w:t>
            </w:r>
          </w:p>
        </w:tc>
        <w:tc>
          <w:tcPr>
            <w:tcW w:w="944" w:type="dxa"/>
            <w:tcBorders>
              <w:top w:val="single" w:color="auto" w:sz="4" w:space="0"/>
              <w:left w:val="single" w:color="auto" w:sz="4" w:space="0"/>
              <w:bottom w:val="single" w:color="auto" w:sz="4" w:space="0"/>
              <w:right w:val="single" w:color="auto" w:sz="4" w:space="0"/>
            </w:tcBorders>
            <w:vAlign w:val="center"/>
          </w:tcPr>
          <w:p w14:paraId="0C414F2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一级指标</w:t>
            </w:r>
          </w:p>
        </w:tc>
        <w:tc>
          <w:tcPr>
            <w:tcW w:w="1053" w:type="dxa"/>
            <w:tcBorders>
              <w:top w:val="single" w:color="auto" w:sz="4" w:space="0"/>
              <w:left w:val="single" w:color="auto" w:sz="4" w:space="0"/>
              <w:bottom w:val="single" w:color="auto" w:sz="4" w:space="0"/>
              <w:right w:val="single" w:color="auto" w:sz="4" w:space="0"/>
            </w:tcBorders>
            <w:vAlign w:val="center"/>
          </w:tcPr>
          <w:p w14:paraId="5E32652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二级指标</w:t>
            </w:r>
          </w:p>
        </w:tc>
        <w:tc>
          <w:tcPr>
            <w:tcW w:w="1580" w:type="dxa"/>
            <w:tcBorders>
              <w:left w:val="single" w:color="auto" w:sz="4" w:space="0"/>
            </w:tcBorders>
            <w:vAlign w:val="center"/>
          </w:tcPr>
          <w:p w14:paraId="4FF8658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三级指标</w:t>
            </w:r>
          </w:p>
        </w:tc>
        <w:tc>
          <w:tcPr>
            <w:tcW w:w="1212" w:type="dxa"/>
            <w:vAlign w:val="center"/>
          </w:tcPr>
          <w:p w14:paraId="4976760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年度指标值</w:t>
            </w:r>
          </w:p>
        </w:tc>
        <w:tc>
          <w:tcPr>
            <w:tcW w:w="1286" w:type="dxa"/>
            <w:vAlign w:val="center"/>
          </w:tcPr>
          <w:p w14:paraId="5442949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实际完成值</w:t>
            </w:r>
          </w:p>
        </w:tc>
        <w:tc>
          <w:tcPr>
            <w:tcW w:w="735" w:type="dxa"/>
            <w:vAlign w:val="center"/>
          </w:tcPr>
          <w:p w14:paraId="36EBB5C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分值</w:t>
            </w:r>
          </w:p>
        </w:tc>
        <w:tc>
          <w:tcPr>
            <w:tcW w:w="739" w:type="dxa"/>
            <w:vAlign w:val="center"/>
          </w:tcPr>
          <w:p w14:paraId="60CCFA84">
            <w:pPr>
              <w:keepNext w:val="0"/>
              <w:keepLines w:val="0"/>
              <w:widowControl/>
              <w:suppressLineNumbers w:val="0"/>
              <w:jc w:val="center"/>
              <w:textAlignment w:val="center"/>
              <w:rPr>
                <w:rFonts w:hint="eastAsia" w:ascii="宋体" w:hAnsi="宋体" w:eastAsia="宋体" w:cs="宋体"/>
                <w:sz w:val="16"/>
                <w:szCs w:val="16"/>
              </w:rPr>
            </w:pPr>
            <w:r>
              <w:rPr>
                <w:rFonts w:hint="eastAsia" w:ascii="宋体" w:hAnsi="宋体" w:eastAsia="宋体" w:cs="宋体"/>
                <w:b/>
                <w:bCs/>
                <w:i w:val="0"/>
                <w:iCs w:val="0"/>
                <w:color w:val="000000"/>
                <w:kern w:val="0"/>
                <w:sz w:val="18"/>
                <w:szCs w:val="18"/>
                <w:u w:val="none"/>
                <w:lang w:val="en-US" w:eastAsia="zh-CN" w:bidi="ar"/>
              </w:rPr>
              <w:t>得分</w:t>
            </w:r>
          </w:p>
        </w:tc>
        <w:tc>
          <w:tcPr>
            <w:tcW w:w="1450" w:type="dxa"/>
            <w:vAlign w:val="center"/>
          </w:tcPr>
          <w:p w14:paraId="4A7EF8E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偏差原因分析及改进措施</w:t>
            </w: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top w:val="single" w:color="auto" w:sz="4" w:space="0"/>
              <w:left w:val="single" w:color="auto" w:sz="4" w:space="0"/>
              <w:bottom w:val="single" w:color="auto" w:sz="4" w:space="0"/>
              <w:right w:val="single" w:color="auto" w:sz="4" w:space="0"/>
            </w:tcBorders>
            <w:vAlign w:val="center"/>
          </w:tcPr>
          <w:p w14:paraId="772A401E">
            <w:pPr>
              <w:keepNext w:val="0"/>
              <w:keepLines w:val="0"/>
              <w:widowControl/>
              <w:suppressLineNumbers w:val="0"/>
              <w:jc w:val="left"/>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绩效指标</w:t>
            </w: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1F83189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产出指标</w:t>
            </w: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10C9D7C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数量指标</w:t>
            </w:r>
          </w:p>
        </w:tc>
        <w:tc>
          <w:tcPr>
            <w:tcW w:w="1580" w:type="dxa"/>
            <w:tcBorders>
              <w:left w:val="single" w:color="auto" w:sz="4" w:space="0"/>
            </w:tcBorders>
            <w:vAlign w:val="center"/>
          </w:tcPr>
          <w:p w14:paraId="1986C46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禁违拆违工作</w:t>
            </w:r>
          </w:p>
        </w:tc>
        <w:tc>
          <w:tcPr>
            <w:tcW w:w="1212" w:type="dxa"/>
            <w:vAlign w:val="center"/>
          </w:tcPr>
          <w:p w14:paraId="48B94E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286" w:type="dxa"/>
            <w:vAlign w:val="center"/>
          </w:tcPr>
          <w:p w14:paraId="1681B1A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已完成</w:t>
            </w:r>
          </w:p>
        </w:tc>
        <w:tc>
          <w:tcPr>
            <w:tcW w:w="735" w:type="dxa"/>
            <w:vAlign w:val="center"/>
          </w:tcPr>
          <w:p w14:paraId="01C177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622D6C5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344427C2">
            <w:pPr>
              <w:jc w:val="center"/>
              <w:rPr>
                <w:rFonts w:hint="eastAsia" w:ascii="宋体" w:hAnsi="宋体" w:eastAsia="宋体" w:cs="宋体"/>
                <w:sz w:val="21"/>
                <w:szCs w:val="21"/>
              </w:rPr>
            </w:pP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9D92466">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7AD993B2">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0F335145">
            <w:pPr>
              <w:rPr>
                <w:rFonts w:hint="eastAsia" w:ascii="宋体" w:hAnsi="宋体" w:eastAsia="宋体" w:cs="宋体"/>
                <w:sz w:val="21"/>
                <w:szCs w:val="21"/>
              </w:rPr>
            </w:pPr>
          </w:p>
        </w:tc>
        <w:tc>
          <w:tcPr>
            <w:tcW w:w="1580" w:type="dxa"/>
            <w:tcBorders>
              <w:left w:val="single" w:color="auto" w:sz="4" w:space="0"/>
            </w:tcBorders>
            <w:vAlign w:val="center"/>
          </w:tcPr>
          <w:p w14:paraId="710684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文明创建工作</w:t>
            </w:r>
          </w:p>
        </w:tc>
        <w:tc>
          <w:tcPr>
            <w:tcW w:w="1212" w:type="dxa"/>
            <w:vAlign w:val="center"/>
          </w:tcPr>
          <w:p w14:paraId="37D4B6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24</w:t>
            </w:r>
          </w:p>
        </w:tc>
        <w:tc>
          <w:tcPr>
            <w:tcW w:w="1286" w:type="dxa"/>
            <w:vAlign w:val="center"/>
          </w:tcPr>
          <w:p w14:paraId="396DEEA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已完成</w:t>
            </w:r>
          </w:p>
        </w:tc>
        <w:tc>
          <w:tcPr>
            <w:tcW w:w="735"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6FB309C1">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30B6B3C1">
            <w:pPr>
              <w:jc w:val="center"/>
              <w:rPr>
                <w:rFonts w:hint="eastAsia" w:ascii="宋体" w:hAnsi="宋体" w:eastAsia="宋体" w:cs="宋体"/>
                <w:sz w:val="21"/>
                <w:szCs w:val="21"/>
              </w:rPr>
            </w:pP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1CFB14D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A26179A">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59765037">
            <w:pPr>
              <w:rPr>
                <w:rFonts w:hint="eastAsia" w:ascii="宋体" w:hAnsi="宋体" w:eastAsia="宋体" w:cs="宋体"/>
                <w:sz w:val="21"/>
                <w:szCs w:val="21"/>
              </w:rPr>
            </w:pPr>
          </w:p>
        </w:tc>
        <w:tc>
          <w:tcPr>
            <w:tcW w:w="1580" w:type="dxa"/>
            <w:tcBorders>
              <w:left w:val="single" w:color="auto" w:sz="4" w:space="0"/>
            </w:tcBorders>
            <w:vAlign w:val="center"/>
          </w:tcPr>
          <w:p w14:paraId="41742279">
            <w:pPr>
              <w:keepNext w:val="0"/>
              <w:keepLines w:val="0"/>
              <w:widowControl/>
              <w:suppressLineNumbers w:val="0"/>
              <w:jc w:val="center"/>
              <w:textAlignment w:val="center"/>
              <w:rPr>
                <w:rFonts w:hint="eastAsia" w:ascii="宋体" w:hAnsi="宋体" w:eastAsia="宋体" w:cs="宋体"/>
                <w:sz w:val="21"/>
                <w:szCs w:val="21"/>
                <w:lang w:val="en-US"/>
              </w:rPr>
            </w:pPr>
            <w:r>
              <w:rPr>
                <w:rFonts w:hint="eastAsia" w:ascii="宋体" w:hAnsi="宋体" w:eastAsia="宋体" w:cs="宋体"/>
                <w:i w:val="0"/>
                <w:iCs w:val="0"/>
                <w:color w:val="000000"/>
                <w:kern w:val="0"/>
                <w:sz w:val="18"/>
                <w:szCs w:val="18"/>
                <w:u w:val="none"/>
                <w:lang w:val="en-US" w:eastAsia="zh-CN" w:bidi="ar"/>
              </w:rPr>
              <w:t>综治治安巡逻工作</w:t>
            </w:r>
          </w:p>
        </w:tc>
        <w:tc>
          <w:tcPr>
            <w:tcW w:w="1212" w:type="dxa"/>
            <w:vAlign w:val="center"/>
          </w:tcPr>
          <w:p w14:paraId="506BC57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2</w:t>
            </w:r>
          </w:p>
        </w:tc>
        <w:tc>
          <w:tcPr>
            <w:tcW w:w="1286" w:type="dxa"/>
            <w:vAlign w:val="center"/>
          </w:tcPr>
          <w:p w14:paraId="73EF1AA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已完成</w:t>
            </w:r>
          </w:p>
        </w:tc>
        <w:tc>
          <w:tcPr>
            <w:tcW w:w="735" w:type="dxa"/>
            <w:shd w:val="clear" w:color="auto" w:fill="auto"/>
            <w:vAlign w:val="center"/>
          </w:tcPr>
          <w:p w14:paraId="1278EAC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31F6211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5EADC4FF">
            <w:pPr>
              <w:jc w:val="center"/>
              <w:rPr>
                <w:rFonts w:hint="eastAsia" w:ascii="宋体" w:hAnsi="宋体" w:eastAsia="宋体" w:cs="宋体"/>
                <w:sz w:val="21"/>
                <w:szCs w:val="21"/>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0C1E07E">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551329DB">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55D5C448">
            <w:pPr>
              <w:rPr>
                <w:rFonts w:hint="eastAsia" w:ascii="宋体" w:hAnsi="宋体" w:eastAsia="宋体" w:cs="宋体"/>
                <w:sz w:val="21"/>
                <w:szCs w:val="21"/>
              </w:rPr>
            </w:pPr>
          </w:p>
        </w:tc>
        <w:tc>
          <w:tcPr>
            <w:tcW w:w="1580" w:type="dxa"/>
            <w:tcBorders>
              <w:left w:val="single" w:color="auto" w:sz="4" w:space="0"/>
            </w:tcBorders>
            <w:vAlign w:val="center"/>
          </w:tcPr>
          <w:p w14:paraId="6CDB92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安全生产工作</w:t>
            </w:r>
          </w:p>
        </w:tc>
        <w:tc>
          <w:tcPr>
            <w:tcW w:w="1212" w:type="dxa"/>
            <w:vAlign w:val="center"/>
          </w:tcPr>
          <w:p w14:paraId="00E1E33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2</w:t>
            </w:r>
          </w:p>
        </w:tc>
        <w:tc>
          <w:tcPr>
            <w:tcW w:w="1286" w:type="dxa"/>
            <w:vAlign w:val="center"/>
          </w:tcPr>
          <w:p w14:paraId="79F2C41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已完成</w:t>
            </w:r>
          </w:p>
        </w:tc>
        <w:tc>
          <w:tcPr>
            <w:tcW w:w="735" w:type="dxa"/>
            <w:shd w:val="clear" w:color="auto" w:fill="auto"/>
            <w:vAlign w:val="center"/>
          </w:tcPr>
          <w:p w14:paraId="0765270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26D3872B">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110BCCFB">
            <w:pPr>
              <w:jc w:val="center"/>
              <w:rPr>
                <w:rFonts w:hint="eastAsia" w:ascii="宋体" w:hAnsi="宋体" w:eastAsia="宋体" w:cs="宋体"/>
                <w:sz w:val="21"/>
                <w:szCs w:val="21"/>
              </w:rPr>
            </w:pP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3687094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4B83F7DA">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6C5D1D14">
            <w:pPr>
              <w:rPr>
                <w:rFonts w:hint="eastAsia" w:ascii="宋体" w:hAnsi="宋体" w:eastAsia="宋体" w:cs="宋体"/>
                <w:sz w:val="21"/>
                <w:szCs w:val="21"/>
              </w:rPr>
            </w:pPr>
          </w:p>
        </w:tc>
        <w:tc>
          <w:tcPr>
            <w:tcW w:w="1580" w:type="dxa"/>
            <w:tcBorders>
              <w:left w:val="single" w:color="auto" w:sz="4" w:space="0"/>
            </w:tcBorders>
            <w:vAlign w:val="center"/>
          </w:tcPr>
          <w:p w14:paraId="2DCCA49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环境整治工作</w:t>
            </w:r>
          </w:p>
        </w:tc>
        <w:tc>
          <w:tcPr>
            <w:tcW w:w="1212" w:type="dxa"/>
            <w:vAlign w:val="center"/>
          </w:tcPr>
          <w:p w14:paraId="0646C8D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3500</w:t>
            </w:r>
          </w:p>
        </w:tc>
        <w:tc>
          <w:tcPr>
            <w:tcW w:w="1286" w:type="dxa"/>
            <w:vAlign w:val="center"/>
          </w:tcPr>
          <w:p w14:paraId="6493947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已完成</w:t>
            </w:r>
          </w:p>
        </w:tc>
        <w:tc>
          <w:tcPr>
            <w:tcW w:w="735" w:type="dxa"/>
            <w:shd w:val="clear" w:color="auto" w:fill="auto"/>
            <w:vAlign w:val="center"/>
          </w:tcPr>
          <w:p w14:paraId="059C93D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1C068F2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4FAC28F6">
            <w:pPr>
              <w:jc w:val="center"/>
              <w:rPr>
                <w:rFonts w:hint="eastAsia" w:ascii="宋体" w:hAnsi="宋体" w:eastAsia="宋体" w:cs="宋体"/>
                <w:sz w:val="21"/>
                <w:szCs w:val="21"/>
              </w:rPr>
            </w:pPr>
          </w:p>
        </w:tc>
      </w:tr>
      <w:tr w14:paraId="176A8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1D1A371D">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23E4999">
            <w:pPr>
              <w:rPr>
                <w:rFonts w:hint="eastAsia" w:ascii="宋体" w:hAnsi="宋体" w:eastAsia="宋体" w:cs="宋体"/>
                <w:sz w:val="21"/>
                <w:szCs w:val="21"/>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1DFD7D78">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18"/>
                <w:szCs w:val="18"/>
                <w:u w:val="none"/>
                <w:lang w:val="en-US" w:eastAsia="zh-CN" w:bidi="ar"/>
              </w:rPr>
              <w:t>质量指标</w:t>
            </w:r>
          </w:p>
        </w:tc>
        <w:tc>
          <w:tcPr>
            <w:tcW w:w="1580" w:type="dxa"/>
            <w:tcBorders>
              <w:left w:val="single" w:color="auto" w:sz="4" w:space="0"/>
            </w:tcBorders>
            <w:vAlign w:val="center"/>
          </w:tcPr>
          <w:p w14:paraId="6CA8D35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经费支出合规性</w:t>
            </w:r>
          </w:p>
        </w:tc>
        <w:tc>
          <w:tcPr>
            <w:tcW w:w="1212" w:type="dxa"/>
            <w:vAlign w:val="center"/>
          </w:tcPr>
          <w:p w14:paraId="5AFD579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经费支出合规</w:t>
            </w:r>
          </w:p>
        </w:tc>
        <w:tc>
          <w:tcPr>
            <w:tcW w:w="1286" w:type="dxa"/>
            <w:vAlign w:val="center"/>
          </w:tcPr>
          <w:p w14:paraId="4B6857F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已完成</w:t>
            </w:r>
          </w:p>
        </w:tc>
        <w:tc>
          <w:tcPr>
            <w:tcW w:w="735" w:type="dxa"/>
            <w:vAlign w:val="center"/>
          </w:tcPr>
          <w:p w14:paraId="6A385C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739" w:type="dxa"/>
            <w:vAlign w:val="center"/>
          </w:tcPr>
          <w:p w14:paraId="02BBBA1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1450" w:type="dxa"/>
            <w:vAlign w:val="center"/>
          </w:tcPr>
          <w:p w14:paraId="2B67DDA9">
            <w:pPr>
              <w:jc w:val="center"/>
              <w:rPr>
                <w:rFonts w:hint="eastAsia" w:ascii="宋体" w:hAnsi="宋体" w:eastAsia="宋体" w:cs="宋体"/>
                <w:sz w:val="21"/>
                <w:szCs w:val="21"/>
              </w:rPr>
            </w:pPr>
          </w:p>
        </w:tc>
      </w:tr>
      <w:tr w14:paraId="14D6C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4C534FD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6B692CEF">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7F168E7C">
            <w:pPr>
              <w:rPr>
                <w:rFonts w:hint="eastAsia" w:ascii="宋体" w:hAnsi="宋体" w:eastAsia="宋体" w:cs="宋体"/>
                <w:sz w:val="21"/>
                <w:szCs w:val="21"/>
              </w:rPr>
            </w:pPr>
          </w:p>
        </w:tc>
        <w:tc>
          <w:tcPr>
            <w:tcW w:w="1580" w:type="dxa"/>
            <w:tcBorders>
              <w:left w:val="single" w:color="auto" w:sz="4" w:space="0"/>
            </w:tcBorders>
            <w:vAlign w:val="center"/>
          </w:tcPr>
          <w:p w14:paraId="3994CE3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税收入库完成年初下达任务</w:t>
            </w:r>
          </w:p>
        </w:tc>
        <w:tc>
          <w:tcPr>
            <w:tcW w:w="1212" w:type="dxa"/>
            <w:vAlign w:val="center"/>
          </w:tcPr>
          <w:p w14:paraId="14E7A9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完成税收缴库</w:t>
            </w:r>
          </w:p>
        </w:tc>
        <w:tc>
          <w:tcPr>
            <w:tcW w:w="1286" w:type="dxa"/>
            <w:vAlign w:val="center"/>
          </w:tcPr>
          <w:p w14:paraId="6529D14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已完成</w:t>
            </w:r>
          </w:p>
        </w:tc>
        <w:tc>
          <w:tcPr>
            <w:tcW w:w="735" w:type="dxa"/>
            <w:vAlign w:val="center"/>
          </w:tcPr>
          <w:p w14:paraId="365AD4C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739" w:type="dxa"/>
            <w:vAlign w:val="center"/>
          </w:tcPr>
          <w:p w14:paraId="3731F05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1450" w:type="dxa"/>
            <w:vAlign w:val="center"/>
          </w:tcPr>
          <w:p w14:paraId="2777F1D8">
            <w:pPr>
              <w:jc w:val="center"/>
              <w:rPr>
                <w:rFonts w:hint="eastAsia" w:ascii="宋体" w:hAnsi="宋体" w:eastAsia="宋体" w:cs="宋体"/>
                <w:sz w:val="21"/>
                <w:szCs w:val="21"/>
              </w:rPr>
            </w:pPr>
          </w:p>
        </w:tc>
      </w:tr>
      <w:tr w14:paraId="66BE57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3964137">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7A5F40F8">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66172891">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4FE3F9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城镇居民医保征缴率</w:t>
            </w:r>
          </w:p>
        </w:tc>
        <w:tc>
          <w:tcPr>
            <w:tcW w:w="1212" w:type="dxa"/>
            <w:vAlign w:val="center"/>
          </w:tcPr>
          <w:p w14:paraId="3040AB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完成征缴任务</w:t>
            </w:r>
          </w:p>
        </w:tc>
        <w:tc>
          <w:tcPr>
            <w:tcW w:w="1286" w:type="dxa"/>
            <w:vAlign w:val="center"/>
          </w:tcPr>
          <w:p w14:paraId="4F11BF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已完成</w:t>
            </w:r>
          </w:p>
        </w:tc>
        <w:tc>
          <w:tcPr>
            <w:tcW w:w="735" w:type="dxa"/>
            <w:vAlign w:val="center"/>
          </w:tcPr>
          <w:p w14:paraId="10DE9D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0B532A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2155AAC3">
            <w:pPr>
              <w:jc w:val="center"/>
              <w:rPr>
                <w:rFonts w:hint="eastAsia" w:ascii="宋体" w:hAnsi="宋体" w:eastAsia="宋体" w:cs="宋体"/>
                <w:sz w:val="21"/>
                <w:szCs w:val="21"/>
              </w:rPr>
            </w:pPr>
          </w:p>
        </w:tc>
      </w:tr>
      <w:tr w14:paraId="2A70B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1D0F6ABE">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17DB23E0">
            <w:pPr>
              <w:rPr>
                <w:rFonts w:hint="eastAsia" w:ascii="宋体" w:hAnsi="宋体" w:eastAsia="宋体" w:cs="宋体"/>
                <w:i w:val="0"/>
                <w:iCs w:val="0"/>
                <w:color w:val="000000"/>
                <w:kern w:val="0"/>
                <w:sz w:val="21"/>
                <w:szCs w:val="21"/>
                <w:u w:val="none"/>
                <w:lang w:val="en-US" w:eastAsia="zh-CN" w:bidi="ar"/>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5674B8C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时效指标</w:t>
            </w:r>
          </w:p>
        </w:tc>
        <w:tc>
          <w:tcPr>
            <w:tcW w:w="1580" w:type="dxa"/>
            <w:tcBorders>
              <w:left w:val="single" w:color="auto" w:sz="4" w:space="0"/>
            </w:tcBorders>
            <w:vAlign w:val="center"/>
          </w:tcPr>
          <w:p w14:paraId="180FDD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预决算公开</w:t>
            </w:r>
          </w:p>
        </w:tc>
        <w:tc>
          <w:tcPr>
            <w:tcW w:w="1212" w:type="dxa"/>
            <w:vAlign w:val="center"/>
          </w:tcPr>
          <w:p w14:paraId="2EF665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2024年上半年前</w:t>
            </w:r>
          </w:p>
        </w:tc>
        <w:tc>
          <w:tcPr>
            <w:tcW w:w="1286" w:type="dxa"/>
            <w:vAlign w:val="center"/>
          </w:tcPr>
          <w:p w14:paraId="7C5473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已完成</w:t>
            </w:r>
          </w:p>
        </w:tc>
        <w:tc>
          <w:tcPr>
            <w:tcW w:w="735" w:type="dxa"/>
            <w:vAlign w:val="center"/>
          </w:tcPr>
          <w:p w14:paraId="5DE242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0F8E3D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48D6D8FD">
            <w:pPr>
              <w:jc w:val="center"/>
              <w:rPr>
                <w:rFonts w:hint="eastAsia" w:ascii="宋体" w:hAnsi="宋体" w:eastAsia="宋体" w:cs="宋体"/>
                <w:sz w:val="21"/>
                <w:szCs w:val="21"/>
              </w:rPr>
            </w:pPr>
          </w:p>
        </w:tc>
      </w:tr>
      <w:tr w14:paraId="68627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7958D1C8">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0FD1D45">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44BC0969">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4E5C67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工资发放及时率</w:t>
            </w:r>
          </w:p>
        </w:tc>
        <w:tc>
          <w:tcPr>
            <w:tcW w:w="1212" w:type="dxa"/>
            <w:vAlign w:val="center"/>
          </w:tcPr>
          <w:p w14:paraId="1D4B5C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每月15日前</w:t>
            </w:r>
          </w:p>
        </w:tc>
        <w:tc>
          <w:tcPr>
            <w:tcW w:w="1286" w:type="dxa"/>
            <w:vAlign w:val="center"/>
          </w:tcPr>
          <w:p w14:paraId="2CE5A4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已完成</w:t>
            </w:r>
          </w:p>
        </w:tc>
        <w:tc>
          <w:tcPr>
            <w:tcW w:w="735" w:type="dxa"/>
            <w:vAlign w:val="center"/>
          </w:tcPr>
          <w:p w14:paraId="5622BD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6BFD2F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018D6BC3">
            <w:pPr>
              <w:jc w:val="center"/>
              <w:rPr>
                <w:rFonts w:hint="eastAsia" w:ascii="宋体" w:hAnsi="宋体" w:eastAsia="宋体" w:cs="宋体"/>
                <w:sz w:val="21"/>
                <w:szCs w:val="21"/>
              </w:rPr>
            </w:pPr>
          </w:p>
        </w:tc>
      </w:tr>
      <w:tr w14:paraId="1A38A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EC03254">
            <w:pPr>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785CEC0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效益指标</w:t>
            </w:r>
          </w:p>
        </w:tc>
        <w:tc>
          <w:tcPr>
            <w:tcW w:w="1053" w:type="dxa"/>
            <w:tcBorders>
              <w:top w:val="single" w:color="auto" w:sz="4" w:space="0"/>
              <w:left w:val="single" w:color="auto" w:sz="4" w:space="0"/>
              <w:bottom w:val="single" w:color="auto" w:sz="4" w:space="0"/>
              <w:right w:val="single" w:color="auto" w:sz="4" w:space="0"/>
            </w:tcBorders>
            <w:vAlign w:val="center"/>
          </w:tcPr>
          <w:p w14:paraId="7DA4741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经济效益指标</w:t>
            </w:r>
          </w:p>
        </w:tc>
        <w:tc>
          <w:tcPr>
            <w:tcW w:w="1580" w:type="dxa"/>
            <w:tcBorders>
              <w:left w:val="single" w:color="auto" w:sz="4" w:space="0"/>
            </w:tcBorders>
            <w:vAlign w:val="center"/>
          </w:tcPr>
          <w:p w14:paraId="0D9A13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营商环境优化</w:t>
            </w:r>
          </w:p>
        </w:tc>
        <w:tc>
          <w:tcPr>
            <w:tcW w:w="1212" w:type="dxa"/>
            <w:vAlign w:val="center"/>
          </w:tcPr>
          <w:p w14:paraId="3433DF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促进经济发展</w:t>
            </w:r>
          </w:p>
        </w:tc>
        <w:tc>
          <w:tcPr>
            <w:tcW w:w="1286" w:type="dxa"/>
            <w:vAlign w:val="center"/>
          </w:tcPr>
          <w:p w14:paraId="5EE49C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明显改善</w:t>
            </w:r>
          </w:p>
        </w:tc>
        <w:tc>
          <w:tcPr>
            <w:tcW w:w="735" w:type="dxa"/>
            <w:vAlign w:val="center"/>
          </w:tcPr>
          <w:p w14:paraId="492B9F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70A79F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471D53A2">
            <w:pPr>
              <w:jc w:val="center"/>
              <w:rPr>
                <w:rFonts w:hint="eastAsia" w:ascii="宋体" w:hAnsi="宋体" w:eastAsia="宋体" w:cs="宋体"/>
                <w:sz w:val="21"/>
                <w:szCs w:val="21"/>
              </w:rPr>
            </w:pPr>
          </w:p>
        </w:tc>
      </w:tr>
      <w:tr w14:paraId="48455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7059F77">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1C62BFAC">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2857D09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社会效益指标</w:t>
            </w:r>
          </w:p>
        </w:tc>
        <w:tc>
          <w:tcPr>
            <w:tcW w:w="1580" w:type="dxa"/>
            <w:tcBorders>
              <w:left w:val="single" w:color="auto" w:sz="4" w:space="0"/>
            </w:tcBorders>
            <w:vAlign w:val="center"/>
          </w:tcPr>
          <w:p w14:paraId="6AF8BD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保证社区治安稳定</w:t>
            </w:r>
          </w:p>
        </w:tc>
        <w:tc>
          <w:tcPr>
            <w:tcW w:w="1212" w:type="dxa"/>
            <w:vAlign w:val="center"/>
          </w:tcPr>
          <w:p w14:paraId="4F7044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治安稳定</w:t>
            </w:r>
          </w:p>
        </w:tc>
        <w:tc>
          <w:tcPr>
            <w:tcW w:w="1286" w:type="dxa"/>
            <w:vAlign w:val="center"/>
          </w:tcPr>
          <w:p w14:paraId="744ACC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治安良好</w:t>
            </w:r>
          </w:p>
        </w:tc>
        <w:tc>
          <w:tcPr>
            <w:tcW w:w="735" w:type="dxa"/>
            <w:vAlign w:val="center"/>
          </w:tcPr>
          <w:p w14:paraId="6984DF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555E93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3B061D3D">
            <w:pPr>
              <w:jc w:val="center"/>
              <w:rPr>
                <w:rFonts w:hint="eastAsia" w:ascii="宋体" w:hAnsi="宋体" w:eastAsia="宋体" w:cs="宋体"/>
                <w:sz w:val="21"/>
                <w:szCs w:val="21"/>
              </w:rPr>
            </w:pPr>
          </w:p>
        </w:tc>
      </w:tr>
      <w:tr w14:paraId="7AC1D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CC78A42">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59F57F3A">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5E9CA17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生态效益指标</w:t>
            </w:r>
          </w:p>
        </w:tc>
        <w:tc>
          <w:tcPr>
            <w:tcW w:w="1580" w:type="dxa"/>
            <w:tcBorders>
              <w:left w:val="single" w:color="auto" w:sz="4" w:space="0"/>
            </w:tcBorders>
            <w:vAlign w:val="center"/>
          </w:tcPr>
          <w:p w14:paraId="778BAF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改善居民居住环境</w:t>
            </w:r>
          </w:p>
        </w:tc>
        <w:tc>
          <w:tcPr>
            <w:tcW w:w="1212" w:type="dxa"/>
            <w:vAlign w:val="center"/>
          </w:tcPr>
          <w:p w14:paraId="396E4A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提高生态效益</w:t>
            </w:r>
          </w:p>
        </w:tc>
        <w:tc>
          <w:tcPr>
            <w:tcW w:w="1286" w:type="dxa"/>
            <w:vAlign w:val="center"/>
          </w:tcPr>
          <w:p w14:paraId="7A543C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明显改善</w:t>
            </w:r>
          </w:p>
        </w:tc>
        <w:tc>
          <w:tcPr>
            <w:tcW w:w="735" w:type="dxa"/>
            <w:vAlign w:val="center"/>
          </w:tcPr>
          <w:p w14:paraId="4B3DE2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696A6D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264D7AE9">
            <w:pPr>
              <w:jc w:val="center"/>
              <w:rPr>
                <w:rFonts w:hint="eastAsia" w:ascii="宋体" w:hAnsi="宋体" w:eastAsia="宋体" w:cs="宋体"/>
                <w:sz w:val="21"/>
                <w:szCs w:val="21"/>
              </w:rPr>
            </w:pPr>
          </w:p>
        </w:tc>
      </w:tr>
      <w:tr w14:paraId="70BCD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882B29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56F800CE">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11B9096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可持续影响指标</w:t>
            </w:r>
          </w:p>
        </w:tc>
        <w:tc>
          <w:tcPr>
            <w:tcW w:w="1580" w:type="dxa"/>
            <w:tcBorders>
              <w:left w:val="single" w:color="auto" w:sz="4" w:space="0"/>
            </w:tcBorders>
            <w:vAlign w:val="center"/>
          </w:tcPr>
          <w:p w14:paraId="224FD7B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推新风正气、创平安</w:t>
            </w:r>
          </w:p>
        </w:tc>
        <w:tc>
          <w:tcPr>
            <w:tcW w:w="1212" w:type="dxa"/>
            <w:vAlign w:val="center"/>
          </w:tcPr>
          <w:p w14:paraId="5A09C1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辖区内无重大治安事故</w:t>
            </w:r>
          </w:p>
        </w:tc>
        <w:tc>
          <w:tcPr>
            <w:tcW w:w="1286" w:type="dxa"/>
            <w:vAlign w:val="center"/>
          </w:tcPr>
          <w:p w14:paraId="07D036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有效改善</w:t>
            </w:r>
          </w:p>
        </w:tc>
        <w:tc>
          <w:tcPr>
            <w:tcW w:w="735" w:type="dxa"/>
            <w:vAlign w:val="center"/>
          </w:tcPr>
          <w:p w14:paraId="74E9EE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2ECE35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0B7B2C47">
            <w:pPr>
              <w:jc w:val="center"/>
              <w:rPr>
                <w:rFonts w:hint="eastAsia" w:ascii="宋体" w:hAnsi="宋体" w:eastAsia="宋体" w:cs="宋体"/>
                <w:sz w:val="21"/>
                <w:szCs w:val="21"/>
              </w:rPr>
            </w:pPr>
          </w:p>
        </w:tc>
      </w:tr>
      <w:tr w14:paraId="5DC80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4BB4284">
            <w:pPr>
              <w:rPr>
                <w:rFonts w:hint="eastAsia" w:ascii="宋体" w:hAnsi="宋体" w:eastAsia="宋体" w:cs="宋体"/>
              </w:rPr>
            </w:pPr>
          </w:p>
        </w:tc>
        <w:tc>
          <w:tcPr>
            <w:tcW w:w="944" w:type="dxa"/>
            <w:tcBorders>
              <w:top w:val="single" w:color="auto" w:sz="4" w:space="0"/>
              <w:left w:val="single" w:color="auto" w:sz="4" w:space="0"/>
              <w:bottom w:val="single" w:color="auto" w:sz="4" w:space="0"/>
              <w:right w:val="single" w:color="auto" w:sz="4" w:space="0"/>
            </w:tcBorders>
            <w:vAlign w:val="center"/>
          </w:tcPr>
          <w:p w14:paraId="2A5C2BE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满意度指标</w:t>
            </w:r>
          </w:p>
        </w:tc>
        <w:tc>
          <w:tcPr>
            <w:tcW w:w="1053" w:type="dxa"/>
            <w:tcBorders>
              <w:top w:val="single" w:color="auto" w:sz="4" w:space="0"/>
              <w:left w:val="single" w:color="auto" w:sz="4" w:space="0"/>
              <w:bottom w:val="single" w:color="auto" w:sz="4" w:space="0"/>
              <w:right w:val="single" w:color="auto" w:sz="4" w:space="0"/>
            </w:tcBorders>
            <w:vAlign w:val="center"/>
          </w:tcPr>
          <w:p w14:paraId="6B66692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580" w:type="dxa"/>
            <w:tcBorders>
              <w:left w:val="single" w:color="auto" w:sz="4" w:space="0"/>
            </w:tcBorders>
            <w:vAlign w:val="center"/>
          </w:tcPr>
          <w:p w14:paraId="669C12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群众满意度</w:t>
            </w:r>
          </w:p>
        </w:tc>
        <w:tc>
          <w:tcPr>
            <w:tcW w:w="1212" w:type="dxa"/>
            <w:vAlign w:val="center"/>
          </w:tcPr>
          <w:p w14:paraId="29B3EC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1286" w:type="dxa"/>
            <w:vAlign w:val="center"/>
          </w:tcPr>
          <w:p w14:paraId="3ACEBD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满意度高</w:t>
            </w:r>
          </w:p>
        </w:tc>
        <w:tc>
          <w:tcPr>
            <w:tcW w:w="735" w:type="dxa"/>
            <w:vAlign w:val="center"/>
          </w:tcPr>
          <w:p w14:paraId="695B5F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4988BA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09D8D517">
            <w:pPr>
              <w:jc w:val="center"/>
              <w:rPr>
                <w:rFonts w:hint="eastAsia" w:ascii="宋体" w:hAnsi="宋体" w:eastAsia="宋体" w:cs="宋体"/>
                <w:sz w:val="21"/>
                <w:szCs w:val="21"/>
              </w:rPr>
            </w:pPr>
          </w:p>
        </w:tc>
      </w:tr>
      <w:tr w14:paraId="724B8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0BC3F78E">
            <w:pPr>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4F0AE9F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成本指标</w:t>
            </w:r>
          </w:p>
        </w:tc>
        <w:tc>
          <w:tcPr>
            <w:tcW w:w="1053" w:type="dxa"/>
            <w:tcBorders>
              <w:top w:val="single" w:color="auto" w:sz="4" w:space="0"/>
              <w:left w:val="single" w:color="auto" w:sz="4" w:space="0"/>
              <w:bottom w:val="single" w:color="auto" w:sz="4" w:space="0"/>
              <w:right w:val="single" w:color="auto" w:sz="4" w:space="0"/>
            </w:tcBorders>
            <w:vAlign w:val="center"/>
          </w:tcPr>
          <w:p w14:paraId="1F36EA7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经济成本指标</w:t>
            </w:r>
          </w:p>
        </w:tc>
        <w:tc>
          <w:tcPr>
            <w:tcW w:w="1580" w:type="dxa"/>
            <w:tcBorders>
              <w:left w:val="single" w:color="auto" w:sz="4" w:space="0"/>
            </w:tcBorders>
            <w:vAlign w:val="center"/>
          </w:tcPr>
          <w:p w14:paraId="29CDF1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三公经费变动率</w:t>
            </w:r>
          </w:p>
        </w:tc>
        <w:tc>
          <w:tcPr>
            <w:tcW w:w="1212" w:type="dxa"/>
            <w:vAlign w:val="center"/>
          </w:tcPr>
          <w:p w14:paraId="3E03AF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286" w:type="dxa"/>
            <w:vAlign w:val="center"/>
          </w:tcPr>
          <w:p w14:paraId="7CB5D7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无变动</w:t>
            </w:r>
          </w:p>
        </w:tc>
        <w:tc>
          <w:tcPr>
            <w:tcW w:w="735" w:type="dxa"/>
            <w:vAlign w:val="center"/>
          </w:tcPr>
          <w:p w14:paraId="405D93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64ABB6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5A779CC2">
            <w:pPr>
              <w:jc w:val="center"/>
              <w:rPr>
                <w:rFonts w:hint="eastAsia" w:ascii="宋体" w:hAnsi="宋体" w:eastAsia="宋体" w:cs="宋体"/>
                <w:sz w:val="21"/>
                <w:szCs w:val="21"/>
              </w:rPr>
            </w:pPr>
          </w:p>
        </w:tc>
      </w:tr>
      <w:tr w14:paraId="3E497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3DED917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4BCD9C4C">
            <w:pPr>
              <w:rPr>
                <w:rFonts w:hint="eastAsia" w:ascii="宋体" w:hAnsi="宋体" w:eastAsia="宋体" w:cs="宋体"/>
                <w:i w:val="0"/>
                <w:iCs w:val="0"/>
                <w:color w:val="000000"/>
                <w:kern w:val="0"/>
                <w:sz w:val="21"/>
                <w:szCs w:val="21"/>
                <w:u w:val="none"/>
                <w:lang w:val="en-US" w:eastAsia="zh-CN" w:bidi="ar"/>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3DDF773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社会成本指标</w:t>
            </w:r>
          </w:p>
        </w:tc>
        <w:tc>
          <w:tcPr>
            <w:tcW w:w="1580" w:type="dxa"/>
            <w:tcBorders>
              <w:left w:val="single" w:color="auto" w:sz="4" w:space="0"/>
            </w:tcBorders>
            <w:vAlign w:val="center"/>
          </w:tcPr>
          <w:p w14:paraId="24B022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湘北市场债水点整治</w:t>
            </w:r>
          </w:p>
        </w:tc>
        <w:tc>
          <w:tcPr>
            <w:tcW w:w="1212" w:type="dxa"/>
            <w:vAlign w:val="center"/>
          </w:tcPr>
          <w:p w14:paraId="215AD0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286" w:type="dxa"/>
            <w:vAlign w:val="center"/>
          </w:tcPr>
          <w:p w14:paraId="15CBAB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已完成</w:t>
            </w:r>
          </w:p>
        </w:tc>
        <w:tc>
          <w:tcPr>
            <w:tcW w:w="735" w:type="dxa"/>
            <w:vAlign w:val="center"/>
          </w:tcPr>
          <w:p w14:paraId="513491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66B69B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2E7C8FF7">
            <w:pPr>
              <w:jc w:val="center"/>
              <w:rPr>
                <w:rFonts w:hint="eastAsia" w:ascii="宋体" w:hAnsi="宋体" w:eastAsia="宋体" w:cs="宋体"/>
                <w:sz w:val="21"/>
                <w:szCs w:val="21"/>
              </w:rPr>
            </w:pPr>
          </w:p>
        </w:tc>
      </w:tr>
      <w:tr w14:paraId="11EEA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54C70E30">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66BA0CC0">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4F4822C8">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075D55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社会影响</w:t>
            </w:r>
          </w:p>
        </w:tc>
        <w:tc>
          <w:tcPr>
            <w:tcW w:w="1212" w:type="dxa"/>
            <w:vAlign w:val="center"/>
          </w:tcPr>
          <w:p w14:paraId="7FDA5E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提升政府形象</w:t>
            </w:r>
          </w:p>
        </w:tc>
        <w:tc>
          <w:tcPr>
            <w:tcW w:w="1286" w:type="dxa"/>
            <w:vAlign w:val="center"/>
          </w:tcPr>
          <w:p w14:paraId="0E24C9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改善明显</w:t>
            </w:r>
          </w:p>
        </w:tc>
        <w:tc>
          <w:tcPr>
            <w:tcW w:w="735" w:type="dxa"/>
            <w:vAlign w:val="center"/>
          </w:tcPr>
          <w:p w14:paraId="5DDB60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9" w:type="dxa"/>
            <w:vAlign w:val="center"/>
          </w:tcPr>
          <w:p w14:paraId="161AE4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40085A94">
            <w:pPr>
              <w:jc w:val="center"/>
              <w:rPr>
                <w:rFonts w:hint="eastAsia" w:ascii="宋体" w:hAnsi="宋体" w:eastAsia="宋体" w:cs="宋体"/>
                <w:sz w:val="21"/>
                <w:szCs w:val="21"/>
              </w:rPr>
            </w:pPr>
          </w:p>
        </w:tc>
      </w:tr>
      <w:tr w14:paraId="5886E8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051A00A0">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443028D1">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7316E6FF">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4A8EF3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减少用水</w:t>
            </w:r>
          </w:p>
        </w:tc>
        <w:tc>
          <w:tcPr>
            <w:tcW w:w="1212" w:type="dxa"/>
            <w:vAlign w:val="center"/>
          </w:tcPr>
          <w:p w14:paraId="467E38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1286" w:type="dxa"/>
            <w:vAlign w:val="center"/>
          </w:tcPr>
          <w:p w14:paraId="360912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已落实</w:t>
            </w:r>
          </w:p>
        </w:tc>
        <w:tc>
          <w:tcPr>
            <w:tcW w:w="735" w:type="dxa"/>
            <w:vAlign w:val="center"/>
          </w:tcPr>
          <w:p w14:paraId="6EF49A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739" w:type="dxa"/>
            <w:vAlign w:val="center"/>
          </w:tcPr>
          <w:p w14:paraId="0EFE33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1450" w:type="dxa"/>
            <w:vAlign w:val="center"/>
          </w:tcPr>
          <w:p w14:paraId="29C88EA2">
            <w:pPr>
              <w:jc w:val="center"/>
              <w:rPr>
                <w:rFonts w:hint="eastAsia" w:ascii="宋体" w:hAnsi="宋体" w:eastAsia="宋体" w:cs="宋体"/>
                <w:sz w:val="21"/>
                <w:szCs w:val="21"/>
              </w:rPr>
            </w:pPr>
          </w:p>
        </w:tc>
      </w:tr>
      <w:tr w14:paraId="1B10D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476FC163">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00219ADB">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13E5DE5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生态环境成本指标</w:t>
            </w:r>
          </w:p>
        </w:tc>
        <w:tc>
          <w:tcPr>
            <w:tcW w:w="1580" w:type="dxa"/>
            <w:tcBorders>
              <w:left w:val="single" w:color="auto" w:sz="4" w:space="0"/>
            </w:tcBorders>
            <w:vAlign w:val="center"/>
          </w:tcPr>
          <w:p w14:paraId="5B1486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减少用电</w:t>
            </w:r>
          </w:p>
        </w:tc>
        <w:tc>
          <w:tcPr>
            <w:tcW w:w="1212" w:type="dxa"/>
            <w:vAlign w:val="center"/>
          </w:tcPr>
          <w:p w14:paraId="0E3C52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1286" w:type="dxa"/>
            <w:vAlign w:val="center"/>
          </w:tcPr>
          <w:p w14:paraId="758186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已落实</w:t>
            </w:r>
          </w:p>
        </w:tc>
        <w:tc>
          <w:tcPr>
            <w:tcW w:w="735" w:type="dxa"/>
            <w:vAlign w:val="center"/>
          </w:tcPr>
          <w:p w14:paraId="15B6BB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739" w:type="dxa"/>
            <w:vAlign w:val="center"/>
          </w:tcPr>
          <w:p w14:paraId="56410B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1450" w:type="dxa"/>
            <w:vAlign w:val="center"/>
          </w:tcPr>
          <w:p w14:paraId="4EA67D60">
            <w:pPr>
              <w:jc w:val="center"/>
              <w:rPr>
                <w:rFonts w:hint="eastAsia" w:ascii="宋体" w:hAnsi="宋体" w:eastAsia="宋体" w:cs="宋体"/>
                <w:sz w:val="21"/>
                <w:szCs w:val="21"/>
              </w:rPr>
            </w:pP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159"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35" w:type="dxa"/>
            <w:vAlign w:val="top"/>
          </w:tcPr>
          <w:p w14:paraId="706DD02D">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739" w:type="dxa"/>
            <w:vAlign w:val="top"/>
          </w:tcPr>
          <w:p w14:paraId="6D2A992C">
            <w:pPr>
              <w:spacing w:before="75" w:line="195" w:lineRule="auto"/>
              <w:ind w:left="230"/>
              <w:rPr>
                <w:rFonts w:hint="default" w:ascii="宋体" w:hAnsi="宋体" w:eastAsia="宋体" w:cs="宋体"/>
                <w:lang w:val="en-US" w:eastAsia="zh-CN"/>
              </w:rPr>
            </w:pPr>
            <w:r>
              <w:rPr>
                <w:rFonts w:hint="eastAsia" w:ascii="宋体" w:hAnsi="宋体" w:eastAsia="宋体" w:cs="宋体"/>
                <w:spacing w:val="-4"/>
                <w:sz w:val="19"/>
                <w:szCs w:val="19"/>
                <w:lang w:val="en-US" w:eastAsia="zh-CN"/>
              </w:rPr>
              <w:t>98.41</w:t>
            </w:r>
          </w:p>
        </w:tc>
        <w:tc>
          <w:tcPr>
            <w:tcW w:w="1450" w:type="dxa"/>
            <w:vAlign w:val="top"/>
          </w:tcPr>
          <w:p w14:paraId="433EE453">
            <w:pPr>
              <w:pStyle w:val="9"/>
              <w:rPr>
                <w:rFonts w:hint="eastAsia" w:ascii="宋体" w:hAnsi="宋体" w:eastAsia="宋体" w:cs="宋体"/>
              </w:rPr>
            </w:pPr>
          </w:p>
        </w:tc>
      </w:tr>
    </w:tbl>
    <w:p w14:paraId="1D3697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3DD4712">
      <w:pPr>
        <w:spacing w:before="191" w:line="230" w:lineRule="auto"/>
        <w:rPr>
          <w:rFonts w:ascii="黑体" w:hAnsi="黑体" w:eastAsia="黑体" w:cs="黑体"/>
          <w:spacing w:val="-4"/>
          <w:sz w:val="31"/>
          <w:szCs w:val="31"/>
        </w:rPr>
      </w:pPr>
    </w:p>
    <w:p w14:paraId="282FCC57">
      <w:pPr>
        <w:spacing w:before="191" w:line="230" w:lineRule="auto"/>
        <w:rPr>
          <w:rFonts w:ascii="黑体" w:hAnsi="黑体" w:eastAsia="黑体" w:cs="黑体"/>
          <w:spacing w:val="-4"/>
          <w:sz w:val="31"/>
          <w:szCs w:val="31"/>
        </w:rPr>
      </w:pPr>
    </w:p>
    <w:p w14:paraId="26A0E1A4">
      <w:pPr>
        <w:spacing w:before="191" w:line="230" w:lineRule="auto"/>
        <w:rPr>
          <w:rFonts w:ascii="黑体" w:hAnsi="黑体" w:eastAsia="黑体" w:cs="黑体"/>
          <w:spacing w:val="-4"/>
          <w:sz w:val="31"/>
          <w:szCs w:val="31"/>
        </w:rPr>
      </w:pPr>
    </w:p>
    <w:p w14:paraId="22E41ADB">
      <w:pPr>
        <w:spacing w:before="191" w:line="230" w:lineRule="auto"/>
        <w:rPr>
          <w:rFonts w:ascii="黑体" w:hAnsi="黑体" w:eastAsia="黑体" w:cs="黑体"/>
          <w:spacing w:val="-4"/>
          <w:sz w:val="31"/>
          <w:szCs w:val="31"/>
        </w:rPr>
      </w:pPr>
    </w:p>
    <w:p w14:paraId="4DEB4F42">
      <w:pPr>
        <w:spacing w:before="191" w:line="230" w:lineRule="auto"/>
        <w:rPr>
          <w:rFonts w:ascii="黑体" w:hAnsi="黑体" w:eastAsia="黑体" w:cs="黑体"/>
          <w:spacing w:val="-4"/>
          <w:sz w:val="31"/>
          <w:szCs w:val="31"/>
        </w:rPr>
      </w:pPr>
    </w:p>
    <w:p w14:paraId="778858FC">
      <w:pPr>
        <w:spacing w:before="191" w:line="230" w:lineRule="auto"/>
        <w:rPr>
          <w:rFonts w:ascii="黑体" w:hAnsi="黑体" w:eastAsia="黑体" w:cs="黑体"/>
          <w:spacing w:val="-4"/>
          <w:sz w:val="31"/>
          <w:szCs w:val="31"/>
        </w:rPr>
      </w:pPr>
    </w:p>
    <w:p w14:paraId="3CEAB468">
      <w:pPr>
        <w:spacing w:before="191" w:line="230" w:lineRule="auto"/>
        <w:rPr>
          <w:rFonts w:ascii="黑体" w:hAnsi="黑体" w:eastAsia="黑体" w:cs="黑体"/>
          <w:spacing w:val="-4"/>
          <w:sz w:val="31"/>
          <w:szCs w:val="31"/>
        </w:rPr>
      </w:pPr>
    </w:p>
    <w:p w14:paraId="42377904">
      <w:pPr>
        <w:spacing w:before="191" w:line="230" w:lineRule="auto"/>
        <w:rPr>
          <w:rFonts w:ascii="黑体" w:hAnsi="黑体" w:eastAsia="黑体" w:cs="黑体"/>
          <w:spacing w:val="-4"/>
          <w:sz w:val="31"/>
          <w:szCs w:val="31"/>
        </w:rPr>
      </w:pPr>
    </w:p>
    <w:p w14:paraId="06481DAA">
      <w:pPr>
        <w:spacing w:before="191" w:line="230" w:lineRule="auto"/>
        <w:rPr>
          <w:rFonts w:ascii="黑体" w:hAnsi="黑体" w:eastAsia="黑体" w:cs="黑体"/>
          <w:spacing w:val="-4"/>
          <w:sz w:val="31"/>
          <w:szCs w:val="31"/>
        </w:rPr>
      </w:pPr>
    </w:p>
    <w:p w14:paraId="6CFF0AD6">
      <w:pPr>
        <w:spacing w:before="191" w:line="230" w:lineRule="auto"/>
        <w:rPr>
          <w:rFonts w:ascii="黑体" w:hAnsi="黑体" w:eastAsia="黑体" w:cs="黑体"/>
          <w:spacing w:val="-4"/>
          <w:sz w:val="31"/>
          <w:szCs w:val="31"/>
        </w:rPr>
      </w:pPr>
    </w:p>
    <w:p w14:paraId="47B4310F">
      <w:pPr>
        <w:spacing w:before="191" w:line="230" w:lineRule="auto"/>
        <w:rPr>
          <w:rFonts w:ascii="黑体" w:hAnsi="黑体" w:eastAsia="黑体" w:cs="黑体"/>
          <w:spacing w:val="-4"/>
          <w:sz w:val="31"/>
          <w:szCs w:val="31"/>
        </w:rPr>
      </w:pPr>
    </w:p>
    <w:p w14:paraId="5D6F36A4">
      <w:pPr>
        <w:spacing w:before="191" w:line="230" w:lineRule="auto"/>
        <w:rPr>
          <w:rFonts w:ascii="黑体" w:hAnsi="黑体" w:eastAsia="黑体" w:cs="黑体"/>
          <w:spacing w:val="-4"/>
          <w:sz w:val="31"/>
          <w:szCs w:val="31"/>
        </w:rPr>
      </w:pPr>
    </w:p>
    <w:p w14:paraId="46560D4A">
      <w:pPr>
        <w:spacing w:before="191" w:line="230" w:lineRule="auto"/>
        <w:rPr>
          <w:rFonts w:ascii="黑体" w:hAnsi="黑体" w:eastAsia="黑体" w:cs="黑体"/>
          <w:spacing w:val="-4"/>
          <w:sz w:val="31"/>
          <w:szCs w:val="31"/>
        </w:rPr>
      </w:pPr>
    </w:p>
    <w:p w14:paraId="42FED307">
      <w:pPr>
        <w:spacing w:before="191" w:line="230" w:lineRule="auto"/>
        <w:rPr>
          <w:rFonts w:ascii="黑体" w:hAnsi="黑体" w:eastAsia="黑体" w:cs="黑体"/>
          <w:spacing w:val="-4"/>
          <w:sz w:val="31"/>
          <w:szCs w:val="31"/>
        </w:rPr>
      </w:pPr>
    </w:p>
    <w:p w14:paraId="269DA57C">
      <w:pPr>
        <w:spacing w:before="191" w:line="230" w:lineRule="auto"/>
        <w:rPr>
          <w:rFonts w:ascii="黑体" w:hAnsi="黑体" w:eastAsia="黑体" w:cs="黑体"/>
          <w:spacing w:val="-4"/>
          <w:sz w:val="31"/>
          <w:szCs w:val="31"/>
        </w:rPr>
      </w:pPr>
    </w:p>
    <w:p w14:paraId="02FA0645">
      <w:pPr>
        <w:spacing w:before="191" w:line="230" w:lineRule="auto"/>
        <w:rPr>
          <w:rFonts w:ascii="黑体" w:hAnsi="黑体" w:eastAsia="黑体" w:cs="黑体"/>
          <w:spacing w:val="-4"/>
          <w:sz w:val="31"/>
          <w:szCs w:val="31"/>
        </w:rPr>
      </w:pPr>
    </w:p>
    <w:p w14:paraId="155852AD">
      <w:pPr>
        <w:spacing w:before="191" w:line="230" w:lineRule="auto"/>
        <w:rPr>
          <w:rFonts w:ascii="黑体" w:hAnsi="黑体" w:eastAsia="黑体" w:cs="黑体"/>
          <w:spacing w:val="-4"/>
          <w:sz w:val="31"/>
          <w:szCs w:val="31"/>
        </w:rPr>
      </w:pPr>
    </w:p>
    <w:p w14:paraId="2B6F415A">
      <w:pPr>
        <w:spacing w:before="191" w:line="230" w:lineRule="auto"/>
        <w:rPr>
          <w:rFonts w:ascii="黑体" w:hAnsi="黑体" w:eastAsia="黑体" w:cs="黑体"/>
          <w:spacing w:val="-4"/>
          <w:sz w:val="31"/>
          <w:szCs w:val="31"/>
        </w:rPr>
      </w:pPr>
    </w:p>
    <w:p w14:paraId="0898A80C">
      <w:pPr>
        <w:spacing w:before="191" w:line="230" w:lineRule="auto"/>
        <w:rPr>
          <w:rFonts w:ascii="黑体" w:hAnsi="黑体" w:eastAsia="黑体" w:cs="黑体"/>
          <w:spacing w:val="-4"/>
          <w:sz w:val="31"/>
          <w:szCs w:val="31"/>
        </w:rPr>
      </w:pPr>
    </w:p>
    <w:p w14:paraId="2239A488">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33B7E7C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404"/>
        <w:gridCol w:w="1121"/>
        <w:gridCol w:w="679"/>
        <w:gridCol w:w="980"/>
        <w:gridCol w:w="1309"/>
      </w:tblGrid>
      <w:tr w14:paraId="0EF0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31E230B7">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5491673E">
            <w:pPr>
              <w:pStyle w:val="9"/>
              <w:jc w:val="center"/>
              <w:rPr>
                <w:rFonts w:hint="eastAsia" w:ascii="宋体" w:hAnsi="宋体" w:eastAsia="宋体" w:cs="宋体"/>
                <w:lang w:val="en-US" w:eastAsia="zh-CN"/>
              </w:rPr>
            </w:pPr>
            <w:r>
              <w:rPr>
                <w:rFonts w:hint="eastAsia" w:ascii="宋体" w:hAnsi="宋体" w:eastAsia="宋体" w:cs="宋体"/>
                <w:lang w:val="en-US" w:eastAsia="zh-CN"/>
              </w:rPr>
              <w:t>洛王新天地小区北侧排水设施改造</w:t>
            </w:r>
          </w:p>
        </w:tc>
      </w:tr>
      <w:tr w14:paraId="4B53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ECEC9AD">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682" w:type="dxa"/>
            <w:gridSpan w:val="4"/>
            <w:vAlign w:val="top"/>
          </w:tcPr>
          <w:p w14:paraId="7BB208D4">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岳阳市岳阳楼区洛王街道办事处</w:t>
            </w:r>
          </w:p>
        </w:tc>
        <w:tc>
          <w:tcPr>
            <w:tcW w:w="1121" w:type="dxa"/>
            <w:vAlign w:val="top"/>
          </w:tcPr>
          <w:p w14:paraId="27D6205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7A57E674">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岳阳市岳阳楼区洛王街道办事处</w:t>
            </w:r>
          </w:p>
        </w:tc>
      </w:tr>
      <w:tr w14:paraId="3CEE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6A10F63">
            <w:pPr>
              <w:spacing w:before="61" w:line="241" w:lineRule="auto"/>
              <w:ind w:right="141"/>
              <w:jc w:val="both"/>
              <w:rPr>
                <w:rFonts w:hint="eastAsia" w:ascii="宋体" w:hAnsi="宋体" w:cs="宋体"/>
                <w:sz w:val="19"/>
                <w:szCs w:val="19"/>
                <w:lang w:eastAsia="zh-CN"/>
              </w:rPr>
            </w:pPr>
          </w:p>
          <w:p w14:paraId="3C8849D5">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BB79AD6">
            <w:pPr>
              <w:pStyle w:val="9"/>
              <w:rPr>
                <w:rFonts w:hint="eastAsia" w:ascii="宋体" w:hAnsi="宋体" w:eastAsia="宋体" w:cs="宋体"/>
              </w:rPr>
            </w:pPr>
          </w:p>
        </w:tc>
        <w:tc>
          <w:tcPr>
            <w:tcW w:w="1244" w:type="dxa"/>
            <w:vAlign w:val="top"/>
          </w:tcPr>
          <w:p w14:paraId="0B55A164">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404" w:type="dxa"/>
            <w:vAlign w:val="top"/>
          </w:tcPr>
          <w:p w14:paraId="7C98FDA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121" w:type="dxa"/>
            <w:vAlign w:val="top"/>
          </w:tcPr>
          <w:p w14:paraId="738A4A96">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9" w:type="dxa"/>
            <w:vAlign w:val="top"/>
          </w:tcPr>
          <w:p w14:paraId="3D584AFB">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3A91ABC7">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09730C5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212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2BB49C">
            <w:pPr>
              <w:pStyle w:val="9"/>
              <w:rPr>
                <w:rFonts w:hint="eastAsia" w:ascii="宋体" w:hAnsi="宋体" w:eastAsia="宋体" w:cs="宋体"/>
              </w:rPr>
            </w:pPr>
          </w:p>
        </w:tc>
        <w:tc>
          <w:tcPr>
            <w:tcW w:w="2034" w:type="dxa"/>
            <w:gridSpan w:val="2"/>
            <w:vAlign w:val="top"/>
          </w:tcPr>
          <w:p w14:paraId="1961070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33A072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1404" w:type="dxa"/>
            <w:vAlign w:val="center"/>
          </w:tcPr>
          <w:p w14:paraId="127FE7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2494.26</w:t>
            </w:r>
          </w:p>
        </w:tc>
        <w:tc>
          <w:tcPr>
            <w:tcW w:w="1121" w:type="dxa"/>
            <w:vAlign w:val="center"/>
          </w:tcPr>
          <w:p w14:paraId="0A7D30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2494.26</w:t>
            </w:r>
          </w:p>
        </w:tc>
        <w:tc>
          <w:tcPr>
            <w:tcW w:w="679" w:type="dxa"/>
            <w:vAlign w:val="center"/>
          </w:tcPr>
          <w:p w14:paraId="48ED08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980" w:type="dxa"/>
            <w:vAlign w:val="center"/>
          </w:tcPr>
          <w:p w14:paraId="5C211E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1309" w:type="dxa"/>
            <w:vAlign w:val="center"/>
          </w:tcPr>
          <w:p w14:paraId="396B5D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r>
      <w:tr w14:paraId="304FC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E17B772">
            <w:pPr>
              <w:pStyle w:val="9"/>
              <w:rPr>
                <w:rFonts w:hint="eastAsia" w:ascii="宋体" w:hAnsi="宋体" w:eastAsia="宋体" w:cs="宋体"/>
              </w:rPr>
            </w:pPr>
          </w:p>
        </w:tc>
        <w:tc>
          <w:tcPr>
            <w:tcW w:w="2034" w:type="dxa"/>
            <w:gridSpan w:val="2"/>
            <w:vAlign w:val="top"/>
          </w:tcPr>
          <w:p w14:paraId="3A12AE5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64E787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1404" w:type="dxa"/>
            <w:vAlign w:val="center"/>
          </w:tcPr>
          <w:p w14:paraId="034392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2494.26</w:t>
            </w:r>
          </w:p>
        </w:tc>
        <w:tc>
          <w:tcPr>
            <w:tcW w:w="1121" w:type="dxa"/>
            <w:vAlign w:val="center"/>
          </w:tcPr>
          <w:p w14:paraId="4381A9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2494.26</w:t>
            </w:r>
          </w:p>
        </w:tc>
        <w:tc>
          <w:tcPr>
            <w:tcW w:w="679" w:type="dxa"/>
            <w:vAlign w:val="center"/>
          </w:tcPr>
          <w:p w14:paraId="47C6F8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80" w:type="dxa"/>
            <w:vAlign w:val="center"/>
          </w:tcPr>
          <w:p w14:paraId="297386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309" w:type="dxa"/>
            <w:vAlign w:val="center"/>
          </w:tcPr>
          <w:p w14:paraId="104708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84C6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D5C1332">
            <w:pPr>
              <w:pStyle w:val="9"/>
              <w:rPr>
                <w:rFonts w:hint="eastAsia" w:ascii="宋体" w:hAnsi="宋体" w:eastAsia="宋体" w:cs="宋体"/>
              </w:rPr>
            </w:pPr>
          </w:p>
        </w:tc>
        <w:tc>
          <w:tcPr>
            <w:tcW w:w="2034" w:type="dxa"/>
            <w:gridSpan w:val="2"/>
            <w:vAlign w:val="top"/>
          </w:tcPr>
          <w:p w14:paraId="646BBC59">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375DE7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1404" w:type="dxa"/>
            <w:vAlign w:val="center"/>
          </w:tcPr>
          <w:p w14:paraId="46EE1A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1121" w:type="dxa"/>
            <w:vAlign w:val="center"/>
          </w:tcPr>
          <w:p w14:paraId="756E5E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679" w:type="dxa"/>
            <w:vAlign w:val="center"/>
          </w:tcPr>
          <w:p w14:paraId="1F9B03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80" w:type="dxa"/>
            <w:vAlign w:val="center"/>
          </w:tcPr>
          <w:p w14:paraId="0A7294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309" w:type="dxa"/>
            <w:vAlign w:val="center"/>
          </w:tcPr>
          <w:p w14:paraId="5ECE09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4FAD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59D1ED6B">
            <w:pPr>
              <w:pStyle w:val="9"/>
              <w:rPr>
                <w:rFonts w:hint="eastAsia" w:ascii="宋体" w:hAnsi="宋体" w:eastAsia="宋体" w:cs="宋体"/>
              </w:rPr>
            </w:pPr>
          </w:p>
        </w:tc>
        <w:tc>
          <w:tcPr>
            <w:tcW w:w="2034" w:type="dxa"/>
            <w:gridSpan w:val="2"/>
            <w:vAlign w:val="top"/>
          </w:tcPr>
          <w:p w14:paraId="7143F68C">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43569D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1404" w:type="dxa"/>
            <w:vAlign w:val="center"/>
          </w:tcPr>
          <w:p w14:paraId="05A2BE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1121" w:type="dxa"/>
            <w:vAlign w:val="center"/>
          </w:tcPr>
          <w:p w14:paraId="78C8F7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679" w:type="dxa"/>
            <w:vAlign w:val="center"/>
          </w:tcPr>
          <w:p w14:paraId="6EEC73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80" w:type="dxa"/>
            <w:vAlign w:val="center"/>
          </w:tcPr>
          <w:p w14:paraId="6C9BE3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309" w:type="dxa"/>
            <w:vAlign w:val="center"/>
          </w:tcPr>
          <w:p w14:paraId="666B0C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1F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C40EF2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0709638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371B7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682" w:type="dxa"/>
            <w:gridSpan w:val="4"/>
            <w:vAlign w:val="top"/>
          </w:tcPr>
          <w:p w14:paraId="71E5D04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089" w:type="dxa"/>
            <w:gridSpan w:val="4"/>
            <w:vAlign w:val="top"/>
          </w:tcPr>
          <w:p w14:paraId="636B33E8">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208C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A0224C1">
            <w:pPr>
              <w:pStyle w:val="9"/>
              <w:rPr>
                <w:rFonts w:hint="eastAsia" w:ascii="宋体" w:hAnsi="宋体" w:eastAsia="宋体" w:cs="宋体"/>
              </w:rPr>
            </w:pPr>
          </w:p>
        </w:tc>
        <w:tc>
          <w:tcPr>
            <w:tcW w:w="4682" w:type="dxa"/>
            <w:gridSpan w:val="4"/>
            <w:vAlign w:val="center"/>
          </w:tcPr>
          <w:p w14:paraId="72223BA9">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新天地排水管道建设和洛王步步高新天地小区排水管道塌陷修复是重大民生工程，岳阳楼区政府要担任项目业主，落实属地责任，抓紧开展征拆工作，科学有序推进施工，保障项目上游7000余户居民排水通畅，消除安全隐患，恢复交通出行。将原波纹管更换为钢筋混凝土管道。</w:t>
            </w:r>
          </w:p>
        </w:tc>
        <w:tc>
          <w:tcPr>
            <w:tcW w:w="4089" w:type="dxa"/>
            <w:gridSpan w:val="4"/>
            <w:vAlign w:val="center"/>
          </w:tcPr>
          <w:p w14:paraId="058E4203">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按工期保质保量完成涵管铺设，恢复交通及排水。第一期为抢险段施工，第二期为顶管段施工。</w:t>
            </w:r>
          </w:p>
        </w:tc>
      </w:tr>
      <w:tr w14:paraId="0CEB0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vAlign w:val="center"/>
          </w:tcPr>
          <w:p w14:paraId="311A278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2"/>
                <w:szCs w:val="22"/>
                <w:u w:val="none"/>
                <w:lang w:val="en-US" w:eastAsia="zh-CN" w:bidi="ar"/>
              </w:rPr>
              <w:t>绩效指标</w:t>
            </w:r>
          </w:p>
        </w:tc>
        <w:tc>
          <w:tcPr>
            <w:tcW w:w="1079" w:type="dxa"/>
            <w:tcBorders>
              <w:bottom w:val="single" w:color="auto" w:sz="4" w:space="0"/>
            </w:tcBorders>
            <w:vAlign w:val="center"/>
          </w:tcPr>
          <w:p w14:paraId="0A901637">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b/>
                <w:bCs/>
                <w:i w:val="0"/>
                <w:iCs w:val="0"/>
                <w:color w:val="000000"/>
                <w:kern w:val="0"/>
                <w:sz w:val="22"/>
                <w:szCs w:val="22"/>
                <w:u w:val="none"/>
                <w:lang w:val="en-US" w:eastAsia="zh-CN" w:bidi="ar"/>
              </w:rPr>
              <w:t>一级指标</w:t>
            </w:r>
          </w:p>
        </w:tc>
        <w:tc>
          <w:tcPr>
            <w:tcW w:w="955" w:type="dxa"/>
            <w:tcBorders>
              <w:bottom w:val="single" w:color="auto" w:sz="4" w:space="0"/>
            </w:tcBorders>
            <w:vAlign w:val="center"/>
          </w:tcPr>
          <w:p w14:paraId="2153AFB2">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b/>
                <w:bCs/>
                <w:i w:val="0"/>
                <w:iCs w:val="0"/>
                <w:color w:val="000000"/>
                <w:kern w:val="0"/>
                <w:sz w:val="22"/>
                <w:szCs w:val="22"/>
                <w:u w:val="none"/>
                <w:lang w:val="en-US" w:eastAsia="zh-CN" w:bidi="ar"/>
              </w:rPr>
              <w:t>二级指标</w:t>
            </w:r>
          </w:p>
        </w:tc>
        <w:tc>
          <w:tcPr>
            <w:tcW w:w="1244" w:type="dxa"/>
            <w:tcBorders>
              <w:bottom w:val="single" w:color="auto" w:sz="4" w:space="0"/>
            </w:tcBorders>
            <w:vAlign w:val="center"/>
          </w:tcPr>
          <w:p w14:paraId="00804442">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b/>
                <w:bCs/>
                <w:i w:val="0"/>
                <w:iCs w:val="0"/>
                <w:color w:val="000000"/>
                <w:kern w:val="0"/>
                <w:sz w:val="22"/>
                <w:szCs w:val="22"/>
                <w:u w:val="none"/>
                <w:lang w:val="en-US" w:eastAsia="zh-CN" w:bidi="ar"/>
              </w:rPr>
              <w:t>三级指标</w:t>
            </w:r>
          </w:p>
        </w:tc>
        <w:tc>
          <w:tcPr>
            <w:tcW w:w="1404" w:type="dxa"/>
            <w:tcBorders>
              <w:bottom w:val="single" w:color="auto" w:sz="4" w:space="0"/>
            </w:tcBorders>
            <w:vAlign w:val="center"/>
          </w:tcPr>
          <w:p w14:paraId="548ED79F">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22"/>
                <w:szCs w:val="22"/>
                <w:u w:val="none"/>
                <w:lang w:val="en-US" w:eastAsia="zh-CN" w:bidi="ar"/>
              </w:rPr>
              <w:t>年度指标值</w:t>
            </w:r>
          </w:p>
        </w:tc>
        <w:tc>
          <w:tcPr>
            <w:tcW w:w="1121" w:type="dxa"/>
            <w:tcBorders>
              <w:bottom w:val="single" w:color="auto" w:sz="4" w:space="0"/>
            </w:tcBorders>
            <w:vAlign w:val="center"/>
          </w:tcPr>
          <w:p w14:paraId="3BE53566">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22"/>
                <w:szCs w:val="22"/>
                <w:u w:val="none"/>
                <w:lang w:val="en-US" w:eastAsia="zh-CN" w:bidi="ar"/>
              </w:rPr>
              <w:t>实际完成值</w:t>
            </w:r>
          </w:p>
        </w:tc>
        <w:tc>
          <w:tcPr>
            <w:tcW w:w="679" w:type="dxa"/>
            <w:tcBorders>
              <w:bottom w:val="single" w:color="auto" w:sz="4" w:space="0"/>
            </w:tcBorders>
            <w:vAlign w:val="center"/>
          </w:tcPr>
          <w:p w14:paraId="0C3865E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22"/>
                <w:szCs w:val="22"/>
                <w:u w:val="none"/>
                <w:lang w:val="en-US" w:eastAsia="zh-CN" w:bidi="ar"/>
              </w:rPr>
              <w:t>分值</w:t>
            </w:r>
          </w:p>
        </w:tc>
        <w:tc>
          <w:tcPr>
            <w:tcW w:w="980" w:type="dxa"/>
            <w:tcBorders>
              <w:bottom w:val="single" w:color="auto" w:sz="4" w:space="0"/>
            </w:tcBorders>
            <w:vAlign w:val="center"/>
          </w:tcPr>
          <w:p w14:paraId="58E89B74">
            <w:pPr>
              <w:keepNext w:val="0"/>
              <w:keepLines w:val="0"/>
              <w:widowControl/>
              <w:suppressLineNumbers w:val="0"/>
              <w:jc w:val="center"/>
              <w:textAlignment w:val="center"/>
              <w:rPr>
                <w:rFonts w:hint="eastAsia" w:ascii="宋体" w:hAnsi="宋体" w:eastAsia="宋体" w:cs="宋体"/>
                <w:sz w:val="16"/>
                <w:szCs w:val="16"/>
              </w:rPr>
            </w:pPr>
            <w:r>
              <w:rPr>
                <w:rFonts w:hint="eastAsia" w:ascii="宋体" w:hAnsi="宋体" w:eastAsia="宋体" w:cs="宋体"/>
                <w:b/>
                <w:bCs/>
                <w:i w:val="0"/>
                <w:iCs w:val="0"/>
                <w:color w:val="000000"/>
                <w:kern w:val="0"/>
                <w:sz w:val="22"/>
                <w:szCs w:val="22"/>
                <w:u w:val="none"/>
                <w:lang w:val="en-US" w:eastAsia="zh-CN" w:bidi="ar"/>
              </w:rPr>
              <w:t>得分</w:t>
            </w:r>
          </w:p>
        </w:tc>
        <w:tc>
          <w:tcPr>
            <w:tcW w:w="1309" w:type="dxa"/>
            <w:tcBorders>
              <w:bottom w:val="single" w:color="auto" w:sz="4" w:space="0"/>
            </w:tcBorders>
            <w:vAlign w:val="center"/>
          </w:tcPr>
          <w:p w14:paraId="0DD3FC6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22"/>
                <w:szCs w:val="22"/>
                <w:u w:val="none"/>
                <w:lang w:val="en-US" w:eastAsia="zh-CN" w:bidi="ar"/>
              </w:rPr>
              <w:t>偏差原因分析及改进措施</w:t>
            </w:r>
          </w:p>
        </w:tc>
      </w:tr>
      <w:tr w14:paraId="5D918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07DEE20A">
            <w:pPr>
              <w:jc w:val="center"/>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3CE6451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64AD434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67D54BC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铺设排水管道长度（米）</w:t>
            </w:r>
          </w:p>
        </w:tc>
        <w:tc>
          <w:tcPr>
            <w:tcW w:w="1404" w:type="dxa"/>
            <w:tcBorders>
              <w:top w:val="single" w:color="auto" w:sz="4" w:space="0"/>
              <w:left w:val="single" w:color="auto" w:sz="4" w:space="0"/>
              <w:bottom w:val="single" w:color="auto" w:sz="4" w:space="0"/>
              <w:right w:val="single" w:color="auto" w:sz="4" w:space="0"/>
            </w:tcBorders>
            <w:vAlign w:val="center"/>
          </w:tcPr>
          <w:p w14:paraId="32D24BC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485</w:t>
            </w:r>
          </w:p>
        </w:tc>
        <w:tc>
          <w:tcPr>
            <w:tcW w:w="1121" w:type="dxa"/>
            <w:tcBorders>
              <w:top w:val="single" w:color="auto" w:sz="4" w:space="0"/>
              <w:left w:val="single" w:color="auto" w:sz="4" w:space="0"/>
              <w:bottom w:val="single" w:color="auto" w:sz="4" w:space="0"/>
              <w:right w:val="single" w:color="auto" w:sz="4" w:space="0"/>
            </w:tcBorders>
            <w:vAlign w:val="center"/>
          </w:tcPr>
          <w:p w14:paraId="361A8AB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485</w:t>
            </w:r>
          </w:p>
        </w:tc>
        <w:tc>
          <w:tcPr>
            <w:tcW w:w="679" w:type="dxa"/>
            <w:tcBorders>
              <w:top w:val="single" w:color="auto" w:sz="4" w:space="0"/>
              <w:left w:val="single" w:color="auto" w:sz="4" w:space="0"/>
              <w:bottom w:val="single" w:color="auto" w:sz="4" w:space="0"/>
              <w:right w:val="single" w:color="auto" w:sz="4" w:space="0"/>
            </w:tcBorders>
            <w:vAlign w:val="center"/>
          </w:tcPr>
          <w:p w14:paraId="3291A3A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6C51F32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1309" w:type="dxa"/>
            <w:tcBorders>
              <w:top w:val="single" w:color="auto" w:sz="4" w:space="0"/>
              <w:left w:val="single" w:color="auto" w:sz="4" w:space="0"/>
              <w:bottom w:val="single" w:color="auto" w:sz="4" w:space="0"/>
              <w:right w:val="single" w:color="auto" w:sz="4" w:space="0"/>
            </w:tcBorders>
            <w:vAlign w:val="center"/>
          </w:tcPr>
          <w:p w14:paraId="7A88DDF7">
            <w:pPr>
              <w:keepNext w:val="0"/>
              <w:keepLines w:val="0"/>
              <w:widowControl/>
              <w:suppressLineNumbers w:val="0"/>
              <w:jc w:val="center"/>
              <w:textAlignment w:val="center"/>
              <w:rPr>
                <w:rFonts w:hint="eastAsia" w:ascii="宋体" w:hAnsi="宋体" w:eastAsia="宋体" w:cs="宋体"/>
                <w:sz w:val="18"/>
                <w:szCs w:val="18"/>
              </w:rPr>
            </w:pPr>
          </w:p>
        </w:tc>
      </w:tr>
      <w:tr w14:paraId="13A6C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4E416278">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D4881A5">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13E32DF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579FED7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基础平整，涵管铺设，通水试验</w:t>
            </w:r>
          </w:p>
        </w:tc>
        <w:tc>
          <w:tcPr>
            <w:tcW w:w="1404" w:type="dxa"/>
            <w:tcBorders>
              <w:top w:val="single" w:color="auto" w:sz="4" w:space="0"/>
              <w:left w:val="single" w:color="auto" w:sz="4" w:space="0"/>
              <w:bottom w:val="single" w:color="auto" w:sz="4" w:space="0"/>
              <w:right w:val="single" w:color="auto" w:sz="4" w:space="0"/>
            </w:tcBorders>
            <w:vAlign w:val="center"/>
          </w:tcPr>
          <w:p w14:paraId="767F6DB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高质量铺设</w:t>
            </w:r>
          </w:p>
        </w:tc>
        <w:tc>
          <w:tcPr>
            <w:tcW w:w="1121" w:type="dxa"/>
            <w:tcBorders>
              <w:top w:val="single" w:color="auto" w:sz="4" w:space="0"/>
              <w:left w:val="single" w:color="auto" w:sz="4" w:space="0"/>
              <w:bottom w:val="single" w:color="auto" w:sz="4" w:space="0"/>
              <w:right w:val="single" w:color="auto" w:sz="4" w:space="0"/>
            </w:tcBorders>
            <w:vAlign w:val="center"/>
          </w:tcPr>
          <w:p w14:paraId="28B469A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高质量铺设</w:t>
            </w:r>
          </w:p>
        </w:tc>
        <w:tc>
          <w:tcPr>
            <w:tcW w:w="679" w:type="dxa"/>
            <w:tcBorders>
              <w:top w:val="single" w:color="auto" w:sz="4" w:space="0"/>
              <w:left w:val="single" w:color="auto" w:sz="4" w:space="0"/>
              <w:bottom w:val="single" w:color="auto" w:sz="4" w:space="0"/>
              <w:right w:val="single" w:color="auto" w:sz="4" w:space="0"/>
            </w:tcBorders>
            <w:vAlign w:val="center"/>
          </w:tcPr>
          <w:p w14:paraId="3709EE5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71A52A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9.5</w:t>
            </w:r>
          </w:p>
        </w:tc>
        <w:tc>
          <w:tcPr>
            <w:tcW w:w="1309" w:type="dxa"/>
            <w:tcBorders>
              <w:top w:val="single" w:color="auto" w:sz="4" w:space="0"/>
              <w:left w:val="single" w:color="auto" w:sz="4" w:space="0"/>
              <w:bottom w:val="single" w:color="auto" w:sz="4" w:space="0"/>
              <w:right w:val="single" w:color="auto" w:sz="4" w:space="0"/>
            </w:tcBorders>
            <w:vAlign w:val="center"/>
          </w:tcPr>
          <w:p w14:paraId="4A2238A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基础平整度扣0.5分，管道结构安全，排水通畅</w:t>
            </w:r>
          </w:p>
        </w:tc>
      </w:tr>
      <w:tr w14:paraId="2E447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vAlign w:val="center"/>
          </w:tcPr>
          <w:p w14:paraId="291BA64C">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ADB4760">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47EE0C6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78A5F43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按照立项批复，整体项目为期12个月，应于2023年6月竣工</w:t>
            </w:r>
          </w:p>
        </w:tc>
        <w:tc>
          <w:tcPr>
            <w:tcW w:w="1404" w:type="dxa"/>
            <w:tcBorders>
              <w:top w:val="single" w:color="auto" w:sz="4" w:space="0"/>
              <w:left w:val="single" w:color="auto" w:sz="4" w:space="0"/>
              <w:bottom w:val="single" w:color="auto" w:sz="4" w:space="0"/>
              <w:right w:val="single" w:color="auto" w:sz="4" w:space="0"/>
            </w:tcBorders>
            <w:vAlign w:val="center"/>
          </w:tcPr>
          <w:p w14:paraId="34A3FF7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有效消除</w:t>
            </w:r>
          </w:p>
        </w:tc>
        <w:tc>
          <w:tcPr>
            <w:tcW w:w="1121" w:type="dxa"/>
            <w:tcBorders>
              <w:top w:val="single" w:color="auto" w:sz="4" w:space="0"/>
              <w:left w:val="single" w:color="auto" w:sz="4" w:space="0"/>
              <w:bottom w:val="single" w:color="auto" w:sz="4" w:space="0"/>
              <w:right w:val="single" w:color="auto" w:sz="4" w:space="0"/>
            </w:tcBorders>
            <w:vAlign w:val="center"/>
          </w:tcPr>
          <w:p w14:paraId="2CD24DB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有效消除</w:t>
            </w:r>
          </w:p>
        </w:tc>
        <w:tc>
          <w:tcPr>
            <w:tcW w:w="679" w:type="dxa"/>
            <w:tcBorders>
              <w:top w:val="single" w:color="auto" w:sz="4" w:space="0"/>
              <w:left w:val="single" w:color="auto" w:sz="4" w:space="0"/>
              <w:bottom w:val="single" w:color="auto" w:sz="4" w:space="0"/>
              <w:right w:val="single" w:color="auto" w:sz="4" w:space="0"/>
            </w:tcBorders>
            <w:vAlign w:val="center"/>
          </w:tcPr>
          <w:p w14:paraId="271040C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1781C44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8</w:t>
            </w:r>
          </w:p>
        </w:tc>
        <w:tc>
          <w:tcPr>
            <w:tcW w:w="1309" w:type="dxa"/>
            <w:tcBorders>
              <w:top w:val="single" w:color="auto" w:sz="4" w:space="0"/>
              <w:left w:val="single" w:color="auto" w:sz="4" w:space="0"/>
              <w:bottom w:val="single" w:color="auto" w:sz="4" w:space="0"/>
              <w:right w:val="single" w:color="auto" w:sz="4" w:space="0"/>
            </w:tcBorders>
            <w:vAlign w:val="center"/>
          </w:tcPr>
          <w:p w14:paraId="243929F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项目实际于2022年6月20日进场施工，一期于2022年12月完工。二期于2024年2月开工，项目当初作为抢险工程立项，整体进度拖沓，较计划落后较多</w:t>
            </w:r>
          </w:p>
        </w:tc>
      </w:tr>
      <w:tr w14:paraId="4FE50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1698FC92">
            <w:pPr>
              <w:jc w:val="center"/>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7A12340A">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720C563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27C1D3F3">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15870B31">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7DBE7A68">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2553738C">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1F262948">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201BC398">
            <w:pPr>
              <w:jc w:val="center"/>
              <w:rPr>
                <w:rFonts w:hint="eastAsia" w:ascii="宋体" w:hAnsi="宋体" w:eastAsia="宋体" w:cs="宋体"/>
                <w:sz w:val="18"/>
                <w:szCs w:val="18"/>
              </w:rPr>
            </w:pPr>
          </w:p>
        </w:tc>
      </w:tr>
      <w:tr w14:paraId="1EC10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5A3588F5">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3AB3C8F">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6C6217DA">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42FE2186">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43663126">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5BEDAE17">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4A950A3D">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130F08DC">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712F8105">
            <w:pPr>
              <w:jc w:val="center"/>
              <w:rPr>
                <w:rFonts w:hint="eastAsia" w:ascii="宋体" w:hAnsi="宋体" w:eastAsia="宋体" w:cs="宋体"/>
                <w:sz w:val="18"/>
                <w:szCs w:val="18"/>
              </w:rPr>
            </w:pPr>
          </w:p>
        </w:tc>
      </w:tr>
      <w:tr w14:paraId="17F69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3433DF62">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487E54E">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238090C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1DA6D43C">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1D8CAEE8">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18FBDA42">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07CE95A0">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7A1C662F">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5819947E">
            <w:pPr>
              <w:jc w:val="center"/>
              <w:rPr>
                <w:rFonts w:hint="eastAsia" w:ascii="宋体" w:hAnsi="宋体" w:eastAsia="宋体" w:cs="宋体"/>
                <w:sz w:val="18"/>
                <w:szCs w:val="18"/>
              </w:rPr>
            </w:pPr>
          </w:p>
        </w:tc>
      </w:tr>
      <w:tr w14:paraId="3D80A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386223BF">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08D5173">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4996241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6A44DBC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消除安全隐患，居民排水畅通</w:t>
            </w:r>
          </w:p>
        </w:tc>
        <w:tc>
          <w:tcPr>
            <w:tcW w:w="1404" w:type="dxa"/>
            <w:tcBorders>
              <w:top w:val="single" w:color="auto" w:sz="4" w:space="0"/>
              <w:left w:val="single" w:color="auto" w:sz="4" w:space="0"/>
              <w:bottom w:val="single" w:color="auto" w:sz="4" w:space="0"/>
              <w:right w:val="single" w:color="auto" w:sz="4" w:space="0"/>
            </w:tcBorders>
            <w:vAlign w:val="center"/>
          </w:tcPr>
          <w:p w14:paraId="2C43FF0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有效消除</w:t>
            </w:r>
          </w:p>
        </w:tc>
        <w:tc>
          <w:tcPr>
            <w:tcW w:w="1121" w:type="dxa"/>
            <w:tcBorders>
              <w:top w:val="single" w:color="auto" w:sz="4" w:space="0"/>
              <w:left w:val="single" w:color="auto" w:sz="4" w:space="0"/>
              <w:bottom w:val="single" w:color="auto" w:sz="4" w:space="0"/>
              <w:right w:val="single" w:color="auto" w:sz="4" w:space="0"/>
            </w:tcBorders>
            <w:vAlign w:val="center"/>
          </w:tcPr>
          <w:p w14:paraId="1A6BEB6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有效消除</w:t>
            </w:r>
          </w:p>
        </w:tc>
        <w:tc>
          <w:tcPr>
            <w:tcW w:w="679" w:type="dxa"/>
            <w:tcBorders>
              <w:top w:val="single" w:color="auto" w:sz="4" w:space="0"/>
              <w:left w:val="single" w:color="auto" w:sz="4" w:space="0"/>
              <w:bottom w:val="single" w:color="auto" w:sz="4" w:space="0"/>
              <w:right w:val="single" w:color="auto" w:sz="4" w:space="0"/>
            </w:tcBorders>
            <w:vAlign w:val="center"/>
          </w:tcPr>
          <w:p w14:paraId="605D643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1A5375F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1309" w:type="dxa"/>
            <w:tcBorders>
              <w:top w:val="single" w:color="auto" w:sz="4" w:space="0"/>
              <w:left w:val="single" w:color="auto" w:sz="4" w:space="0"/>
              <w:bottom w:val="single" w:color="auto" w:sz="4" w:space="0"/>
              <w:right w:val="single" w:color="auto" w:sz="4" w:space="0"/>
            </w:tcBorders>
            <w:vAlign w:val="center"/>
          </w:tcPr>
          <w:p w14:paraId="1FC84480">
            <w:pPr>
              <w:jc w:val="center"/>
              <w:rPr>
                <w:rFonts w:hint="eastAsia" w:ascii="宋体" w:hAnsi="宋体" w:eastAsia="宋体" w:cs="宋体"/>
                <w:sz w:val="18"/>
                <w:szCs w:val="18"/>
              </w:rPr>
            </w:pPr>
          </w:p>
        </w:tc>
      </w:tr>
      <w:tr w14:paraId="319AE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63FEE696">
            <w:pPr>
              <w:jc w:val="center"/>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66B4BD20">
            <w:pPr>
              <w:keepNext w:val="0"/>
              <w:keepLines w:val="0"/>
              <w:widowControl/>
              <w:suppressLineNumbers w:val="0"/>
              <w:jc w:val="center"/>
              <w:textAlignment w:val="center"/>
              <w:rPr>
                <w:rFonts w:hint="eastAsia" w:ascii="宋体" w:hAnsi="宋体" w:eastAsia="宋体" w:cs="宋体"/>
                <w:spacing w:val="3"/>
                <w:sz w:val="19"/>
                <w:szCs w:val="19"/>
              </w:rPr>
            </w:pPr>
            <w:r>
              <w:rPr>
                <w:rFonts w:hint="eastAsia" w:ascii="宋体" w:hAnsi="宋体" w:eastAsia="宋体" w:cs="宋体"/>
                <w:i w:val="0"/>
                <w:iCs w:val="0"/>
                <w:color w:val="000000"/>
                <w:kern w:val="0"/>
                <w:sz w:val="20"/>
                <w:szCs w:val="20"/>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4882917E">
            <w:pPr>
              <w:keepNext w:val="0"/>
              <w:keepLines w:val="0"/>
              <w:widowControl/>
              <w:suppressLineNumbers w:val="0"/>
              <w:jc w:val="center"/>
              <w:textAlignment w:val="center"/>
              <w:rPr>
                <w:rFonts w:hint="eastAsia" w:ascii="宋体" w:hAnsi="宋体" w:eastAsia="宋体" w:cs="宋体"/>
                <w:spacing w:val="2"/>
                <w:sz w:val="19"/>
                <w:szCs w:val="19"/>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4E937DD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恢复道路畅通，消除安全隐患</w:t>
            </w:r>
          </w:p>
        </w:tc>
        <w:tc>
          <w:tcPr>
            <w:tcW w:w="1404" w:type="dxa"/>
            <w:tcBorders>
              <w:top w:val="single" w:color="auto" w:sz="4" w:space="0"/>
              <w:left w:val="single" w:color="auto" w:sz="4" w:space="0"/>
              <w:bottom w:val="single" w:color="auto" w:sz="4" w:space="0"/>
              <w:right w:val="single" w:color="auto" w:sz="4" w:space="0"/>
            </w:tcBorders>
            <w:vAlign w:val="center"/>
          </w:tcPr>
          <w:p w14:paraId="05E307B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≥95%</w:t>
            </w:r>
          </w:p>
        </w:tc>
        <w:tc>
          <w:tcPr>
            <w:tcW w:w="1121" w:type="dxa"/>
            <w:tcBorders>
              <w:top w:val="single" w:color="auto" w:sz="4" w:space="0"/>
              <w:left w:val="single" w:color="auto" w:sz="4" w:space="0"/>
              <w:bottom w:val="single" w:color="auto" w:sz="4" w:space="0"/>
              <w:right w:val="single" w:color="auto" w:sz="4" w:space="0"/>
            </w:tcBorders>
            <w:vAlign w:val="center"/>
          </w:tcPr>
          <w:p w14:paraId="3D20A8F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95%</w:t>
            </w:r>
          </w:p>
        </w:tc>
        <w:tc>
          <w:tcPr>
            <w:tcW w:w="679" w:type="dxa"/>
            <w:tcBorders>
              <w:top w:val="single" w:color="auto" w:sz="4" w:space="0"/>
              <w:left w:val="single" w:color="auto" w:sz="4" w:space="0"/>
              <w:bottom w:val="single" w:color="auto" w:sz="4" w:space="0"/>
              <w:right w:val="single" w:color="auto" w:sz="4" w:space="0"/>
            </w:tcBorders>
            <w:vAlign w:val="center"/>
          </w:tcPr>
          <w:p w14:paraId="0AF2B4C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642D7A5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9.5</w:t>
            </w:r>
          </w:p>
        </w:tc>
        <w:tc>
          <w:tcPr>
            <w:tcW w:w="1309" w:type="dxa"/>
            <w:tcBorders>
              <w:top w:val="single" w:color="auto" w:sz="4" w:space="0"/>
              <w:left w:val="single" w:color="auto" w:sz="4" w:space="0"/>
              <w:bottom w:val="single" w:color="auto" w:sz="4" w:space="0"/>
              <w:right w:val="single" w:color="auto" w:sz="4" w:space="0"/>
            </w:tcBorders>
            <w:vAlign w:val="center"/>
          </w:tcPr>
          <w:p w14:paraId="5633168D">
            <w:pPr>
              <w:jc w:val="center"/>
              <w:rPr>
                <w:rFonts w:hint="eastAsia" w:ascii="宋体" w:hAnsi="宋体" w:eastAsia="宋体" w:cs="宋体"/>
                <w:sz w:val="18"/>
                <w:szCs w:val="18"/>
              </w:rPr>
            </w:pPr>
          </w:p>
        </w:tc>
      </w:tr>
      <w:tr w14:paraId="11BF0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7788015B">
            <w:pPr>
              <w:jc w:val="center"/>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0E0AEE3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3F53B901">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i w:val="0"/>
                <w:iCs w:val="0"/>
                <w:color w:val="000000"/>
                <w:kern w:val="0"/>
                <w:sz w:val="20"/>
                <w:szCs w:val="20"/>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58842E2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材料费、施工费、其他费用</w:t>
            </w:r>
          </w:p>
        </w:tc>
        <w:tc>
          <w:tcPr>
            <w:tcW w:w="1404" w:type="dxa"/>
            <w:tcBorders>
              <w:top w:val="single" w:color="auto" w:sz="4" w:space="0"/>
              <w:left w:val="single" w:color="auto" w:sz="4" w:space="0"/>
              <w:bottom w:val="single" w:color="auto" w:sz="4" w:space="0"/>
              <w:right w:val="single" w:color="auto" w:sz="4" w:space="0"/>
            </w:tcBorders>
            <w:vAlign w:val="center"/>
          </w:tcPr>
          <w:p w14:paraId="244B854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按实际成本结算</w:t>
            </w:r>
          </w:p>
        </w:tc>
        <w:tc>
          <w:tcPr>
            <w:tcW w:w="1121" w:type="dxa"/>
            <w:tcBorders>
              <w:top w:val="single" w:color="auto" w:sz="4" w:space="0"/>
              <w:left w:val="single" w:color="auto" w:sz="4" w:space="0"/>
              <w:bottom w:val="single" w:color="auto" w:sz="4" w:space="0"/>
              <w:right w:val="single" w:color="auto" w:sz="4" w:space="0"/>
            </w:tcBorders>
            <w:vAlign w:val="center"/>
          </w:tcPr>
          <w:p w14:paraId="4C091D7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按实际成本结算</w:t>
            </w:r>
          </w:p>
        </w:tc>
        <w:tc>
          <w:tcPr>
            <w:tcW w:w="679" w:type="dxa"/>
            <w:tcBorders>
              <w:top w:val="single" w:color="auto" w:sz="4" w:space="0"/>
              <w:left w:val="single" w:color="auto" w:sz="4" w:space="0"/>
              <w:bottom w:val="single" w:color="auto" w:sz="4" w:space="0"/>
              <w:right w:val="single" w:color="auto" w:sz="4" w:space="0"/>
            </w:tcBorders>
            <w:vAlign w:val="center"/>
          </w:tcPr>
          <w:p w14:paraId="5CFD3C1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31253FF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9.5</w:t>
            </w:r>
          </w:p>
        </w:tc>
        <w:tc>
          <w:tcPr>
            <w:tcW w:w="1309" w:type="dxa"/>
            <w:tcBorders>
              <w:top w:val="single" w:color="auto" w:sz="4" w:space="0"/>
              <w:left w:val="single" w:color="auto" w:sz="4" w:space="0"/>
              <w:bottom w:val="single" w:color="auto" w:sz="4" w:space="0"/>
              <w:right w:val="single" w:color="auto" w:sz="4" w:space="0"/>
            </w:tcBorders>
            <w:vAlign w:val="center"/>
          </w:tcPr>
          <w:p w14:paraId="1F978E5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材料浪费1米，扣0.5分</w:t>
            </w:r>
          </w:p>
        </w:tc>
      </w:tr>
      <w:tr w14:paraId="5D272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41495404">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2B7F8EA">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68D4DD4E">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713673A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投诉率</w:t>
            </w:r>
          </w:p>
        </w:tc>
        <w:tc>
          <w:tcPr>
            <w:tcW w:w="1404" w:type="dxa"/>
            <w:tcBorders>
              <w:top w:val="single" w:color="auto" w:sz="4" w:space="0"/>
              <w:left w:val="single" w:color="auto" w:sz="4" w:space="0"/>
              <w:bottom w:val="single" w:color="auto" w:sz="4" w:space="0"/>
              <w:right w:val="single" w:color="auto" w:sz="4" w:space="0"/>
            </w:tcBorders>
            <w:vAlign w:val="center"/>
          </w:tcPr>
          <w:p w14:paraId="299DEF4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0%</w:t>
            </w:r>
          </w:p>
        </w:tc>
        <w:tc>
          <w:tcPr>
            <w:tcW w:w="1121" w:type="dxa"/>
            <w:tcBorders>
              <w:top w:val="single" w:color="auto" w:sz="4" w:space="0"/>
              <w:left w:val="single" w:color="auto" w:sz="4" w:space="0"/>
              <w:bottom w:val="single" w:color="auto" w:sz="4" w:space="0"/>
              <w:right w:val="single" w:color="auto" w:sz="4" w:space="0"/>
            </w:tcBorders>
            <w:vAlign w:val="center"/>
          </w:tcPr>
          <w:p w14:paraId="0DAEAF7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0%</w:t>
            </w:r>
          </w:p>
        </w:tc>
        <w:tc>
          <w:tcPr>
            <w:tcW w:w="679" w:type="dxa"/>
            <w:tcBorders>
              <w:top w:val="single" w:color="auto" w:sz="4" w:space="0"/>
              <w:left w:val="single" w:color="auto" w:sz="4" w:space="0"/>
              <w:bottom w:val="single" w:color="auto" w:sz="4" w:space="0"/>
              <w:right w:val="single" w:color="auto" w:sz="4" w:space="0"/>
            </w:tcBorders>
            <w:vAlign w:val="center"/>
          </w:tcPr>
          <w:p w14:paraId="2A296A9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364C95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19.5</w:t>
            </w:r>
          </w:p>
        </w:tc>
        <w:tc>
          <w:tcPr>
            <w:tcW w:w="1309" w:type="dxa"/>
            <w:tcBorders>
              <w:top w:val="single" w:color="auto" w:sz="4" w:space="0"/>
              <w:left w:val="single" w:color="auto" w:sz="4" w:space="0"/>
              <w:bottom w:val="single" w:color="auto" w:sz="4" w:space="0"/>
              <w:right w:val="single" w:color="auto" w:sz="4" w:space="0"/>
            </w:tcBorders>
            <w:vAlign w:val="center"/>
          </w:tcPr>
          <w:p w14:paraId="322E2A5E">
            <w:pPr>
              <w:jc w:val="center"/>
              <w:rPr>
                <w:rFonts w:hint="eastAsia" w:ascii="宋体" w:hAnsi="宋体" w:eastAsia="宋体" w:cs="宋体"/>
                <w:sz w:val="18"/>
                <w:szCs w:val="18"/>
              </w:rPr>
            </w:pPr>
          </w:p>
        </w:tc>
      </w:tr>
      <w:tr w14:paraId="02B71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vAlign w:val="center"/>
          </w:tcPr>
          <w:p w14:paraId="76ADA55E">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8B2418D">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6E9487B6">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74E94E2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绿化破坏率</w:t>
            </w:r>
          </w:p>
        </w:tc>
        <w:tc>
          <w:tcPr>
            <w:tcW w:w="1404" w:type="dxa"/>
            <w:tcBorders>
              <w:top w:val="single" w:color="auto" w:sz="4" w:space="0"/>
              <w:left w:val="single" w:color="auto" w:sz="4" w:space="0"/>
              <w:bottom w:val="single" w:color="auto" w:sz="4" w:space="0"/>
              <w:right w:val="single" w:color="auto" w:sz="4" w:space="0"/>
            </w:tcBorders>
            <w:vAlign w:val="center"/>
          </w:tcPr>
          <w:p w14:paraId="1531794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0%</w:t>
            </w:r>
          </w:p>
        </w:tc>
        <w:tc>
          <w:tcPr>
            <w:tcW w:w="1121" w:type="dxa"/>
            <w:tcBorders>
              <w:top w:val="single" w:color="auto" w:sz="4" w:space="0"/>
              <w:left w:val="single" w:color="auto" w:sz="4" w:space="0"/>
              <w:bottom w:val="single" w:color="auto" w:sz="4" w:space="0"/>
              <w:right w:val="single" w:color="auto" w:sz="4" w:space="0"/>
            </w:tcBorders>
            <w:vAlign w:val="center"/>
          </w:tcPr>
          <w:p w14:paraId="634A8CF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0%</w:t>
            </w:r>
          </w:p>
        </w:tc>
        <w:tc>
          <w:tcPr>
            <w:tcW w:w="679" w:type="dxa"/>
            <w:tcBorders>
              <w:top w:val="single" w:color="auto" w:sz="4" w:space="0"/>
              <w:left w:val="single" w:color="auto" w:sz="4" w:space="0"/>
              <w:bottom w:val="single" w:color="auto" w:sz="4" w:space="0"/>
              <w:right w:val="single" w:color="auto" w:sz="4" w:space="0"/>
            </w:tcBorders>
            <w:vAlign w:val="center"/>
          </w:tcPr>
          <w:p w14:paraId="0FCBC2C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36B7B36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1309" w:type="dxa"/>
            <w:tcBorders>
              <w:top w:val="single" w:color="auto" w:sz="4" w:space="0"/>
              <w:left w:val="single" w:color="auto" w:sz="4" w:space="0"/>
              <w:bottom w:val="single" w:color="auto" w:sz="4" w:space="0"/>
              <w:right w:val="single" w:color="auto" w:sz="4" w:space="0"/>
            </w:tcBorders>
            <w:vAlign w:val="center"/>
          </w:tcPr>
          <w:p w14:paraId="2A6D29A3">
            <w:pPr>
              <w:jc w:val="center"/>
              <w:rPr>
                <w:rFonts w:hint="eastAsia" w:ascii="宋体" w:hAnsi="宋体" w:eastAsia="宋体" w:cs="宋体"/>
                <w:sz w:val="18"/>
                <w:szCs w:val="18"/>
              </w:rPr>
            </w:pPr>
          </w:p>
        </w:tc>
      </w:tr>
      <w:tr w14:paraId="045F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16E2250D">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679" w:type="dxa"/>
            <w:vAlign w:val="center"/>
          </w:tcPr>
          <w:p w14:paraId="21CC18B2">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8"/>
                <w:szCs w:val="18"/>
                <w:u w:val="none"/>
                <w:lang w:val="en-US" w:eastAsia="zh-CN" w:bidi="ar"/>
              </w:rPr>
              <w:t>100</w:t>
            </w:r>
          </w:p>
        </w:tc>
        <w:tc>
          <w:tcPr>
            <w:tcW w:w="980" w:type="dxa"/>
            <w:vAlign w:val="center"/>
          </w:tcPr>
          <w:p w14:paraId="517FE756">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96</w:t>
            </w:r>
          </w:p>
        </w:tc>
        <w:tc>
          <w:tcPr>
            <w:tcW w:w="1309" w:type="dxa"/>
            <w:vAlign w:val="top"/>
          </w:tcPr>
          <w:p w14:paraId="0E10417D">
            <w:pPr>
              <w:pStyle w:val="9"/>
              <w:rPr>
                <w:rFonts w:hint="eastAsia" w:ascii="宋体" w:hAnsi="宋体" w:eastAsia="宋体" w:cs="宋体"/>
                <w:sz w:val="18"/>
                <w:szCs w:val="18"/>
              </w:rPr>
            </w:pPr>
          </w:p>
        </w:tc>
      </w:tr>
    </w:tbl>
    <w:p w14:paraId="0C33EA96">
      <w:pPr>
        <w:spacing w:line="217" w:lineRule="auto"/>
        <w:rPr>
          <w:sz w:val="22"/>
          <w:szCs w:val="22"/>
        </w:rPr>
      </w:pPr>
    </w:p>
    <w:p w14:paraId="5C3403D1">
      <w:pPr>
        <w:spacing w:before="64" w:line="230" w:lineRule="auto"/>
        <w:rPr>
          <w:rFonts w:ascii="黑体" w:hAnsi="黑体" w:eastAsia="黑体" w:cs="黑体"/>
          <w:spacing w:val="-4"/>
          <w:sz w:val="31"/>
          <w:szCs w:val="31"/>
        </w:rPr>
      </w:pPr>
    </w:p>
    <w:p w14:paraId="7E4DA6B2">
      <w:pPr>
        <w:spacing w:before="64" w:line="230" w:lineRule="auto"/>
        <w:rPr>
          <w:rFonts w:ascii="黑体" w:hAnsi="黑体" w:eastAsia="黑体" w:cs="黑体"/>
          <w:spacing w:val="-4"/>
          <w:sz w:val="31"/>
          <w:szCs w:val="31"/>
        </w:rPr>
      </w:pPr>
    </w:p>
    <w:p w14:paraId="11047FEE">
      <w:pPr>
        <w:spacing w:before="64" w:line="230" w:lineRule="auto"/>
        <w:rPr>
          <w:rFonts w:ascii="黑体" w:hAnsi="黑体" w:eastAsia="黑体" w:cs="黑体"/>
          <w:spacing w:val="-4"/>
          <w:sz w:val="31"/>
          <w:szCs w:val="31"/>
        </w:rPr>
      </w:pPr>
    </w:p>
    <w:p w14:paraId="7FA3EC31">
      <w:pPr>
        <w:spacing w:before="64" w:line="230" w:lineRule="auto"/>
        <w:rPr>
          <w:rFonts w:ascii="黑体" w:hAnsi="黑体" w:eastAsia="黑体" w:cs="黑体"/>
          <w:spacing w:val="-4"/>
          <w:sz w:val="31"/>
          <w:szCs w:val="31"/>
        </w:rPr>
      </w:pPr>
    </w:p>
    <w:p w14:paraId="5FEE6F15">
      <w:pPr>
        <w:spacing w:before="64" w:line="230" w:lineRule="auto"/>
        <w:rPr>
          <w:rFonts w:ascii="黑体" w:hAnsi="黑体" w:eastAsia="黑体" w:cs="黑体"/>
          <w:spacing w:val="-4"/>
          <w:sz w:val="31"/>
          <w:szCs w:val="31"/>
        </w:rPr>
      </w:pPr>
    </w:p>
    <w:p w14:paraId="5EC46831">
      <w:pPr>
        <w:spacing w:before="64" w:line="230" w:lineRule="auto"/>
        <w:rPr>
          <w:rFonts w:ascii="黑体" w:hAnsi="黑体" w:eastAsia="黑体" w:cs="黑体"/>
          <w:spacing w:val="-4"/>
          <w:sz w:val="31"/>
          <w:szCs w:val="31"/>
        </w:rPr>
      </w:pPr>
    </w:p>
    <w:p w14:paraId="1C8C9888">
      <w:pPr>
        <w:spacing w:before="64" w:line="230" w:lineRule="auto"/>
        <w:rPr>
          <w:rFonts w:ascii="黑体" w:hAnsi="黑体" w:eastAsia="黑体" w:cs="黑体"/>
          <w:spacing w:val="-4"/>
          <w:sz w:val="31"/>
          <w:szCs w:val="31"/>
        </w:rPr>
      </w:pPr>
    </w:p>
    <w:p w14:paraId="353D9E17">
      <w:pPr>
        <w:spacing w:before="64" w:line="230" w:lineRule="auto"/>
        <w:rPr>
          <w:rFonts w:ascii="黑体" w:hAnsi="黑体" w:eastAsia="黑体" w:cs="黑体"/>
          <w:spacing w:val="-4"/>
          <w:sz w:val="31"/>
          <w:szCs w:val="31"/>
        </w:rPr>
      </w:pPr>
    </w:p>
    <w:p w14:paraId="6DCE9929">
      <w:pPr>
        <w:spacing w:before="64" w:line="230" w:lineRule="auto"/>
        <w:rPr>
          <w:rFonts w:ascii="黑体" w:hAnsi="黑体" w:eastAsia="黑体" w:cs="黑体"/>
          <w:spacing w:val="-4"/>
          <w:sz w:val="31"/>
          <w:szCs w:val="31"/>
        </w:rPr>
      </w:pPr>
    </w:p>
    <w:p w14:paraId="19B72A1E">
      <w:pPr>
        <w:spacing w:before="64" w:line="230" w:lineRule="auto"/>
        <w:rPr>
          <w:rFonts w:ascii="黑体" w:hAnsi="黑体" w:eastAsia="黑体" w:cs="黑体"/>
          <w:spacing w:val="-4"/>
          <w:sz w:val="31"/>
          <w:szCs w:val="31"/>
        </w:rPr>
      </w:pPr>
    </w:p>
    <w:p w14:paraId="204D90D8">
      <w:pPr>
        <w:spacing w:before="64" w:line="230" w:lineRule="auto"/>
        <w:rPr>
          <w:rFonts w:ascii="黑体" w:hAnsi="黑体" w:eastAsia="黑体" w:cs="黑体"/>
          <w:spacing w:val="-4"/>
          <w:sz w:val="31"/>
          <w:szCs w:val="31"/>
        </w:rPr>
      </w:pPr>
    </w:p>
    <w:p w14:paraId="27401D41">
      <w:pPr>
        <w:spacing w:before="64" w:line="230" w:lineRule="auto"/>
        <w:rPr>
          <w:rFonts w:ascii="黑体" w:hAnsi="黑体" w:eastAsia="黑体" w:cs="黑体"/>
          <w:spacing w:val="-4"/>
          <w:sz w:val="31"/>
          <w:szCs w:val="31"/>
        </w:rPr>
      </w:pPr>
    </w:p>
    <w:p w14:paraId="49ED352E">
      <w:pPr>
        <w:spacing w:before="64" w:line="230" w:lineRule="auto"/>
        <w:rPr>
          <w:rFonts w:ascii="黑体" w:hAnsi="黑体" w:eastAsia="黑体" w:cs="黑体"/>
          <w:spacing w:val="-4"/>
          <w:sz w:val="31"/>
          <w:szCs w:val="31"/>
        </w:rPr>
      </w:pPr>
    </w:p>
    <w:p w14:paraId="1FEFAA66">
      <w:pPr>
        <w:spacing w:before="64" w:line="230" w:lineRule="auto"/>
        <w:rPr>
          <w:rFonts w:ascii="黑体" w:hAnsi="黑体" w:eastAsia="黑体" w:cs="黑体"/>
          <w:spacing w:val="-4"/>
          <w:sz w:val="31"/>
          <w:szCs w:val="31"/>
        </w:rPr>
      </w:pPr>
    </w:p>
    <w:p w14:paraId="6CCDD93C">
      <w:pPr>
        <w:spacing w:before="64" w:line="230" w:lineRule="auto"/>
        <w:rPr>
          <w:rFonts w:ascii="黑体" w:hAnsi="黑体" w:eastAsia="黑体" w:cs="黑体"/>
          <w:spacing w:val="-4"/>
          <w:sz w:val="31"/>
          <w:szCs w:val="31"/>
        </w:rPr>
      </w:pPr>
    </w:p>
    <w:p w14:paraId="65547A28">
      <w:pPr>
        <w:spacing w:before="64" w:line="230" w:lineRule="auto"/>
        <w:rPr>
          <w:rFonts w:ascii="黑体" w:hAnsi="黑体" w:eastAsia="黑体" w:cs="黑体"/>
          <w:spacing w:val="-4"/>
          <w:sz w:val="31"/>
          <w:szCs w:val="31"/>
        </w:rPr>
      </w:pPr>
    </w:p>
    <w:p w14:paraId="790EA5B8">
      <w:pPr>
        <w:spacing w:before="64" w:line="230" w:lineRule="auto"/>
        <w:rPr>
          <w:rFonts w:ascii="黑体" w:hAnsi="黑体" w:eastAsia="黑体" w:cs="黑体"/>
          <w:spacing w:val="-4"/>
          <w:sz w:val="31"/>
          <w:szCs w:val="31"/>
        </w:rPr>
      </w:pPr>
    </w:p>
    <w:p w14:paraId="18CB1B72">
      <w:pPr>
        <w:spacing w:before="64" w:line="230" w:lineRule="auto"/>
        <w:rPr>
          <w:rFonts w:ascii="黑体" w:hAnsi="黑体" w:eastAsia="黑体" w:cs="黑体"/>
          <w:spacing w:val="-4"/>
          <w:sz w:val="31"/>
          <w:szCs w:val="31"/>
        </w:rPr>
      </w:pPr>
    </w:p>
    <w:p w14:paraId="5A61AE6C">
      <w:pPr>
        <w:spacing w:before="64" w:line="230" w:lineRule="auto"/>
        <w:rPr>
          <w:rFonts w:ascii="黑体" w:hAnsi="黑体" w:eastAsia="黑体" w:cs="黑体"/>
          <w:spacing w:val="-4"/>
          <w:sz w:val="31"/>
          <w:szCs w:val="31"/>
        </w:rPr>
      </w:pPr>
    </w:p>
    <w:p w14:paraId="04C4FE4A">
      <w:pPr>
        <w:spacing w:before="64" w:line="230" w:lineRule="auto"/>
        <w:rPr>
          <w:rFonts w:ascii="黑体" w:hAnsi="黑体" w:eastAsia="黑体" w:cs="黑体"/>
          <w:spacing w:val="-4"/>
          <w:sz w:val="31"/>
          <w:szCs w:val="31"/>
        </w:rPr>
      </w:pPr>
    </w:p>
    <w:p w14:paraId="49CA6920">
      <w:pPr>
        <w:spacing w:before="64" w:line="230" w:lineRule="auto"/>
        <w:rPr>
          <w:rFonts w:ascii="黑体" w:hAnsi="黑体" w:eastAsia="黑体" w:cs="黑体"/>
          <w:spacing w:val="-4"/>
          <w:sz w:val="31"/>
          <w:szCs w:val="31"/>
        </w:rPr>
      </w:pPr>
    </w:p>
    <w:p w14:paraId="7FD33317">
      <w:pPr>
        <w:spacing w:before="64" w:line="230" w:lineRule="auto"/>
        <w:rPr>
          <w:rFonts w:ascii="黑体" w:hAnsi="黑体" w:eastAsia="黑体" w:cs="黑体"/>
          <w:spacing w:val="-4"/>
          <w:sz w:val="31"/>
          <w:szCs w:val="31"/>
        </w:rPr>
      </w:pPr>
    </w:p>
    <w:p w14:paraId="71C606C8">
      <w:pPr>
        <w:spacing w:before="64" w:line="230" w:lineRule="auto"/>
        <w:rPr>
          <w:rFonts w:ascii="黑体" w:hAnsi="黑体" w:eastAsia="黑体" w:cs="黑体"/>
          <w:spacing w:val="-4"/>
          <w:sz w:val="31"/>
          <w:szCs w:val="31"/>
        </w:rPr>
      </w:pPr>
    </w:p>
    <w:p w14:paraId="4DEB70E8">
      <w:pPr>
        <w:spacing w:before="64" w:line="230" w:lineRule="auto"/>
        <w:rPr>
          <w:rFonts w:ascii="黑体" w:hAnsi="黑体" w:eastAsia="黑体" w:cs="黑体"/>
          <w:spacing w:val="-4"/>
          <w:sz w:val="31"/>
          <w:szCs w:val="31"/>
        </w:rPr>
      </w:pPr>
    </w:p>
    <w:p w14:paraId="0B3786E4">
      <w:pPr>
        <w:spacing w:before="64" w:line="230" w:lineRule="auto"/>
        <w:rPr>
          <w:rFonts w:ascii="黑体" w:hAnsi="黑体" w:eastAsia="黑体" w:cs="黑体"/>
          <w:spacing w:val="-4"/>
          <w:sz w:val="31"/>
          <w:szCs w:val="31"/>
        </w:rPr>
      </w:pPr>
    </w:p>
    <w:p w14:paraId="75074B31">
      <w:pPr>
        <w:spacing w:before="64" w:line="230" w:lineRule="auto"/>
        <w:rPr>
          <w:rFonts w:ascii="黑体" w:hAnsi="黑体" w:eastAsia="黑体" w:cs="黑体"/>
          <w:spacing w:val="-4"/>
          <w:sz w:val="31"/>
          <w:szCs w:val="31"/>
        </w:rPr>
      </w:pPr>
    </w:p>
    <w:p w14:paraId="30A60831">
      <w:pPr>
        <w:spacing w:before="64" w:line="230" w:lineRule="auto"/>
        <w:rPr>
          <w:rFonts w:ascii="黑体" w:hAnsi="黑体" w:eastAsia="黑体" w:cs="黑体"/>
          <w:spacing w:val="-4"/>
          <w:sz w:val="31"/>
          <w:szCs w:val="31"/>
        </w:rPr>
      </w:pPr>
    </w:p>
    <w:p w14:paraId="3E38524B">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291083">
      <w:pPr>
        <w:spacing w:line="250" w:lineRule="auto"/>
        <w:rPr>
          <w:rFonts w:ascii="Arial"/>
          <w:sz w:val="21"/>
        </w:rPr>
      </w:pPr>
    </w:p>
    <w:p w14:paraId="1B730E3E">
      <w:pPr>
        <w:spacing w:line="250" w:lineRule="auto"/>
        <w:rPr>
          <w:rFonts w:ascii="Arial"/>
          <w:sz w:val="21"/>
        </w:rPr>
      </w:pPr>
    </w:p>
    <w:p w14:paraId="42E25F06">
      <w:pPr>
        <w:spacing w:line="250" w:lineRule="auto"/>
        <w:rPr>
          <w:rFonts w:ascii="Arial"/>
          <w:sz w:val="21"/>
        </w:rPr>
      </w:pPr>
    </w:p>
    <w:p w14:paraId="03B7F0DF">
      <w:pPr>
        <w:spacing w:line="250" w:lineRule="auto"/>
        <w:rPr>
          <w:rFonts w:ascii="Arial"/>
          <w:sz w:val="21"/>
        </w:rPr>
      </w:pPr>
    </w:p>
    <w:p w14:paraId="36AB23D8">
      <w:pPr>
        <w:spacing w:line="251" w:lineRule="auto"/>
        <w:rPr>
          <w:rFonts w:ascii="Arial"/>
          <w:sz w:val="21"/>
        </w:rPr>
      </w:pPr>
    </w:p>
    <w:p w14:paraId="3FA08D5F">
      <w:pPr>
        <w:spacing w:line="251" w:lineRule="auto"/>
        <w:rPr>
          <w:rFonts w:ascii="Arial"/>
          <w:sz w:val="21"/>
        </w:rPr>
      </w:pPr>
    </w:p>
    <w:p w14:paraId="767F345A">
      <w:pPr>
        <w:spacing w:line="251" w:lineRule="auto"/>
        <w:rPr>
          <w:rFonts w:ascii="Arial"/>
          <w:sz w:val="21"/>
        </w:rPr>
      </w:pPr>
    </w:p>
    <w:p w14:paraId="25B84592">
      <w:pPr>
        <w:spacing w:line="251" w:lineRule="auto"/>
        <w:rPr>
          <w:rFonts w:ascii="Arial"/>
          <w:sz w:val="21"/>
        </w:rPr>
      </w:pPr>
    </w:p>
    <w:p w14:paraId="0BFBC655">
      <w:pPr>
        <w:spacing w:line="251" w:lineRule="auto"/>
        <w:rPr>
          <w:rFonts w:ascii="Arial"/>
          <w:sz w:val="21"/>
        </w:rPr>
      </w:pPr>
    </w:p>
    <w:p w14:paraId="7C5550DB">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2024年度岳阳市岳阳楼区洛王街道办事处</w:t>
      </w:r>
    </w:p>
    <w:p w14:paraId="1E1D032C">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整体支出绩效自评报告</w:t>
      </w:r>
    </w:p>
    <w:p w14:paraId="5A0F8274">
      <w:pPr>
        <w:spacing w:line="243" w:lineRule="auto"/>
        <w:rPr>
          <w:rFonts w:ascii="Arial"/>
        </w:rPr>
      </w:pPr>
    </w:p>
    <w:p w14:paraId="200C8352">
      <w:pPr>
        <w:spacing w:line="243" w:lineRule="auto"/>
        <w:rPr>
          <w:rFonts w:ascii="Arial"/>
        </w:rPr>
      </w:pPr>
    </w:p>
    <w:p w14:paraId="1B1698D7">
      <w:pPr>
        <w:spacing w:line="243" w:lineRule="auto"/>
        <w:rPr>
          <w:rFonts w:ascii="Arial"/>
        </w:rPr>
      </w:pPr>
    </w:p>
    <w:p w14:paraId="4CF21E7C">
      <w:pPr>
        <w:spacing w:line="243" w:lineRule="auto"/>
        <w:rPr>
          <w:rFonts w:ascii="Arial"/>
        </w:rPr>
      </w:pPr>
    </w:p>
    <w:p w14:paraId="7F886597">
      <w:pPr>
        <w:spacing w:line="243" w:lineRule="auto"/>
        <w:rPr>
          <w:rFonts w:ascii="Arial"/>
        </w:rPr>
      </w:pPr>
    </w:p>
    <w:p w14:paraId="2EAE5D4C">
      <w:pPr>
        <w:spacing w:line="243" w:lineRule="auto"/>
        <w:rPr>
          <w:rFonts w:ascii="Arial"/>
        </w:rPr>
      </w:pPr>
    </w:p>
    <w:p w14:paraId="723E07CB">
      <w:pPr>
        <w:spacing w:line="243" w:lineRule="auto"/>
        <w:rPr>
          <w:rFonts w:ascii="Arial"/>
        </w:rPr>
      </w:pPr>
    </w:p>
    <w:p w14:paraId="50BDF91F">
      <w:pPr>
        <w:spacing w:line="243" w:lineRule="auto"/>
        <w:rPr>
          <w:rFonts w:ascii="Arial"/>
        </w:rPr>
      </w:pPr>
    </w:p>
    <w:p w14:paraId="230AF633">
      <w:pPr>
        <w:spacing w:line="243" w:lineRule="auto"/>
        <w:rPr>
          <w:rFonts w:ascii="Arial"/>
        </w:rPr>
      </w:pPr>
    </w:p>
    <w:p w14:paraId="7693D77E">
      <w:pPr>
        <w:spacing w:line="243" w:lineRule="auto"/>
        <w:rPr>
          <w:rFonts w:ascii="Arial"/>
        </w:rPr>
      </w:pPr>
    </w:p>
    <w:p w14:paraId="20BEFC3B">
      <w:pPr>
        <w:spacing w:line="243" w:lineRule="auto"/>
        <w:rPr>
          <w:rFonts w:ascii="Arial"/>
        </w:rPr>
      </w:pPr>
    </w:p>
    <w:p w14:paraId="59DF15DC">
      <w:pPr>
        <w:spacing w:line="243" w:lineRule="auto"/>
        <w:rPr>
          <w:rFonts w:ascii="Arial"/>
        </w:rPr>
      </w:pPr>
    </w:p>
    <w:p w14:paraId="5E567C20">
      <w:pPr>
        <w:spacing w:line="243" w:lineRule="auto"/>
        <w:rPr>
          <w:rFonts w:ascii="Arial"/>
        </w:rPr>
      </w:pPr>
    </w:p>
    <w:p w14:paraId="36E4C459">
      <w:pPr>
        <w:spacing w:line="243" w:lineRule="auto"/>
        <w:rPr>
          <w:rFonts w:ascii="Arial"/>
        </w:rPr>
      </w:pPr>
    </w:p>
    <w:p w14:paraId="014D5351">
      <w:pPr>
        <w:spacing w:line="243" w:lineRule="auto"/>
        <w:rPr>
          <w:rFonts w:ascii="Arial"/>
        </w:rPr>
      </w:pPr>
    </w:p>
    <w:p w14:paraId="0E81FAC2">
      <w:pPr>
        <w:spacing w:line="243" w:lineRule="auto"/>
        <w:rPr>
          <w:rFonts w:ascii="Arial"/>
        </w:rPr>
      </w:pPr>
    </w:p>
    <w:p w14:paraId="2B7D9E06">
      <w:pPr>
        <w:spacing w:line="243" w:lineRule="auto"/>
        <w:rPr>
          <w:rFonts w:ascii="Arial"/>
        </w:rPr>
      </w:pPr>
    </w:p>
    <w:p w14:paraId="0D241E58">
      <w:pPr>
        <w:spacing w:line="243" w:lineRule="auto"/>
        <w:rPr>
          <w:rFonts w:ascii="Arial"/>
        </w:rPr>
      </w:pPr>
    </w:p>
    <w:p w14:paraId="3DACBCBF">
      <w:pPr>
        <w:spacing w:line="243" w:lineRule="auto"/>
        <w:rPr>
          <w:rFonts w:ascii="Arial"/>
        </w:rPr>
      </w:pPr>
    </w:p>
    <w:p w14:paraId="26D1B202">
      <w:pPr>
        <w:spacing w:line="243" w:lineRule="auto"/>
        <w:rPr>
          <w:rFonts w:ascii="Arial"/>
        </w:rPr>
      </w:pPr>
    </w:p>
    <w:p w14:paraId="55A6C4F3">
      <w:pPr>
        <w:spacing w:line="243" w:lineRule="auto"/>
        <w:rPr>
          <w:rFonts w:ascii="Arial"/>
        </w:rPr>
      </w:pPr>
    </w:p>
    <w:p w14:paraId="79DE9064">
      <w:pPr>
        <w:spacing w:line="243" w:lineRule="auto"/>
        <w:rPr>
          <w:rFonts w:ascii="Arial"/>
        </w:rPr>
      </w:pPr>
    </w:p>
    <w:p w14:paraId="6A563EAB">
      <w:pPr>
        <w:spacing w:line="243" w:lineRule="auto"/>
        <w:rPr>
          <w:rFonts w:ascii="Arial"/>
        </w:rPr>
      </w:pPr>
    </w:p>
    <w:p w14:paraId="09AF0728">
      <w:pPr>
        <w:spacing w:line="243" w:lineRule="auto"/>
        <w:rPr>
          <w:rFonts w:ascii="Arial"/>
        </w:rPr>
      </w:pPr>
    </w:p>
    <w:p w14:paraId="1AB245A0">
      <w:pPr>
        <w:spacing w:line="243" w:lineRule="auto"/>
        <w:rPr>
          <w:rFonts w:ascii="Arial"/>
        </w:rPr>
      </w:pPr>
    </w:p>
    <w:p w14:paraId="4425D887">
      <w:pPr>
        <w:spacing w:line="244" w:lineRule="auto"/>
        <w:rPr>
          <w:rFonts w:ascii="Arial"/>
        </w:rPr>
      </w:pPr>
    </w:p>
    <w:p w14:paraId="7AF07EDE">
      <w:pPr>
        <w:spacing w:line="244" w:lineRule="auto"/>
        <w:rPr>
          <w:rFonts w:ascii="Arial"/>
        </w:rPr>
      </w:pPr>
    </w:p>
    <w:p w14:paraId="774003F4">
      <w:pPr>
        <w:pStyle w:val="2"/>
        <w:spacing w:before="100" w:line="221" w:lineRule="auto"/>
        <w:ind w:left="1902"/>
        <w:rPr>
          <w:rFonts w:hint="eastAsia"/>
          <w:lang w:eastAsia="zh-CN"/>
        </w:rPr>
      </w:pPr>
      <w:r>
        <w:rPr>
          <w:rFonts w:hint="eastAsia"/>
          <w:spacing w:val="-10"/>
          <w:lang w:eastAsia="zh-CN"/>
        </w:rPr>
        <w:t>预算单位</w:t>
      </w:r>
      <w:r>
        <w:rPr>
          <w:spacing w:val="-10"/>
          <w:lang w:eastAsia="zh-CN"/>
        </w:rPr>
        <w:t>名称</w:t>
      </w:r>
      <w:r>
        <w:rPr>
          <w:spacing w:val="4"/>
          <w:lang w:eastAsia="zh-CN"/>
        </w:rPr>
        <w:t>：</w:t>
      </w:r>
      <w:r>
        <w:rPr>
          <w:spacing w:val="-118"/>
          <w:lang w:eastAsia="zh-CN"/>
        </w:rPr>
        <w:t xml:space="preserve"> </w:t>
      </w:r>
      <w:r>
        <w:rPr>
          <w:spacing w:val="-75"/>
          <w:u w:val="single"/>
          <w:lang w:eastAsia="zh-CN"/>
        </w:rPr>
        <w:t xml:space="preserve"> </w:t>
      </w:r>
      <w:r>
        <w:rPr>
          <w:spacing w:val="4"/>
          <w:u w:val="single"/>
          <w:lang w:eastAsia="zh-CN"/>
        </w:rPr>
        <w:t>（</w:t>
      </w:r>
      <w:r>
        <w:rPr>
          <w:spacing w:val="-10"/>
          <w:u w:val="single"/>
          <w:lang w:eastAsia="zh-CN"/>
        </w:rPr>
        <w:t>盖章）</w:t>
      </w:r>
      <w:r>
        <w:rPr>
          <w:u w:val="single"/>
          <w:lang w:eastAsia="zh-CN"/>
        </w:rPr>
        <w:t xml:space="preserve">         </w:t>
      </w:r>
    </w:p>
    <w:p w14:paraId="6DE4AAD6">
      <w:pPr>
        <w:spacing w:before="228" w:line="222" w:lineRule="auto"/>
        <w:ind w:left="3179"/>
        <w:rPr>
          <w:rFonts w:hint="eastAsia" w:ascii="楷体" w:hAnsi="楷体" w:eastAsia="楷体" w:cs="楷体"/>
          <w:sz w:val="31"/>
          <w:szCs w:val="31"/>
        </w:rPr>
      </w:pPr>
      <w:r>
        <w:rPr>
          <w:rFonts w:hint="eastAsia" w:ascii="楷体" w:hAnsi="楷体" w:eastAsia="楷体" w:cs="楷体"/>
          <w:spacing w:val="-8"/>
          <w:sz w:val="31"/>
          <w:szCs w:val="31"/>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7</w:t>
      </w:r>
      <w:r>
        <w:rPr>
          <w:rFonts w:ascii="楷体" w:hAnsi="楷体" w:eastAsia="楷体" w:cs="楷体"/>
          <w:spacing w:val="-8"/>
          <w:sz w:val="31"/>
          <w:szCs w:val="31"/>
        </w:rPr>
        <w:t>月</w:t>
      </w:r>
      <w:r>
        <w:rPr>
          <w:rFonts w:hint="eastAsia" w:ascii="楷体" w:hAnsi="楷体" w:eastAsia="楷体" w:cs="楷体"/>
          <w:spacing w:val="43"/>
          <w:sz w:val="31"/>
          <w:szCs w:val="31"/>
        </w:rPr>
        <w:t>30</w:t>
      </w:r>
      <w:r>
        <w:rPr>
          <w:rFonts w:ascii="楷体" w:hAnsi="楷体" w:eastAsia="楷体" w:cs="楷体"/>
          <w:spacing w:val="-8"/>
          <w:sz w:val="31"/>
          <w:szCs w:val="31"/>
        </w:rPr>
        <w:t>日</w:t>
      </w:r>
    </w:p>
    <w:p w14:paraId="787AD60A">
      <w:pPr>
        <w:spacing w:line="335" w:lineRule="auto"/>
        <w:rPr>
          <w:rFonts w:ascii="Arial"/>
        </w:rPr>
      </w:pPr>
    </w:p>
    <w:p w14:paraId="1B72390B">
      <w:pPr>
        <w:pStyle w:val="2"/>
        <w:spacing w:before="102" w:line="224" w:lineRule="auto"/>
        <w:ind w:left="3216"/>
        <w:rPr>
          <w:rFonts w:hint="eastAsia"/>
          <w:lang w:eastAsia="zh-CN"/>
        </w:rPr>
      </w:pPr>
      <w:r>
        <w:rPr>
          <w:spacing w:val="8"/>
          <w:lang w:eastAsia="zh-CN"/>
        </w:rPr>
        <w:t>（此页为封面）</w:t>
      </w:r>
    </w:p>
    <w:p w14:paraId="080314C5">
      <w:pPr>
        <w:spacing w:line="224" w:lineRule="auto"/>
        <w:sectPr>
          <w:footerReference r:id="rId3" w:type="default"/>
          <w:pgSz w:w="11900" w:h="16833"/>
          <w:pgMar w:top="1401" w:right="1583" w:bottom="1445" w:left="1618" w:header="0" w:footer="1170" w:gutter="0"/>
          <w:cols w:space="720" w:num="1"/>
        </w:sectPr>
      </w:pPr>
    </w:p>
    <w:p w14:paraId="20C3CF9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 xml:space="preserve"> 年度岳阳楼区洛王街道办事处</w:t>
      </w:r>
    </w:p>
    <w:p w14:paraId="66A2716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4E055834">
      <w:pPr>
        <w:spacing w:line="283" w:lineRule="auto"/>
        <w:rPr>
          <w:rFonts w:ascii="Arial"/>
          <w:sz w:val="21"/>
        </w:rPr>
      </w:pPr>
    </w:p>
    <w:p w14:paraId="67D2630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ascii="黑体" w:hAnsi="黑体" w:eastAsia="黑体" w:cs="黑体"/>
          <w:spacing w:val="5"/>
          <w:sz w:val="31"/>
          <w:szCs w:val="31"/>
        </w:rPr>
      </w:pPr>
      <w:r>
        <w:rPr>
          <w:rFonts w:hint="eastAsia" w:ascii="黑体" w:hAnsi="黑体" w:eastAsia="黑体" w:cs="黑体"/>
          <w:spacing w:val="5"/>
          <w:kern w:val="2"/>
          <w:sz w:val="31"/>
          <w:szCs w:val="31"/>
          <w:lang w:val="en-US" w:eastAsia="zh-CN" w:bidi="ar-SA"/>
        </w:rPr>
        <w:t>一、</w:t>
      </w: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2526BBD5">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rPr>
      </w:pPr>
      <w:r>
        <w:rPr>
          <w:rFonts w:hint="eastAsia" w:ascii="楷体" w:hAnsi="楷体" w:eastAsia="楷体" w:cs="楷体"/>
          <w:spacing w:val="9"/>
          <w:position w:val="21"/>
          <w:sz w:val="31"/>
          <w:szCs w:val="31"/>
        </w:rPr>
        <w:t>职能职责</w:t>
      </w:r>
    </w:p>
    <w:p w14:paraId="76DD571C">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 xml:space="preserve">   洛王街道办事处地处巴陵东路以北，王家河水系以西，梅溪乡长动医院以南，京广铁路线、康岳社区以东。辖区面积约7.56平方公里，总人口8.45万。2002年11月由原知青场改制而成，辖洛王、大桥湖、藕塘坡、瑶塘坡、花园坡、雷锋山6个社区。街道工委管理9个党支部，有直管党员585人。</w:t>
      </w:r>
    </w:p>
    <w:p w14:paraId="321B46B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 xml:space="preserve">街道办事处的主要职能为指导、搞好辖区内居委会的工作，支持、帮助居委会加强思想、组织、制度建设，向上级人民政府和有关部门及时反映居民的意见、建议和要求。抓好社区文化建设，负责街道的人民调解、治安保卫工作，会同有关部门做好辖区内常住和流动人口的管理及计划生育工作，完成区下达的各项指标任务，协助武装部门做好辖区民兵训练和公民服兵役工作；负责在辖区开展普法教育工作，搞好辖区内社会管理综合治理工作；负责辖区的城市管理工作；负责本辖区的综合执法工作，维护辖区的良好秩序；负责研究辖区经济发展的规划，协助有关部门抓好安全生产工作；承办区委、区政府交办的其他工作等。 </w:t>
      </w:r>
    </w:p>
    <w:p w14:paraId="0C5EB18D">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 xml:space="preserve">（二）机构设置 </w:t>
      </w:r>
    </w:p>
    <w:p w14:paraId="134CAA9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洛王办事处在岗在编人员为58人，其中行政编13人，事业编45。下设四个直属事业单位，分别为1社会事业服务中心、2产业项目服务中心、3公共服务和网格化中心（政务、便民服务中心）、4退役军人服务站；一个执法机构为综合行政执法大队；一个其他机构为环境卫生服务中心；两个派驻机构为财政所和司法所；六个内设机构，分别为：1党政办公室 、2党建办公室 、3经济发展办公室（自然资源和生态环境办公室） 4、社会事务办公室 （民政办公室）、5应急管理办公室、6综治信访办公室。</w:t>
      </w:r>
    </w:p>
    <w:p w14:paraId="799854FE">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6545F61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2DBC5C2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2024年基本支出年初预算数为1021.07万元，决算实际支出数为990.34万元。其中：人员经费877.45万元，主要包括：基本工资、津贴补贴、奖金、绩效工资、机关事业单位基本养老保险缴费、职工基本医疗保险缴费、其他社会保障缴费、住房公积金、其他工资福利支出等；公用经费112.89万元，主要包括：办公费、邮电费、差旅费、培训费、工会经费、其他商品和服务支出等。</w:t>
      </w:r>
    </w:p>
    <w:p w14:paraId="5190D104">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4E4A2AE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kern w:val="2"/>
          <w:sz w:val="30"/>
          <w:szCs w:val="30"/>
          <w:lang w:val="en-US" w:eastAsia="zh-CN" w:bidi="ar-SA"/>
        </w:rPr>
      </w:pPr>
      <w:r>
        <w:rPr>
          <w:rFonts w:hint="eastAsia" w:ascii="楷体" w:hAnsi="楷体" w:eastAsia="楷体" w:cs="楷体"/>
          <w:spacing w:val="9"/>
          <w:sz w:val="31"/>
          <w:szCs w:val="31"/>
          <w:lang w:val="en-US" w:eastAsia="zh-CN"/>
        </w:rPr>
        <w:t xml:space="preserve">    </w:t>
      </w:r>
      <w:r>
        <w:rPr>
          <w:rFonts w:hint="eastAsia" w:ascii="仿宋" w:hAnsi="仿宋" w:eastAsia="仿宋" w:cs="仿宋"/>
          <w:kern w:val="2"/>
          <w:sz w:val="30"/>
          <w:szCs w:val="30"/>
          <w:lang w:val="en-US" w:eastAsia="zh-CN" w:bidi="ar-SA"/>
        </w:rPr>
        <w:t>2024年项目支出年初预算数为5779.78万元，决算实际支出数为4727.04万元。主要用于城乡社区支出，便民服务中心建设、新天地北侧排水工程等。</w:t>
      </w:r>
    </w:p>
    <w:p w14:paraId="05E2274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kern w:val="2"/>
          <w:sz w:val="31"/>
          <w:szCs w:val="31"/>
          <w:lang w:val="en-US" w:eastAsia="zh-CN" w:bidi="ar-SA"/>
        </w:rPr>
        <w:t>三、</w:t>
      </w:r>
      <w:r>
        <w:rPr>
          <w:rFonts w:ascii="黑体" w:hAnsi="黑体" w:eastAsia="黑体" w:cs="黑体"/>
          <w:spacing w:val="8"/>
          <w:sz w:val="31"/>
          <w:szCs w:val="31"/>
        </w:rPr>
        <w:t>政府性基金预算支出情况</w:t>
      </w:r>
    </w:p>
    <w:p w14:paraId="43767EE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8"/>
          <w:sz w:val="31"/>
          <w:szCs w:val="31"/>
        </w:rPr>
      </w:pPr>
      <w:r>
        <w:rPr>
          <w:rFonts w:hint="eastAsia" w:ascii="仿宋" w:hAnsi="仿宋" w:eastAsia="仿宋" w:cs="仿宋"/>
          <w:kern w:val="2"/>
          <w:sz w:val="30"/>
          <w:szCs w:val="30"/>
          <w:lang w:val="en-US" w:eastAsia="zh-CN"/>
        </w:rPr>
        <w:t>2024年本单位无政府性基金预算支出情况。</w:t>
      </w:r>
    </w:p>
    <w:p w14:paraId="7B47302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7"/>
          <w:position w:val="21"/>
          <w:sz w:val="31"/>
          <w:szCs w:val="31"/>
        </w:rPr>
      </w:pPr>
      <w:r>
        <w:rPr>
          <w:rFonts w:hint="eastAsia" w:ascii="黑体" w:hAnsi="黑体" w:eastAsia="黑体" w:cs="黑体"/>
          <w:spacing w:val="7"/>
          <w:kern w:val="2"/>
          <w:position w:val="21"/>
          <w:sz w:val="31"/>
          <w:szCs w:val="31"/>
          <w:lang w:val="en-US" w:eastAsia="zh-CN" w:bidi="ar-SA"/>
        </w:rPr>
        <w:t>四、</w:t>
      </w:r>
      <w:r>
        <w:rPr>
          <w:rFonts w:ascii="黑体" w:hAnsi="黑体" w:eastAsia="黑体" w:cs="黑体"/>
          <w:spacing w:val="7"/>
          <w:position w:val="21"/>
          <w:sz w:val="31"/>
          <w:szCs w:val="31"/>
        </w:rPr>
        <w:t>国有资本经营预算支出情况</w:t>
      </w:r>
    </w:p>
    <w:p w14:paraId="5DE0FA5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7"/>
          <w:position w:val="21"/>
          <w:sz w:val="31"/>
          <w:szCs w:val="31"/>
        </w:rPr>
      </w:pPr>
      <w:r>
        <w:rPr>
          <w:rFonts w:hint="eastAsia" w:ascii="仿宋" w:hAnsi="仿宋" w:eastAsia="仿宋" w:cs="仿宋"/>
          <w:kern w:val="2"/>
          <w:sz w:val="30"/>
          <w:szCs w:val="30"/>
          <w:lang w:val="en-US" w:eastAsia="zh-CN"/>
        </w:rPr>
        <w:t>2024年本单位无国有资本经营预算支出情况。</w:t>
      </w:r>
    </w:p>
    <w:p w14:paraId="1A65D1D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kern w:val="2"/>
          <w:sz w:val="31"/>
          <w:szCs w:val="31"/>
          <w:lang w:val="en-US" w:eastAsia="zh-CN" w:bidi="ar-SA"/>
        </w:rPr>
        <w:t>五、</w:t>
      </w:r>
      <w:r>
        <w:rPr>
          <w:rFonts w:ascii="黑体" w:hAnsi="黑体" w:eastAsia="黑体" w:cs="黑体"/>
          <w:spacing w:val="8"/>
          <w:sz w:val="31"/>
          <w:szCs w:val="31"/>
        </w:rPr>
        <w:t>社会保险基金预算支出情况</w:t>
      </w:r>
    </w:p>
    <w:p w14:paraId="2B85D622">
      <w:pPr>
        <w:keepNext w:val="0"/>
        <w:keepLines w:val="0"/>
        <w:pageBreakBefore w:val="0"/>
        <w:widowControl w:val="0"/>
        <w:kinsoku/>
        <w:wordWrap/>
        <w:overflowPunct/>
        <w:topLinePunct w:val="0"/>
        <w:autoSpaceDE/>
        <w:autoSpaceDN/>
        <w:bidi w:val="0"/>
        <w:adjustRightInd/>
        <w:snapToGrid/>
        <w:jc w:val="left"/>
        <w:textAlignment w:val="auto"/>
        <w:rPr>
          <w:rFonts w:ascii="黑体" w:hAnsi="黑体" w:eastAsia="黑体" w:cs="黑体"/>
          <w:spacing w:val="8"/>
          <w:sz w:val="31"/>
          <w:szCs w:val="31"/>
        </w:rPr>
      </w:pPr>
      <w:r>
        <w:rPr>
          <w:rFonts w:hint="eastAsia" w:ascii="仿宋" w:hAnsi="仿宋" w:eastAsia="仿宋" w:cs="仿宋"/>
          <w:kern w:val="2"/>
          <w:sz w:val="30"/>
          <w:szCs w:val="30"/>
          <w:lang w:val="en-US" w:eastAsia="zh-CN"/>
        </w:rPr>
        <w:t>2024年本单位无社会保险基金预算支出情况。</w:t>
      </w:r>
    </w:p>
    <w:p w14:paraId="31145AE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ascii="黑体" w:hAnsi="黑体" w:eastAsia="黑体" w:cs="黑体"/>
          <w:spacing w:val="8"/>
          <w:sz w:val="31"/>
          <w:szCs w:val="31"/>
        </w:rPr>
      </w:pPr>
      <w:r>
        <w:rPr>
          <w:rFonts w:hint="eastAsia" w:ascii="黑体" w:hAnsi="黑体" w:eastAsia="黑体" w:cs="黑体"/>
          <w:spacing w:val="8"/>
          <w:kern w:val="2"/>
          <w:sz w:val="31"/>
          <w:szCs w:val="31"/>
          <w:lang w:val="en-US" w:eastAsia="zh-CN" w:bidi="ar-SA"/>
        </w:rPr>
        <w:t>六、</w:t>
      </w: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7093D92D">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rPr>
        <w:t xml:space="preserve">（一）部门资金情况分析 </w:t>
      </w:r>
    </w:p>
    <w:p w14:paraId="17A3922F">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rPr>
        <w:t>本单位2024年预算资金总额6638.73万元，专项经费实行专款专用，严格按照相关规定支付，资金支付合规合法，资金使用率100%。</w:t>
      </w:r>
    </w:p>
    <w:p w14:paraId="2B2F163A">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rPr>
        <w:t>（二）项目绩效指标完成情况分析</w:t>
      </w:r>
    </w:p>
    <w:p w14:paraId="7F628C42">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rPr>
        <w:t xml:space="preserve">1.履职效能情况分析 </w:t>
      </w:r>
    </w:p>
    <w:p w14:paraId="408BB41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9月20日以2.2亿元总价成功出让成交，现天伦地产已进场进行土方施工，我们将按照区政府工作部署，积极做好污水、供水迁改及周边部分拟收储土地的调查摸底及意见征询工作，助力项目快速推进。加大争资争项力度，先后争取水利、住建渍水整治项目1400余万元，完成潘南居民片区一、二期项目及王家河西岸截污管网建设。大力推进老旧小区改造，争资争项1800余万元，完成湘北市场等7个老旧小区改造及5个配套基础设施建设。大力推进基础设施改造，投资200余万元，完成李树组、潘家组路面亮化及下水道改造、北港北路东侧挡土墙建设，鲁家巷、知青组路面硬化、白改黑970米，改造破损下水道300米。</w:t>
      </w:r>
    </w:p>
    <w:p w14:paraId="25A983B1">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rPr>
        <w:t>2.管理效率情况分析</w:t>
      </w:r>
    </w:p>
    <w:p w14:paraId="28F200B2">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rPr>
        <w:t xml:space="preserve">预算编制完整，专项资金细化率、预算执行率达到标准，预算调整率偏高，主要原因是追加项目增加导致预算调整金额增加。收入支出管理规范，内控制度有效，资产管理规范，部门固定资产利用率符合目标，信息化建设和管理制度建设有效。 </w:t>
      </w:r>
    </w:p>
    <w:p w14:paraId="72DD86AF">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rPr>
        <w:t xml:space="preserve">3.运行成本控制情况分析 </w:t>
      </w:r>
    </w:p>
    <w:p w14:paraId="6BE0F185">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rPr>
        <w:t>“三公经费”、公用经费均控制在预算范围内，项目支出有所超出预算，原因在于城乡社区行政运行支出较多。</w:t>
      </w:r>
    </w:p>
    <w:p w14:paraId="2EE70481">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rPr>
        <w:t>4.服务满意度指标完成情况分析</w:t>
      </w:r>
    </w:p>
    <w:p w14:paraId="276F79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0"/>
          <w:szCs w:val="30"/>
          <w:lang w:val="en-US" w:eastAsia="zh-CN"/>
        </w:rPr>
      </w:pPr>
      <w:r>
        <w:rPr>
          <w:rFonts w:hint="eastAsia" w:ascii="仿宋_GB2312" w:hAnsi="仿宋_GB2312" w:eastAsia="仿宋_GB2312" w:cs="仿宋_GB2312"/>
          <w:sz w:val="32"/>
          <w:szCs w:val="32"/>
          <w:lang w:eastAsia="zh-CN"/>
        </w:rPr>
        <w:t>今年来，街道</w:t>
      </w:r>
      <w:r>
        <w:rPr>
          <w:rFonts w:hint="eastAsia" w:ascii="仿宋_GB2312" w:hAnsi="仿宋_GB2312" w:eastAsia="仿宋_GB2312" w:cs="仿宋_GB2312"/>
          <w:sz w:val="32"/>
          <w:szCs w:val="32"/>
          <w:lang w:val="en-US" w:eastAsia="zh-CN"/>
        </w:rPr>
        <w:t>全面推进</w:t>
      </w:r>
      <w:r>
        <w:rPr>
          <w:rFonts w:hint="eastAsia" w:ascii="仿宋_GB2312" w:hAnsi="仿宋_GB2312" w:eastAsia="仿宋_GB2312" w:cs="仿宋_GB2312"/>
          <w:sz w:val="32"/>
          <w:szCs w:val="32"/>
        </w:rPr>
        <w:t>信访工作法治化</w:t>
      </w:r>
      <w:r>
        <w:rPr>
          <w:rFonts w:hint="eastAsia" w:ascii="仿宋_GB2312" w:hAnsi="仿宋_GB2312" w:eastAsia="仿宋_GB2312" w:cs="仿宋_GB2312"/>
          <w:sz w:val="32"/>
          <w:szCs w:val="32"/>
          <w:lang w:eastAsia="zh-CN"/>
        </w:rPr>
        <w:t>，认真落实属地责任，按照“五包一”和“三到位一处理”工作原则，</w:t>
      </w:r>
      <w:r>
        <w:rPr>
          <w:rFonts w:hint="eastAsia" w:ascii="仿宋_GB2312" w:hAnsi="黑体" w:eastAsia="仿宋_GB2312" w:cs="Times New Roman"/>
          <w:sz w:val="32"/>
          <w:szCs w:val="32"/>
          <w:lang w:val="en-US" w:eastAsia="zh-CN"/>
        </w:rPr>
        <w:t>坚持定期排查与重点排查相结合，及时发现和化解各类矛盾纠纷84件，司法调解矛盾13起，认真办理省委巡视组六批次信访交办件31件。</w:t>
      </w:r>
      <w:r>
        <w:rPr>
          <w:rFonts w:hint="eastAsia" w:ascii="仿宋_GB2312" w:hAnsi="仿宋_GB2312" w:eastAsia="仿宋_GB2312" w:cs="仿宋_GB2312"/>
          <w:sz w:val="32"/>
          <w:szCs w:val="32"/>
          <w:lang w:eastAsia="zh-CN"/>
        </w:rPr>
        <w:t>实行信访积案清单化管理、分类处置，先后化解了洛王社区大桥组渍水、李辉、周辉明、任天保、廖昌喜等信访积案</w:t>
      </w:r>
      <w:r>
        <w:rPr>
          <w:rFonts w:hint="eastAsia" w:ascii="仿宋_GB2312" w:hAnsi="仿宋_GB2312" w:eastAsia="仿宋_GB2312" w:cs="仿宋_GB2312"/>
          <w:sz w:val="32"/>
          <w:szCs w:val="32"/>
          <w:lang w:val="en-US" w:eastAsia="zh-CN"/>
        </w:rPr>
        <w:t>5个，依法打击处理1起，做到信访总量只减不增，有力缓解了街道信访维稳压力。</w:t>
      </w:r>
    </w:p>
    <w:p w14:paraId="5E07EB89">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rPr>
        <w:t>5.可持续性影响情况分析</w:t>
      </w:r>
    </w:p>
    <w:p w14:paraId="19A8B43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黑体" w:eastAsia="仿宋_GB2312" w:cs="Times New Roman"/>
          <w:sz w:val="32"/>
          <w:szCs w:val="32"/>
          <w:lang w:val="en-US" w:eastAsia="zh-CN"/>
        </w:rPr>
        <w:t>排查油烟排放门店150家，动态监管油烟排放餐饮企业32家，督促安装油烟净化设备12台；认真落实“河长制”“林长制”工作要求，</w:t>
      </w:r>
      <w:r>
        <w:rPr>
          <w:rFonts w:hint="eastAsia" w:ascii="仿宋" w:hAnsi="仿宋" w:eastAsia="仿宋" w:cs="仿宋"/>
          <w:sz w:val="32"/>
          <w:szCs w:val="32"/>
          <w:lang w:eastAsia="zh-CN"/>
        </w:rPr>
        <w:t>安排</w:t>
      </w:r>
      <w:r>
        <w:rPr>
          <w:rFonts w:hint="eastAsia" w:ascii="仿宋" w:hAnsi="仿宋" w:eastAsia="仿宋" w:cs="仿宋"/>
          <w:sz w:val="32"/>
          <w:szCs w:val="32"/>
          <w:lang w:val="en-US" w:eastAsia="zh-CN"/>
        </w:rPr>
        <w:t>3名</w:t>
      </w:r>
      <w:r>
        <w:rPr>
          <w:rFonts w:hint="eastAsia" w:ascii="仿宋_GB2312" w:hAnsi="仿宋_GB2312" w:eastAsia="仿宋_GB2312" w:cs="仿宋_GB2312"/>
          <w:sz w:val="32"/>
          <w:szCs w:val="32"/>
        </w:rPr>
        <w:t>保洁员清扫河道</w:t>
      </w:r>
      <w:r>
        <w:rPr>
          <w:rFonts w:hint="eastAsia" w:ascii="仿宋_GB2312" w:hAnsi="仿宋_GB2312" w:eastAsia="仿宋_GB2312" w:cs="仿宋_GB2312"/>
          <w:sz w:val="32"/>
          <w:szCs w:val="32"/>
          <w:lang w:eastAsia="zh-CN"/>
        </w:rPr>
        <w:t>，</w:t>
      </w:r>
      <w:r>
        <w:rPr>
          <w:rFonts w:hint="eastAsia" w:ascii="仿宋_GB2312" w:hAnsi="黑体" w:eastAsia="仿宋_GB2312" w:cs="Times New Roman"/>
          <w:sz w:val="32"/>
          <w:szCs w:val="32"/>
          <w:lang w:val="en-US" w:eastAsia="zh-CN"/>
        </w:rPr>
        <w:t>发现问题及时处置。</w:t>
      </w:r>
      <w:r>
        <w:rPr>
          <w:rFonts w:hint="eastAsia" w:ascii="仿宋_GB2312" w:hAnsi="仿宋_GB2312" w:eastAsia="仿宋_GB2312" w:cs="仿宋_GB2312"/>
          <w:b/>
          <w:bCs/>
          <w:sz w:val="32"/>
          <w:szCs w:val="32"/>
          <w:lang w:val="en-US" w:eastAsia="zh-CN"/>
        </w:rPr>
        <w:t>大力推进禁违治违，</w:t>
      </w:r>
      <w:r>
        <w:rPr>
          <w:rFonts w:hint="eastAsia" w:ascii="仿宋_GB2312" w:hAnsi="仿宋_GB2312" w:eastAsia="仿宋_GB2312" w:cs="仿宋_GB2312"/>
          <w:sz w:val="32"/>
          <w:szCs w:val="32"/>
          <w:lang w:val="en-US" w:eastAsia="zh-CN"/>
        </w:rPr>
        <w:t>坚持以“零容忍”的态度，全年开展禁违行动20余次，</w:t>
      </w:r>
      <w:r>
        <w:rPr>
          <w:rStyle w:val="10"/>
          <w:rFonts w:hint="eastAsia" w:ascii="仿宋_GB2312" w:hAnsi="仿宋_GB2312" w:eastAsia="仿宋_GB2312" w:cs="仿宋_GB2312"/>
          <w:bCs/>
          <w:color w:val="000000"/>
          <w:sz w:val="32"/>
          <w:szCs w:val="32"/>
          <w:lang w:val="en-US"/>
        </w:rPr>
        <w:t>现场核查处置图斑71</w:t>
      </w:r>
      <w:r>
        <w:rPr>
          <w:rFonts w:hint="eastAsia" w:ascii="仿宋_GB2312" w:hAnsi="黑体" w:eastAsia="仿宋_GB2312"/>
          <w:sz w:val="32"/>
          <w:szCs w:val="32"/>
          <w:lang w:val="en-US" w:eastAsia="zh-CN"/>
        </w:rPr>
        <w:t>处</w:t>
      </w:r>
      <w:r>
        <w:rPr>
          <w:rStyle w:val="10"/>
          <w:rFonts w:hint="eastAsia" w:ascii="仿宋_GB2312" w:hAnsi="仿宋_GB2312" w:eastAsia="仿宋_GB2312" w:cs="仿宋_GB2312"/>
          <w:bCs/>
          <w:color w:val="000000"/>
          <w:sz w:val="32"/>
          <w:szCs w:val="32"/>
          <w:lang w:val="en-US"/>
        </w:rPr>
        <w:t>，</w:t>
      </w:r>
      <w:r>
        <w:rPr>
          <w:rFonts w:hint="eastAsia" w:ascii="仿宋_GB2312" w:hAnsi="仿宋_GB2312" w:eastAsia="仿宋_GB2312" w:cs="仿宋_GB2312"/>
          <w:sz w:val="32"/>
          <w:szCs w:val="32"/>
          <w:lang w:val="en-US" w:eastAsia="zh-CN"/>
        </w:rPr>
        <w:t>累计拆除</w:t>
      </w:r>
      <w:r>
        <w:rPr>
          <w:rFonts w:hint="eastAsia" w:ascii="仿宋_GB2312" w:hAnsi="黑体" w:eastAsia="仿宋_GB2312"/>
          <w:sz w:val="32"/>
          <w:szCs w:val="32"/>
          <w:lang w:eastAsia="zh-CN"/>
        </w:rPr>
        <w:t>存量违建</w:t>
      </w:r>
      <w:r>
        <w:rPr>
          <w:rFonts w:hint="eastAsia" w:ascii="仿宋_GB2312" w:hAnsi="黑体" w:eastAsia="仿宋_GB2312"/>
          <w:sz w:val="32"/>
          <w:szCs w:val="32"/>
          <w:lang w:val="en-US" w:eastAsia="zh-CN"/>
        </w:rPr>
        <w:t>227处6359平方米。</w:t>
      </w:r>
      <w:r>
        <w:rPr>
          <w:rFonts w:hint="eastAsia" w:ascii="仿宋_GB2312" w:hAnsi="仿宋_GB2312" w:eastAsia="仿宋_GB2312" w:cs="仿宋_GB2312"/>
          <w:b/>
          <w:bCs/>
          <w:sz w:val="32"/>
          <w:szCs w:val="32"/>
          <w:lang w:val="en-US" w:eastAsia="zh-CN"/>
        </w:rPr>
        <w:t>大力推进交通整治，</w:t>
      </w:r>
      <w:r>
        <w:rPr>
          <w:rFonts w:hint="eastAsia" w:ascii="仿宋_GB2312" w:hAnsi="黑体" w:eastAsia="仿宋_GB2312" w:cs="Times New Roman"/>
          <w:sz w:val="32"/>
          <w:szCs w:val="32"/>
          <w:lang w:val="en-US" w:eastAsia="zh-CN"/>
        </w:rPr>
        <w:t>加强宣传教育和安全劝导，安排15名交通劝导员在辖区开展交通保畅工作。</w:t>
      </w:r>
      <w:r>
        <w:rPr>
          <w:rFonts w:hint="eastAsia" w:ascii="仿宋_GB2312" w:hAnsi="仿宋_GB2312" w:eastAsia="仿宋_GB2312" w:cs="仿宋_GB2312"/>
          <w:b/>
          <w:bCs/>
          <w:sz w:val="32"/>
          <w:szCs w:val="32"/>
          <w:lang w:val="en-US" w:eastAsia="zh-CN"/>
        </w:rPr>
        <w:t>大力推进市容治乱，</w:t>
      </w:r>
      <w:r>
        <w:rPr>
          <w:rFonts w:hint="eastAsia" w:ascii="仿宋_GB2312" w:hAnsi="黑体" w:eastAsia="仿宋_GB2312" w:cs="Times New Roman"/>
          <w:sz w:val="32"/>
          <w:szCs w:val="32"/>
          <w:lang w:val="en-US" w:eastAsia="zh-CN"/>
        </w:rPr>
        <w:t>联合区交警、城管等部门开展集中行动7次，洛王东路、北港北路车辆乱停乱靠、占道经营等问题明显好转。</w:t>
      </w:r>
      <w:r>
        <w:rPr>
          <w:rFonts w:hint="eastAsia" w:ascii="仿宋_GB2312" w:hAnsi="仿宋_GB2312" w:eastAsia="仿宋_GB2312" w:cs="仿宋_GB2312"/>
          <w:b/>
          <w:bCs/>
          <w:sz w:val="32"/>
          <w:szCs w:val="32"/>
          <w:lang w:val="en-US" w:eastAsia="zh-CN"/>
        </w:rPr>
        <w:t>大力推进“平安创建”，</w:t>
      </w:r>
      <w:r>
        <w:rPr>
          <w:rFonts w:hint="eastAsia" w:ascii="仿宋_GB2312" w:hAnsi="黑体" w:eastAsia="仿宋_GB2312" w:cs="Times New Roman"/>
          <w:sz w:val="32"/>
          <w:szCs w:val="32"/>
          <w:lang w:val="en-US" w:eastAsia="zh-CN"/>
        </w:rPr>
        <w:t>加强治安巡逻防控，严厉打击</w:t>
      </w:r>
      <w:r>
        <w:rPr>
          <w:rFonts w:hint="eastAsia" w:ascii="仿宋_GB2312" w:hAnsi="宋体" w:eastAsia="仿宋_GB2312" w:cs="仿宋_GB2312"/>
          <w:color w:val="000000"/>
          <w:kern w:val="0"/>
          <w:sz w:val="31"/>
          <w:szCs w:val="31"/>
          <w:lang w:val="en-US" w:eastAsia="zh-CN" w:bidi="ar"/>
        </w:rPr>
        <w:t>违法犯罪行为，加强“黄赌毒”、精神易肇祸、社区矫正等重点人员排查及清单式管控，</w:t>
      </w:r>
      <w:r>
        <w:rPr>
          <w:rFonts w:hint="eastAsia" w:ascii="仿宋_GB2312" w:hAnsi="黑体" w:eastAsia="仿宋_GB2312" w:cs="Times New Roman"/>
          <w:sz w:val="32"/>
          <w:szCs w:val="32"/>
          <w:lang w:val="en-US" w:eastAsia="zh-CN"/>
        </w:rPr>
        <w:t>有效减少各类违法犯罪案件的发生。</w:t>
      </w:r>
      <w:r>
        <w:rPr>
          <w:rFonts w:hint="eastAsia" w:ascii="仿宋_GB2312" w:hAnsi="仿宋_GB2312" w:eastAsia="仿宋_GB2312" w:cs="仿宋_GB2312"/>
          <w:b/>
          <w:bCs/>
          <w:color w:val="auto"/>
          <w:sz w:val="32"/>
          <w:szCs w:val="32"/>
          <w:lang w:val="en-US" w:eastAsia="zh-CN"/>
        </w:rPr>
        <w:t>大力推进殡葬整治工作，</w:t>
      </w:r>
      <w:r>
        <w:rPr>
          <w:rFonts w:hint="eastAsia" w:ascii="仿宋_GB2312" w:hAnsi="宋体" w:eastAsia="仿宋_GB2312" w:cs="仿宋_GB2312"/>
          <w:color w:val="000000"/>
          <w:kern w:val="0"/>
          <w:sz w:val="31"/>
          <w:szCs w:val="31"/>
          <w:lang w:val="en-US" w:eastAsia="zh-CN" w:bidi="ar"/>
        </w:rPr>
        <w:t>发放宣传手册6200份，调查摸底从业人员7人，提前劝止违规搭棚治丧9起，排查老人、重病人员，建立台账，做到守土有责、守土负责。</w:t>
      </w:r>
    </w:p>
    <w:p w14:paraId="559BE15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hint="eastAsia" w:ascii="黑体" w:hAnsi="黑体" w:eastAsia="黑体" w:cs="黑体"/>
          <w:spacing w:val="9"/>
          <w:kern w:val="2"/>
          <w:position w:val="21"/>
          <w:sz w:val="31"/>
          <w:szCs w:val="31"/>
          <w:lang w:val="en-US" w:eastAsia="zh-CN" w:bidi="ar-SA"/>
        </w:rPr>
        <w:t>七、</w:t>
      </w:r>
      <w:r>
        <w:rPr>
          <w:rFonts w:ascii="黑体" w:hAnsi="黑体" w:eastAsia="黑体" w:cs="黑体"/>
          <w:spacing w:val="9"/>
          <w:position w:val="21"/>
          <w:sz w:val="31"/>
          <w:szCs w:val="31"/>
        </w:rPr>
        <w:t>存在的问题及原因分析</w:t>
      </w:r>
    </w:p>
    <w:p w14:paraId="70172087">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ascii="黑体" w:hAnsi="黑体" w:eastAsia="黑体" w:cs="黑体"/>
          <w:spacing w:val="9"/>
          <w:position w:val="21"/>
          <w:sz w:val="31"/>
          <w:szCs w:val="31"/>
        </w:rPr>
      </w:pPr>
      <w:r>
        <w:rPr>
          <w:rFonts w:hint="default" w:ascii="仿宋" w:hAnsi="仿宋" w:eastAsia="仿宋" w:cs="仿宋"/>
          <w:kern w:val="2"/>
          <w:sz w:val="30"/>
          <w:szCs w:val="30"/>
          <w:lang w:val="en-US" w:eastAsia="zh-CN"/>
        </w:rPr>
        <w:t>存在问题个别项目资金使用方面预算与实际存在差异。问题产生的主要原因</w:t>
      </w:r>
      <w:r>
        <w:rPr>
          <w:rFonts w:hint="eastAsia" w:ascii="仿宋" w:hAnsi="仿宋" w:eastAsia="仿宋" w:cs="仿宋"/>
          <w:kern w:val="2"/>
          <w:sz w:val="30"/>
          <w:szCs w:val="30"/>
          <w:lang w:val="en-US" w:eastAsia="zh-CN"/>
        </w:rPr>
        <w:t>：</w:t>
      </w:r>
      <w:r>
        <w:rPr>
          <w:rFonts w:hint="default" w:ascii="仿宋" w:hAnsi="仿宋" w:eastAsia="仿宋" w:cs="仿宋"/>
          <w:kern w:val="2"/>
          <w:sz w:val="30"/>
          <w:szCs w:val="30"/>
          <w:lang w:val="en-US" w:eastAsia="zh-CN"/>
        </w:rPr>
        <w:t>绩效管理水平有待提高，特别是绩效指标设置的科学性、合理性有待进一步改善。</w:t>
      </w:r>
    </w:p>
    <w:p w14:paraId="2246CAA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kern w:val="2"/>
          <w:sz w:val="31"/>
          <w:szCs w:val="31"/>
          <w:lang w:val="en-US" w:eastAsia="zh-CN" w:bidi="ar-SA"/>
        </w:rPr>
        <w:t>八、</w:t>
      </w:r>
      <w:r>
        <w:rPr>
          <w:rFonts w:ascii="黑体" w:hAnsi="黑体" w:eastAsia="黑体" w:cs="黑体"/>
          <w:spacing w:val="8"/>
          <w:sz w:val="31"/>
          <w:szCs w:val="31"/>
        </w:rPr>
        <w:t>下一步改进措施</w:t>
      </w:r>
    </w:p>
    <w:p w14:paraId="6158559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200"/>
        <w:textAlignment w:val="auto"/>
        <w:rPr>
          <w:rFonts w:ascii="黑体" w:hAnsi="黑体" w:eastAsia="黑体" w:cs="黑体"/>
          <w:spacing w:val="8"/>
          <w:position w:val="21"/>
          <w:sz w:val="31"/>
          <w:szCs w:val="31"/>
        </w:rPr>
      </w:pPr>
      <w:r>
        <w:rPr>
          <w:rFonts w:hint="eastAsia" w:ascii="仿宋" w:hAnsi="仿宋" w:eastAsia="仿宋" w:cs="仿宋"/>
          <w:kern w:val="2"/>
          <w:sz w:val="30"/>
          <w:szCs w:val="30"/>
          <w:lang w:val="en-US" w:eastAsia="zh-CN"/>
        </w:rPr>
        <w:t>在以后的工作中将进一步加强和细化对预算收支的管理工作，加强内部管理制度，更加规范各项资金的使用程序，做好各项资金的监督管理工作，把各项资金用好用实。加强对财务工作人员的业务学习和培训，与时俱进，不断提高业务素质和工作能力。</w:t>
      </w:r>
      <w:r>
        <w:rPr>
          <w:rFonts w:hint="eastAsia" w:ascii="黑体" w:hAnsi="黑体" w:eastAsia="黑体" w:cs="黑体"/>
          <w:spacing w:val="8"/>
          <w:kern w:val="2"/>
          <w:position w:val="21"/>
          <w:sz w:val="31"/>
          <w:szCs w:val="31"/>
          <w:lang w:val="en-US" w:eastAsia="zh-CN" w:bidi="ar-SA"/>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412045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00" w:firstLineChars="200"/>
        <w:textAlignment w:val="auto"/>
        <w:rPr>
          <w:rFonts w:ascii="黑体" w:hAnsi="黑体" w:eastAsia="黑体" w:cs="黑体"/>
          <w:spacing w:val="8"/>
          <w:position w:val="21"/>
          <w:sz w:val="31"/>
          <w:szCs w:val="31"/>
        </w:rPr>
      </w:pPr>
      <w:r>
        <w:rPr>
          <w:rFonts w:hint="eastAsia" w:ascii="仿宋" w:hAnsi="仿宋" w:eastAsia="仿宋" w:cs="仿宋"/>
          <w:kern w:val="2"/>
          <w:sz w:val="30"/>
          <w:szCs w:val="30"/>
          <w:lang w:val="en-US" w:eastAsia="zh-CN"/>
        </w:rPr>
        <w:t>本单位高度重视此项绩效自评工作，积极落实主体责任，切实加强组织领导，按照绩效评价相关制度规定，明确具体责任人，认真开展自评，撰写了此份绩效评价报告，确保绩效自评工作顺利实施，并将按照要求进行信息公开，对存在的问题积极整改。</w:t>
      </w:r>
    </w:p>
    <w:p w14:paraId="39861BA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3"/>
          <w:sz w:val="31"/>
          <w:szCs w:val="31"/>
        </w:rPr>
      </w:pPr>
      <w:r>
        <w:rPr>
          <w:rFonts w:hint="eastAsia" w:ascii="黑体" w:hAnsi="黑体" w:eastAsia="黑体" w:cs="黑体"/>
          <w:spacing w:val="-3"/>
          <w:kern w:val="2"/>
          <w:sz w:val="31"/>
          <w:szCs w:val="31"/>
          <w:lang w:val="en-US" w:eastAsia="zh-CN" w:bidi="ar-SA"/>
        </w:rPr>
        <w:t>十、</w:t>
      </w:r>
      <w:r>
        <w:rPr>
          <w:rFonts w:ascii="黑体" w:hAnsi="黑体" w:eastAsia="黑体" w:cs="黑体"/>
          <w:spacing w:val="-3"/>
          <w:sz w:val="31"/>
          <w:szCs w:val="31"/>
        </w:rPr>
        <w:t>其他需要说明的情况</w:t>
      </w:r>
    </w:p>
    <w:p w14:paraId="06F8957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00" w:firstLineChars="200"/>
        <w:textAlignment w:val="auto"/>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rPr>
        <w:t>无</w:t>
      </w:r>
    </w:p>
    <w:p w14:paraId="072E9EE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Arial"/>
          <w:sz w:val="21"/>
        </w:rPr>
      </w:pPr>
    </w:p>
    <w:p w14:paraId="1C5DA8E2">
      <w:pPr>
        <w:pStyle w:val="2"/>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pPr>
      <w:r>
        <w:rPr>
          <w:spacing w:val="6"/>
        </w:rPr>
        <w:t>附件：</w:t>
      </w:r>
      <w:r>
        <w:rPr>
          <w:rFonts w:ascii="Times New Roman" w:hAnsi="Times New Roman" w:eastAsia="Times New Roman" w:cs="Times New Roman"/>
          <w:spacing w:val="6"/>
        </w:rPr>
        <w:t>1</w:t>
      </w:r>
      <w:r>
        <w:rPr>
          <w:spacing w:val="6"/>
        </w:rPr>
        <w:t>、</w:t>
      </w:r>
      <w:r>
        <w:rPr>
          <w:rFonts w:hint="eastAsia"/>
          <w:spacing w:val="6"/>
          <w:lang w:eastAsia="zh-CN"/>
        </w:rPr>
        <w:t>单位</w:t>
      </w:r>
      <w:r>
        <w:rPr>
          <w:spacing w:val="6"/>
        </w:rPr>
        <w:t>整体支出绩效评价基础数据表</w:t>
      </w:r>
    </w:p>
    <w:p w14:paraId="492FEF51">
      <w:pPr>
        <w:pStyle w:val="2"/>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pPr>
      <w:r>
        <w:rPr>
          <w:rFonts w:ascii="Times New Roman" w:hAnsi="Times New Roman" w:eastAsia="Times New Roman" w:cs="Times New Roman"/>
          <w:spacing w:val="8"/>
        </w:rPr>
        <w:t>2</w:t>
      </w:r>
      <w:r>
        <w:rPr>
          <w:spacing w:val="8"/>
        </w:rPr>
        <w:t>、</w:t>
      </w:r>
      <w:r>
        <w:rPr>
          <w:rFonts w:hint="eastAsia"/>
          <w:spacing w:val="8"/>
          <w:lang w:eastAsia="zh-CN"/>
        </w:rPr>
        <w:t>单位</w:t>
      </w:r>
      <w:r>
        <w:rPr>
          <w:spacing w:val="8"/>
        </w:rPr>
        <w:t>整体支出绩效自评表</w:t>
      </w:r>
    </w:p>
    <w:p w14:paraId="11D0C329">
      <w:pPr>
        <w:pStyle w:val="2"/>
        <w:keepNext w:val="0"/>
        <w:keepLines w:val="0"/>
        <w:pageBreakBefore w:val="0"/>
        <w:widowControl w:val="0"/>
        <w:kinsoku/>
        <w:wordWrap/>
        <w:overflowPunct/>
        <w:topLinePunct w:val="0"/>
        <w:autoSpaceDE/>
        <w:autoSpaceDN/>
        <w:bidi w:val="0"/>
        <w:adjustRightInd/>
        <w:snapToGrid/>
        <w:spacing w:line="240" w:lineRule="auto"/>
        <w:ind w:left="0" w:right="0" w:firstLine="1104" w:firstLineChars="300"/>
        <w:jc w:val="left"/>
        <w:textAlignment w:val="auto"/>
        <w:rPr>
          <w:rFonts w:hint="eastAsia"/>
        </w:rPr>
      </w:pPr>
      <w:r>
        <w:rPr>
          <w:rFonts w:ascii="Times New Roman" w:hAnsi="Times New Roman" w:eastAsia="Times New Roman" w:cs="Times New Roman"/>
          <w:spacing w:val="9"/>
          <w:position w:val="21"/>
        </w:rPr>
        <w:t>3</w:t>
      </w:r>
      <w:r>
        <w:rPr>
          <w:spacing w:val="9"/>
          <w:position w:val="21"/>
        </w:rPr>
        <w:t>、</w:t>
      </w:r>
      <w:r>
        <w:rPr>
          <w:rFonts w:hint="eastAsia"/>
          <w:spacing w:val="9"/>
          <w:position w:val="21"/>
          <w:lang w:val="en-US" w:eastAsia="zh-CN"/>
        </w:rPr>
        <w:t xml:space="preserve"> </w:t>
      </w:r>
      <w:r>
        <w:rPr>
          <w:spacing w:val="9"/>
          <w:position w:val="21"/>
        </w:rPr>
        <w:t>项目支出绩效自评表（每个一级项目一张</w:t>
      </w:r>
      <w:r>
        <w:rPr>
          <w:spacing w:val="8"/>
          <w:position w:val="21"/>
        </w:rPr>
        <w:t>表）</w:t>
      </w:r>
    </w:p>
    <w:p w14:paraId="2AEB1BCE">
      <w:pPr>
        <w:spacing w:line="600" w:lineRule="exact"/>
        <w:ind w:firstLine="640" w:firstLineChars="200"/>
        <w:rPr>
          <w:rFonts w:hint="eastAsia" w:ascii="仿宋_GB2312" w:hAnsi="仿宋" w:eastAsia="仿宋_GB2312" w:cs="仿宋"/>
          <w:sz w:val="32"/>
          <w:szCs w:val="32"/>
        </w:rPr>
      </w:pPr>
    </w:p>
    <w:p w14:paraId="3F4CB1C9">
      <w:pPr>
        <w:pStyle w:val="2"/>
        <w:ind w:firstLine="664" w:firstLineChars="200"/>
        <w:jc w:val="left"/>
        <w:rPr>
          <w:rFonts w:hint="eastAsia" w:ascii="仿宋_GB2312" w:eastAsia="仿宋_GB2312"/>
          <w:spacing w:val="6"/>
          <w:sz w:val="32"/>
          <w:szCs w:val="32"/>
          <w:lang w:eastAsia="zh-CN"/>
        </w:rPr>
      </w:pPr>
    </w:p>
    <w:p w14:paraId="654088B3">
      <w:pPr>
        <w:pStyle w:val="2"/>
        <w:jc w:val="left"/>
        <w:rPr>
          <w:rFonts w:hint="eastAsia" w:ascii="仿宋_GB2312" w:hAnsi="仿宋_GB2312" w:eastAsia="仿宋_GB2312" w:cs="仿宋_GB2312"/>
          <w:sz w:val="32"/>
          <w:szCs w:val="32"/>
          <w:lang w:eastAsia="zh-CN"/>
        </w:rPr>
      </w:pPr>
    </w:p>
    <w:p w14:paraId="50A2C3F9">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仿宋_GB2312" w:hAnsi="仿宋_GB2312" w:eastAsia="仿宋_GB2312" w:cs="仿宋_GB2312"/>
          <w:sz w:val="32"/>
          <w:szCs w:val="32"/>
        </w:rPr>
      </w:pPr>
    </w:p>
    <w:sectPr>
      <w:footerReference r:id="rId4"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2B8AEB5-6BD2-4E00-9BF0-B430CCC81734}"/>
  </w:font>
  <w:font w:name="黑体">
    <w:panose1 w:val="02010609060101010101"/>
    <w:charset w:val="86"/>
    <w:family w:val="auto"/>
    <w:pitch w:val="default"/>
    <w:sig w:usb0="800002BF" w:usb1="38CF7CFA" w:usb2="00000016" w:usb3="00000000" w:csb0="00040001" w:csb1="00000000"/>
    <w:embedRegular r:id="rId2" w:fontKey="{85BB1C4A-199E-443D-81EC-B6B13165A79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44F1E7E0-EBB2-4CFD-8F05-DD8F0F62EB52}"/>
  </w:font>
  <w:font w:name="方正小标宋简体">
    <w:panose1 w:val="02010600010101010101"/>
    <w:charset w:val="86"/>
    <w:family w:val="auto"/>
    <w:pitch w:val="default"/>
    <w:sig w:usb0="00000001" w:usb1="080E0000" w:usb2="00000000" w:usb3="00000000" w:csb0="00040000" w:csb1="00000000"/>
    <w:embedRegular r:id="rId4" w:fontKey="{5DBF240D-D04B-4085-B6C7-A68B964B6151}"/>
  </w:font>
  <w:font w:name="楷体">
    <w:panose1 w:val="02010609060101010101"/>
    <w:charset w:val="86"/>
    <w:family w:val="auto"/>
    <w:pitch w:val="default"/>
    <w:sig w:usb0="800002BF" w:usb1="38CF7CFA" w:usb2="00000016" w:usb3="00000000" w:csb0="00040001" w:csb1="00000000"/>
    <w:embedRegular r:id="rId5" w:fontKey="{9DB8DC45-14D3-4C62-BED7-04439C8CB188}"/>
  </w:font>
  <w:font w:name="仿宋_GB2312">
    <w:altName w:val="仿宋"/>
    <w:panose1 w:val="02010609030101010101"/>
    <w:charset w:val="86"/>
    <w:family w:val="auto"/>
    <w:pitch w:val="default"/>
    <w:sig w:usb0="00000000" w:usb1="00000000" w:usb2="00000000" w:usb3="00000000" w:csb0="00040000" w:csb1="00000000"/>
    <w:embedRegular r:id="rId6" w:fontKey="{E40D779C-7B76-4B60-A1A5-D5FBF3CDBBD0}"/>
  </w:font>
  <w:font w:name="WPSEMBED1">
    <w:panose1 w:val="0201060001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2FC7D">
    <w:pPr>
      <w:pStyle w:val="2"/>
      <w:spacing w:before="1" w:line="174" w:lineRule="auto"/>
      <w:jc w:val="right"/>
      <w:rPr>
        <w:rFonts w:hint="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085A0">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47085A0">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0EC9">
    <w:pPr>
      <w:pStyle w:val="2"/>
      <w:spacing w:before="1" w:line="174" w:lineRule="auto"/>
      <w:jc w:val="right"/>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F6B752"/>
    <w:multiLevelType w:val="singleLevel"/>
    <w:tmpl w:val="B8F6B7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878D5"/>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6776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AE5500"/>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B7C4C"/>
    <w:rsid w:val="10FE6AB1"/>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C04AB"/>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DE4297"/>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9E7FD7"/>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83398"/>
    <w:rsid w:val="19521C94"/>
    <w:rsid w:val="195657BB"/>
    <w:rsid w:val="196B19EB"/>
    <w:rsid w:val="19717C66"/>
    <w:rsid w:val="1984763E"/>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3158F"/>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9418F"/>
    <w:rsid w:val="1D6B31E8"/>
    <w:rsid w:val="1D6B7F83"/>
    <w:rsid w:val="1D745F75"/>
    <w:rsid w:val="1D776C3D"/>
    <w:rsid w:val="1D870C08"/>
    <w:rsid w:val="1D8B7F05"/>
    <w:rsid w:val="1D90796E"/>
    <w:rsid w:val="1D95321A"/>
    <w:rsid w:val="1DA80CFE"/>
    <w:rsid w:val="1DB85E5C"/>
    <w:rsid w:val="1DBB71A4"/>
    <w:rsid w:val="1DC46662"/>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C044F"/>
    <w:rsid w:val="1F692382"/>
    <w:rsid w:val="1F843502"/>
    <w:rsid w:val="1F8815CD"/>
    <w:rsid w:val="1F8D1995"/>
    <w:rsid w:val="1F935BDD"/>
    <w:rsid w:val="1F963600"/>
    <w:rsid w:val="1F9730E6"/>
    <w:rsid w:val="1FA87477"/>
    <w:rsid w:val="1FBC2C9C"/>
    <w:rsid w:val="1FDE0273"/>
    <w:rsid w:val="1FDE31D9"/>
    <w:rsid w:val="1FE90789"/>
    <w:rsid w:val="1FEF73C9"/>
    <w:rsid w:val="1FF26468"/>
    <w:rsid w:val="2000702C"/>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C7FA6"/>
    <w:rsid w:val="22BF1067"/>
    <w:rsid w:val="22C13FD4"/>
    <w:rsid w:val="22C24771"/>
    <w:rsid w:val="22CB0895"/>
    <w:rsid w:val="23033650"/>
    <w:rsid w:val="231527D7"/>
    <w:rsid w:val="23185AD8"/>
    <w:rsid w:val="23336451"/>
    <w:rsid w:val="23474320"/>
    <w:rsid w:val="23492735"/>
    <w:rsid w:val="235B5F37"/>
    <w:rsid w:val="235C3EA6"/>
    <w:rsid w:val="23604810"/>
    <w:rsid w:val="236C6787"/>
    <w:rsid w:val="23830488"/>
    <w:rsid w:val="23932D47"/>
    <w:rsid w:val="23A46F6A"/>
    <w:rsid w:val="23BE4330"/>
    <w:rsid w:val="23BF0A62"/>
    <w:rsid w:val="23C263BB"/>
    <w:rsid w:val="23C63733"/>
    <w:rsid w:val="23D50A64"/>
    <w:rsid w:val="23DC6F4C"/>
    <w:rsid w:val="23DD2202"/>
    <w:rsid w:val="23F70746"/>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1E60DE"/>
    <w:rsid w:val="255061EE"/>
    <w:rsid w:val="2558779F"/>
    <w:rsid w:val="256609A5"/>
    <w:rsid w:val="25781237"/>
    <w:rsid w:val="25790FBA"/>
    <w:rsid w:val="257A6914"/>
    <w:rsid w:val="25865BCB"/>
    <w:rsid w:val="2588530F"/>
    <w:rsid w:val="25905E50"/>
    <w:rsid w:val="259111BD"/>
    <w:rsid w:val="25911D97"/>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528CA"/>
    <w:rsid w:val="26371347"/>
    <w:rsid w:val="264221C6"/>
    <w:rsid w:val="26480112"/>
    <w:rsid w:val="265A3D3E"/>
    <w:rsid w:val="265D3370"/>
    <w:rsid w:val="26666555"/>
    <w:rsid w:val="268B7C99"/>
    <w:rsid w:val="268C4A4A"/>
    <w:rsid w:val="26942039"/>
    <w:rsid w:val="26962EDB"/>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72B92"/>
    <w:rsid w:val="2DE44256"/>
    <w:rsid w:val="2DE557EB"/>
    <w:rsid w:val="2DF54A22"/>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80BB0"/>
    <w:rsid w:val="306F339C"/>
    <w:rsid w:val="30762710"/>
    <w:rsid w:val="30814CF1"/>
    <w:rsid w:val="308E2433"/>
    <w:rsid w:val="308E4163"/>
    <w:rsid w:val="309F0234"/>
    <w:rsid w:val="309F57C7"/>
    <w:rsid w:val="30A03CD3"/>
    <w:rsid w:val="30AA77AB"/>
    <w:rsid w:val="30B422FB"/>
    <w:rsid w:val="30B96A2A"/>
    <w:rsid w:val="30C20BA4"/>
    <w:rsid w:val="30C478ED"/>
    <w:rsid w:val="30D103F7"/>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4C04"/>
    <w:rsid w:val="317038BB"/>
    <w:rsid w:val="317632AC"/>
    <w:rsid w:val="317958D0"/>
    <w:rsid w:val="317A5E86"/>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4E6557C"/>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23C5D"/>
    <w:rsid w:val="367851C1"/>
    <w:rsid w:val="369510BC"/>
    <w:rsid w:val="36973632"/>
    <w:rsid w:val="36A30194"/>
    <w:rsid w:val="36D21A02"/>
    <w:rsid w:val="36E85056"/>
    <w:rsid w:val="36EC7EB3"/>
    <w:rsid w:val="3708411D"/>
    <w:rsid w:val="370E0FEC"/>
    <w:rsid w:val="37104DEB"/>
    <w:rsid w:val="37166BDC"/>
    <w:rsid w:val="371A4A20"/>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6809"/>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D8279E"/>
    <w:rsid w:val="3AE11C0C"/>
    <w:rsid w:val="3AE166F1"/>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37D04"/>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13331"/>
    <w:rsid w:val="3EA64DEB"/>
    <w:rsid w:val="3EA818D8"/>
    <w:rsid w:val="3EAD718B"/>
    <w:rsid w:val="3EAE40A2"/>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B4D37"/>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565A23"/>
    <w:rsid w:val="48606A0B"/>
    <w:rsid w:val="486D78BB"/>
    <w:rsid w:val="486E4136"/>
    <w:rsid w:val="48741AB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373210"/>
    <w:rsid w:val="494324F6"/>
    <w:rsid w:val="49455D20"/>
    <w:rsid w:val="49524E56"/>
    <w:rsid w:val="497B341F"/>
    <w:rsid w:val="49967AF4"/>
    <w:rsid w:val="49B415EE"/>
    <w:rsid w:val="49B63FD6"/>
    <w:rsid w:val="49BF4D00"/>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1650A7"/>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4F457B"/>
    <w:rsid w:val="4F501419"/>
    <w:rsid w:val="4F594DAC"/>
    <w:rsid w:val="4F5E44D9"/>
    <w:rsid w:val="4F6C3F07"/>
    <w:rsid w:val="4F6E32DD"/>
    <w:rsid w:val="4F830574"/>
    <w:rsid w:val="4F8D5FB6"/>
    <w:rsid w:val="4F9753D7"/>
    <w:rsid w:val="4F9A078D"/>
    <w:rsid w:val="4F9D5157"/>
    <w:rsid w:val="4FA54804"/>
    <w:rsid w:val="4FBF34BA"/>
    <w:rsid w:val="4FC633C3"/>
    <w:rsid w:val="4FC92FD2"/>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77D46"/>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C74BB"/>
    <w:rsid w:val="530D6AAB"/>
    <w:rsid w:val="531973FC"/>
    <w:rsid w:val="53387CD2"/>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B743B6"/>
    <w:rsid w:val="53C0579F"/>
    <w:rsid w:val="53D23CC3"/>
    <w:rsid w:val="53DD2466"/>
    <w:rsid w:val="53DE11D6"/>
    <w:rsid w:val="53DF7CB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D63AB"/>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A2317"/>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52481"/>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03BC5"/>
    <w:rsid w:val="5E284971"/>
    <w:rsid w:val="5E2C3CE8"/>
    <w:rsid w:val="5E361890"/>
    <w:rsid w:val="5E391380"/>
    <w:rsid w:val="5E480DBB"/>
    <w:rsid w:val="5E4B0589"/>
    <w:rsid w:val="5E532C32"/>
    <w:rsid w:val="5E6A778C"/>
    <w:rsid w:val="5E6B78B9"/>
    <w:rsid w:val="5E72530D"/>
    <w:rsid w:val="5E7B3471"/>
    <w:rsid w:val="5E811840"/>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3E5D28"/>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94C34"/>
    <w:rsid w:val="61BC38FA"/>
    <w:rsid w:val="61BE0E4F"/>
    <w:rsid w:val="61C85E7F"/>
    <w:rsid w:val="61CD78CF"/>
    <w:rsid w:val="61CF6571"/>
    <w:rsid w:val="61D03DA9"/>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7623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620A31"/>
    <w:rsid w:val="63710CD7"/>
    <w:rsid w:val="637D427E"/>
    <w:rsid w:val="63861A11"/>
    <w:rsid w:val="638E7A78"/>
    <w:rsid w:val="639A0C81"/>
    <w:rsid w:val="639A36B2"/>
    <w:rsid w:val="63A00543"/>
    <w:rsid w:val="63B31BEC"/>
    <w:rsid w:val="63BE2991"/>
    <w:rsid w:val="63D62DC2"/>
    <w:rsid w:val="63D672A4"/>
    <w:rsid w:val="63DD727B"/>
    <w:rsid w:val="63E900E8"/>
    <w:rsid w:val="63F105D2"/>
    <w:rsid w:val="63F14697"/>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9406A3"/>
    <w:rsid w:val="67954429"/>
    <w:rsid w:val="67A2383F"/>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317E4"/>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1F1AB4"/>
    <w:rsid w:val="6C304BD6"/>
    <w:rsid w:val="6C311D32"/>
    <w:rsid w:val="6C33740F"/>
    <w:rsid w:val="6C377C16"/>
    <w:rsid w:val="6C417EB8"/>
    <w:rsid w:val="6C467142"/>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1D28B0"/>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6E3CD9"/>
    <w:rsid w:val="737007D9"/>
    <w:rsid w:val="738526B4"/>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2C7D69"/>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604F"/>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873CB"/>
    <w:rsid w:val="7B3F3833"/>
    <w:rsid w:val="7B412669"/>
    <w:rsid w:val="7B472446"/>
    <w:rsid w:val="7B4927AB"/>
    <w:rsid w:val="7B496993"/>
    <w:rsid w:val="7B6B35F1"/>
    <w:rsid w:val="7B763C81"/>
    <w:rsid w:val="7B783675"/>
    <w:rsid w:val="7B796807"/>
    <w:rsid w:val="7B8352C9"/>
    <w:rsid w:val="7BA4267E"/>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534276"/>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3F77E3"/>
    <w:rsid w:val="7D4071CA"/>
    <w:rsid w:val="7D4B3993"/>
    <w:rsid w:val="7D5F5E30"/>
    <w:rsid w:val="7D656BAD"/>
    <w:rsid w:val="7D680D06"/>
    <w:rsid w:val="7D6B45FB"/>
    <w:rsid w:val="7D6C208F"/>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5D785B"/>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 w:type="character" w:customStyle="1" w:styleId="10">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4594</Words>
  <Characters>5079</Characters>
  <Lines>0</Lines>
  <Paragraphs>0</Paragraphs>
  <TotalTime>2</TotalTime>
  <ScaleCrop>false</ScaleCrop>
  <LinksUpToDate>false</LinksUpToDate>
  <CharactersWithSpaces>5129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Freedom</cp:lastModifiedBy>
  <dcterms:modified xsi:type="dcterms:W3CDTF">2026-08-25T03:37:06Z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4B5FDDC259FB49A4A0EBEC5A4BB60567_11</vt:lpwstr>
  </property>
  <property fmtid="{D5CDD505-2E9C-101B-9397-08002B2CF9AE}" pid="4" name="KSOTemplateDocerSaveRecord">
    <vt:lpwstr>eyJoZGlkIjoiM2ExM2I1Y2E5MTg1NzJhN2FkNjlmNDg5OTI5OGY3ZTQiLCJ1c2VySWQiOiI0MTQ2OTI3NDEifQ==</vt:lpwstr>
  </property>
</Properties>
</file>