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878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bookmarkStart w:id="0" w:name="_GoBack"/>
      <w:bookmarkEnd w:id="0"/>
    </w:p>
    <w:p w14:paraId="690996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p>
    <w:p w14:paraId="6DDA7C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p>
    <w:p w14:paraId="31E34E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r>
        <w:rPr>
          <w:rFonts w:hint="eastAsia" w:ascii="方正小标宋简体" w:hAnsi="方正小标宋简体" w:eastAsia="方正小标宋简体" w:cs="方正小标宋简体"/>
          <w:b w:val="0"/>
          <w:bCs w:val="0"/>
          <w:color w:val="000000"/>
          <w:spacing w:val="2"/>
          <w:sz w:val="42"/>
          <w:szCs w:val="42"/>
          <w:lang w:eastAsia="zh-CN"/>
        </w:rPr>
        <w:t>202</w:t>
      </w:r>
      <w:r>
        <w:rPr>
          <w:rFonts w:hint="eastAsia" w:ascii="方正小标宋简体" w:hAnsi="方正小标宋简体" w:eastAsia="方正小标宋简体" w:cs="方正小标宋简体"/>
          <w:b w:val="0"/>
          <w:bCs w:val="0"/>
          <w:color w:val="000000"/>
          <w:spacing w:val="2"/>
          <w:sz w:val="42"/>
          <w:szCs w:val="42"/>
          <w:lang w:val="en-US" w:eastAsia="zh-CN"/>
        </w:rPr>
        <w:t>5</w:t>
      </w:r>
      <w:r>
        <w:rPr>
          <w:rFonts w:hint="eastAsia" w:ascii="方正小标宋简体" w:hAnsi="方正小标宋简体" w:eastAsia="方正小标宋简体" w:cs="方正小标宋简体"/>
          <w:b w:val="0"/>
          <w:bCs w:val="0"/>
          <w:color w:val="000000"/>
          <w:spacing w:val="2"/>
          <w:sz w:val="42"/>
          <w:szCs w:val="42"/>
          <w:lang w:eastAsia="zh-CN"/>
        </w:rPr>
        <w:t xml:space="preserve"> 年度岳阳楼区</w:t>
      </w:r>
      <w:r>
        <w:rPr>
          <w:rFonts w:hint="eastAsia" w:ascii="方正小标宋简体" w:hAnsi="方正小标宋简体" w:eastAsia="方正小标宋简体" w:cs="方正小标宋简体"/>
          <w:b w:val="0"/>
          <w:bCs w:val="0"/>
          <w:color w:val="000000"/>
          <w:spacing w:val="2"/>
          <w:sz w:val="42"/>
          <w:szCs w:val="42"/>
          <w:lang w:val="en-US" w:eastAsia="zh-CN"/>
        </w:rPr>
        <w:t>工伤保险</w:t>
      </w:r>
      <w:r>
        <w:rPr>
          <w:rFonts w:hint="eastAsia" w:ascii="方正小标宋简体" w:hAnsi="方正小标宋简体" w:eastAsia="方正小标宋简体" w:cs="方正小标宋简体"/>
          <w:b w:val="0"/>
          <w:bCs w:val="0"/>
          <w:color w:val="000000"/>
          <w:spacing w:val="2"/>
          <w:sz w:val="42"/>
          <w:szCs w:val="42"/>
          <w:lang w:eastAsia="zh-CN"/>
        </w:rPr>
        <w:t>服务中心</w:t>
      </w:r>
      <w:r>
        <w:rPr>
          <w:rFonts w:hint="eastAsia" w:ascii="方正小标宋简体" w:hAnsi="方正小标宋简体" w:eastAsia="方正小标宋简体" w:cs="方正小标宋简体"/>
          <w:b w:val="0"/>
          <w:bCs w:val="0"/>
          <w:color w:val="000000"/>
          <w:spacing w:val="2"/>
          <w:sz w:val="42"/>
          <w:szCs w:val="42"/>
          <w:lang w:val="en-US" w:eastAsia="zh-CN"/>
        </w:rPr>
        <w:t xml:space="preserve">      </w:t>
      </w:r>
      <w:r>
        <w:rPr>
          <w:rFonts w:hint="eastAsia" w:ascii="方正小标宋简体" w:hAnsi="方正小标宋简体" w:eastAsia="方正小标宋简体" w:cs="方正小标宋简体"/>
          <w:b w:val="0"/>
          <w:bCs w:val="0"/>
          <w:color w:val="000000"/>
          <w:spacing w:val="2"/>
          <w:sz w:val="42"/>
          <w:szCs w:val="42"/>
          <w:lang w:eastAsia="zh-CN"/>
        </w:rPr>
        <w:t>单位整体支出绩效自评报告</w:t>
      </w:r>
    </w:p>
    <w:p w14:paraId="531D83C7">
      <w:pPr>
        <w:spacing w:line="243" w:lineRule="auto"/>
        <w:rPr>
          <w:rFonts w:ascii="Arial"/>
          <w:sz w:val="21"/>
        </w:rPr>
      </w:pPr>
    </w:p>
    <w:p w14:paraId="11CE18C6">
      <w:pPr>
        <w:spacing w:line="243" w:lineRule="auto"/>
        <w:rPr>
          <w:rFonts w:ascii="Arial"/>
          <w:sz w:val="21"/>
        </w:rPr>
      </w:pPr>
    </w:p>
    <w:p w14:paraId="3C18CB9B">
      <w:pPr>
        <w:spacing w:line="243" w:lineRule="auto"/>
        <w:rPr>
          <w:rFonts w:ascii="Arial"/>
          <w:sz w:val="21"/>
        </w:rPr>
      </w:pPr>
    </w:p>
    <w:p w14:paraId="5A278ED8">
      <w:pPr>
        <w:spacing w:line="243" w:lineRule="auto"/>
        <w:rPr>
          <w:rFonts w:ascii="Arial"/>
          <w:sz w:val="21"/>
        </w:rPr>
      </w:pPr>
    </w:p>
    <w:p w14:paraId="4A7E81C5">
      <w:pPr>
        <w:spacing w:line="243" w:lineRule="auto"/>
        <w:rPr>
          <w:rFonts w:ascii="Arial"/>
          <w:sz w:val="21"/>
        </w:rPr>
      </w:pPr>
    </w:p>
    <w:p w14:paraId="30AFB295">
      <w:pPr>
        <w:spacing w:line="243" w:lineRule="auto"/>
        <w:rPr>
          <w:rFonts w:ascii="Arial"/>
          <w:sz w:val="21"/>
        </w:rPr>
      </w:pPr>
    </w:p>
    <w:p w14:paraId="2E7A1C23">
      <w:pPr>
        <w:spacing w:line="243" w:lineRule="auto"/>
        <w:rPr>
          <w:rFonts w:ascii="Arial"/>
          <w:sz w:val="21"/>
        </w:rPr>
      </w:pPr>
    </w:p>
    <w:p w14:paraId="35541DB9">
      <w:pPr>
        <w:spacing w:line="243" w:lineRule="auto"/>
        <w:rPr>
          <w:rFonts w:ascii="Arial"/>
          <w:sz w:val="21"/>
        </w:rPr>
      </w:pPr>
    </w:p>
    <w:p w14:paraId="6636FBC6">
      <w:pPr>
        <w:spacing w:line="243" w:lineRule="auto"/>
        <w:rPr>
          <w:rFonts w:ascii="Arial"/>
          <w:sz w:val="21"/>
        </w:rPr>
      </w:pPr>
    </w:p>
    <w:p w14:paraId="3CC65407">
      <w:pPr>
        <w:spacing w:line="243" w:lineRule="auto"/>
        <w:rPr>
          <w:rFonts w:ascii="Arial"/>
          <w:sz w:val="21"/>
        </w:rPr>
      </w:pPr>
    </w:p>
    <w:p w14:paraId="46FD85A6">
      <w:pPr>
        <w:spacing w:line="243" w:lineRule="auto"/>
        <w:rPr>
          <w:rFonts w:ascii="Arial"/>
          <w:sz w:val="21"/>
        </w:rPr>
      </w:pPr>
    </w:p>
    <w:p w14:paraId="1A32A85C">
      <w:pPr>
        <w:spacing w:line="243" w:lineRule="auto"/>
        <w:rPr>
          <w:rFonts w:ascii="Arial"/>
          <w:sz w:val="21"/>
        </w:rPr>
      </w:pPr>
    </w:p>
    <w:p w14:paraId="20811ECB">
      <w:pPr>
        <w:spacing w:line="243" w:lineRule="auto"/>
        <w:rPr>
          <w:rFonts w:ascii="Arial"/>
          <w:sz w:val="21"/>
        </w:rPr>
      </w:pPr>
    </w:p>
    <w:p w14:paraId="040ECEA4">
      <w:pPr>
        <w:spacing w:line="243" w:lineRule="auto"/>
        <w:rPr>
          <w:rFonts w:ascii="Arial"/>
          <w:sz w:val="21"/>
        </w:rPr>
      </w:pPr>
    </w:p>
    <w:p w14:paraId="189AAEEA">
      <w:pPr>
        <w:spacing w:line="243" w:lineRule="auto"/>
        <w:rPr>
          <w:rFonts w:ascii="Arial"/>
          <w:sz w:val="21"/>
        </w:rPr>
      </w:pPr>
    </w:p>
    <w:p w14:paraId="444E3A04">
      <w:pPr>
        <w:spacing w:line="243" w:lineRule="auto"/>
        <w:rPr>
          <w:rFonts w:ascii="Arial"/>
          <w:sz w:val="21"/>
        </w:rPr>
      </w:pPr>
    </w:p>
    <w:p w14:paraId="085C0751">
      <w:pPr>
        <w:spacing w:line="243" w:lineRule="auto"/>
        <w:rPr>
          <w:rFonts w:ascii="Arial"/>
          <w:sz w:val="21"/>
        </w:rPr>
      </w:pPr>
    </w:p>
    <w:p w14:paraId="485FD63F">
      <w:pPr>
        <w:spacing w:line="243" w:lineRule="auto"/>
        <w:rPr>
          <w:rFonts w:ascii="Arial"/>
          <w:sz w:val="21"/>
        </w:rPr>
      </w:pPr>
    </w:p>
    <w:p w14:paraId="45DC8070">
      <w:pPr>
        <w:spacing w:line="243" w:lineRule="auto"/>
        <w:rPr>
          <w:rFonts w:ascii="Arial"/>
          <w:sz w:val="21"/>
        </w:rPr>
      </w:pPr>
    </w:p>
    <w:p w14:paraId="3155E3FD">
      <w:pPr>
        <w:spacing w:line="243" w:lineRule="auto"/>
        <w:rPr>
          <w:rFonts w:ascii="Arial"/>
          <w:sz w:val="21"/>
        </w:rPr>
      </w:pPr>
    </w:p>
    <w:p w14:paraId="11DEDF69">
      <w:pPr>
        <w:spacing w:line="243" w:lineRule="auto"/>
        <w:rPr>
          <w:rFonts w:ascii="Arial"/>
          <w:sz w:val="21"/>
        </w:rPr>
      </w:pPr>
    </w:p>
    <w:p w14:paraId="58775005">
      <w:pPr>
        <w:spacing w:line="243" w:lineRule="auto"/>
        <w:rPr>
          <w:rFonts w:ascii="Arial"/>
          <w:sz w:val="21"/>
        </w:rPr>
      </w:pPr>
    </w:p>
    <w:p w14:paraId="0304181D">
      <w:pPr>
        <w:spacing w:line="243" w:lineRule="auto"/>
        <w:rPr>
          <w:rFonts w:ascii="Arial"/>
          <w:sz w:val="21"/>
        </w:rPr>
      </w:pPr>
    </w:p>
    <w:p w14:paraId="74F15B95">
      <w:pPr>
        <w:spacing w:line="243" w:lineRule="auto"/>
        <w:rPr>
          <w:rFonts w:ascii="Arial"/>
          <w:sz w:val="21"/>
        </w:rPr>
      </w:pPr>
    </w:p>
    <w:p w14:paraId="017328A2">
      <w:pPr>
        <w:spacing w:line="243" w:lineRule="auto"/>
        <w:rPr>
          <w:rFonts w:ascii="Arial"/>
          <w:sz w:val="21"/>
        </w:rPr>
      </w:pPr>
    </w:p>
    <w:p w14:paraId="28E0CD85">
      <w:pPr>
        <w:spacing w:line="244" w:lineRule="auto"/>
        <w:rPr>
          <w:rFonts w:ascii="Arial"/>
          <w:sz w:val="21"/>
        </w:rPr>
      </w:pPr>
    </w:p>
    <w:p w14:paraId="65DDF836">
      <w:pPr>
        <w:spacing w:line="244" w:lineRule="auto"/>
        <w:rPr>
          <w:rFonts w:ascii="Arial"/>
          <w:sz w:val="21"/>
        </w:rPr>
      </w:pPr>
    </w:p>
    <w:p w14:paraId="11516F19">
      <w:pPr>
        <w:pStyle w:val="2"/>
        <w:spacing w:before="100" w:line="221" w:lineRule="auto"/>
        <w:ind w:left="1902"/>
      </w:pPr>
      <w:r>
        <w:rPr>
          <w:spacing w:val="-10"/>
        </w:rPr>
        <w:t>部门（单位）名称</w:t>
      </w:r>
      <w:r>
        <w:rPr>
          <w:spacing w:val="4"/>
        </w:rPr>
        <w:t>：</w:t>
      </w:r>
      <w:r>
        <w:rPr>
          <w:spacing w:val="-118"/>
        </w:rPr>
        <w:t xml:space="preserve"> </w:t>
      </w:r>
      <w:r>
        <w:rPr>
          <w:spacing w:val="-75"/>
          <w:u w:val="single" w:color="auto"/>
        </w:rPr>
        <w:t xml:space="preserve"> </w:t>
      </w:r>
      <w:r>
        <w:rPr>
          <w:spacing w:val="4"/>
          <w:u w:val="single" w:color="auto"/>
        </w:rPr>
        <w:t>（</w:t>
      </w:r>
      <w:r>
        <w:rPr>
          <w:spacing w:val="-10"/>
          <w:u w:val="single" w:color="auto"/>
        </w:rPr>
        <w:t>盖章）</w:t>
      </w:r>
      <w:r>
        <w:rPr>
          <w:u w:val="single" w:color="auto"/>
        </w:rPr>
        <w:t xml:space="preserve">         </w:t>
      </w:r>
    </w:p>
    <w:p w14:paraId="69F2AA96">
      <w:pPr>
        <w:spacing w:before="228" w:line="222" w:lineRule="auto"/>
        <w:ind w:left="3179"/>
        <w:rPr>
          <w:rFonts w:ascii="楷体" w:hAnsi="楷体" w:eastAsia="楷体" w:cs="楷体"/>
          <w:sz w:val="31"/>
          <w:szCs w:val="31"/>
        </w:rPr>
      </w:pPr>
      <w:r>
        <w:rPr>
          <w:rFonts w:hint="eastAsia" w:ascii="楷体" w:hAnsi="楷体" w:eastAsia="楷体" w:cs="楷体"/>
          <w:spacing w:val="-8"/>
          <w:sz w:val="31"/>
          <w:szCs w:val="31"/>
          <w:lang w:val="en-US" w:eastAsia="zh-CN"/>
        </w:rPr>
        <w:t>2026</w:t>
      </w:r>
      <w:r>
        <w:rPr>
          <w:rFonts w:ascii="楷体" w:hAnsi="楷体" w:eastAsia="楷体" w:cs="楷体"/>
          <w:spacing w:val="-8"/>
          <w:sz w:val="31"/>
          <w:szCs w:val="31"/>
        </w:rPr>
        <w:t>年</w:t>
      </w:r>
      <w:r>
        <w:rPr>
          <w:rFonts w:hint="eastAsia" w:ascii="楷体" w:hAnsi="楷体" w:eastAsia="楷体" w:cs="楷体"/>
          <w:spacing w:val="21"/>
          <w:sz w:val="31"/>
          <w:szCs w:val="31"/>
          <w:lang w:val="en-US" w:eastAsia="zh-CN"/>
        </w:rPr>
        <w:t>6</w:t>
      </w:r>
      <w:r>
        <w:rPr>
          <w:rFonts w:ascii="楷体" w:hAnsi="楷体" w:eastAsia="楷体" w:cs="楷体"/>
          <w:spacing w:val="-8"/>
          <w:sz w:val="31"/>
          <w:szCs w:val="31"/>
        </w:rPr>
        <w:t>月</w:t>
      </w:r>
      <w:r>
        <w:rPr>
          <w:rFonts w:hint="eastAsia" w:ascii="楷体" w:hAnsi="楷体" w:eastAsia="楷体" w:cs="楷体"/>
          <w:spacing w:val="43"/>
          <w:sz w:val="31"/>
          <w:szCs w:val="31"/>
          <w:lang w:val="en-US" w:eastAsia="zh-CN"/>
        </w:rPr>
        <w:t>26</w:t>
      </w:r>
      <w:r>
        <w:rPr>
          <w:rFonts w:ascii="楷体" w:hAnsi="楷体" w:eastAsia="楷体" w:cs="楷体"/>
          <w:spacing w:val="-8"/>
          <w:sz w:val="31"/>
          <w:szCs w:val="31"/>
        </w:rPr>
        <w:t>日</w:t>
      </w:r>
    </w:p>
    <w:p w14:paraId="5B296956">
      <w:pPr>
        <w:spacing w:line="335" w:lineRule="auto"/>
        <w:rPr>
          <w:rFonts w:ascii="Arial"/>
          <w:sz w:val="21"/>
        </w:rPr>
      </w:pPr>
    </w:p>
    <w:p w14:paraId="0166D7AB">
      <w:pPr>
        <w:spacing w:line="224" w:lineRule="auto"/>
        <w:sectPr>
          <w:footerReference r:id="rId5" w:type="default"/>
          <w:pgSz w:w="11900" w:h="16833"/>
          <w:pgMar w:top="1401" w:right="1583" w:bottom="1445" w:left="1618" w:header="0" w:footer="1170" w:gutter="0"/>
          <w:pgNumType w:fmt="decimal"/>
          <w:cols w:space="720" w:num="1"/>
        </w:sectPr>
      </w:pPr>
    </w:p>
    <w:p w14:paraId="713F804A">
      <w:pPr>
        <w:spacing w:before="97" w:line="222" w:lineRule="auto"/>
        <w:ind w:firstLine="430" w:firstLineChars="100"/>
        <w:jc w:val="both"/>
        <w:outlineLvl w:val="2"/>
        <w:rPr>
          <w:rFonts w:ascii="黑体" w:hAnsi="黑体" w:eastAsia="黑体" w:cs="黑体"/>
          <w:b/>
          <w:bCs/>
          <w:spacing w:val="-6"/>
          <w:sz w:val="44"/>
          <w:szCs w:val="44"/>
        </w:rPr>
      </w:pPr>
      <w:r>
        <w:rPr>
          <w:rFonts w:ascii="黑体" w:hAnsi="黑体" w:eastAsia="黑体" w:cs="黑体"/>
          <w:b/>
          <w:bCs/>
          <w:spacing w:val="-6"/>
          <w:sz w:val="44"/>
          <w:szCs w:val="44"/>
        </w:rPr>
        <w:t>202</w:t>
      </w:r>
      <w:r>
        <w:rPr>
          <w:rFonts w:hint="eastAsia" w:ascii="黑体" w:hAnsi="黑体" w:eastAsia="黑体" w:cs="黑体"/>
          <w:b/>
          <w:bCs/>
          <w:spacing w:val="-6"/>
          <w:sz w:val="44"/>
          <w:szCs w:val="44"/>
          <w:lang w:val="en-US" w:eastAsia="zh-CN"/>
        </w:rPr>
        <w:t>5</w:t>
      </w:r>
      <w:r>
        <w:rPr>
          <w:rFonts w:ascii="黑体" w:hAnsi="黑体" w:eastAsia="黑体" w:cs="黑体"/>
          <w:b/>
          <w:bCs/>
          <w:spacing w:val="-6"/>
          <w:sz w:val="44"/>
          <w:szCs w:val="44"/>
        </w:rPr>
        <w:t>年度岳阳市岳阳楼区工伤保险服务中心</w:t>
      </w:r>
    </w:p>
    <w:p w14:paraId="6943D7B5">
      <w:pPr>
        <w:spacing w:before="97" w:line="222" w:lineRule="auto"/>
        <w:ind w:left="279"/>
        <w:jc w:val="center"/>
        <w:outlineLvl w:val="2"/>
        <w:rPr>
          <w:rFonts w:ascii="黑体" w:hAnsi="黑体" w:eastAsia="黑体" w:cs="黑体"/>
          <w:b/>
          <w:bCs/>
          <w:spacing w:val="-6"/>
          <w:sz w:val="44"/>
          <w:szCs w:val="44"/>
        </w:rPr>
      </w:pPr>
      <w:r>
        <w:rPr>
          <w:rFonts w:ascii="黑体" w:hAnsi="黑体" w:eastAsia="黑体" w:cs="黑体"/>
          <w:b/>
          <w:bCs/>
          <w:spacing w:val="-6"/>
          <w:sz w:val="44"/>
          <w:szCs w:val="44"/>
        </w:rPr>
        <w:t>单位整体支出绩效自评报告</w:t>
      </w:r>
    </w:p>
    <w:p w14:paraId="47B9BABE">
      <w:pPr>
        <w:spacing w:before="97" w:line="222" w:lineRule="auto"/>
        <w:ind w:left="279"/>
        <w:jc w:val="center"/>
        <w:outlineLvl w:val="2"/>
        <w:rPr>
          <w:rFonts w:ascii="黑体" w:hAnsi="黑体" w:eastAsia="黑体" w:cs="黑体"/>
          <w:b/>
          <w:bCs/>
          <w:spacing w:val="-6"/>
          <w:sz w:val="44"/>
          <w:szCs w:val="44"/>
        </w:rPr>
      </w:pPr>
    </w:p>
    <w:p w14:paraId="3D71BCCC">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一、单位基本情况</w:t>
      </w:r>
    </w:p>
    <w:p w14:paraId="258E8B4F">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(一)职能职责</w:t>
      </w:r>
    </w:p>
    <w:p w14:paraId="6E1E611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1、负责宣传贯彻落实工伤保险政策和法律法规；</w:t>
      </w:r>
    </w:p>
    <w:p w14:paraId="2A0A7431">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2、认真执行全省工伤保险基金征缴和管理政策、待遇项目、给付标准以及工伤保险费社会统筹政策和工伤保险行业差别费率等办法；</w:t>
      </w:r>
    </w:p>
    <w:p w14:paraId="2B8C62A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3、负责对用人单位参加工伤保险的情况进行督促检查，组织有关部门指导参保单位开展工伤预防和安全卫生教育培训工作，协调处理工伤保险工作中的各种关系和纠纷；</w:t>
      </w:r>
    </w:p>
    <w:p w14:paraId="73166D4A">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4、负责楼区范围内参保单位发生的工伤事故勘察工作；</w:t>
      </w:r>
    </w:p>
    <w:p w14:paraId="11BA60A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5、</w:t>
      </w:r>
      <w:r>
        <w:rPr>
          <w:rFonts w:hint="eastAsia" w:ascii="方正仿宋_GB2312" w:hAnsi="方正仿宋_GB2312" w:eastAsia="方正仿宋_GB2312" w:cs="方正仿宋_GB2312"/>
          <w:spacing w:val="20"/>
          <w:sz w:val="32"/>
          <w:szCs w:val="32"/>
          <w:lang w:val="en-US" w:eastAsia="zh-CN"/>
        </w:rPr>
        <w:t>负责</w:t>
      </w:r>
      <w:r>
        <w:rPr>
          <w:rFonts w:hint="eastAsia" w:ascii="方正仿宋_GB2312" w:hAnsi="方正仿宋_GB2312" w:eastAsia="方正仿宋_GB2312" w:cs="方正仿宋_GB2312"/>
          <w:spacing w:val="20"/>
          <w:sz w:val="32"/>
          <w:szCs w:val="32"/>
          <w:lang w:eastAsia="zh-CN"/>
        </w:rPr>
        <w:t>楼区范围的工伤待遇支付工作。</w:t>
      </w:r>
    </w:p>
    <w:p w14:paraId="014EC13A">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(二)机构设置</w:t>
      </w:r>
    </w:p>
    <w:p w14:paraId="799F6A5E">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岳阳楼区工伤保险服务中心为岳阳楼区人力资源和社会保障局下属副科级一类事业单位，核定全额拨款事业编制8名。现有人数8人，其中：在职全额编制8人。内设办公室、财务室、征缴股、事故勘察股、待遇支付股、稽核股。</w:t>
      </w:r>
    </w:p>
    <w:p w14:paraId="3A14F10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二、一般公共预算支出情况</w:t>
      </w:r>
    </w:p>
    <w:p w14:paraId="23972294">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2025年一般公共预算拨款支出预算</w:t>
      </w:r>
      <w:r>
        <w:rPr>
          <w:rFonts w:hint="eastAsia" w:ascii="方正仿宋_GB2312" w:hAnsi="方正仿宋_GB2312" w:eastAsia="方正仿宋_GB2312" w:cs="方正仿宋_GB2312"/>
          <w:spacing w:val="20"/>
          <w:sz w:val="32"/>
          <w:szCs w:val="32"/>
          <w:lang w:val="en-US" w:eastAsia="zh-CN"/>
        </w:rPr>
        <w:t>148.85</w:t>
      </w:r>
      <w:r>
        <w:rPr>
          <w:rFonts w:hint="eastAsia" w:ascii="方正仿宋_GB2312" w:hAnsi="方正仿宋_GB2312" w:eastAsia="方正仿宋_GB2312" w:cs="方正仿宋_GB2312"/>
          <w:spacing w:val="20"/>
          <w:sz w:val="32"/>
          <w:szCs w:val="32"/>
          <w:lang w:eastAsia="zh-CN"/>
        </w:rPr>
        <w:t>万元，其中，一般公共服务支出</w:t>
      </w:r>
      <w:r>
        <w:rPr>
          <w:rFonts w:hint="eastAsia" w:ascii="方正仿宋_GB2312" w:hAnsi="方正仿宋_GB2312" w:eastAsia="方正仿宋_GB2312" w:cs="方正仿宋_GB2312"/>
          <w:spacing w:val="20"/>
          <w:sz w:val="32"/>
          <w:szCs w:val="32"/>
          <w:lang w:val="en-US" w:eastAsia="zh-CN"/>
        </w:rPr>
        <w:t>148.85</w:t>
      </w:r>
      <w:r>
        <w:rPr>
          <w:rFonts w:hint="eastAsia" w:ascii="方正仿宋_GB2312" w:hAnsi="方正仿宋_GB2312" w:eastAsia="方正仿宋_GB2312" w:cs="方正仿宋_GB2312"/>
          <w:spacing w:val="20"/>
          <w:sz w:val="32"/>
          <w:szCs w:val="32"/>
          <w:lang w:eastAsia="zh-CN"/>
        </w:rPr>
        <w:t>万元，占100%。具体安排情况如下：</w:t>
      </w:r>
    </w:p>
    <w:p w14:paraId="5AD7FC03">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(一)基本支出：2025年基本支出数为</w:t>
      </w:r>
      <w:r>
        <w:rPr>
          <w:rFonts w:hint="eastAsia" w:ascii="方正仿宋_GB2312" w:hAnsi="方正仿宋_GB2312" w:eastAsia="方正仿宋_GB2312" w:cs="方正仿宋_GB2312"/>
          <w:spacing w:val="20"/>
          <w:sz w:val="32"/>
          <w:szCs w:val="32"/>
          <w:lang w:val="en-US" w:eastAsia="zh-CN"/>
        </w:rPr>
        <w:t>128.03</w:t>
      </w:r>
      <w:r>
        <w:rPr>
          <w:rFonts w:hint="eastAsia" w:ascii="方正仿宋_GB2312" w:hAnsi="方正仿宋_GB2312" w:eastAsia="方正仿宋_GB2312" w:cs="方正仿宋_GB2312"/>
          <w:spacing w:val="20"/>
          <w:sz w:val="32"/>
          <w:szCs w:val="32"/>
          <w:lang w:eastAsia="zh-CN"/>
        </w:rPr>
        <w:t>万元，其中：人员经费</w:t>
      </w:r>
      <w:r>
        <w:rPr>
          <w:rFonts w:hint="eastAsia" w:ascii="方正仿宋_GB2312" w:hAnsi="方正仿宋_GB2312" w:eastAsia="方正仿宋_GB2312" w:cs="方正仿宋_GB2312"/>
          <w:spacing w:val="20"/>
          <w:sz w:val="32"/>
          <w:szCs w:val="32"/>
          <w:lang w:val="en-US" w:eastAsia="zh-CN"/>
        </w:rPr>
        <w:t>113.73</w:t>
      </w:r>
      <w:r>
        <w:rPr>
          <w:rFonts w:hint="eastAsia" w:ascii="方正仿宋_GB2312" w:hAnsi="方正仿宋_GB2312" w:eastAsia="方正仿宋_GB2312" w:cs="方正仿宋_GB2312"/>
          <w:spacing w:val="20"/>
          <w:sz w:val="32"/>
          <w:szCs w:val="32"/>
          <w:lang w:eastAsia="zh-CN"/>
        </w:rPr>
        <w:t>万元，主要包括：基本工资、津贴补贴、奖金、绩效工资、机关事业单位基本养老保险缴费、职业年金缴费、职工基本医疗保险缴费、其他社会保障缴费、住房公积金；商品和服务支出</w:t>
      </w:r>
      <w:r>
        <w:rPr>
          <w:rFonts w:hint="eastAsia" w:ascii="方正仿宋_GB2312" w:hAnsi="方正仿宋_GB2312" w:eastAsia="方正仿宋_GB2312" w:cs="方正仿宋_GB2312"/>
          <w:spacing w:val="20"/>
          <w:sz w:val="32"/>
          <w:szCs w:val="32"/>
          <w:lang w:val="en-US" w:eastAsia="zh-CN"/>
        </w:rPr>
        <w:t>14.3</w:t>
      </w:r>
      <w:r>
        <w:rPr>
          <w:rFonts w:hint="eastAsia" w:ascii="方正仿宋_GB2312" w:hAnsi="方正仿宋_GB2312" w:eastAsia="方正仿宋_GB2312" w:cs="方正仿宋_GB2312"/>
          <w:spacing w:val="20"/>
          <w:sz w:val="32"/>
          <w:szCs w:val="32"/>
          <w:lang w:eastAsia="zh-CN"/>
        </w:rPr>
        <w:t>万元，主要包括：办公费、印刷费、邮电费、差旅费、公务接待费、其他商品和服务支出。</w:t>
      </w:r>
    </w:p>
    <w:p w14:paraId="743FD71E">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(二)项目支出情况</w:t>
      </w:r>
    </w:p>
    <w:p w14:paraId="2E9B90C0">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2025年项目支出为</w:t>
      </w:r>
      <w:r>
        <w:rPr>
          <w:rFonts w:hint="eastAsia" w:ascii="方正仿宋_GB2312" w:hAnsi="方正仿宋_GB2312" w:eastAsia="方正仿宋_GB2312" w:cs="方正仿宋_GB2312"/>
          <w:spacing w:val="20"/>
          <w:sz w:val="32"/>
          <w:szCs w:val="32"/>
          <w:lang w:val="en-US" w:eastAsia="zh-CN"/>
        </w:rPr>
        <w:t>20.85</w:t>
      </w:r>
      <w:r>
        <w:rPr>
          <w:rFonts w:hint="eastAsia" w:ascii="方正仿宋_GB2312" w:hAnsi="方正仿宋_GB2312" w:eastAsia="方正仿宋_GB2312" w:cs="方正仿宋_GB2312"/>
          <w:spacing w:val="20"/>
          <w:sz w:val="32"/>
          <w:szCs w:val="32"/>
          <w:lang w:eastAsia="zh-CN"/>
        </w:rPr>
        <w:t>万元。</w:t>
      </w:r>
    </w:p>
    <w:p w14:paraId="70DB888D">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三、政府性基金预算支出情况</w:t>
      </w:r>
    </w:p>
    <w:p w14:paraId="380DC43C">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2025年政府性基金预算拨款支出为0万元，2025年度本单位无政府性基金安排的支出。</w:t>
      </w:r>
    </w:p>
    <w:p w14:paraId="6EFDCCB3">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四、国有资本经营预算支出情况</w:t>
      </w:r>
    </w:p>
    <w:p w14:paraId="75F77E14">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2025年国有资本经营预算支出为0万元，2025年度本单位无国有资本经营安排的支出。</w:t>
      </w:r>
    </w:p>
    <w:p w14:paraId="2841D9B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五、社会保险基金预算支出情况</w:t>
      </w:r>
    </w:p>
    <w:p w14:paraId="713F0197">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2025年社会保险基金预算支出为0万元，2025年度本单位无社会保险基金安排的支出。</w:t>
      </w:r>
    </w:p>
    <w:p w14:paraId="55E7F9D6">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六、部门整体支出绩效情况</w:t>
      </w:r>
    </w:p>
    <w:p w14:paraId="4E98CD2F">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严格落实《预算法》及区绩效管理工作的有关规定，进一步规范财政资金的管理，建立和完善科学、合理的项目资金绩效评价管理体系，促进公共财政阳光化，提高财政资金使用效益。</w:t>
      </w:r>
    </w:p>
    <w:p w14:paraId="160067A5">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七、存在的问题及原因分析</w:t>
      </w:r>
    </w:p>
    <w:p w14:paraId="431D8296">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宣传力度需加强，劳动用工单位还存在未交纳工伤保险的情况；事故勘察流程需更规范细致；接待群众时还需更耐心服务。</w:t>
      </w:r>
    </w:p>
    <w:p w14:paraId="0B20F96A">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八、下一步改进措施</w:t>
      </w:r>
    </w:p>
    <w:p w14:paraId="40412B1A">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创新宣传与培训，提升针对性，打破传统宣传模式，结合新兴传播渠道，设计年轻化、场景化内容，让工伤预防知识更易被接受；拓展覆盖范围，纳入新兴行业，扩大“安全圈”覆盖人群，减少保障盲区；规范工作流程，保障合法权益，明确事故勘察的标准、时限与责任分工，确保勘察过程客观、公正、高效，为后续工伤认定与权益保障提供准确依据。严守资金使用规范，严格按照工伤保险资金管理规定使用资金，确保资金流向透明、合规，专项用于宣传培训、预防服务等工作，提升资金使用效益。</w:t>
      </w:r>
    </w:p>
    <w:p w14:paraId="01AD4E8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600" w:lineRule="exact"/>
        <w:ind w:left="998" w:leftChars="304" w:hanging="360" w:hangingChars="100"/>
        <w:textAlignment w:val="baseline"/>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部门整体支出绩效自评结果拟应用和公开情</w:t>
      </w:r>
    </w:p>
    <w:p w14:paraId="2BEA5C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Chars="204" w:firstLine="360" w:firstLineChars="1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无。</w:t>
      </w:r>
    </w:p>
    <w:p w14:paraId="60902F7F">
      <w:pPr>
        <w:keepNext w:val="0"/>
        <w:keepLines w:val="0"/>
        <w:pageBreakBefore w:val="0"/>
        <w:widowControl/>
        <w:kinsoku w:val="0"/>
        <w:wordWrap/>
        <w:overflowPunct/>
        <w:topLinePunct w:val="0"/>
        <w:autoSpaceDE w:val="0"/>
        <w:autoSpaceDN w:val="0"/>
        <w:bidi w:val="0"/>
        <w:adjustRightInd w:val="0"/>
        <w:snapToGrid w:val="0"/>
        <w:spacing w:line="600" w:lineRule="exact"/>
        <w:ind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黑体" w:hAnsi="黑体" w:eastAsia="黑体" w:cs="黑体"/>
          <w:spacing w:val="20"/>
          <w:sz w:val="32"/>
          <w:szCs w:val="32"/>
          <w:lang w:eastAsia="zh-CN"/>
        </w:rPr>
        <w:t>十、其他需要说明的情况</w:t>
      </w:r>
    </w:p>
    <w:p w14:paraId="5B6E97E1">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p>
    <w:p w14:paraId="6E36B19A">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无其他需要说明的情况。</w:t>
      </w:r>
    </w:p>
    <w:p w14:paraId="481181F9">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p>
    <w:p w14:paraId="2F91CA49">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p>
    <w:p w14:paraId="72F84C4C">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附件：1、单位整体支出绩效评价基础数据表</w:t>
      </w:r>
    </w:p>
    <w:p w14:paraId="02534F97">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2、单位整体支出绩效自评表</w:t>
      </w:r>
    </w:p>
    <w:p w14:paraId="3FAF1B6F">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3、项目支出绩效自评表(每个一级项目一张表)</w:t>
      </w:r>
    </w:p>
    <w:p w14:paraId="5A7DBC90">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4、政府性基金预算支出情况表</w:t>
      </w:r>
    </w:p>
    <w:p w14:paraId="7776120C">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pPr>
      <w:r>
        <w:rPr>
          <w:rFonts w:hint="eastAsia" w:ascii="方正仿宋_GB2312" w:hAnsi="方正仿宋_GB2312" w:eastAsia="方正仿宋_GB2312" w:cs="方正仿宋_GB2312"/>
          <w:spacing w:val="20"/>
          <w:sz w:val="32"/>
          <w:szCs w:val="32"/>
          <w:lang w:eastAsia="zh-CN"/>
        </w:rPr>
        <w:t>5、国有资本经营预算支出情况表</w:t>
      </w:r>
    </w:p>
    <w:p w14:paraId="53B70FB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720" w:firstLineChars="200"/>
        <w:textAlignment w:val="baseline"/>
        <w:rPr>
          <w:rFonts w:hint="eastAsia" w:ascii="方正仿宋_GB2312" w:hAnsi="方正仿宋_GB2312" w:eastAsia="方正仿宋_GB2312" w:cs="方正仿宋_GB2312"/>
          <w:spacing w:val="20"/>
          <w:sz w:val="32"/>
          <w:szCs w:val="32"/>
          <w:lang w:eastAsia="zh-CN"/>
        </w:rPr>
        <w:sectPr>
          <w:footerReference r:id="rId6" w:type="default"/>
          <w:pgSz w:w="11900" w:h="16840"/>
          <w:pgMar w:top="1701" w:right="1587" w:bottom="780" w:left="1587" w:header="0" w:footer="189" w:gutter="0"/>
          <w:cols w:space="720" w:num="1"/>
        </w:sectPr>
      </w:pPr>
      <w:r>
        <w:rPr>
          <w:rFonts w:hint="eastAsia" w:ascii="方正仿宋_GB2312" w:hAnsi="方正仿宋_GB2312" w:eastAsia="方正仿宋_GB2312" w:cs="方正仿宋_GB2312"/>
          <w:spacing w:val="20"/>
          <w:sz w:val="32"/>
          <w:szCs w:val="32"/>
          <w:lang w:eastAsia="zh-CN"/>
        </w:rPr>
        <w:t>6、社会保险基金预算支出情况</w:t>
      </w:r>
    </w:p>
    <w:p w14:paraId="76CE1103">
      <w:pPr>
        <w:spacing w:line="250" w:lineRule="auto"/>
        <w:rPr>
          <w:rFonts w:ascii="Arial"/>
          <w:sz w:val="21"/>
        </w:rPr>
      </w:pPr>
    </w:p>
    <w:p w14:paraId="5A4E6E7C">
      <w:pPr>
        <w:spacing w:line="250" w:lineRule="auto"/>
        <w:rPr>
          <w:rFonts w:ascii="Arial"/>
          <w:sz w:val="21"/>
        </w:rPr>
      </w:pPr>
    </w:p>
    <w:p w14:paraId="7F1B14FC">
      <w:pPr>
        <w:spacing w:line="251" w:lineRule="auto"/>
        <w:rPr>
          <w:rFonts w:ascii="Arial"/>
          <w:sz w:val="21"/>
        </w:rPr>
      </w:pPr>
    </w:p>
    <w:p w14:paraId="3E5F4231">
      <w:pPr>
        <w:spacing w:line="251" w:lineRule="auto"/>
        <w:rPr>
          <w:rFonts w:ascii="Arial"/>
          <w:sz w:val="21"/>
        </w:rPr>
      </w:pPr>
    </w:p>
    <w:p w14:paraId="3EB0536B">
      <w:pPr>
        <w:spacing w:line="251" w:lineRule="auto"/>
        <w:rPr>
          <w:rFonts w:ascii="Arial"/>
          <w:sz w:val="21"/>
        </w:rPr>
      </w:pPr>
    </w:p>
    <w:p w14:paraId="31C27488">
      <w:pPr>
        <w:spacing w:line="251" w:lineRule="auto"/>
        <w:rPr>
          <w:rFonts w:ascii="Arial"/>
          <w:sz w:val="21"/>
        </w:rPr>
      </w:pPr>
    </w:p>
    <w:p w14:paraId="4298D164">
      <w:pPr>
        <w:spacing w:line="251" w:lineRule="auto"/>
        <w:rPr>
          <w:rFonts w:ascii="Arial"/>
          <w:sz w:val="21"/>
        </w:rPr>
      </w:pPr>
    </w:p>
    <w:p w14:paraId="758C6A87"/>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1C97344-6880-469F-9F59-55BC0BDC8A7E}"/>
  </w:font>
  <w:font w:name="黑体">
    <w:panose1 w:val="02010609060101010101"/>
    <w:charset w:val="86"/>
    <w:family w:val="auto"/>
    <w:pitch w:val="default"/>
    <w:sig w:usb0="800002BF" w:usb1="38CF7CFA" w:usb2="00000016" w:usb3="00000000" w:csb0="00040001" w:csb1="00000000"/>
    <w:embedRegular r:id="rId2" w:fontKey="{7675E973-C6D5-42C3-B6C6-5FB6C51D1E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25232C0-D17D-46C2-AD3A-6667BC0EB3BB}"/>
  </w:font>
  <w:font w:name="方正仿宋_GB2312">
    <w:panose1 w:val="02000000000000000000"/>
    <w:charset w:val="86"/>
    <w:family w:val="auto"/>
    <w:pitch w:val="default"/>
    <w:sig w:usb0="A00002BF" w:usb1="184F6CFA" w:usb2="00000012" w:usb3="00000000" w:csb0="00040001" w:csb1="00000000"/>
    <w:embedRegular r:id="rId4" w:fontKey="{E6835489-BE85-4751-AB68-C62D29E5BA1C}"/>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55DA8">
    <w:pPr>
      <w:pStyle w:val="2"/>
      <w:spacing w:before="1" w:line="174" w:lineRule="auto"/>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C5DD76">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5C5DD76">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B95B6">
    <w:pPr>
      <w:jc w:val="right"/>
      <w:rPr>
        <w:rFonts w:ascii="宋体" w:hAnsi="宋体" w:eastAsia="宋体" w:cs="宋体"/>
        <w:sz w:val="27"/>
        <w:szCs w:val="2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BBA40">
    <w:pPr>
      <w:pStyle w:val="2"/>
      <w:spacing w:before="1" w:line="174" w:lineRule="auto"/>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A0B3B1">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BA0B3B1">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4D9B0"/>
    <w:multiLevelType w:val="singleLevel"/>
    <w:tmpl w:val="23D4D9B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475707"/>
    <w:rsid w:val="60F46332"/>
    <w:rsid w:val="7B14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1259</Words>
  <Characters>1319</Characters>
  <Lines>0</Lines>
  <Paragraphs>0</Paragraphs>
  <TotalTime>37</TotalTime>
  <ScaleCrop>false</ScaleCrop>
  <LinksUpToDate>false</LinksUpToDate>
  <CharactersWithSpaces>1319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2025-09-19T02:12:00Z</dcterms:created>
  <dc:creator>Administrator</dc:creator>
  <cp:lastModifiedBy>☀Yyang☀</cp:lastModifiedBy>
  <cp:lastPrinted>2026-06-26T01:44:08Z</cp:lastPrinted>
  <dcterms:modified xsi:type="dcterms:W3CDTF">2026-06-26T02:11:19Z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eyJoZGlkIjoiZDkzY2VjODc2Y2JjMjA1ZDJiZjBhYmM0ZGQ5NjA3MzUiLCJ1c2VySWQiOiI4MzI0NDQ1NTQifQ==</vt:lpwstr>
  </property>
  <property fmtid="{D5CDD505-2E9C-101B-9397-08002B2CF9AE}" pid="4" name="ICV">
    <vt:lpwstr>B06EB8E3EBB94C868F733706E3FDF907_13</vt:lpwstr>
  </property>
</Properties>
</file>