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A59B7">
      <w:pPr>
        <w:pStyle w:val="2"/>
        <w:spacing w:line="445" w:lineRule="auto"/>
      </w:pPr>
    </w:p>
    <w:p w14:paraId="5DA7A5A4">
      <w:pPr>
        <w:spacing w:before="104" w:line="224" w:lineRule="auto"/>
        <w:rPr>
          <w:rFonts w:hint="eastAsia" w:ascii="黑体" w:hAnsi="黑体" w:eastAsia="黑体" w:cs="黑体"/>
          <w:sz w:val="32"/>
          <w:szCs w:val="32"/>
          <w:lang w:val="en-US" w:eastAsia="zh-CN"/>
        </w:rPr>
      </w:pPr>
      <w:r>
        <w:rPr>
          <w:rFonts w:ascii="黑体" w:hAnsi="黑体" w:eastAsia="黑体" w:cs="黑体"/>
          <w:b/>
          <w:bCs/>
          <w:spacing w:val="26"/>
          <w:sz w:val="32"/>
          <w:szCs w:val="32"/>
        </w:rPr>
        <w:t>附件</w:t>
      </w:r>
      <w:r>
        <w:rPr>
          <w:rFonts w:hint="eastAsia" w:ascii="黑体" w:hAnsi="黑体" w:eastAsia="黑体" w:cs="黑体"/>
          <w:b/>
          <w:bCs/>
          <w:spacing w:val="26"/>
          <w:sz w:val="32"/>
          <w:szCs w:val="32"/>
          <w:lang w:val="en-US" w:eastAsia="zh-CN"/>
        </w:rPr>
        <w:t>4</w:t>
      </w:r>
    </w:p>
    <w:p w14:paraId="78DFE811">
      <w:pPr>
        <w:pStyle w:val="2"/>
        <w:spacing w:line="249" w:lineRule="auto"/>
      </w:pPr>
    </w:p>
    <w:p w14:paraId="664A13CC">
      <w:pPr>
        <w:pStyle w:val="2"/>
        <w:spacing w:line="250" w:lineRule="auto"/>
      </w:pPr>
    </w:p>
    <w:p w14:paraId="219D1A55">
      <w:pPr>
        <w:pStyle w:val="2"/>
        <w:spacing w:line="250" w:lineRule="auto"/>
      </w:pPr>
    </w:p>
    <w:p w14:paraId="7DEDC815">
      <w:pPr>
        <w:pStyle w:val="2"/>
        <w:spacing w:line="250" w:lineRule="auto"/>
      </w:pPr>
    </w:p>
    <w:p w14:paraId="4AB195CE">
      <w:pPr>
        <w:pStyle w:val="2"/>
        <w:spacing w:line="250" w:lineRule="auto"/>
      </w:pPr>
    </w:p>
    <w:p w14:paraId="6AD5DC78">
      <w:pPr>
        <w:pStyle w:val="2"/>
        <w:spacing w:line="241" w:lineRule="auto"/>
        <w:ind w:left="1823" w:hanging="1823" w:hangingChars="400"/>
        <w:rPr>
          <w:rFonts w:ascii="宋体" w:hAnsi="宋体" w:eastAsia="宋体" w:cs="宋体"/>
          <w:sz w:val="44"/>
          <w:szCs w:val="44"/>
        </w:rPr>
      </w:pPr>
      <w:r>
        <w:rPr>
          <w:rFonts w:ascii="宋体" w:hAnsi="宋体" w:eastAsia="宋体" w:cs="宋体"/>
          <w:b/>
          <w:bCs/>
          <w:spacing w:val="7"/>
          <w:sz w:val="44"/>
          <w:szCs w:val="44"/>
        </w:rPr>
        <w:t>202</w:t>
      </w:r>
      <w:r>
        <w:rPr>
          <w:rFonts w:hint="eastAsia" w:ascii="宋体" w:hAnsi="宋体" w:eastAsia="宋体" w:cs="宋体"/>
          <w:b/>
          <w:bCs/>
          <w:spacing w:val="7"/>
          <w:sz w:val="44"/>
          <w:szCs w:val="44"/>
          <w:lang w:val="en-US" w:eastAsia="zh-CN"/>
        </w:rPr>
        <w:t>5</w:t>
      </w:r>
      <w:r>
        <w:rPr>
          <w:rFonts w:ascii="宋体" w:hAnsi="宋体" w:eastAsia="宋体" w:cs="宋体"/>
          <w:b/>
          <w:bCs/>
          <w:spacing w:val="7"/>
          <w:sz w:val="44"/>
          <w:szCs w:val="44"/>
        </w:rPr>
        <w:t>年度</w:t>
      </w:r>
      <w:r>
        <w:rPr>
          <w:rFonts w:hint="eastAsia" w:ascii="宋体" w:hAnsi="宋体" w:eastAsia="宋体" w:cs="宋体"/>
          <w:b/>
          <w:bCs/>
          <w:spacing w:val="7"/>
          <w:sz w:val="44"/>
          <w:szCs w:val="44"/>
        </w:rPr>
        <w:t>岳阳市岳阳楼区西塘镇人民</w:t>
      </w:r>
      <w:r>
        <w:rPr>
          <w:rFonts w:hint="eastAsia" w:ascii="宋体" w:hAnsi="宋体" w:eastAsia="宋体" w:cs="宋体"/>
          <w:b/>
          <w:bCs/>
          <w:spacing w:val="7"/>
          <w:sz w:val="44"/>
          <w:szCs w:val="44"/>
          <w:lang w:val="en-US" w:eastAsia="zh-CN"/>
        </w:rPr>
        <w:t>政</w:t>
      </w:r>
      <w:r>
        <w:rPr>
          <w:rFonts w:hint="eastAsia" w:ascii="宋体" w:hAnsi="宋体" w:eastAsia="宋体" w:cs="宋体"/>
          <w:b/>
          <w:bCs/>
          <w:spacing w:val="7"/>
          <w:sz w:val="44"/>
          <w:szCs w:val="44"/>
        </w:rPr>
        <w:t>府</w:t>
      </w:r>
      <w:r>
        <w:rPr>
          <w:rFonts w:ascii="宋体" w:hAnsi="宋体" w:eastAsia="宋体" w:cs="宋体"/>
          <w:b/>
          <w:bCs/>
          <w:spacing w:val="7"/>
          <w:sz w:val="44"/>
          <w:szCs w:val="44"/>
        </w:rPr>
        <w:t>整体支出</w:t>
      </w:r>
      <w:r>
        <w:rPr>
          <w:rFonts w:ascii="宋体" w:hAnsi="宋体" w:eastAsia="宋体" w:cs="宋体"/>
          <w:b/>
          <w:bCs/>
          <w:spacing w:val="-4"/>
          <w:sz w:val="44"/>
          <w:szCs w:val="44"/>
        </w:rPr>
        <w:t>绩效自评报告</w:t>
      </w:r>
    </w:p>
    <w:p w14:paraId="1824C7D0">
      <w:pPr>
        <w:pStyle w:val="2"/>
      </w:pPr>
    </w:p>
    <w:p w14:paraId="648877F4">
      <w:pPr>
        <w:pStyle w:val="2"/>
      </w:pPr>
    </w:p>
    <w:p w14:paraId="1432DFE1">
      <w:pPr>
        <w:pStyle w:val="2"/>
      </w:pPr>
    </w:p>
    <w:p w14:paraId="48F24B8E">
      <w:pPr>
        <w:pStyle w:val="2"/>
        <w:spacing w:line="241" w:lineRule="auto"/>
      </w:pPr>
    </w:p>
    <w:p w14:paraId="11CF7661">
      <w:pPr>
        <w:pStyle w:val="2"/>
        <w:spacing w:line="241" w:lineRule="auto"/>
      </w:pPr>
    </w:p>
    <w:p w14:paraId="07D05949">
      <w:pPr>
        <w:pStyle w:val="2"/>
        <w:spacing w:line="241" w:lineRule="auto"/>
      </w:pPr>
    </w:p>
    <w:p w14:paraId="07B04A6F">
      <w:pPr>
        <w:pStyle w:val="2"/>
        <w:spacing w:line="241" w:lineRule="auto"/>
      </w:pPr>
    </w:p>
    <w:p w14:paraId="73BCC459">
      <w:pPr>
        <w:pStyle w:val="2"/>
        <w:spacing w:line="241" w:lineRule="auto"/>
      </w:pPr>
    </w:p>
    <w:p w14:paraId="2B9C68CD">
      <w:pPr>
        <w:pStyle w:val="2"/>
        <w:spacing w:line="241" w:lineRule="auto"/>
      </w:pPr>
    </w:p>
    <w:p w14:paraId="0FF92696">
      <w:pPr>
        <w:pStyle w:val="2"/>
        <w:spacing w:line="241" w:lineRule="auto"/>
      </w:pPr>
    </w:p>
    <w:p w14:paraId="7CF991DF">
      <w:pPr>
        <w:pStyle w:val="2"/>
        <w:spacing w:line="241" w:lineRule="auto"/>
      </w:pPr>
    </w:p>
    <w:p w14:paraId="332FBAA2">
      <w:pPr>
        <w:pStyle w:val="2"/>
        <w:spacing w:line="241" w:lineRule="auto"/>
      </w:pPr>
    </w:p>
    <w:p w14:paraId="3E3ED1D8">
      <w:pPr>
        <w:pStyle w:val="2"/>
        <w:spacing w:line="241" w:lineRule="auto"/>
      </w:pPr>
    </w:p>
    <w:p w14:paraId="30CC0B88">
      <w:pPr>
        <w:pStyle w:val="2"/>
        <w:spacing w:line="241" w:lineRule="auto"/>
      </w:pPr>
    </w:p>
    <w:p w14:paraId="4D41823E">
      <w:pPr>
        <w:pStyle w:val="2"/>
        <w:spacing w:line="241" w:lineRule="auto"/>
      </w:pPr>
    </w:p>
    <w:p w14:paraId="64DB433C">
      <w:pPr>
        <w:pStyle w:val="2"/>
        <w:spacing w:line="241" w:lineRule="auto"/>
      </w:pPr>
    </w:p>
    <w:p w14:paraId="644C330C">
      <w:pPr>
        <w:pStyle w:val="2"/>
        <w:spacing w:line="241" w:lineRule="auto"/>
      </w:pPr>
    </w:p>
    <w:p w14:paraId="12282553">
      <w:pPr>
        <w:pStyle w:val="2"/>
        <w:spacing w:line="241" w:lineRule="auto"/>
      </w:pPr>
    </w:p>
    <w:p w14:paraId="1B8150F2">
      <w:pPr>
        <w:pStyle w:val="2"/>
        <w:spacing w:line="241" w:lineRule="auto"/>
      </w:pPr>
    </w:p>
    <w:p w14:paraId="0A8F00E5">
      <w:pPr>
        <w:pStyle w:val="2"/>
        <w:spacing w:line="241" w:lineRule="auto"/>
      </w:pPr>
    </w:p>
    <w:p w14:paraId="79A7A5B5">
      <w:pPr>
        <w:pStyle w:val="2"/>
        <w:spacing w:line="241" w:lineRule="auto"/>
      </w:pPr>
    </w:p>
    <w:p w14:paraId="3DFBDDCD">
      <w:pPr>
        <w:pStyle w:val="2"/>
        <w:spacing w:line="241" w:lineRule="auto"/>
      </w:pPr>
    </w:p>
    <w:p w14:paraId="700D2211">
      <w:pPr>
        <w:spacing w:before="104" w:line="221" w:lineRule="auto"/>
        <w:jc w:val="center"/>
        <w:rPr>
          <w:rFonts w:ascii="仿宋" w:hAnsi="仿宋" w:eastAsia="仿宋" w:cs="仿宋"/>
          <w:sz w:val="32"/>
          <w:szCs w:val="32"/>
        </w:rPr>
      </w:pPr>
      <w:r>
        <w:rPr>
          <w:rFonts w:ascii="仿宋" w:hAnsi="仿宋" w:eastAsia="仿宋" w:cs="仿宋"/>
          <w:spacing w:val="-13"/>
          <w:sz w:val="32"/>
          <w:szCs w:val="32"/>
        </w:rPr>
        <w:t>单位名称：</w:t>
      </w:r>
      <w:r>
        <w:rPr>
          <w:rFonts w:ascii="仿宋" w:hAnsi="仿宋" w:eastAsia="仿宋" w:cs="仿宋"/>
          <w:spacing w:val="-71"/>
          <w:sz w:val="32"/>
          <w:szCs w:val="32"/>
        </w:rPr>
        <w:t xml:space="preserve"> </w:t>
      </w:r>
      <w:r>
        <w:rPr>
          <w:rFonts w:ascii="仿宋" w:hAnsi="仿宋" w:eastAsia="仿宋" w:cs="仿宋"/>
          <w:spacing w:val="54"/>
          <w:sz w:val="32"/>
          <w:szCs w:val="32"/>
          <w:u w:val="single" w:color="auto"/>
        </w:rPr>
        <w:t xml:space="preserve"> </w:t>
      </w:r>
      <w:r>
        <w:rPr>
          <w:rFonts w:hint="eastAsia" w:ascii="仿宋" w:hAnsi="仿宋" w:eastAsia="仿宋" w:cs="仿宋"/>
          <w:spacing w:val="0"/>
          <w:sz w:val="32"/>
          <w:szCs w:val="32"/>
          <w:u w:val="single" w:color="auto"/>
        </w:rPr>
        <w:t>岳阳市岳阳楼区西塘镇人民政府</w:t>
      </w:r>
      <w:r>
        <w:rPr>
          <w:rFonts w:ascii="仿宋" w:hAnsi="仿宋" w:eastAsia="仿宋" w:cs="仿宋"/>
          <w:spacing w:val="-13"/>
          <w:sz w:val="32"/>
          <w:szCs w:val="32"/>
          <w:u w:val="single" w:color="auto"/>
        </w:rPr>
        <w:t>(盖章)</w:t>
      </w:r>
    </w:p>
    <w:p w14:paraId="4C4EDF81">
      <w:pPr>
        <w:pStyle w:val="2"/>
        <w:spacing w:line="247" w:lineRule="auto"/>
      </w:pPr>
    </w:p>
    <w:p w14:paraId="394B2030">
      <w:pPr>
        <w:spacing w:before="75" w:line="222" w:lineRule="auto"/>
        <w:ind w:left="3108"/>
        <w:rPr>
          <w:rFonts w:ascii="仿宋" w:hAnsi="仿宋" w:eastAsia="仿宋" w:cs="仿宋"/>
          <w:sz w:val="23"/>
          <w:szCs w:val="23"/>
        </w:rPr>
      </w:pPr>
      <w:r>
        <w:rPr>
          <w:rFonts w:ascii="仿宋" w:hAnsi="仿宋" w:eastAsia="仿宋" w:cs="仿宋"/>
          <w:b/>
          <w:bCs/>
          <w:spacing w:val="-18"/>
          <w:sz w:val="23"/>
          <w:szCs w:val="23"/>
        </w:rPr>
        <w:t>年</w:t>
      </w:r>
      <w:r>
        <w:rPr>
          <w:rFonts w:ascii="仿宋" w:hAnsi="仿宋" w:eastAsia="仿宋" w:cs="仿宋"/>
          <w:spacing w:val="7"/>
          <w:sz w:val="23"/>
          <w:szCs w:val="23"/>
        </w:rPr>
        <w:t xml:space="preserve">    </w:t>
      </w:r>
      <w:r>
        <w:rPr>
          <w:rFonts w:ascii="仿宋" w:hAnsi="仿宋" w:eastAsia="仿宋" w:cs="仿宋"/>
          <w:b/>
          <w:bCs/>
          <w:spacing w:val="-18"/>
          <w:sz w:val="23"/>
          <w:szCs w:val="23"/>
        </w:rPr>
        <w:t>月</w:t>
      </w:r>
      <w:r>
        <w:rPr>
          <w:rFonts w:ascii="仿宋" w:hAnsi="仿宋" w:eastAsia="仿宋" w:cs="仿宋"/>
          <w:spacing w:val="6"/>
          <w:sz w:val="23"/>
          <w:szCs w:val="23"/>
        </w:rPr>
        <w:t xml:space="preserve">     </w:t>
      </w:r>
      <w:r>
        <w:rPr>
          <w:rFonts w:ascii="仿宋" w:hAnsi="仿宋" w:eastAsia="仿宋" w:cs="仿宋"/>
          <w:b/>
          <w:bCs/>
          <w:spacing w:val="-18"/>
          <w:sz w:val="23"/>
          <w:szCs w:val="23"/>
        </w:rPr>
        <w:t>日</w:t>
      </w:r>
    </w:p>
    <w:p w14:paraId="35EE2FB7">
      <w:pPr>
        <w:pStyle w:val="2"/>
        <w:spacing w:line="394" w:lineRule="auto"/>
      </w:pPr>
    </w:p>
    <w:p w14:paraId="585630A4">
      <w:pPr>
        <w:spacing w:before="104" w:line="224" w:lineRule="auto"/>
        <w:ind w:left="3295"/>
        <w:rPr>
          <w:rFonts w:ascii="仿宋" w:hAnsi="仿宋" w:eastAsia="仿宋" w:cs="仿宋"/>
          <w:sz w:val="32"/>
          <w:szCs w:val="32"/>
        </w:rPr>
      </w:pPr>
      <w:r>
        <w:rPr>
          <w:rFonts w:ascii="仿宋" w:hAnsi="仿宋" w:eastAsia="仿宋" w:cs="仿宋"/>
          <w:spacing w:val="47"/>
          <w:sz w:val="32"/>
          <w:szCs w:val="32"/>
        </w:rPr>
        <w:t>(此页为封面)</w:t>
      </w:r>
    </w:p>
    <w:p w14:paraId="4D9CC9E6">
      <w:pPr>
        <w:spacing w:line="224" w:lineRule="auto"/>
        <w:rPr>
          <w:rFonts w:ascii="仿宋" w:hAnsi="仿宋" w:eastAsia="仿宋" w:cs="仿宋"/>
          <w:sz w:val="32"/>
          <w:szCs w:val="32"/>
        </w:rPr>
        <w:sectPr>
          <w:footerReference r:id="rId5" w:type="default"/>
          <w:pgSz w:w="11900" w:h="16830"/>
          <w:pgMar w:top="1440" w:right="1800" w:bottom="1440" w:left="1800" w:header="0" w:footer="929" w:gutter="0"/>
          <w:cols w:space="720" w:num="1"/>
        </w:sectPr>
      </w:pPr>
    </w:p>
    <w:p w14:paraId="09193A69">
      <w:pPr>
        <w:pStyle w:val="2"/>
        <w:spacing w:line="384" w:lineRule="auto"/>
      </w:pPr>
    </w:p>
    <w:p w14:paraId="51E930E6">
      <w:pPr>
        <w:spacing w:line="240" w:lineRule="auto"/>
        <w:ind w:right="0"/>
        <w:jc w:val="center"/>
        <w:rPr>
          <w:rFonts w:ascii="宋体" w:hAnsi="宋体" w:eastAsia="宋体" w:cs="宋体"/>
          <w:b/>
          <w:bCs/>
          <w:spacing w:val="6"/>
          <w:sz w:val="44"/>
          <w:szCs w:val="44"/>
        </w:rPr>
      </w:pPr>
      <w:r>
        <w:rPr>
          <w:rFonts w:ascii="宋体" w:hAnsi="宋体" w:eastAsia="宋体" w:cs="宋体"/>
          <w:b/>
          <w:bCs/>
          <w:spacing w:val="21"/>
          <w:sz w:val="44"/>
          <w:szCs w:val="44"/>
        </w:rPr>
        <w:t>202</w:t>
      </w:r>
      <w:r>
        <w:rPr>
          <w:rFonts w:hint="eastAsia" w:ascii="宋体" w:hAnsi="宋体" w:eastAsia="宋体" w:cs="宋体"/>
          <w:b/>
          <w:bCs/>
          <w:spacing w:val="21"/>
          <w:sz w:val="44"/>
          <w:szCs w:val="44"/>
          <w:lang w:val="en-US" w:eastAsia="zh-CN"/>
        </w:rPr>
        <w:t>5</w:t>
      </w:r>
      <w:r>
        <w:rPr>
          <w:rFonts w:ascii="宋体" w:hAnsi="宋体" w:eastAsia="宋体" w:cs="宋体"/>
          <w:b/>
          <w:bCs/>
          <w:spacing w:val="21"/>
          <w:sz w:val="44"/>
          <w:szCs w:val="44"/>
        </w:rPr>
        <w:t>年度</w:t>
      </w:r>
      <w:r>
        <w:rPr>
          <w:rFonts w:hint="eastAsia" w:ascii="宋体" w:hAnsi="宋体" w:eastAsia="宋体" w:cs="宋体"/>
          <w:b/>
          <w:bCs/>
          <w:spacing w:val="7"/>
          <w:sz w:val="44"/>
          <w:szCs w:val="44"/>
        </w:rPr>
        <w:t>岳阳市岳阳楼区西塘镇人民</w:t>
      </w:r>
      <w:r>
        <w:rPr>
          <w:rFonts w:hint="eastAsia" w:ascii="宋体" w:hAnsi="宋体" w:eastAsia="宋体" w:cs="宋体"/>
          <w:b/>
          <w:bCs/>
          <w:spacing w:val="7"/>
          <w:sz w:val="44"/>
          <w:szCs w:val="44"/>
          <w:lang w:val="en-US" w:eastAsia="zh-CN"/>
        </w:rPr>
        <w:t>政</w:t>
      </w:r>
      <w:r>
        <w:rPr>
          <w:rFonts w:hint="eastAsia" w:ascii="宋体" w:hAnsi="宋体" w:eastAsia="宋体" w:cs="宋体"/>
          <w:b/>
          <w:bCs/>
          <w:spacing w:val="7"/>
          <w:sz w:val="44"/>
          <w:szCs w:val="44"/>
        </w:rPr>
        <w:t>府</w:t>
      </w:r>
      <w:r>
        <w:rPr>
          <w:rFonts w:ascii="宋体" w:hAnsi="宋体" w:eastAsia="宋体" w:cs="宋体"/>
          <w:b/>
          <w:bCs/>
          <w:spacing w:val="21"/>
          <w:sz w:val="44"/>
          <w:szCs w:val="44"/>
        </w:rPr>
        <w:t>整体支出</w:t>
      </w:r>
      <w:r>
        <w:rPr>
          <w:rFonts w:ascii="宋体" w:hAnsi="宋体" w:eastAsia="宋体" w:cs="宋体"/>
          <w:b/>
          <w:bCs/>
          <w:spacing w:val="6"/>
          <w:sz w:val="44"/>
          <w:szCs w:val="44"/>
        </w:rPr>
        <w:t>绩效自评报告</w:t>
      </w:r>
    </w:p>
    <w:p w14:paraId="54FA1B8A">
      <w:pPr>
        <w:pStyle w:val="2"/>
        <w:spacing w:line="256" w:lineRule="auto"/>
      </w:pPr>
    </w:p>
    <w:p w14:paraId="5C167469">
      <w:pPr>
        <w:keepNext w:val="0"/>
        <w:keepLines w:val="0"/>
        <w:pageBreakBefore w:val="0"/>
        <w:widowControl/>
        <w:numPr>
          <w:ilvl w:val="0"/>
          <w:numId w:val="1"/>
        </w:numPr>
        <w:kinsoku w:val="0"/>
        <w:wordWrap/>
        <w:overflowPunct/>
        <w:topLinePunct w:val="0"/>
        <w:autoSpaceDE w:val="0"/>
        <w:autoSpaceDN w:val="0"/>
        <w:bidi w:val="0"/>
        <w:adjustRightInd w:val="0"/>
        <w:snapToGrid w:val="0"/>
        <w:spacing w:line="600" w:lineRule="exact"/>
        <w:ind w:left="0" w:firstLine="636" w:firstLineChars="200"/>
        <w:rPr>
          <w:rFonts w:ascii="黑体" w:hAnsi="黑体" w:eastAsia="黑体" w:cs="黑体"/>
          <w:spacing w:val="-1"/>
          <w:sz w:val="32"/>
          <w:szCs w:val="32"/>
        </w:rPr>
      </w:pPr>
      <w:r>
        <w:rPr>
          <w:rFonts w:ascii="黑体" w:hAnsi="黑体" w:eastAsia="黑体" w:cs="黑体"/>
          <w:spacing w:val="-1"/>
          <w:sz w:val="32"/>
          <w:szCs w:val="32"/>
        </w:rPr>
        <w:t>单位基本情况</w:t>
      </w:r>
    </w:p>
    <w:p w14:paraId="4A1449D7">
      <w:pPr>
        <w:keepNext w:val="0"/>
        <w:keepLines w:val="0"/>
        <w:pageBreakBefore w:val="0"/>
        <w:widowControl/>
        <w:kinsoku w:val="0"/>
        <w:wordWrap/>
        <w:overflowPunct/>
        <w:topLinePunct w:val="0"/>
        <w:autoSpaceDE w:val="0"/>
        <w:autoSpaceDN w:val="0"/>
        <w:bidi w:val="0"/>
        <w:adjustRightInd w:val="0"/>
        <w:snapToGrid w:val="0"/>
        <w:spacing w:line="600" w:lineRule="exact"/>
        <w:ind w:left="0" w:firstLine="728" w:firstLineChars="200"/>
        <w:rPr>
          <w:rFonts w:hint="eastAsia" w:ascii="楷体" w:hAnsi="楷体" w:eastAsia="楷体" w:cs="楷体"/>
          <w:snapToGrid w:val="0"/>
          <w:color w:val="000000"/>
          <w:spacing w:val="22"/>
          <w:kern w:val="0"/>
          <w:sz w:val="32"/>
          <w:szCs w:val="32"/>
          <w:lang w:val="en-US" w:eastAsia="en-US" w:bidi="ar-SA"/>
        </w:rPr>
      </w:pPr>
      <w:r>
        <w:rPr>
          <w:rFonts w:hint="eastAsia" w:ascii="楷体" w:hAnsi="楷体" w:eastAsia="楷体" w:cs="楷体"/>
          <w:snapToGrid w:val="0"/>
          <w:color w:val="000000"/>
          <w:spacing w:val="22"/>
          <w:kern w:val="0"/>
          <w:sz w:val="32"/>
          <w:szCs w:val="32"/>
          <w:lang w:val="en-US" w:eastAsia="en-US" w:bidi="ar-SA"/>
        </w:rPr>
        <w:t>（一）职能职责</w:t>
      </w:r>
    </w:p>
    <w:p w14:paraId="0D7E76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1、加强党的建设。落实基层党建工作责任制，统筹全镇和村区域化党建，指导巩固村党组织建设，完善村党组织负责人培养和提拔机制，优化基层党组织经费保障；扩大新兴领域党建有效覆盖面，把镇、村、企业、学校、社会组织等基层党组织和民兵预备役预建党组织建设成为宣传党的主张、贯彻党的决定、领导基层治理、团结动员群众、推动改革发展的坚强战斗堡垒，实现党的组织和工作全覆盖。</w:t>
      </w:r>
    </w:p>
    <w:p w14:paraId="739934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2、统筹城乡发展。统筹落实市、区关于辖区发展的重大决策和建设规划，负责优化发展环境、采集企业信息、服务辖区企业、促进项目发展等工作，整合镇人民政府管理、监督职责和力量，为审批服务等工作提供支持和保障。</w:t>
      </w:r>
    </w:p>
    <w:p w14:paraId="1C3783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3、组织公共服务。组织实施各项公共服务，落实人力资源和社会保障、民政、教育、卫生健康、医疗保障、科技、文化、体育、退役军人服务保障等领域相关法规政策；在整合基层行政审批和公共服务职责基础上，加强服务机构和平台建设，充分发挥综合便民服务作用。</w:t>
      </w:r>
    </w:p>
    <w:p w14:paraId="1B8EB5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4、实施综合管理。负责辖区内镇村建设等综合性管理工作，承担组织领导和综合协调职能。</w:t>
      </w:r>
    </w:p>
    <w:p w14:paraId="3B0280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5、维护平安稳定。承担辖区内社会治安综合治理、维护稳定、平安建设、应急管理与处置、安全生产监督管理等有关工作，接待群众来信来访，化解矛盾纠纷等。</w:t>
      </w:r>
    </w:p>
    <w:p w14:paraId="7BD309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6、监督执法管理。对辖区内各类行政执法工作进行统筹协调、监管和执法，组织开展群众监督和社会监督。</w:t>
      </w:r>
    </w:p>
    <w:p w14:paraId="59A2C1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7、动员社会参与。动员辖区内各类单位、社会组织、村民等社会力量参与社会治理，为镇村发展服务。</w:t>
      </w:r>
    </w:p>
    <w:p w14:paraId="323767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8、指导基层自治。指导村民委员会建设，健全村自治平台，组织辖区单位、村民参与村建设和管理。</w:t>
      </w:r>
    </w:p>
    <w:p w14:paraId="76F94E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9、履行法定职责。落实镇人民政府权力清单和责任清单规定的法定职责任务;根据授权，负责承接上级人民政府赋权、委托下放、服务前移等有关事项。</w:t>
      </w:r>
    </w:p>
    <w:p w14:paraId="2C0A79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en-US" w:bidi="ar-SA"/>
        </w:rPr>
      </w:pPr>
      <w:r>
        <w:rPr>
          <w:rFonts w:hint="eastAsia" w:ascii="仿宋" w:hAnsi="仿宋" w:eastAsia="仿宋" w:cs="仿宋"/>
          <w:snapToGrid w:val="0"/>
          <w:color w:val="000000"/>
          <w:kern w:val="0"/>
          <w:sz w:val="32"/>
          <w:szCs w:val="32"/>
          <w:highlight w:val="none"/>
          <w:lang w:val="en-US" w:eastAsia="en-US" w:bidi="ar-SA"/>
        </w:rPr>
        <w:t>10、承办区委、区人民政府交办的其他事项。</w:t>
      </w:r>
    </w:p>
    <w:p w14:paraId="62131F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600" w:lineRule="exact"/>
        <w:ind w:left="0" w:right="0" w:firstLine="728" w:firstLineChars="200"/>
        <w:jc w:val="both"/>
        <w:textAlignment w:val="center"/>
        <w:rPr>
          <w:rFonts w:hint="eastAsia" w:ascii="楷体" w:hAnsi="楷体" w:eastAsia="楷体" w:cs="楷体"/>
          <w:snapToGrid w:val="0"/>
          <w:color w:val="000000"/>
          <w:spacing w:val="22"/>
          <w:kern w:val="0"/>
          <w:sz w:val="32"/>
          <w:szCs w:val="32"/>
          <w:lang w:val="en-US" w:eastAsia="en-US" w:bidi="ar-SA"/>
        </w:rPr>
      </w:pPr>
      <w:r>
        <w:rPr>
          <w:rFonts w:hint="eastAsia" w:ascii="楷体" w:hAnsi="楷体" w:eastAsia="楷体" w:cs="楷体"/>
          <w:snapToGrid w:val="0"/>
          <w:color w:val="000000"/>
          <w:spacing w:val="22"/>
          <w:kern w:val="0"/>
          <w:sz w:val="32"/>
          <w:szCs w:val="32"/>
          <w:lang w:val="en-US" w:eastAsia="en-US" w:bidi="ar-SA"/>
        </w:rPr>
        <w:t>（二）机构设置</w:t>
      </w:r>
    </w:p>
    <w:p w14:paraId="119390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en-US" w:bidi="ar-SA"/>
        </w:rPr>
        <w:t>现有在职编制人数141人，离退休69人。西塘镇</w:t>
      </w:r>
      <w:r>
        <w:rPr>
          <w:rFonts w:hint="eastAsia" w:ascii="仿宋" w:hAnsi="仿宋" w:eastAsia="仿宋" w:cs="仿宋"/>
          <w:snapToGrid w:val="0"/>
          <w:color w:val="000000"/>
          <w:kern w:val="0"/>
          <w:sz w:val="32"/>
          <w:szCs w:val="32"/>
          <w:highlight w:val="none"/>
          <w:lang w:val="en-US" w:eastAsia="zh-CN" w:bidi="ar-SA"/>
        </w:rPr>
        <w:t>人民</w:t>
      </w:r>
      <w:r>
        <w:rPr>
          <w:rFonts w:hint="eastAsia" w:ascii="仿宋" w:hAnsi="仿宋" w:eastAsia="仿宋" w:cs="仿宋"/>
          <w:snapToGrid w:val="0"/>
          <w:color w:val="000000"/>
          <w:kern w:val="0"/>
          <w:sz w:val="32"/>
          <w:szCs w:val="32"/>
          <w:highlight w:val="none"/>
          <w:lang w:val="en-US" w:eastAsia="en-US" w:bidi="ar-SA"/>
        </w:rPr>
        <w:t>政府内设党政办、党建办、生态办、经济发展办、平安法治和应急管理办5个内设机构，设置社会事务综合服务中心、便民服务中心、农业综合服务中心、退役军人服务站、综合行政执法大队5个事业机构。</w:t>
      </w:r>
    </w:p>
    <w:p w14:paraId="307D7B64">
      <w:pPr>
        <w:keepNext w:val="0"/>
        <w:keepLines w:val="0"/>
        <w:pageBreakBefore w:val="0"/>
        <w:wordWrap/>
        <w:overflowPunct/>
        <w:topLinePunct w:val="0"/>
        <w:bidi w:val="0"/>
        <w:spacing w:line="600" w:lineRule="exact"/>
        <w:ind w:left="0" w:firstLine="616" w:firstLineChars="200"/>
        <w:rPr>
          <w:rFonts w:ascii="黑体" w:hAnsi="黑体" w:eastAsia="黑体" w:cs="黑体"/>
          <w:sz w:val="32"/>
          <w:szCs w:val="32"/>
        </w:rPr>
      </w:pPr>
      <w:r>
        <w:rPr>
          <w:rFonts w:ascii="黑体" w:hAnsi="黑体" w:eastAsia="黑体" w:cs="黑体"/>
          <w:spacing w:val="-6"/>
          <w:sz w:val="32"/>
          <w:szCs w:val="32"/>
        </w:rPr>
        <w:t>二、一般公共预算支出情况</w:t>
      </w:r>
    </w:p>
    <w:p w14:paraId="0FB48C2D">
      <w:pPr>
        <w:keepNext w:val="0"/>
        <w:keepLines w:val="0"/>
        <w:pageBreakBefore w:val="0"/>
        <w:wordWrap/>
        <w:overflowPunct/>
        <w:topLinePunct w:val="0"/>
        <w:bidi w:val="0"/>
        <w:spacing w:line="600" w:lineRule="exact"/>
        <w:ind w:left="0" w:firstLine="728" w:firstLineChars="200"/>
        <w:rPr>
          <w:rFonts w:ascii="楷体" w:hAnsi="楷体" w:eastAsia="楷体" w:cs="楷体"/>
          <w:spacing w:val="22"/>
          <w:sz w:val="32"/>
          <w:szCs w:val="32"/>
        </w:rPr>
      </w:pPr>
      <w:r>
        <w:rPr>
          <w:rFonts w:ascii="楷体" w:hAnsi="楷体" w:eastAsia="楷体" w:cs="楷体"/>
          <w:spacing w:val="22"/>
          <w:sz w:val="32"/>
          <w:szCs w:val="32"/>
        </w:rPr>
        <w:t>(一)基本支出情况</w:t>
      </w:r>
    </w:p>
    <w:p w14:paraId="17D0D876">
      <w:pPr>
        <w:keepNext w:val="0"/>
        <w:keepLines w:val="0"/>
        <w:pageBreakBefore w:val="0"/>
        <w:wordWrap/>
        <w:overflowPunct/>
        <w:topLinePunct w:val="0"/>
        <w:bidi w:val="0"/>
        <w:spacing w:line="600" w:lineRule="exact"/>
        <w:ind w:left="0" w:firstLine="640" w:firstLineChars="200"/>
        <w:rPr>
          <w:rFonts w:hint="eastAsia" w:ascii="仿宋" w:hAnsi="仿宋" w:eastAsia="仿宋" w:cs="仿宋"/>
          <w:i w:val="0"/>
          <w:iCs w:val="0"/>
          <w:caps w:val="0"/>
          <w:snapToGrid w:val="0"/>
          <w:color w:val="333333"/>
          <w:spacing w:val="0"/>
          <w:kern w:val="0"/>
          <w:sz w:val="32"/>
          <w:szCs w:val="32"/>
          <w:highlight w:val="none"/>
          <w:shd w:val="clear" w:fill="FFFFFF"/>
          <w:lang w:val="en-US" w:eastAsia="zh-CN" w:bidi="ar"/>
        </w:rPr>
      </w:pPr>
      <w:r>
        <w:rPr>
          <w:rFonts w:hint="eastAsia" w:ascii="仿宋" w:hAnsi="仿宋" w:eastAsia="仿宋" w:cs="仿宋"/>
          <w:snapToGrid w:val="0"/>
          <w:color w:val="000000"/>
          <w:kern w:val="0"/>
          <w:sz w:val="32"/>
          <w:szCs w:val="32"/>
          <w:highlight w:val="none"/>
          <w:lang w:val="en-US" w:eastAsia="zh-CN" w:bidi="ar-SA"/>
        </w:rPr>
        <w:t>2025年基本支出年初预算数为2791.81万元，实际支出为3952.65。其中：人员经费2793.87万元，主要包括：基本工资、津贴补贴、奖金、伙食补助费、绩效工资、机关事业单位基本养老保险缴费、职工基本医疗保险缴费、其他社会保障缴费、住房公积金、其他工资福利支出、退休费、生活补助、医疗费补助、其他对个人和家庭的补助等方面；公用经费1158.78万元，主要包括：办公费、印刷费、水费、电费、邮电费、差旅费、维修（护）费、租赁费、会议费、培训费、劳务费、委托业务费、工会经费、其他交通费用、其他商品和服务支出等方面。</w:t>
      </w:r>
    </w:p>
    <w:p w14:paraId="1FB2598D">
      <w:pPr>
        <w:keepNext w:val="0"/>
        <w:keepLines w:val="0"/>
        <w:pageBreakBefore w:val="0"/>
        <w:numPr>
          <w:ilvl w:val="0"/>
          <w:numId w:val="2"/>
        </w:numPr>
        <w:wordWrap/>
        <w:overflowPunct/>
        <w:topLinePunct w:val="0"/>
        <w:bidi w:val="0"/>
        <w:spacing w:line="600" w:lineRule="exact"/>
        <w:ind w:left="0" w:firstLine="728" w:firstLineChars="200"/>
        <w:rPr>
          <w:rFonts w:ascii="楷体" w:hAnsi="楷体" w:eastAsia="楷体" w:cs="楷体"/>
          <w:spacing w:val="22"/>
          <w:sz w:val="32"/>
          <w:szCs w:val="32"/>
        </w:rPr>
      </w:pPr>
      <w:r>
        <w:rPr>
          <w:rFonts w:ascii="楷体" w:hAnsi="楷体" w:eastAsia="楷体" w:cs="楷体"/>
          <w:spacing w:val="22"/>
          <w:sz w:val="32"/>
          <w:szCs w:val="32"/>
        </w:rPr>
        <w:t>项目支出情况</w:t>
      </w:r>
    </w:p>
    <w:p w14:paraId="6B3F484C">
      <w:pPr>
        <w:keepNext w:val="0"/>
        <w:keepLines w:val="0"/>
        <w:pageBreakBefore w:val="0"/>
        <w:wordWrap/>
        <w:overflowPunct/>
        <w:topLinePunct w:val="0"/>
        <w:bidi w:val="0"/>
        <w:spacing w:line="600" w:lineRule="exact"/>
        <w:ind w:left="0" w:firstLine="640" w:firstLineChars="200"/>
        <w:rPr>
          <w:rFonts w:hint="default"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2025年本部门项目支出预算390.00万元，实际支出为3509.00万元。其中：乡镇人大事务经费15.00万元、环卫清扫人工费323.47万元、机场群贤安置点相关费用1595.00万元、第二批资金含水果市场配套污水处理资金124.00万元、墓地遮绿工程65.72万元、三荷集镇道路两侧护坡及地坪改造工程100.00万元、三荷大道X031县道沥青路面修复工程10.00万元、Y385、S209道路维修工程11.50万元、其他专项资金1264.31万元等。</w:t>
      </w:r>
    </w:p>
    <w:p w14:paraId="1A904192">
      <w:pPr>
        <w:keepNext w:val="0"/>
        <w:keepLines w:val="0"/>
        <w:pageBreakBefore w:val="0"/>
        <w:wordWrap/>
        <w:overflowPunct/>
        <w:topLinePunct w:val="0"/>
        <w:bidi w:val="0"/>
        <w:spacing w:line="600" w:lineRule="exact"/>
        <w:ind w:left="0" w:firstLine="652" w:firstLineChars="200"/>
        <w:rPr>
          <w:rFonts w:ascii="黑体" w:hAnsi="黑体" w:eastAsia="黑体" w:cs="黑体"/>
          <w:spacing w:val="3"/>
          <w:sz w:val="32"/>
          <w:szCs w:val="32"/>
        </w:rPr>
      </w:pPr>
      <w:r>
        <w:rPr>
          <w:rFonts w:ascii="黑体" w:hAnsi="黑体" w:eastAsia="黑体" w:cs="黑体"/>
          <w:spacing w:val="3"/>
          <w:sz w:val="32"/>
          <w:szCs w:val="32"/>
        </w:rPr>
        <w:t>三、政府性基金预算支出情况</w:t>
      </w:r>
    </w:p>
    <w:p w14:paraId="33B0DF76">
      <w:pPr>
        <w:keepNext w:val="0"/>
        <w:keepLines w:val="0"/>
        <w:pageBreakBefore w:val="0"/>
        <w:wordWrap/>
        <w:overflowPunct/>
        <w:topLinePunct w:val="0"/>
        <w:bidi w:val="0"/>
        <w:spacing w:line="600" w:lineRule="exact"/>
        <w:ind w:left="0" w:firstLine="640" w:firstLineChars="200"/>
        <w:rPr>
          <w:rFonts w:hint="default"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2025年度本单位无政府性基金预算支出。</w:t>
      </w:r>
    </w:p>
    <w:p w14:paraId="3A1EE4B4">
      <w:pPr>
        <w:keepNext w:val="0"/>
        <w:keepLines w:val="0"/>
        <w:pageBreakBefore w:val="0"/>
        <w:numPr>
          <w:ilvl w:val="0"/>
          <w:numId w:val="3"/>
        </w:numPr>
        <w:wordWrap/>
        <w:overflowPunct/>
        <w:topLinePunct w:val="0"/>
        <w:bidi w:val="0"/>
        <w:spacing w:line="600" w:lineRule="exact"/>
        <w:ind w:left="0" w:firstLine="648" w:firstLineChars="200"/>
        <w:rPr>
          <w:rFonts w:ascii="黑体" w:hAnsi="黑体" w:eastAsia="黑体" w:cs="黑体"/>
          <w:spacing w:val="2"/>
          <w:sz w:val="32"/>
          <w:szCs w:val="32"/>
        </w:rPr>
      </w:pPr>
      <w:r>
        <w:rPr>
          <w:rFonts w:ascii="黑体" w:hAnsi="黑体" w:eastAsia="黑体" w:cs="黑体"/>
          <w:spacing w:val="2"/>
          <w:sz w:val="32"/>
          <w:szCs w:val="32"/>
        </w:rPr>
        <w:t>国有资本经营预算支出情况</w:t>
      </w:r>
    </w:p>
    <w:p w14:paraId="63D38C51">
      <w:pPr>
        <w:keepNext w:val="0"/>
        <w:keepLines w:val="0"/>
        <w:pageBreakBefore w:val="0"/>
        <w:wordWrap/>
        <w:overflowPunct/>
        <w:topLinePunct w:val="0"/>
        <w:bidi w:val="0"/>
        <w:spacing w:line="600" w:lineRule="exact"/>
        <w:ind w:left="0" w:firstLine="640" w:firstLineChars="200"/>
        <w:rPr>
          <w:rFonts w:ascii="黑体" w:hAnsi="黑体" w:eastAsia="黑体" w:cs="黑体"/>
          <w:spacing w:val="2"/>
          <w:sz w:val="32"/>
          <w:szCs w:val="32"/>
        </w:rPr>
      </w:pPr>
      <w:r>
        <w:rPr>
          <w:rFonts w:hint="eastAsia" w:ascii="仿宋" w:hAnsi="仿宋" w:eastAsia="仿宋" w:cs="仿宋"/>
          <w:snapToGrid w:val="0"/>
          <w:color w:val="000000"/>
          <w:kern w:val="0"/>
          <w:sz w:val="32"/>
          <w:szCs w:val="32"/>
          <w:highlight w:val="none"/>
          <w:lang w:val="en-US" w:eastAsia="zh-CN" w:bidi="ar-SA"/>
        </w:rPr>
        <w:t>2025年度本单位无国有资本经营预算支出。</w:t>
      </w:r>
    </w:p>
    <w:p w14:paraId="09053F80">
      <w:pPr>
        <w:keepNext w:val="0"/>
        <w:keepLines w:val="0"/>
        <w:pageBreakBefore w:val="0"/>
        <w:numPr>
          <w:ilvl w:val="0"/>
          <w:numId w:val="3"/>
        </w:numPr>
        <w:wordWrap/>
        <w:overflowPunct/>
        <w:topLinePunct w:val="0"/>
        <w:bidi w:val="0"/>
        <w:spacing w:line="600" w:lineRule="exact"/>
        <w:ind w:left="0" w:leftChars="0" w:firstLine="648" w:firstLineChars="200"/>
        <w:rPr>
          <w:rFonts w:ascii="黑体" w:hAnsi="黑体" w:eastAsia="黑体" w:cs="黑体"/>
          <w:spacing w:val="2"/>
          <w:sz w:val="32"/>
          <w:szCs w:val="32"/>
        </w:rPr>
      </w:pPr>
      <w:r>
        <w:rPr>
          <w:rFonts w:ascii="黑体" w:hAnsi="黑体" w:eastAsia="黑体" w:cs="黑体"/>
          <w:spacing w:val="2"/>
          <w:sz w:val="32"/>
          <w:szCs w:val="32"/>
        </w:rPr>
        <w:t>社会保险基金预算支出情况</w:t>
      </w:r>
    </w:p>
    <w:p w14:paraId="37F5EB58">
      <w:pPr>
        <w:keepNext w:val="0"/>
        <w:keepLines w:val="0"/>
        <w:pageBreakBefore w:val="0"/>
        <w:wordWrap/>
        <w:overflowPunct/>
        <w:topLinePunct w:val="0"/>
        <w:bidi w:val="0"/>
        <w:spacing w:line="600" w:lineRule="exact"/>
        <w:ind w:left="0" w:firstLine="640" w:firstLineChars="200"/>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2025年度本单位无社会保险基金预算支出。</w:t>
      </w:r>
    </w:p>
    <w:p w14:paraId="66803CC6">
      <w:pPr>
        <w:keepNext w:val="0"/>
        <w:keepLines w:val="0"/>
        <w:pageBreakBefore w:val="0"/>
        <w:numPr>
          <w:ilvl w:val="0"/>
          <w:numId w:val="3"/>
        </w:numPr>
        <w:wordWrap/>
        <w:overflowPunct/>
        <w:topLinePunct w:val="0"/>
        <w:bidi w:val="0"/>
        <w:spacing w:line="600" w:lineRule="exact"/>
        <w:ind w:left="0" w:leftChars="0" w:firstLine="652" w:firstLineChars="200"/>
        <w:rPr>
          <w:rFonts w:ascii="黑体" w:hAnsi="黑体" w:eastAsia="黑体" w:cs="黑体"/>
          <w:spacing w:val="3"/>
          <w:sz w:val="32"/>
          <w:szCs w:val="32"/>
        </w:rPr>
      </w:pPr>
      <w:r>
        <w:rPr>
          <w:rFonts w:ascii="黑体" w:hAnsi="黑体" w:eastAsia="黑体" w:cs="黑体"/>
          <w:spacing w:val="3"/>
          <w:sz w:val="32"/>
          <w:szCs w:val="32"/>
        </w:rPr>
        <w:t>单位整体支出绩效情况</w:t>
      </w:r>
    </w:p>
    <w:p w14:paraId="5336D6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2025年</w:t>
      </w:r>
      <w:r>
        <w:rPr>
          <w:rFonts w:hint="default" w:ascii="仿宋" w:hAnsi="仿宋" w:eastAsia="仿宋" w:cs="仿宋"/>
          <w:snapToGrid w:val="0"/>
          <w:color w:val="000000"/>
          <w:kern w:val="0"/>
          <w:sz w:val="32"/>
          <w:szCs w:val="32"/>
          <w:highlight w:val="none"/>
          <w:lang w:val="en-US" w:eastAsia="zh-CN" w:bidi="ar-SA"/>
        </w:rPr>
        <w:t>预算资金</w:t>
      </w:r>
      <w:r>
        <w:rPr>
          <w:rFonts w:hint="eastAsia" w:ascii="仿宋" w:hAnsi="仿宋" w:eastAsia="仿宋" w:cs="仿宋"/>
          <w:snapToGrid w:val="0"/>
          <w:color w:val="000000"/>
          <w:kern w:val="0"/>
          <w:sz w:val="32"/>
          <w:szCs w:val="32"/>
          <w:highlight w:val="none"/>
          <w:lang w:val="en-US" w:eastAsia="zh-CN" w:bidi="ar-SA"/>
        </w:rPr>
        <w:t>年初数为3181.81万元，调整后全年预算数为7711.34万元，决算实际支出数为7461.65</w:t>
      </w:r>
      <w:r>
        <w:rPr>
          <w:rFonts w:hint="default" w:ascii="仿宋" w:hAnsi="仿宋" w:eastAsia="仿宋" w:cs="仿宋"/>
          <w:snapToGrid w:val="0"/>
          <w:color w:val="000000"/>
          <w:kern w:val="0"/>
          <w:sz w:val="32"/>
          <w:szCs w:val="32"/>
          <w:highlight w:val="none"/>
          <w:lang w:val="en-US" w:eastAsia="zh-CN" w:bidi="ar-SA"/>
        </w:rPr>
        <w:t>万元，</w:t>
      </w:r>
      <w:r>
        <w:rPr>
          <w:rFonts w:hint="eastAsia" w:ascii="仿宋" w:hAnsi="仿宋" w:eastAsia="仿宋" w:cs="仿宋"/>
          <w:snapToGrid w:val="0"/>
          <w:color w:val="000000"/>
          <w:kern w:val="0"/>
          <w:sz w:val="32"/>
          <w:szCs w:val="32"/>
          <w:highlight w:val="none"/>
          <w:lang w:val="en-US" w:eastAsia="zh-CN" w:bidi="ar-SA"/>
        </w:rPr>
        <w:t>预算执行率为96.76%，总体情况良好。严格按照预算规划执行各项支出，并根据实际工作需要，适时调整和优化支出结构，确保了各项工作的顺利开展。</w:t>
      </w:r>
    </w:p>
    <w:p w14:paraId="4AEE32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2025年,在省、市、区委、政府和镇党委的坚强领导下，全镇上下坚持以习近平新时代中国特色社会主义思想为指导，深入贯彻党的二十大及二十届三中、四中全会精神，认真落实省委、市委全会和经济工作会议及市两会部署要求，全面把握“七个岳阳”建设任务，真抓实干、攻坚克难，各项工作取得显著成效，全镇经济社会发展呈现稳中有进、持续向好的良好态势。</w:t>
      </w:r>
    </w:p>
    <w:p w14:paraId="10806A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wordWrap/>
        <w:overflowPunct/>
        <w:topLinePunct w:val="0"/>
        <w:bidi w:val="0"/>
        <w:spacing w:before="0" w:beforeAutospacing="0" w:after="0" w:afterAutospacing="0" w:line="600" w:lineRule="exact"/>
        <w:ind w:left="0" w:right="0" w:firstLine="640" w:firstLineChars="200"/>
        <w:jc w:val="both"/>
        <w:textAlignment w:val="center"/>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坚持</w:t>
      </w:r>
      <w:r>
        <w:rPr>
          <w:rFonts w:hint="default" w:ascii="仿宋" w:hAnsi="仿宋" w:eastAsia="仿宋" w:cs="仿宋"/>
          <w:snapToGrid w:val="0"/>
          <w:color w:val="000000"/>
          <w:kern w:val="0"/>
          <w:sz w:val="32"/>
          <w:szCs w:val="32"/>
          <w:highlight w:val="none"/>
          <w:lang w:val="en-US" w:eastAsia="zh-CN" w:bidi="ar-SA"/>
        </w:rPr>
        <w:t>农业</w:t>
      </w:r>
      <w:r>
        <w:rPr>
          <w:rFonts w:hint="eastAsia" w:ascii="仿宋" w:hAnsi="仿宋" w:eastAsia="仿宋" w:cs="仿宋"/>
          <w:snapToGrid w:val="0"/>
          <w:color w:val="000000"/>
          <w:kern w:val="0"/>
          <w:sz w:val="32"/>
          <w:szCs w:val="32"/>
          <w:highlight w:val="none"/>
          <w:lang w:val="en-US" w:eastAsia="zh-CN" w:bidi="ar-SA"/>
        </w:rPr>
        <w:t>为第一产业主体地位，严格落实粮食安全责任制，牢牢守住耕地保护红线，明确图斑整改方案，实现对耕地“非农化”“非粮化”的动态监测。全镇培育特色产业基地32个。发展农文旅，西塘社区打造香河湾生态运动公园和湘沪园农业科技综合示范园，提高年旅游综合收入。三桥村紫绸半岛休闲综合体建成运营，实现“生态+旅游”融合，提升村集体合作社经济收益；三店村深挖翰林文化和抗战文化资源，成立文化研究学会，修建文化宣传墙，推进抗战爱国主义教育基地建设，获得市文旅</w:t>
      </w:r>
      <w:r>
        <w:rPr>
          <w:rFonts w:hint="default" w:ascii="仿宋" w:hAnsi="仿宋" w:eastAsia="仿宋" w:cs="仿宋"/>
          <w:snapToGrid w:val="0"/>
          <w:color w:val="000000"/>
          <w:kern w:val="0"/>
          <w:sz w:val="32"/>
          <w:szCs w:val="32"/>
          <w:highlight w:val="none"/>
          <w:lang w:val="en-US" w:eastAsia="zh-CN" w:bidi="ar-SA"/>
        </w:rPr>
        <w:t>部门</w:t>
      </w:r>
      <w:r>
        <w:rPr>
          <w:rFonts w:hint="eastAsia" w:ascii="仿宋" w:hAnsi="仿宋" w:eastAsia="仿宋" w:cs="仿宋"/>
          <w:snapToGrid w:val="0"/>
          <w:color w:val="000000"/>
          <w:kern w:val="0"/>
          <w:sz w:val="32"/>
          <w:szCs w:val="32"/>
          <w:highlight w:val="none"/>
          <w:lang w:val="en-US" w:eastAsia="zh-CN" w:bidi="ar-SA"/>
        </w:rPr>
        <w:t>将其纳入市“十五五”规划发展的肯定。9个村（社区）通过入股分红、资产租赁、产业经营等方式，实现集体经济总收入持续增长。全年累计实施乡村振兴项目114个，完成总投资2392.52万元，项目数量同比增长76.67%，投资规模同比大幅增长178.4%。改造朱连桥、道屋桥、末士桥3座危桥，对普济桥和廖家桥2座桥梁进行拆除重建工程。实施农村公路提质改造18.3公里，硬化组级道路32.6公里，实现全镇19个村（社区）道路建设全覆盖，解决20个偏远小组出行难题，保障5个产业基地运输物资顺畅。西塘社区安装太阳能路灯175盏，实现主干道亮化全覆盖。修缮山塘33座、水库4座，清淤山塘28座，消除水库安全隐患2处；修复、</w:t>
      </w:r>
      <w:r>
        <w:rPr>
          <w:rFonts w:hint="default" w:ascii="仿宋" w:hAnsi="仿宋" w:eastAsia="仿宋" w:cs="仿宋"/>
          <w:snapToGrid w:val="0"/>
          <w:color w:val="000000"/>
          <w:kern w:val="0"/>
          <w:sz w:val="32"/>
          <w:szCs w:val="32"/>
          <w:highlight w:val="none"/>
          <w:lang w:val="en-US" w:eastAsia="zh-CN" w:bidi="ar-SA"/>
        </w:rPr>
        <w:t>硬化</w:t>
      </w:r>
      <w:r>
        <w:rPr>
          <w:rFonts w:hint="eastAsia" w:ascii="仿宋" w:hAnsi="仿宋" w:eastAsia="仿宋" w:cs="仿宋"/>
          <w:snapToGrid w:val="0"/>
          <w:color w:val="000000"/>
          <w:kern w:val="0"/>
          <w:sz w:val="32"/>
          <w:szCs w:val="32"/>
          <w:highlight w:val="none"/>
          <w:lang w:val="en-US" w:eastAsia="zh-CN" w:bidi="ar-SA"/>
        </w:rPr>
        <w:t>沟渠20公里，铺设灌溉管网3.2公里；新建抗旱机埠1座，整修堰口4处，配套变压器2台，增压泵房6个，提升防汛抗旱能力。高效推进秸秆综合利用，大力推广秸秆“五化”利用模式，全年开展污染源排查12次，完成10家企业环保整改、2家生猪养殖场污染整改和退养工作，有效控制了农业面源污染，高效办结生态环保类投诉13起。全镇开展农村人居环境整治“百日攻坚”行动，推行“户分类、村收集、镇转运”垃圾处理模式，配备200名专职保洁员，清理生产生活垃圾8000吨，建筑垃圾5000吨，卫生死角50处，打捞水面漂浮物40吨，全域风貌整体跃升。完成城乡居民医疗保险参保34530人，100%达标完成参保任务；完成城乡居民养老保险参保21118人，为其中1163名特殊群体代缴社保医保费用。</w:t>
      </w:r>
      <w:r>
        <w:rPr>
          <w:rFonts w:hint="default" w:ascii="仿宋" w:hAnsi="仿宋" w:eastAsia="仿宋" w:cs="仿宋"/>
          <w:snapToGrid w:val="0"/>
          <w:color w:val="000000"/>
          <w:kern w:val="0"/>
          <w:sz w:val="32"/>
          <w:szCs w:val="32"/>
          <w:highlight w:val="none"/>
          <w:lang w:val="en-US" w:eastAsia="zh-CN" w:bidi="ar-SA"/>
        </w:rPr>
        <w:t>全年完成网格基础数据更新5</w:t>
      </w:r>
      <w:r>
        <w:rPr>
          <w:rFonts w:hint="eastAsia" w:ascii="仿宋" w:hAnsi="仿宋" w:eastAsia="仿宋" w:cs="仿宋"/>
          <w:snapToGrid w:val="0"/>
          <w:color w:val="000000"/>
          <w:kern w:val="0"/>
          <w:sz w:val="32"/>
          <w:szCs w:val="32"/>
          <w:highlight w:val="none"/>
          <w:lang w:val="en-US" w:eastAsia="zh-CN" w:bidi="ar-SA"/>
        </w:rPr>
        <w:t>709</w:t>
      </w:r>
      <w:r>
        <w:rPr>
          <w:rFonts w:hint="default" w:ascii="仿宋" w:hAnsi="仿宋" w:eastAsia="仿宋" w:cs="仿宋"/>
          <w:snapToGrid w:val="0"/>
          <w:color w:val="000000"/>
          <w:kern w:val="0"/>
          <w:sz w:val="32"/>
          <w:szCs w:val="32"/>
          <w:highlight w:val="none"/>
          <w:lang w:val="en-US" w:eastAsia="zh-CN" w:bidi="ar-SA"/>
        </w:rPr>
        <w:t>条</w:t>
      </w:r>
      <w:r>
        <w:rPr>
          <w:rFonts w:hint="eastAsia" w:ascii="仿宋" w:hAnsi="仿宋" w:eastAsia="仿宋" w:cs="仿宋"/>
          <w:snapToGrid w:val="0"/>
          <w:color w:val="000000"/>
          <w:kern w:val="0"/>
          <w:sz w:val="32"/>
          <w:szCs w:val="32"/>
          <w:highlight w:val="none"/>
          <w:lang w:val="en-US" w:eastAsia="zh-CN" w:bidi="ar-SA"/>
        </w:rPr>
        <w:t>，受理各类业务2900件，办理“高效一件事”320件，网办率较去年提升49.64%；办结市长信箱等平台转办投诉24件，办结率100%；受理并办结12345热线工单559件，回访满意率达96%；修订完善突发事件总体应急预案及防汛抗旱、森林防火等专项应急预案，组建镇级综合应急救援队伍1支、村级应急分队19支，共计870人，开展应急演练4次，储备防汛、防火应急物资23类1.2万件。党委理论学习中心组全年开展理论学习11次，组织党员干部学习党的创新理论、方针政策15场次，覆盖党员干部360人次，发放学习资料1100份，组织农村党员冬春训1900人次，推动理论武装走深走实。全镇19个村（社区）党组织严格落实“三会一课”制度，累计开展党员集中学习156场次，主题党日活动228次，书记讲党课76次，党员政治素养显著提升。开展中央八项规定精神学习教育，全镇各级党组织观看警示教育片157次，组织召开警示教育会53次，筑牢党员干部拒腐防变思想防线。</w:t>
      </w:r>
    </w:p>
    <w:p w14:paraId="4D479E51">
      <w:pPr>
        <w:keepNext w:val="0"/>
        <w:keepLines w:val="0"/>
        <w:pageBreakBefore w:val="0"/>
        <w:numPr>
          <w:ilvl w:val="0"/>
          <w:numId w:val="3"/>
        </w:numPr>
        <w:wordWrap/>
        <w:overflowPunct/>
        <w:topLinePunct w:val="0"/>
        <w:bidi w:val="0"/>
        <w:spacing w:line="600" w:lineRule="exact"/>
        <w:ind w:left="0" w:leftChars="0" w:firstLine="664" w:firstLineChars="200"/>
        <w:rPr>
          <w:rFonts w:ascii="黑体" w:hAnsi="黑体" w:eastAsia="黑体" w:cs="黑体"/>
          <w:spacing w:val="6"/>
          <w:sz w:val="32"/>
          <w:szCs w:val="32"/>
        </w:rPr>
      </w:pPr>
      <w:r>
        <w:rPr>
          <w:rFonts w:ascii="黑体" w:hAnsi="黑体" w:eastAsia="黑体" w:cs="黑体"/>
          <w:spacing w:val="6"/>
          <w:sz w:val="32"/>
          <w:szCs w:val="32"/>
        </w:rPr>
        <w:t>存在的问题及原因分析</w:t>
      </w:r>
    </w:p>
    <w:p w14:paraId="0FE7FE9E">
      <w:pPr>
        <w:keepNext w:val="0"/>
        <w:keepLines w:val="0"/>
        <w:pageBreakBefore w:val="0"/>
        <w:wordWrap/>
        <w:overflowPunct/>
        <w:topLinePunct w:val="0"/>
        <w:bidi w:val="0"/>
        <w:spacing w:line="600" w:lineRule="exact"/>
        <w:ind w:left="0" w:firstLine="640" w:firstLineChars="200"/>
        <w:rPr>
          <w:rFonts w:hint="eastAsia" w:ascii="仿宋" w:hAnsi="仿宋" w:eastAsia="仿宋" w:cs="仿宋"/>
          <w:snapToGrid w:val="0"/>
          <w:color w:val="000000"/>
          <w:kern w:val="0"/>
          <w:sz w:val="32"/>
          <w:szCs w:val="32"/>
          <w:highlight w:val="none"/>
          <w:lang w:val="en-US" w:eastAsia="zh-CN" w:bidi="ar-SA"/>
        </w:rPr>
      </w:pPr>
      <w:r>
        <w:rPr>
          <w:rFonts w:hint="eastAsia" w:ascii="仿宋" w:hAnsi="仿宋" w:eastAsia="仿宋" w:cs="仿宋"/>
          <w:snapToGrid w:val="0"/>
          <w:color w:val="000000"/>
          <w:kern w:val="0"/>
          <w:sz w:val="32"/>
          <w:szCs w:val="32"/>
          <w:highlight w:val="none"/>
          <w:lang w:val="en-US" w:eastAsia="zh-CN" w:bidi="ar-SA"/>
        </w:rPr>
        <w:t>一是产业发展层次不高，传统农业占比高，农产品附加值不足，产业链条短，缺乏深加工企业和知名品牌。村集体经济收入来源相对单一，抗风险能力较弱；二是基础设施仍有短板，部分道路年久失修，存在塌陷、狭窄等问题；生活污水处理设施覆盖不全，水利设施老化渗漏、淤积现象依然存在，灌溉能力有待提升；三是资金保障压力较大，收入增长乏力，基础建设支出资金安排困难，导致项目建设遗留问题较多，影响工作推进；四是人才支撑严重不足，农村青壮年劳动力外流突出，缺乏懂技术、善经营、会管理的本土人才和返乡创业人才，部分年轻后备人选基层工作经验较少，处理复杂矛盾、推动项目落地的能力有待提升。</w:t>
      </w:r>
    </w:p>
    <w:p w14:paraId="63DC0DC9">
      <w:pPr>
        <w:keepNext w:val="0"/>
        <w:keepLines w:val="0"/>
        <w:pageBreakBefore w:val="0"/>
        <w:numPr>
          <w:ilvl w:val="0"/>
          <w:numId w:val="3"/>
        </w:numPr>
        <w:wordWrap/>
        <w:overflowPunct/>
        <w:topLinePunct w:val="0"/>
        <w:bidi w:val="0"/>
        <w:spacing w:line="600" w:lineRule="exact"/>
        <w:ind w:left="0" w:leftChars="0" w:firstLine="656" w:firstLineChars="200"/>
        <w:rPr>
          <w:rFonts w:ascii="黑体" w:hAnsi="黑体" w:eastAsia="黑体" w:cs="黑体"/>
          <w:spacing w:val="4"/>
          <w:sz w:val="32"/>
          <w:szCs w:val="32"/>
        </w:rPr>
      </w:pPr>
      <w:r>
        <w:rPr>
          <w:rFonts w:ascii="黑体" w:hAnsi="黑体" w:eastAsia="黑体" w:cs="黑体"/>
          <w:spacing w:val="4"/>
          <w:sz w:val="32"/>
          <w:szCs w:val="32"/>
        </w:rPr>
        <w:t>下一步改进措施、工作建议</w:t>
      </w:r>
    </w:p>
    <w:p w14:paraId="3D99FA04">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（一）立足产业发展，带动区域经济提级扩能。一是壮大特色产业规模。巩固农业生产基础，建设高产示范农田2000亩，推广优质品种3</w:t>
      </w:r>
      <w:r>
        <w:rPr>
          <w:rFonts w:hint="default" w:ascii="仿宋" w:hAnsi="仿宋" w:eastAsia="仿宋" w:cs="仿宋"/>
          <w:i w:val="0"/>
          <w:iCs w:val="0"/>
          <w:caps w:val="0"/>
          <w:snapToGrid w:val="0"/>
          <w:color w:val="000000"/>
          <w:spacing w:val="0"/>
          <w:kern w:val="0"/>
          <w:sz w:val="32"/>
          <w:szCs w:val="32"/>
          <w:shd w:val="clear" w:fill="FFFFFF"/>
          <w:lang w:val="en-US" w:eastAsia="zh-CN" w:bidi="ar"/>
        </w:rPr>
        <w:t>—</w:t>
      </w:r>
      <w:r>
        <w:rPr>
          <w:rFonts w:hint="eastAsia" w:ascii="仿宋" w:hAnsi="仿宋" w:eastAsia="仿宋" w:cs="仿宋"/>
          <w:i w:val="0"/>
          <w:iCs w:val="0"/>
          <w:caps w:val="0"/>
          <w:snapToGrid w:val="0"/>
          <w:color w:val="000000"/>
          <w:spacing w:val="0"/>
          <w:kern w:val="0"/>
          <w:sz w:val="32"/>
          <w:szCs w:val="32"/>
          <w:shd w:val="clear" w:fill="FFFFFF"/>
          <w:lang w:val="en-US" w:eastAsia="zh-CN" w:bidi="ar"/>
        </w:rPr>
        <w:t>4个，开展技术培训10场次，并确保粮食播种面积稳定在3万亩以上，单产提升3%，总产达1.6万吨以上。建设特色产业集群，建强西塘特色林果带，重点培育油茶、黄茶、水果等优势产业，培育农产品加工企业2家，打造本地品牌2个，积极对接争取大中型水库移民后期扶持项目，探索电商直播、水果油茶深加工、农产品物流冷链等新领域，推动农业产业链升级，为都市农业示范片区建设主动贡献力量。二是现有项目坚持推进。坚持以发展为第一要务，牢牢抓住经济建设这个中心不动摇，紧靠“十五五”规划，多途径全力争资争项。三是突破产业瓶颈制约。加大新兴产业招引力度，加快传统产业转型升级，推动科技创新和产业创新深度融合。</w:t>
      </w:r>
    </w:p>
    <w:p w14:paraId="0C574E56">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二）完善基础设施，谋篇布局全域和美乡村。一是优化交通路网建设。积极争取“十五五”规划统筹资金，完成15公里农村公路改造任务。争取区级以上资金倾斜，计划实现2026年全镇硬化、提质、新建道路30公里，其中拓宽硬化偏远小组道路13公里，便利百姓出行，实现大型农机通行无阻。二是修缮维护水利设施。重点对接水利、环保、乡村振兴等部门，鼓励乡贤捐赠、村企合作，补充资金缺口，推进农村生活污水治理项目，计划争取国省资金2000万元，建设4个村集中式污水处理设施和3个村分散式污水处理设施，解决近百户居民污水排放问题。三是持续改善生态环境。争取“和美乡村”建设资金4000万元，计划“十五五”期间完成8个和美乡村示范村建设。开展环境卫生集中整治，坚持“每周大扫除”，落实“门前三包”责任制，新建1个垃圾中转站，200个移动垃圾箱，推进垃圾分类全覆盖。</w:t>
      </w:r>
    </w:p>
    <w:p w14:paraId="0AC8AEC8">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三）厚植民生福祉，打造镇域社会共治样板。一是健全社会保障体系。确保城乡居民医疗保险参保率稳定在98%以上，养老保险参保率达95%以上。精准落实低保、特困人员救助政策，做到应保尽保、应纳尽纳。二是提升公共服务水平。争取资金500万元，新建文化活动广场5个，完善村级文化活动阵地设施。组织开展文化、体育活动60场次，丰富群众精神文化生活。优化教育、医疗资源配置，改善农村学校办学条件，加强村级卫生室建设，提升基层医疗服务能力。三是巩固脱贫攻坚成果。严格落实“四个不摘”要求，健全防返贫动态监测和帮扶机制，确保不发生规模性返贫。</w:t>
      </w:r>
    </w:p>
    <w:p w14:paraId="6FCB3E87">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四）深化基层治理，全面加强政府自身建设。一是守牢安全底线，维护社会大局稳定。开展安全生产大检查，排查整治安全隐患。加强对企业和经营户的日常监管，落实安全生产主体责任，确保全年无重大安全事故发生。二是做好信访维稳，推动平安法治建设。落实领导包案机制，推行“一案一专班”模式，力争化解重点信访积案5起以上。推进反电诈工作，推广“国家反诈中心”APP，加强社会治安巡逻防控，确保命案及重大恶性刑事案件“零发生”。三是强化“六干”导向，树牢“清廉政府”形象。深化党风廉政建设，持续开展中央八项规定精神学习教育，严肃查处群众身边的不正之风和</w:t>
      </w:r>
      <w:r>
        <w:rPr>
          <w:rFonts w:hint="default" w:ascii="仿宋" w:hAnsi="仿宋" w:eastAsia="仿宋" w:cs="仿宋"/>
          <w:i w:val="0"/>
          <w:iCs w:val="0"/>
          <w:caps w:val="0"/>
          <w:snapToGrid w:val="0"/>
          <w:color w:val="000000"/>
          <w:spacing w:val="0"/>
          <w:kern w:val="0"/>
          <w:sz w:val="32"/>
          <w:szCs w:val="32"/>
          <w:shd w:val="clear" w:fill="FFFFFF"/>
          <w:lang w:val="en-US" w:eastAsia="zh-CN" w:bidi="ar"/>
        </w:rPr>
        <w:t>“微腐败”</w:t>
      </w:r>
      <w:r>
        <w:rPr>
          <w:rFonts w:hint="eastAsia" w:ascii="仿宋" w:hAnsi="仿宋" w:eastAsia="仿宋" w:cs="仿宋"/>
          <w:i w:val="0"/>
          <w:iCs w:val="0"/>
          <w:caps w:val="0"/>
          <w:snapToGrid w:val="0"/>
          <w:color w:val="000000"/>
          <w:spacing w:val="0"/>
          <w:kern w:val="0"/>
          <w:sz w:val="32"/>
          <w:szCs w:val="32"/>
          <w:shd w:val="clear" w:fill="FFFFFF"/>
          <w:lang w:val="en-US" w:eastAsia="zh-CN" w:bidi="ar"/>
        </w:rPr>
        <w:t>问题。厉行勤俭节约，纠治形式主义，大力弘扬求真务实、真抓实干的工作作风，培养好“忠诚干、务实干、担当干、创新干、团结干、廉洁干”的高素质干部队伍。</w:t>
      </w:r>
    </w:p>
    <w:p w14:paraId="0B212236">
      <w:pPr>
        <w:keepNext w:val="0"/>
        <w:keepLines w:val="0"/>
        <w:pageBreakBefore w:val="0"/>
        <w:numPr>
          <w:ilvl w:val="0"/>
          <w:numId w:val="3"/>
        </w:numPr>
        <w:wordWrap/>
        <w:overflowPunct/>
        <w:topLinePunct w:val="0"/>
        <w:bidi w:val="0"/>
        <w:spacing w:line="600" w:lineRule="exact"/>
        <w:ind w:left="0" w:leftChars="0" w:firstLine="660" w:firstLineChars="200"/>
        <w:rPr>
          <w:rFonts w:ascii="黑体" w:hAnsi="黑体" w:eastAsia="黑体" w:cs="黑体"/>
          <w:spacing w:val="5"/>
          <w:sz w:val="32"/>
          <w:szCs w:val="32"/>
        </w:rPr>
      </w:pPr>
      <w:r>
        <w:rPr>
          <w:rFonts w:ascii="黑体" w:hAnsi="黑体" w:eastAsia="黑体" w:cs="黑体"/>
          <w:spacing w:val="5"/>
          <w:sz w:val="32"/>
          <w:szCs w:val="32"/>
        </w:rPr>
        <w:t>单位整体支出绩效自评结果拟应用和公开情况</w:t>
      </w:r>
    </w:p>
    <w:p w14:paraId="22850ACD">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pacing w:val="5"/>
          <w:sz w:val="32"/>
          <w:szCs w:val="32"/>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按照目标设定、预算执行、职责履行、效益分析等方面进行总体评价，部门整体支出绩效综合评分99.68分。此次绩效自评结果内容完整、权重合理、数据真实、结果客观。针对本单位绩效自评中存在的问题，积极整改，优化和调整支出方向和结构，科学编制年初预算，合理使用财政资金，提高资金使用效率。自评结果将报送岳阳楼区财政局，并依法予以公开。</w:t>
      </w:r>
    </w:p>
    <w:p w14:paraId="40E98F13">
      <w:pPr>
        <w:keepNext w:val="0"/>
        <w:keepLines w:val="0"/>
        <w:pageBreakBefore w:val="0"/>
        <w:wordWrap/>
        <w:overflowPunct/>
        <w:topLinePunct w:val="0"/>
        <w:bidi w:val="0"/>
        <w:spacing w:line="600" w:lineRule="exact"/>
        <w:ind w:left="0" w:firstLine="596" w:firstLineChars="200"/>
        <w:rPr>
          <w:rFonts w:ascii="黑体" w:hAnsi="黑体" w:eastAsia="黑体" w:cs="黑体"/>
          <w:spacing w:val="-11"/>
          <w:sz w:val="32"/>
          <w:szCs w:val="32"/>
        </w:rPr>
      </w:pPr>
      <w:r>
        <w:rPr>
          <w:rFonts w:ascii="黑体" w:hAnsi="黑体" w:eastAsia="黑体" w:cs="黑体"/>
          <w:spacing w:val="-11"/>
          <w:sz w:val="32"/>
          <w:szCs w:val="32"/>
        </w:rPr>
        <w:t>十、</w:t>
      </w:r>
      <w:r>
        <w:rPr>
          <w:rFonts w:ascii="黑体" w:hAnsi="黑体" w:eastAsia="黑体" w:cs="黑体"/>
          <w:spacing w:val="-54"/>
          <w:sz w:val="32"/>
          <w:szCs w:val="32"/>
        </w:rPr>
        <w:t xml:space="preserve"> </w:t>
      </w:r>
      <w:r>
        <w:rPr>
          <w:rFonts w:ascii="黑体" w:hAnsi="黑体" w:eastAsia="黑体" w:cs="黑体"/>
          <w:spacing w:val="-11"/>
          <w:sz w:val="32"/>
          <w:szCs w:val="32"/>
        </w:rPr>
        <w:t>其他需要说明的情况</w:t>
      </w:r>
    </w:p>
    <w:p w14:paraId="75621F54">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无。</w:t>
      </w:r>
    </w:p>
    <w:p w14:paraId="7F5FCC2F">
      <w:pPr>
        <w:pStyle w:val="2"/>
        <w:keepNext w:val="0"/>
        <w:keepLines w:val="0"/>
        <w:pageBreakBefore w:val="0"/>
        <w:wordWrap/>
        <w:overflowPunct/>
        <w:topLinePunct w:val="0"/>
        <w:bidi w:val="0"/>
        <w:spacing w:line="600" w:lineRule="exact"/>
        <w:ind w:left="0"/>
      </w:pPr>
    </w:p>
    <w:p w14:paraId="387DC0EC">
      <w:pPr>
        <w:keepNext w:val="0"/>
        <w:keepLines w:val="0"/>
        <w:pageBreakBefore w:val="0"/>
        <w:wordWrap/>
        <w:overflowPunct/>
        <w:topLinePunct w:val="0"/>
        <w:bidi w:val="0"/>
        <w:spacing w:line="600" w:lineRule="exact"/>
        <w:ind w:left="0"/>
        <w:rPr>
          <w:rFonts w:hint="eastAsia" w:ascii="仿宋" w:hAnsi="仿宋" w:eastAsia="仿宋" w:cs="仿宋"/>
          <w:spacing w:val="37"/>
          <w:sz w:val="32"/>
          <w:szCs w:val="32"/>
          <w:lang w:val="en-US" w:eastAsia="zh-CN"/>
        </w:rPr>
      </w:pPr>
      <w:r>
        <w:rPr>
          <w:rFonts w:ascii="仿宋" w:hAnsi="仿宋" w:eastAsia="仿宋" w:cs="仿宋"/>
          <w:spacing w:val="37"/>
          <w:sz w:val="32"/>
          <w:szCs w:val="32"/>
        </w:rPr>
        <w:t>附件：</w:t>
      </w:r>
      <w:r>
        <w:rPr>
          <w:rFonts w:hint="eastAsia" w:ascii="仿宋" w:hAnsi="仿宋" w:eastAsia="仿宋" w:cs="仿宋"/>
          <w:spacing w:val="37"/>
          <w:sz w:val="32"/>
          <w:szCs w:val="32"/>
          <w:lang w:val="en-US" w:eastAsia="zh-CN"/>
        </w:rPr>
        <w:t xml:space="preserve"> </w:t>
      </w:r>
    </w:p>
    <w:p w14:paraId="67E9EF45">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1、整体支出绩效评价基础数据表</w:t>
      </w:r>
    </w:p>
    <w:p w14:paraId="09609A09">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2、整体支出绩效自评表</w:t>
      </w:r>
    </w:p>
    <w:p w14:paraId="665B6CF1">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 w:hAnsi="仿宋" w:eastAsia="仿宋" w:cs="仿宋"/>
          <w:i w:val="0"/>
          <w:iCs w:val="0"/>
          <w:caps w:val="0"/>
          <w:snapToGrid w:val="0"/>
          <w:color w:val="000000"/>
          <w:spacing w:val="0"/>
          <w:kern w:val="0"/>
          <w:sz w:val="32"/>
          <w:szCs w:val="32"/>
          <w:shd w:val="clear" w:fill="FFFFFF"/>
          <w:lang w:val="en-US" w:eastAsia="zh-CN" w:bidi="ar"/>
        </w:rPr>
      </w:pPr>
      <w:r>
        <w:rPr>
          <w:rFonts w:hint="eastAsia" w:ascii="仿宋" w:hAnsi="仿宋" w:eastAsia="仿宋" w:cs="仿宋"/>
          <w:i w:val="0"/>
          <w:iCs w:val="0"/>
          <w:caps w:val="0"/>
          <w:snapToGrid w:val="0"/>
          <w:color w:val="000000"/>
          <w:spacing w:val="0"/>
          <w:kern w:val="0"/>
          <w:sz w:val="32"/>
          <w:szCs w:val="32"/>
          <w:shd w:val="clear" w:fill="FFFFFF"/>
          <w:lang w:val="en-US" w:eastAsia="zh-CN" w:bidi="ar"/>
        </w:rPr>
        <w:t>3、项目支出绩效自评表</w:t>
      </w:r>
    </w:p>
    <w:p w14:paraId="157B4A2E">
      <w:pPr>
        <w:rPr>
          <w:rFonts w:ascii="仿宋" w:hAnsi="仿宋" w:eastAsia="仿宋" w:cs="仿宋"/>
          <w:spacing w:val="35"/>
          <w:sz w:val="32"/>
          <w:szCs w:val="32"/>
        </w:rPr>
      </w:pPr>
      <w:r>
        <w:rPr>
          <w:rFonts w:ascii="仿宋" w:hAnsi="仿宋" w:eastAsia="仿宋" w:cs="仿宋"/>
          <w:spacing w:val="35"/>
          <w:sz w:val="32"/>
          <w:szCs w:val="32"/>
        </w:rPr>
        <w:br w:type="page"/>
      </w:r>
    </w:p>
    <w:p w14:paraId="70CE4192">
      <w:pPr>
        <w:widowControl w:val="0"/>
        <w:kinsoku/>
        <w:autoSpaceDE/>
        <w:autoSpaceDN/>
        <w:adjustRightInd/>
        <w:snapToGrid/>
        <w:spacing w:after="120" w:afterLines="50" w:line="600" w:lineRule="exact"/>
        <w:jc w:val="both"/>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1</w:t>
      </w:r>
    </w:p>
    <w:p w14:paraId="6EED4F1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napToGrid/>
          <w:sz w:val="36"/>
          <w:szCs w:val="36"/>
          <w:highlight w:val="none"/>
          <w:lang w:eastAsia="zh-CN"/>
        </w:rPr>
      </w:pPr>
      <w:r>
        <w:rPr>
          <w:rFonts w:hint="eastAsia" w:ascii="方正小标宋简体" w:hAnsi="方正小标宋简体" w:eastAsia="方正小标宋简体" w:cs="方正小标宋简体"/>
          <w:snapToGrid/>
          <w:sz w:val="36"/>
          <w:szCs w:val="36"/>
          <w:highlight w:val="none"/>
          <w:lang w:eastAsia="zh-CN"/>
        </w:rPr>
        <w:t>202</w:t>
      </w:r>
      <w:r>
        <w:rPr>
          <w:rFonts w:hint="eastAsia" w:ascii="方正小标宋简体" w:hAnsi="方正小标宋简体" w:eastAsia="方正小标宋简体" w:cs="方正小标宋简体"/>
          <w:snapToGrid/>
          <w:sz w:val="36"/>
          <w:szCs w:val="36"/>
          <w:highlight w:val="none"/>
          <w:lang w:val="en-US" w:eastAsia="zh-CN"/>
        </w:rPr>
        <w:t>5</w:t>
      </w:r>
      <w:r>
        <w:rPr>
          <w:rFonts w:hint="eastAsia" w:ascii="方正小标宋简体" w:hAnsi="方正小标宋简体" w:eastAsia="方正小标宋简体" w:cs="方正小标宋简体"/>
          <w:snapToGrid/>
          <w:sz w:val="36"/>
          <w:szCs w:val="36"/>
          <w:highlight w:val="none"/>
          <w:lang w:eastAsia="zh-CN"/>
        </w:rPr>
        <w:t>年度岳阳市岳阳楼区西塘镇人民政府</w:t>
      </w:r>
    </w:p>
    <w:p w14:paraId="259256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方正小标宋简体" w:hAnsi="方正小标宋简体" w:eastAsia="方正小标宋简体" w:cs="方正小标宋简体"/>
          <w:snapToGrid/>
          <w:sz w:val="36"/>
          <w:szCs w:val="36"/>
          <w:highlight w:val="none"/>
          <w:lang w:eastAsia="zh-CN"/>
        </w:rPr>
        <w:t>整体支出绩效评价基础数据表</w:t>
      </w:r>
    </w:p>
    <w:tbl>
      <w:tblPr>
        <w:tblStyle w:val="5"/>
        <w:tblW w:w="9673" w:type="dxa"/>
        <w:jc w:val="center"/>
        <w:tblLayout w:type="fixed"/>
        <w:tblCellMar>
          <w:top w:w="0" w:type="dxa"/>
          <w:left w:w="108" w:type="dxa"/>
          <w:bottom w:w="0" w:type="dxa"/>
          <w:right w:w="108" w:type="dxa"/>
        </w:tblCellMar>
      </w:tblPr>
      <w:tblGrid>
        <w:gridCol w:w="3354"/>
        <w:gridCol w:w="1189"/>
        <w:gridCol w:w="849"/>
        <w:gridCol w:w="959"/>
        <w:gridCol w:w="1193"/>
        <w:gridCol w:w="1065"/>
        <w:gridCol w:w="1064"/>
      </w:tblGrid>
      <w:tr w14:paraId="0D37D9B6">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2DED2C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305C09B1">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152" w:type="dxa"/>
            <w:gridSpan w:val="2"/>
            <w:tcBorders>
              <w:top w:val="single" w:color="auto" w:sz="4" w:space="0"/>
              <w:left w:val="nil"/>
              <w:bottom w:val="single" w:color="auto" w:sz="4" w:space="0"/>
              <w:right w:val="single" w:color="auto" w:sz="4" w:space="0"/>
            </w:tcBorders>
            <w:noWrap w:val="0"/>
            <w:vAlign w:val="center"/>
          </w:tcPr>
          <w:p w14:paraId="0D5BCF2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5</w:t>
            </w:r>
            <w:r>
              <w:rPr>
                <w:rFonts w:hint="eastAsia" w:ascii="仿宋_GB2312" w:hAnsi="仿宋_GB2312" w:eastAsia="仿宋_GB2312" w:cs="仿宋_GB2312"/>
                <w:b/>
                <w:bCs/>
                <w:snapToGrid/>
                <w:sz w:val="20"/>
                <w:szCs w:val="20"/>
                <w:highlight w:val="none"/>
                <w:lang w:eastAsia="zh-CN"/>
              </w:rPr>
              <w:t>年实际在职人数</w:t>
            </w:r>
          </w:p>
        </w:tc>
        <w:tc>
          <w:tcPr>
            <w:tcW w:w="2129" w:type="dxa"/>
            <w:gridSpan w:val="2"/>
            <w:tcBorders>
              <w:top w:val="single" w:color="auto" w:sz="4" w:space="0"/>
              <w:left w:val="nil"/>
              <w:bottom w:val="single" w:color="auto" w:sz="4" w:space="0"/>
              <w:right w:val="single" w:color="auto" w:sz="4" w:space="0"/>
            </w:tcBorders>
            <w:noWrap w:val="0"/>
            <w:vAlign w:val="center"/>
          </w:tcPr>
          <w:p w14:paraId="267E96F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069B7EC1">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4CE2E59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038" w:type="dxa"/>
            <w:gridSpan w:val="2"/>
            <w:tcBorders>
              <w:top w:val="single" w:color="auto" w:sz="4" w:space="0"/>
              <w:left w:val="nil"/>
              <w:bottom w:val="single" w:color="auto" w:sz="4" w:space="0"/>
              <w:right w:val="single" w:color="auto" w:sz="4" w:space="0"/>
            </w:tcBorders>
            <w:noWrap w:val="0"/>
            <w:vAlign w:val="center"/>
          </w:tcPr>
          <w:p w14:paraId="3ECB9067">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141</w:t>
            </w:r>
          </w:p>
        </w:tc>
        <w:tc>
          <w:tcPr>
            <w:tcW w:w="2152" w:type="dxa"/>
            <w:gridSpan w:val="2"/>
            <w:tcBorders>
              <w:top w:val="single" w:color="auto" w:sz="4" w:space="0"/>
              <w:left w:val="nil"/>
              <w:bottom w:val="single" w:color="auto" w:sz="4" w:space="0"/>
              <w:right w:val="single" w:color="auto" w:sz="4" w:space="0"/>
            </w:tcBorders>
            <w:noWrap w:val="0"/>
            <w:vAlign w:val="center"/>
          </w:tcPr>
          <w:p w14:paraId="3B8C2F1A">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141</w:t>
            </w:r>
          </w:p>
        </w:tc>
        <w:tc>
          <w:tcPr>
            <w:tcW w:w="2129" w:type="dxa"/>
            <w:gridSpan w:val="2"/>
            <w:tcBorders>
              <w:top w:val="single" w:color="auto" w:sz="4" w:space="0"/>
              <w:left w:val="nil"/>
              <w:bottom w:val="single" w:color="auto" w:sz="4" w:space="0"/>
              <w:right w:val="single" w:color="auto" w:sz="4" w:space="0"/>
            </w:tcBorders>
            <w:noWrap w:val="0"/>
            <w:vAlign w:val="center"/>
          </w:tcPr>
          <w:p w14:paraId="7A994068">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100.00%</w:t>
            </w:r>
          </w:p>
        </w:tc>
      </w:tr>
      <w:tr w14:paraId="7354F0A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363BC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4D6521D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c>
          <w:tcPr>
            <w:tcW w:w="2152" w:type="dxa"/>
            <w:gridSpan w:val="2"/>
            <w:tcBorders>
              <w:top w:val="single" w:color="auto" w:sz="4" w:space="0"/>
              <w:left w:val="nil"/>
              <w:bottom w:val="single" w:color="auto" w:sz="4" w:space="0"/>
              <w:right w:val="single" w:color="000000" w:sz="4" w:space="0"/>
            </w:tcBorders>
            <w:noWrap w:val="0"/>
            <w:vAlign w:val="center"/>
          </w:tcPr>
          <w:p w14:paraId="0061C35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5</w:t>
            </w:r>
            <w:r>
              <w:rPr>
                <w:rFonts w:hint="eastAsia" w:ascii="仿宋_GB2312" w:hAnsi="仿宋_GB2312" w:eastAsia="仿宋_GB2312" w:cs="仿宋_GB2312"/>
                <w:b/>
                <w:bCs/>
                <w:snapToGrid/>
                <w:sz w:val="20"/>
                <w:szCs w:val="20"/>
                <w:highlight w:val="none"/>
                <w:lang w:eastAsia="zh-CN"/>
              </w:rPr>
              <w:t>年预算数</w:t>
            </w:r>
          </w:p>
        </w:tc>
        <w:tc>
          <w:tcPr>
            <w:tcW w:w="2129" w:type="dxa"/>
            <w:gridSpan w:val="2"/>
            <w:tcBorders>
              <w:top w:val="single" w:color="auto" w:sz="4" w:space="0"/>
              <w:left w:val="nil"/>
              <w:bottom w:val="single" w:color="auto" w:sz="4" w:space="0"/>
              <w:right w:val="single" w:color="000000" w:sz="4" w:space="0"/>
            </w:tcBorders>
            <w:noWrap w:val="0"/>
            <w:vAlign w:val="center"/>
          </w:tcPr>
          <w:p w14:paraId="41B4859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5</w:t>
            </w:r>
            <w:r>
              <w:rPr>
                <w:rFonts w:hint="eastAsia" w:ascii="仿宋_GB2312" w:hAnsi="仿宋_GB2312" w:eastAsia="仿宋_GB2312" w:cs="仿宋_GB2312"/>
                <w:b/>
                <w:bCs/>
                <w:snapToGrid/>
                <w:sz w:val="20"/>
                <w:szCs w:val="20"/>
                <w:highlight w:val="none"/>
                <w:lang w:eastAsia="zh-CN"/>
              </w:rPr>
              <w:t>年决算数</w:t>
            </w:r>
          </w:p>
        </w:tc>
      </w:tr>
      <w:tr w14:paraId="2F9206F0">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DA786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D57965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A85A2A3">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0.00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5BD8D795">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0.00</w:t>
            </w:r>
          </w:p>
        </w:tc>
      </w:tr>
      <w:tr w14:paraId="1B55A24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CCE8A5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DCFB99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DB1231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7BE1197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337B77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671D7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157A5C7C">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416626D7">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49DC955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65FC2C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9D9F9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7C9B6A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3C1F451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09445EB7">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33FDDD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B4D01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B8B17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74A0EB73">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7F11069">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0C526391">
        <w:tblPrEx>
          <w:tblCellMar>
            <w:top w:w="0" w:type="dxa"/>
            <w:left w:w="108" w:type="dxa"/>
            <w:bottom w:w="0" w:type="dxa"/>
            <w:right w:w="108" w:type="dxa"/>
          </w:tblCellMar>
        </w:tblPrEx>
        <w:trPr>
          <w:trHeight w:val="34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476CF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1B26A98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187740DD">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6B46D73">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46C370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CB064A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4BCA3459">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3383.13</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65E7F7E5">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390</w:t>
            </w:r>
            <w:r>
              <w:rPr>
                <w:rFonts w:hint="eastAsia" w:ascii="仿宋_GB2312" w:hAnsi="仿宋_GB2312" w:eastAsia="仿宋_GB2312" w:cs="仿宋_GB2312"/>
                <w:snapToGrid/>
                <w:kern w:val="0"/>
                <w:sz w:val="20"/>
                <w:szCs w:val="20"/>
                <w:highlight w:val="none"/>
                <w:lang w:val="en-US" w:eastAsia="zh-CN" w:bidi="ar-SA"/>
              </w:rPr>
              <w:t>.00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38068685">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3509.00</w:t>
            </w:r>
          </w:p>
        </w:tc>
      </w:tr>
      <w:tr w14:paraId="1ADC39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7B615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eastAsia="zh-CN"/>
              </w:rPr>
              <w:t>1、</w:t>
            </w:r>
            <w:r>
              <w:rPr>
                <w:rFonts w:hint="eastAsia" w:ascii="仿宋_GB2312" w:hAnsi="仿宋_GB2312" w:eastAsia="仿宋_GB2312" w:cs="仿宋_GB2312"/>
                <w:snapToGrid/>
                <w:sz w:val="20"/>
                <w:szCs w:val="20"/>
                <w:highlight w:val="none"/>
                <w:lang w:val="en-US" w:eastAsia="zh-CN"/>
              </w:rPr>
              <w:t>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3F7C82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134.57</w:t>
            </w:r>
          </w:p>
        </w:tc>
        <w:tc>
          <w:tcPr>
            <w:tcW w:w="2152" w:type="dxa"/>
            <w:gridSpan w:val="2"/>
            <w:tcBorders>
              <w:top w:val="single" w:color="auto" w:sz="4" w:space="0"/>
              <w:left w:val="nil"/>
              <w:bottom w:val="single" w:color="auto" w:sz="4" w:space="0"/>
              <w:right w:val="single" w:color="000000" w:sz="4" w:space="0"/>
            </w:tcBorders>
            <w:noWrap w:val="0"/>
            <w:vAlign w:val="center"/>
          </w:tcPr>
          <w:p w14:paraId="6192202A">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15</w:t>
            </w:r>
            <w:r>
              <w:rPr>
                <w:rFonts w:hint="eastAsia" w:ascii="仿宋_GB2312" w:hAnsi="仿宋_GB2312" w:eastAsia="仿宋_GB2312" w:cs="仿宋_GB2312"/>
                <w:snapToGrid/>
                <w:kern w:val="0"/>
                <w:sz w:val="20"/>
                <w:szCs w:val="20"/>
                <w:highlight w:val="none"/>
                <w:lang w:val="en-US" w:eastAsia="zh-CN" w:bidi="ar-SA"/>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6A5DBB4F">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15.00</w:t>
            </w:r>
          </w:p>
        </w:tc>
      </w:tr>
      <w:tr w14:paraId="3CFC1EA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7BF1F85">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乡镇人大事务经费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B7F72C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134.57</w:t>
            </w:r>
          </w:p>
        </w:tc>
        <w:tc>
          <w:tcPr>
            <w:tcW w:w="2152" w:type="dxa"/>
            <w:gridSpan w:val="2"/>
            <w:tcBorders>
              <w:top w:val="single" w:color="auto" w:sz="4" w:space="0"/>
              <w:left w:val="nil"/>
              <w:bottom w:val="single" w:color="auto" w:sz="4" w:space="0"/>
              <w:right w:val="single" w:color="000000" w:sz="4" w:space="0"/>
            </w:tcBorders>
            <w:noWrap w:val="0"/>
            <w:vAlign w:val="center"/>
          </w:tcPr>
          <w:p w14:paraId="6D6498E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15</w:t>
            </w:r>
            <w:r>
              <w:rPr>
                <w:rFonts w:hint="eastAsia" w:ascii="仿宋_GB2312" w:hAnsi="仿宋_GB2312" w:eastAsia="仿宋_GB2312" w:cs="仿宋_GB2312"/>
                <w:snapToGrid/>
                <w:kern w:val="0"/>
                <w:sz w:val="20"/>
                <w:szCs w:val="20"/>
                <w:highlight w:val="none"/>
                <w:lang w:val="en-US" w:eastAsia="zh-CN" w:bidi="ar-SA"/>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53F91F83">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15.00</w:t>
            </w:r>
          </w:p>
        </w:tc>
      </w:tr>
      <w:tr w14:paraId="2256B6C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6415A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w:t>
            </w:r>
            <w:r>
              <w:rPr>
                <w:rFonts w:hint="eastAsia" w:ascii="仿宋_GB2312" w:hAnsi="仿宋_GB2312" w:eastAsia="仿宋_GB2312" w:cs="仿宋_GB2312"/>
                <w:snapToGrid/>
                <w:sz w:val="20"/>
                <w:szCs w:val="20"/>
                <w:highlight w:val="none"/>
                <w:lang w:eastAsia="zh-CN"/>
              </w:rPr>
              <w:t>、</w:t>
            </w:r>
            <w:r>
              <w:rPr>
                <w:rFonts w:hint="eastAsia" w:ascii="仿宋_GB2312" w:hAnsi="仿宋_GB2312" w:eastAsia="仿宋_GB2312" w:cs="仿宋_GB2312"/>
                <w:snapToGrid/>
                <w:kern w:val="2"/>
                <w:sz w:val="20"/>
                <w:szCs w:val="20"/>
                <w:highlight w:val="none"/>
                <w:lang w:eastAsia="zh-CN"/>
              </w:rPr>
              <w:t>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89AB0A0">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3F477A2">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375</w:t>
            </w:r>
            <w:r>
              <w:rPr>
                <w:rFonts w:hint="eastAsia" w:ascii="仿宋_GB2312" w:hAnsi="仿宋_GB2312" w:eastAsia="仿宋_GB2312" w:cs="仿宋_GB2312"/>
                <w:snapToGrid/>
                <w:kern w:val="0"/>
                <w:sz w:val="20"/>
                <w:szCs w:val="20"/>
                <w:highlight w:val="none"/>
                <w:lang w:val="en-US" w:eastAsia="zh-CN" w:bidi="ar-SA"/>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261AF98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323.47</w:t>
            </w:r>
          </w:p>
        </w:tc>
      </w:tr>
      <w:tr w14:paraId="111D88F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7218180">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环卫清扫人工费</w:t>
            </w:r>
          </w:p>
        </w:tc>
        <w:tc>
          <w:tcPr>
            <w:tcW w:w="2038" w:type="dxa"/>
            <w:gridSpan w:val="2"/>
            <w:tcBorders>
              <w:top w:val="single" w:color="auto" w:sz="4" w:space="0"/>
              <w:left w:val="nil"/>
              <w:bottom w:val="single" w:color="auto" w:sz="4" w:space="0"/>
              <w:right w:val="single" w:color="000000" w:sz="4" w:space="0"/>
            </w:tcBorders>
            <w:noWrap w:val="0"/>
            <w:vAlign w:val="center"/>
          </w:tcPr>
          <w:p w14:paraId="4E226C6A">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2F2B4E7F">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375</w:t>
            </w:r>
            <w:r>
              <w:rPr>
                <w:rFonts w:hint="eastAsia" w:ascii="仿宋_GB2312" w:hAnsi="仿宋_GB2312" w:eastAsia="仿宋_GB2312" w:cs="仿宋_GB2312"/>
                <w:snapToGrid/>
                <w:kern w:val="0"/>
                <w:sz w:val="20"/>
                <w:szCs w:val="20"/>
                <w:highlight w:val="none"/>
                <w:lang w:val="en-US" w:eastAsia="zh-CN" w:bidi="ar-SA"/>
              </w:rPr>
              <w:t>.00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2094019">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323.47</w:t>
            </w:r>
          </w:p>
        </w:tc>
      </w:tr>
      <w:tr w14:paraId="1E3CB7F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90295A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w:t>
            </w:r>
            <w:r>
              <w:rPr>
                <w:rFonts w:hint="eastAsia" w:ascii="仿宋_GB2312" w:hAnsi="仿宋_GB2312" w:eastAsia="仿宋_GB2312" w:cs="仿宋_GB2312"/>
                <w:snapToGrid/>
                <w:sz w:val="20"/>
                <w:szCs w:val="20"/>
                <w:highlight w:val="none"/>
                <w:lang w:eastAsia="zh-CN"/>
              </w:rPr>
              <w:t>、专项资金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43CE24C9">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3248.56</w:t>
            </w:r>
          </w:p>
        </w:tc>
        <w:tc>
          <w:tcPr>
            <w:tcW w:w="2152" w:type="dxa"/>
            <w:gridSpan w:val="2"/>
            <w:tcBorders>
              <w:top w:val="single" w:color="auto" w:sz="4" w:space="0"/>
              <w:left w:val="nil"/>
              <w:bottom w:val="single" w:color="auto" w:sz="4" w:space="0"/>
              <w:right w:val="single" w:color="000000" w:sz="4" w:space="0"/>
            </w:tcBorders>
            <w:noWrap w:val="0"/>
            <w:vAlign w:val="center"/>
          </w:tcPr>
          <w:p w14:paraId="7E419DE7">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25A356A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3170.53</w:t>
            </w:r>
          </w:p>
        </w:tc>
      </w:tr>
      <w:tr w14:paraId="0DE0D17B">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A6BA8E">
            <w:pPr>
              <w:widowControl/>
              <w:kinsoku/>
              <w:autoSpaceDE/>
              <w:autoSpaceDN/>
              <w:adjustRightInd/>
              <w:snapToGrid/>
              <w:spacing w:line="360" w:lineRule="exact"/>
              <w:ind w:firstLine="400" w:firstLineChars="200"/>
              <w:jc w:val="left"/>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机场群贤安置点相关费用</w:t>
            </w:r>
          </w:p>
        </w:tc>
        <w:tc>
          <w:tcPr>
            <w:tcW w:w="2038" w:type="dxa"/>
            <w:gridSpan w:val="2"/>
            <w:tcBorders>
              <w:top w:val="single" w:color="auto" w:sz="4" w:space="0"/>
              <w:left w:val="nil"/>
              <w:bottom w:val="single" w:color="auto" w:sz="4" w:space="0"/>
              <w:right w:val="single" w:color="000000" w:sz="4" w:space="0"/>
            </w:tcBorders>
            <w:noWrap w:val="0"/>
            <w:vAlign w:val="center"/>
          </w:tcPr>
          <w:p w14:paraId="2A9EB1DD">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40.60</w:t>
            </w:r>
          </w:p>
        </w:tc>
        <w:tc>
          <w:tcPr>
            <w:tcW w:w="2152" w:type="dxa"/>
            <w:gridSpan w:val="2"/>
            <w:tcBorders>
              <w:top w:val="single" w:color="auto" w:sz="4" w:space="0"/>
              <w:left w:val="nil"/>
              <w:bottom w:val="single" w:color="auto" w:sz="4" w:space="0"/>
              <w:right w:val="single" w:color="000000" w:sz="4" w:space="0"/>
            </w:tcBorders>
            <w:noWrap w:val="0"/>
            <w:vAlign w:val="center"/>
          </w:tcPr>
          <w:p w14:paraId="5484922A">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50659766">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kern w:val="0"/>
                <w:sz w:val="20"/>
                <w:szCs w:val="20"/>
                <w:highlight w:val="none"/>
                <w:lang w:val="en-US" w:eastAsia="zh-CN" w:bidi="ar-SA"/>
              </w:rPr>
              <w:t>1595</w:t>
            </w:r>
            <w:r>
              <w:rPr>
                <w:rFonts w:hint="eastAsia" w:ascii="仿宋_GB2312" w:hAnsi="仿宋_GB2312" w:eastAsia="仿宋_GB2312" w:cs="仿宋_GB2312"/>
                <w:snapToGrid/>
                <w:kern w:val="0"/>
                <w:sz w:val="20"/>
                <w:szCs w:val="20"/>
                <w:highlight w:val="none"/>
                <w:lang w:val="en-US" w:eastAsia="zh-CN" w:bidi="ar-SA"/>
              </w:rPr>
              <w:t>.00</w:t>
            </w:r>
          </w:p>
        </w:tc>
      </w:tr>
      <w:tr w14:paraId="2C414F6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7F177F">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2022年第二批省级生态廊道建设补助资金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648F601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65.00</w:t>
            </w:r>
          </w:p>
        </w:tc>
        <w:tc>
          <w:tcPr>
            <w:tcW w:w="2152" w:type="dxa"/>
            <w:gridSpan w:val="2"/>
            <w:tcBorders>
              <w:top w:val="single" w:color="auto" w:sz="4" w:space="0"/>
              <w:left w:val="nil"/>
              <w:bottom w:val="single" w:color="auto" w:sz="4" w:space="0"/>
              <w:right w:val="single" w:color="000000" w:sz="4" w:space="0"/>
            </w:tcBorders>
            <w:noWrap w:val="0"/>
            <w:vAlign w:val="center"/>
          </w:tcPr>
          <w:p w14:paraId="21627D42">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6E9CDF2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148E400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A250EA6">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省级油茶产业项目资金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7A16FE9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50.00</w:t>
            </w:r>
          </w:p>
        </w:tc>
        <w:tc>
          <w:tcPr>
            <w:tcW w:w="2152" w:type="dxa"/>
            <w:gridSpan w:val="2"/>
            <w:tcBorders>
              <w:top w:val="single" w:color="auto" w:sz="4" w:space="0"/>
              <w:left w:val="nil"/>
              <w:bottom w:val="single" w:color="auto" w:sz="4" w:space="0"/>
              <w:right w:val="single" w:color="000000" w:sz="4" w:space="0"/>
            </w:tcBorders>
            <w:noWrap w:val="0"/>
            <w:vAlign w:val="center"/>
          </w:tcPr>
          <w:p w14:paraId="554B9C4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3430AE6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30ADAE8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1EBC29">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粮食生产发展资金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54241E92">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3092.96</w:t>
            </w:r>
          </w:p>
        </w:tc>
        <w:tc>
          <w:tcPr>
            <w:tcW w:w="2152" w:type="dxa"/>
            <w:gridSpan w:val="2"/>
            <w:tcBorders>
              <w:top w:val="single" w:color="auto" w:sz="4" w:space="0"/>
              <w:left w:val="nil"/>
              <w:bottom w:val="single" w:color="auto" w:sz="4" w:space="0"/>
              <w:right w:val="single" w:color="000000" w:sz="4" w:space="0"/>
            </w:tcBorders>
            <w:noWrap w:val="0"/>
            <w:vAlign w:val="center"/>
          </w:tcPr>
          <w:p w14:paraId="6B84605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2A4C501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0C6A730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1237ADE">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第二批资金含水果市场配套污水处理资金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3D7F33CC">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417BF5B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3F6772D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124.00</w:t>
            </w:r>
          </w:p>
        </w:tc>
      </w:tr>
      <w:tr w14:paraId="678B022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3ABFE1">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墓地遮绿工程</w:t>
            </w:r>
          </w:p>
        </w:tc>
        <w:tc>
          <w:tcPr>
            <w:tcW w:w="2038" w:type="dxa"/>
            <w:gridSpan w:val="2"/>
            <w:tcBorders>
              <w:top w:val="single" w:color="auto" w:sz="4" w:space="0"/>
              <w:left w:val="nil"/>
              <w:bottom w:val="single" w:color="auto" w:sz="4" w:space="0"/>
              <w:right w:val="single" w:color="000000" w:sz="4" w:space="0"/>
            </w:tcBorders>
            <w:noWrap w:val="0"/>
            <w:vAlign w:val="center"/>
          </w:tcPr>
          <w:p w14:paraId="708AC90F">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5355EE71">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5FC947E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65.72</w:t>
            </w:r>
          </w:p>
        </w:tc>
      </w:tr>
      <w:tr w14:paraId="26AF749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6D28AAD">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三荷集镇道路两侧护坡及地坪改造工程</w:t>
            </w:r>
          </w:p>
        </w:tc>
        <w:tc>
          <w:tcPr>
            <w:tcW w:w="2038" w:type="dxa"/>
            <w:gridSpan w:val="2"/>
            <w:tcBorders>
              <w:top w:val="single" w:color="auto" w:sz="4" w:space="0"/>
              <w:left w:val="nil"/>
              <w:bottom w:val="single" w:color="auto" w:sz="4" w:space="0"/>
              <w:right w:val="single" w:color="000000" w:sz="4" w:space="0"/>
            </w:tcBorders>
            <w:noWrap w:val="0"/>
            <w:vAlign w:val="center"/>
          </w:tcPr>
          <w:p w14:paraId="5B80440E">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010F7D07">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35FD4581">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100.00</w:t>
            </w:r>
          </w:p>
        </w:tc>
      </w:tr>
      <w:tr w14:paraId="41725AA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C0B829E">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三荷大道、X031县道沥青路面修复工程</w:t>
            </w:r>
          </w:p>
        </w:tc>
        <w:tc>
          <w:tcPr>
            <w:tcW w:w="2038" w:type="dxa"/>
            <w:gridSpan w:val="2"/>
            <w:tcBorders>
              <w:top w:val="single" w:color="auto" w:sz="4" w:space="0"/>
              <w:left w:val="nil"/>
              <w:bottom w:val="single" w:color="auto" w:sz="4" w:space="0"/>
              <w:right w:val="single" w:color="000000" w:sz="4" w:space="0"/>
            </w:tcBorders>
            <w:noWrap w:val="0"/>
            <w:vAlign w:val="center"/>
          </w:tcPr>
          <w:p w14:paraId="1518865F">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C2CD6A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50016A9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10.00</w:t>
            </w:r>
          </w:p>
        </w:tc>
      </w:tr>
      <w:tr w14:paraId="7D00910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939A06">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Y385、S209道路维修工程</w:t>
            </w:r>
          </w:p>
        </w:tc>
        <w:tc>
          <w:tcPr>
            <w:tcW w:w="2038" w:type="dxa"/>
            <w:gridSpan w:val="2"/>
            <w:tcBorders>
              <w:top w:val="single" w:color="auto" w:sz="4" w:space="0"/>
              <w:left w:val="nil"/>
              <w:bottom w:val="single" w:color="auto" w:sz="4" w:space="0"/>
              <w:right w:val="single" w:color="000000" w:sz="4" w:space="0"/>
            </w:tcBorders>
            <w:noWrap w:val="0"/>
            <w:vAlign w:val="center"/>
          </w:tcPr>
          <w:p w14:paraId="5D49CB4F">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028B7CC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0956FD7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11.50</w:t>
            </w:r>
          </w:p>
        </w:tc>
      </w:tr>
      <w:tr w14:paraId="05A3C09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1085F8E">
            <w:pPr>
              <w:widowControl/>
              <w:kinsoku/>
              <w:autoSpaceDE/>
              <w:autoSpaceDN/>
              <w:adjustRightInd/>
              <w:snapToGrid/>
              <w:spacing w:line="360" w:lineRule="exact"/>
              <w:ind w:firstLine="400" w:firstLineChars="200"/>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其他</w:t>
            </w:r>
            <w:r>
              <w:rPr>
                <w:rFonts w:hint="eastAsia" w:ascii="仿宋_GB2312" w:hAnsi="仿宋_GB2312" w:eastAsia="仿宋_GB2312" w:cs="仿宋_GB2312"/>
                <w:snapToGrid/>
                <w:sz w:val="20"/>
                <w:szCs w:val="20"/>
                <w:highlight w:val="none"/>
                <w:lang w:eastAsia="zh-CN"/>
              </w:rPr>
              <w:t>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29501852">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A56C409">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65378F24">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1264.31</w:t>
            </w:r>
          </w:p>
        </w:tc>
      </w:tr>
      <w:tr w14:paraId="3BD6BF83">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ED2A60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公用经费</w:t>
            </w:r>
          </w:p>
        </w:tc>
        <w:tc>
          <w:tcPr>
            <w:tcW w:w="2038" w:type="dxa"/>
            <w:gridSpan w:val="2"/>
            <w:tcBorders>
              <w:top w:val="single" w:color="auto" w:sz="4" w:space="0"/>
              <w:left w:val="nil"/>
              <w:bottom w:val="single" w:color="auto" w:sz="4" w:space="0"/>
              <w:right w:val="single" w:color="auto" w:sz="4" w:space="0"/>
            </w:tcBorders>
            <w:noWrap w:val="0"/>
            <w:vAlign w:val="center"/>
          </w:tcPr>
          <w:p w14:paraId="17C09E1E">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307.49</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255DAA6F">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279</w:t>
            </w:r>
            <w:r>
              <w:rPr>
                <w:rFonts w:hint="eastAsia" w:ascii="仿宋_GB2312" w:hAnsi="仿宋_GB2312" w:eastAsia="仿宋_GB2312" w:cs="仿宋_GB2312"/>
                <w:snapToGrid/>
                <w:color w:val="auto"/>
                <w:sz w:val="20"/>
                <w:szCs w:val="20"/>
                <w:highlight w:val="none"/>
                <w:lang w:val="en-US" w:eastAsia="zh-CN"/>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6A40EEFA">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bookmarkStart w:id="0" w:name="_GoBack"/>
            <w:r>
              <w:rPr>
                <w:rFonts w:hint="eastAsia" w:ascii="仿宋_GB2312" w:hAnsi="仿宋_GB2312" w:eastAsia="仿宋_GB2312" w:cs="仿宋_GB2312"/>
                <w:snapToGrid/>
                <w:kern w:val="0"/>
                <w:sz w:val="20"/>
                <w:szCs w:val="20"/>
                <w:highlight w:val="none"/>
                <w:lang w:val="en-US" w:eastAsia="zh-CN" w:bidi="ar-SA"/>
              </w:rPr>
              <w:t>1158.78</w:t>
            </w:r>
            <w:bookmarkEnd w:id="0"/>
          </w:p>
        </w:tc>
      </w:tr>
      <w:tr w14:paraId="428334CC">
        <w:tblPrEx>
          <w:tblCellMar>
            <w:top w:w="0" w:type="dxa"/>
            <w:left w:w="108" w:type="dxa"/>
            <w:bottom w:w="0" w:type="dxa"/>
            <w:right w:w="108" w:type="dxa"/>
          </w:tblCellMar>
        </w:tblPrEx>
        <w:trPr>
          <w:trHeight w:val="9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2E545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2B45866">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122.86</w:t>
            </w:r>
          </w:p>
        </w:tc>
        <w:tc>
          <w:tcPr>
            <w:tcW w:w="2152" w:type="dxa"/>
            <w:gridSpan w:val="2"/>
            <w:tcBorders>
              <w:top w:val="single" w:color="auto" w:sz="4" w:space="0"/>
              <w:left w:val="nil"/>
              <w:bottom w:val="single" w:color="auto" w:sz="4" w:space="0"/>
              <w:right w:val="single" w:color="000000" w:sz="4" w:space="0"/>
            </w:tcBorders>
            <w:noWrap w:val="0"/>
            <w:vAlign w:val="center"/>
          </w:tcPr>
          <w:p w14:paraId="03353911">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182</w:t>
            </w:r>
            <w:r>
              <w:rPr>
                <w:rFonts w:hint="eastAsia" w:ascii="仿宋_GB2312" w:hAnsi="仿宋_GB2312" w:eastAsia="仿宋_GB2312" w:cs="仿宋_GB2312"/>
                <w:snapToGrid/>
                <w:color w:val="auto"/>
                <w:sz w:val="20"/>
                <w:szCs w:val="20"/>
                <w:highlight w:val="none"/>
                <w:lang w:val="en-US" w:eastAsia="zh-CN"/>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291A85D6">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404.05</w:t>
            </w:r>
          </w:p>
        </w:tc>
      </w:tr>
      <w:tr w14:paraId="24F149C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FA328E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6928648E">
            <w:pPr>
              <w:widowControl/>
              <w:kinsoku/>
              <w:autoSpaceDE/>
              <w:autoSpaceDN/>
              <w:adjustRightInd/>
              <w:snapToGrid/>
              <w:spacing w:line="360" w:lineRule="exact"/>
              <w:jc w:val="center"/>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4.35</w:t>
            </w:r>
          </w:p>
        </w:tc>
        <w:tc>
          <w:tcPr>
            <w:tcW w:w="2152" w:type="dxa"/>
            <w:gridSpan w:val="2"/>
            <w:tcBorders>
              <w:top w:val="single" w:color="auto" w:sz="4" w:space="0"/>
              <w:left w:val="nil"/>
              <w:bottom w:val="single" w:color="auto" w:sz="4" w:space="0"/>
              <w:right w:val="single" w:color="000000" w:sz="4" w:space="0"/>
            </w:tcBorders>
            <w:noWrap w:val="0"/>
            <w:vAlign w:val="center"/>
          </w:tcPr>
          <w:p w14:paraId="635FA7FB">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50</w:t>
            </w:r>
            <w:r>
              <w:rPr>
                <w:rFonts w:hint="eastAsia" w:ascii="仿宋_GB2312" w:hAnsi="仿宋_GB2312" w:eastAsia="仿宋_GB2312" w:cs="仿宋_GB2312"/>
                <w:snapToGrid/>
                <w:color w:val="auto"/>
                <w:sz w:val="20"/>
                <w:szCs w:val="20"/>
                <w:highlight w:val="none"/>
                <w:lang w:val="en-US" w:eastAsia="zh-CN"/>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09F5F616">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56.04</w:t>
            </w:r>
          </w:p>
        </w:tc>
      </w:tr>
      <w:tr w14:paraId="39A920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7E772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8FD53BA">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0.00</w:t>
            </w:r>
          </w:p>
        </w:tc>
        <w:tc>
          <w:tcPr>
            <w:tcW w:w="2152" w:type="dxa"/>
            <w:gridSpan w:val="2"/>
            <w:tcBorders>
              <w:top w:val="single" w:color="auto" w:sz="4" w:space="0"/>
              <w:left w:val="nil"/>
              <w:bottom w:val="single" w:color="auto" w:sz="4" w:space="0"/>
              <w:right w:val="single" w:color="000000" w:sz="4" w:space="0"/>
            </w:tcBorders>
            <w:noWrap w:val="0"/>
            <w:vAlign w:val="center"/>
          </w:tcPr>
          <w:p w14:paraId="6DA1C291">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default" w:ascii="仿宋_GB2312" w:hAnsi="仿宋_GB2312" w:eastAsia="仿宋_GB2312" w:cs="仿宋_GB2312"/>
                <w:snapToGrid/>
                <w:color w:val="auto"/>
                <w:sz w:val="20"/>
                <w:szCs w:val="20"/>
                <w:highlight w:val="none"/>
                <w:lang w:val="en-US" w:eastAsia="zh-CN"/>
              </w:rPr>
              <w:t>10</w:t>
            </w:r>
            <w:r>
              <w:rPr>
                <w:rFonts w:hint="eastAsia" w:ascii="仿宋_GB2312" w:hAnsi="仿宋_GB2312" w:eastAsia="仿宋_GB2312" w:cs="仿宋_GB2312"/>
                <w:snapToGrid/>
                <w:color w:val="auto"/>
                <w:sz w:val="20"/>
                <w:szCs w:val="20"/>
                <w:highlight w:val="none"/>
                <w:lang w:val="en-US" w:eastAsia="zh-CN"/>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7895BCD2">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9.79</w:t>
            </w:r>
          </w:p>
        </w:tc>
      </w:tr>
      <w:tr w14:paraId="698A091C">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90A01B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038" w:type="dxa"/>
            <w:gridSpan w:val="2"/>
            <w:tcBorders>
              <w:top w:val="single" w:color="auto" w:sz="4" w:space="0"/>
              <w:left w:val="nil"/>
              <w:bottom w:val="single" w:color="auto" w:sz="4" w:space="0"/>
              <w:right w:val="single" w:color="auto" w:sz="4" w:space="0"/>
            </w:tcBorders>
            <w:noWrap w:val="0"/>
            <w:vAlign w:val="center"/>
          </w:tcPr>
          <w:p w14:paraId="50AF2EF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776.03</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77D3299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669</w:t>
            </w:r>
            <w:r>
              <w:rPr>
                <w:rFonts w:hint="eastAsia" w:ascii="仿宋_GB2312" w:hAnsi="仿宋_GB2312" w:eastAsia="仿宋_GB2312" w:cs="仿宋_GB2312"/>
                <w:snapToGrid/>
                <w:sz w:val="20"/>
                <w:szCs w:val="20"/>
                <w:highlight w:val="none"/>
                <w:lang w:val="en-US" w:eastAsia="zh-CN"/>
              </w:rPr>
              <w:t>.00</w:t>
            </w:r>
          </w:p>
        </w:tc>
        <w:tc>
          <w:tcPr>
            <w:tcW w:w="2129" w:type="dxa"/>
            <w:gridSpan w:val="2"/>
            <w:tcBorders>
              <w:top w:val="single" w:color="auto" w:sz="4" w:space="0"/>
              <w:left w:val="nil"/>
              <w:bottom w:val="single" w:color="auto" w:sz="4" w:space="0"/>
              <w:right w:val="single" w:color="000000" w:sz="4" w:space="0"/>
            </w:tcBorders>
            <w:noWrap w:val="0"/>
            <w:vAlign w:val="center"/>
          </w:tcPr>
          <w:p w14:paraId="2B0A36AF">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default" w:ascii="仿宋_GB2312" w:hAnsi="仿宋_GB2312" w:eastAsia="仿宋_GB2312" w:cs="仿宋_GB2312"/>
                <w:snapToGrid/>
                <w:sz w:val="20"/>
                <w:szCs w:val="20"/>
                <w:highlight w:val="none"/>
                <w:lang w:val="en-US" w:eastAsia="zh-CN"/>
              </w:rPr>
              <w:t>669</w:t>
            </w:r>
            <w:r>
              <w:rPr>
                <w:rFonts w:hint="eastAsia" w:ascii="仿宋_GB2312" w:hAnsi="仿宋_GB2312" w:eastAsia="仿宋_GB2312" w:cs="仿宋_GB2312"/>
                <w:snapToGrid/>
                <w:sz w:val="20"/>
                <w:szCs w:val="20"/>
                <w:highlight w:val="none"/>
                <w:lang w:val="en-US" w:eastAsia="zh-CN"/>
              </w:rPr>
              <w:t>.00</w:t>
            </w:r>
          </w:p>
        </w:tc>
      </w:tr>
      <w:tr w14:paraId="701C9D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2100E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部门基本支出预算调整</w:t>
            </w:r>
          </w:p>
        </w:tc>
        <w:tc>
          <w:tcPr>
            <w:tcW w:w="2038" w:type="dxa"/>
            <w:gridSpan w:val="2"/>
            <w:tcBorders>
              <w:top w:val="single" w:color="auto" w:sz="4" w:space="0"/>
              <w:left w:val="nil"/>
              <w:bottom w:val="single" w:color="auto" w:sz="4" w:space="0"/>
              <w:right w:val="single" w:color="auto" w:sz="4" w:space="0"/>
            </w:tcBorders>
            <w:noWrap w:val="0"/>
            <w:vAlign w:val="center"/>
          </w:tcPr>
          <w:p w14:paraId="42A3209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092D104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1207.36</w:t>
            </w:r>
          </w:p>
        </w:tc>
        <w:tc>
          <w:tcPr>
            <w:tcW w:w="2129" w:type="dxa"/>
            <w:gridSpan w:val="2"/>
            <w:tcBorders>
              <w:top w:val="single" w:color="auto" w:sz="4" w:space="0"/>
              <w:left w:val="nil"/>
              <w:bottom w:val="single" w:color="auto" w:sz="4" w:space="0"/>
              <w:right w:val="single" w:color="000000" w:sz="4" w:space="0"/>
            </w:tcBorders>
            <w:noWrap w:val="0"/>
            <w:vAlign w:val="center"/>
          </w:tcPr>
          <w:p w14:paraId="74B7233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r>
      <w:tr w14:paraId="2335DE5E">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176A75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p>
          <w:p w14:paraId="27F70CC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5</w:t>
            </w:r>
            <w:r>
              <w:rPr>
                <w:rFonts w:hint="eastAsia" w:ascii="仿宋_GB2312" w:hAnsi="仿宋_GB2312" w:eastAsia="仿宋_GB2312" w:cs="仿宋_GB2312"/>
                <w:snapToGrid/>
                <w:sz w:val="20"/>
                <w:szCs w:val="20"/>
                <w:highlight w:val="none"/>
                <w:lang w:eastAsia="zh-CN"/>
              </w:rPr>
              <w:t>年完工项目）</w:t>
            </w:r>
          </w:p>
        </w:tc>
        <w:tc>
          <w:tcPr>
            <w:tcW w:w="1189" w:type="dxa"/>
            <w:tcBorders>
              <w:top w:val="single" w:color="auto" w:sz="4" w:space="0"/>
              <w:left w:val="nil"/>
              <w:bottom w:val="single" w:color="auto" w:sz="4" w:space="0"/>
              <w:right w:val="single" w:color="auto" w:sz="4" w:space="0"/>
            </w:tcBorders>
            <w:noWrap w:val="0"/>
            <w:vAlign w:val="center"/>
          </w:tcPr>
          <w:p w14:paraId="346C890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批复规模</w:t>
            </w:r>
          </w:p>
          <w:p w14:paraId="457C80CD">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w:t>
            </w:r>
          </w:p>
        </w:tc>
        <w:tc>
          <w:tcPr>
            <w:tcW w:w="849" w:type="dxa"/>
            <w:tcBorders>
              <w:top w:val="single" w:color="auto" w:sz="4" w:space="0"/>
              <w:left w:val="nil"/>
              <w:bottom w:val="single" w:color="auto" w:sz="4" w:space="0"/>
              <w:right w:val="single" w:color="auto" w:sz="4" w:space="0"/>
            </w:tcBorders>
            <w:noWrap w:val="0"/>
            <w:vAlign w:val="center"/>
          </w:tcPr>
          <w:p w14:paraId="3B4307F4">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实际规模（㎡）</w:t>
            </w:r>
          </w:p>
        </w:tc>
        <w:tc>
          <w:tcPr>
            <w:tcW w:w="959" w:type="dxa"/>
            <w:tcBorders>
              <w:top w:val="nil"/>
              <w:left w:val="nil"/>
              <w:bottom w:val="single" w:color="auto" w:sz="4" w:space="0"/>
              <w:right w:val="single" w:color="auto" w:sz="4" w:space="0"/>
            </w:tcBorders>
            <w:noWrap w:val="0"/>
            <w:vAlign w:val="center"/>
          </w:tcPr>
          <w:p w14:paraId="499EC8B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规模控制率</w:t>
            </w:r>
          </w:p>
        </w:tc>
        <w:tc>
          <w:tcPr>
            <w:tcW w:w="1193" w:type="dxa"/>
            <w:tcBorders>
              <w:top w:val="nil"/>
              <w:left w:val="nil"/>
              <w:bottom w:val="single" w:color="auto" w:sz="4" w:space="0"/>
              <w:right w:val="single" w:color="auto" w:sz="4" w:space="0"/>
            </w:tcBorders>
            <w:noWrap w:val="0"/>
            <w:vAlign w:val="center"/>
          </w:tcPr>
          <w:p w14:paraId="17ADECD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预算投资（万元）</w:t>
            </w:r>
          </w:p>
        </w:tc>
        <w:tc>
          <w:tcPr>
            <w:tcW w:w="1065" w:type="dxa"/>
            <w:tcBorders>
              <w:top w:val="nil"/>
              <w:left w:val="nil"/>
              <w:bottom w:val="single" w:color="auto" w:sz="4" w:space="0"/>
              <w:right w:val="single" w:color="auto" w:sz="4" w:space="0"/>
            </w:tcBorders>
            <w:noWrap w:val="0"/>
            <w:vAlign w:val="center"/>
          </w:tcPr>
          <w:p w14:paraId="131C5A98">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实际投资（万元）</w:t>
            </w:r>
          </w:p>
        </w:tc>
        <w:tc>
          <w:tcPr>
            <w:tcW w:w="1064" w:type="dxa"/>
            <w:tcBorders>
              <w:top w:val="nil"/>
              <w:left w:val="nil"/>
              <w:bottom w:val="single" w:color="auto" w:sz="4" w:space="0"/>
              <w:right w:val="single" w:color="auto" w:sz="4" w:space="0"/>
            </w:tcBorders>
            <w:noWrap w:val="0"/>
            <w:vAlign w:val="center"/>
          </w:tcPr>
          <w:p w14:paraId="0725FD9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投资概算控制率</w:t>
            </w:r>
          </w:p>
        </w:tc>
      </w:tr>
      <w:tr w14:paraId="1CAE32D8">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4F66741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89" w:type="dxa"/>
            <w:tcBorders>
              <w:top w:val="nil"/>
              <w:left w:val="nil"/>
              <w:bottom w:val="single" w:color="auto" w:sz="4" w:space="0"/>
              <w:right w:val="single" w:color="auto" w:sz="4" w:space="0"/>
            </w:tcBorders>
            <w:noWrap w:val="0"/>
            <w:vAlign w:val="center"/>
          </w:tcPr>
          <w:p w14:paraId="52E7F2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341F247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959" w:type="dxa"/>
            <w:tcBorders>
              <w:top w:val="nil"/>
              <w:left w:val="nil"/>
              <w:bottom w:val="single" w:color="auto" w:sz="4" w:space="0"/>
              <w:right w:val="single" w:color="auto" w:sz="4" w:space="0"/>
            </w:tcBorders>
            <w:noWrap w:val="0"/>
            <w:vAlign w:val="center"/>
          </w:tcPr>
          <w:p w14:paraId="7354CBB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193" w:type="dxa"/>
            <w:tcBorders>
              <w:top w:val="nil"/>
              <w:left w:val="nil"/>
              <w:bottom w:val="single" w:color="auto" w:sz="4" w:space="0"/>
              <w:right w:val="single" w:color="auto" w:sz="4" w:space="0"/>
            </w:tcBorders>
            <w:noWrap w:val="0"/>
            <w:vAlign w:val="center"/>
          </w:tcPr>
          <w:p w14:paraId="69A19C4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5" w:type="dxa"/>
            <w:tcBorders>
              <w:top w:val="nil"/>
              <w:left w:val="nil"/>
              <w:bottom w:val="single" w:color="auto" w:sz="4" w:space="0"/>
              <w:right w:val="single" w:color="auto" w:sz="4" w:space="0"/>
            </w:tcBorders>
            <w:noWrap w:val="0"/>
            <w:vAlign w:val="center"/>
          </w:tcPr>
          <w:p w14:paraId="5BE3D03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4" w:type="dxa"/>
            <w:tcBorders>
              <w:top w:val="nil"/>
              <w:left w:val="nil"/>
              <w:bottom w:val="single" w:color="auto" w:sz="4" w:space="0"/>
              <w:right w:val="single" w:color="auto" w:sz="4" w:space="0"/>
            </w:tcBorders>
            <w:noWrap w:val="0"/>
            <w:vAlign w:val="center"/>
          </w:tcPr>
          <w:p w14:paraId="30103C8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r>
      <w:tr w14:paraId="218A755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44145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F2B002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严格落实中央八项规定，从严控制“三公”经费。</w:t>
            </w:r>
          </w:p>
        </w:tc>
      </w:tr>
    </w:tbl>
    <w:p w14:paraId="6033DE7B">
      <w:pPr>
        <w:widowControl/>
        <w:kinsoku/>
        <w:autoSpaceDE/>
        <w:autoSpaceDN/>
        <w:adjustRightInd/>
        <w:snapToGrid/>
        <w:spacing w:afterLines="0" w:line="400" w:lineRule="exact"/>
        <w:jc w:val="left"/>
        <w:textAlignment w:val="auto"/>
        <w:rPr>
          <w:rFonts w:hint="default" w:ascii="Times New Roman" w:hAnsi="Times New Roman" w:eastAsia="仿宋_GB2312" w:cs="Times New Roman"/>
          <w:snapToGrid/>
          <w:sz w:val="16"/>
          <w:szCs w:val="18"/>
          <w:highlight w:val="none"/>
          <w:lang w:eastAsia="zh-CN"/>
        </w:rPr>
      </w:pPr>
      <w:r>
        <w:rPr>
          <w:rFonts w:hint="default" w:ascii="Times New Roman" w:hAnsi="Times New Roman" w:eastAsia="仿宋_GB2312" w:cs="Times New Roman"/>
          <w:snapToGrid/>
          <w:sz w:val="16"/>
          <w:szCs w:val="18"/>
          <w:highlight w:val="none"/>
          <w:lang w:eastAsia="zh-CN"/>
        </w:rPr>
        <w:t>说明：“项目支出”需要填报基本支出以外的所有项目支出情况，“公用经费”填报基本支出中的一般商品和服务支出。</w:t>
      </w:r>
    </w:p>
    <w:p w14:paraId="4B9AFC24">
      <w:pPr>
        <w:widowControl/>
        <w:kinsoku/>
        <w:autoSpaceDE/>
        <w:autoSpaceDN/>
        <w:adjustRightInd/>
        <w:snapToGrid/>
        <w:spacing w:after="0" w:afterLines="0" w:line="400" w:lineRule="exact"/>
        <w:jc w:val="left"/>
        <w:textAlignment w:val="auto"/>
        <w:rPr>
          <w:rFonts w:hint="eastAsia" w:ascii="黑体" w:hAnsi="黑体" w:eastAsia="黑体" w:cs="黑体"/>
          <w:snapToGrid/>
          <w:sz w:val="32"/>
          <w:szCs w:val="32"/>
          <w:highlight w:val="none"/>
          <w:lang w:eastAsia="zh-CN"/>
        </w:rPr>
      </w:pPr>
      <w:r>
        <w:rPr>
          <w:rFonts w:hint="default" w:ascii="Times New Roman" w:hAnsi="Times New Roman" w:eastAsia="仿宋_GB2312" w:cs="Times New Roman"/>
          <w:snapToGrid/>
          <w:sz w:val="22"/>
          <w:szCs w:val="24"/>
          <w:highlight w:val="none"/>
          <w:lang w:eastAsia="zh-CN"/>
        </w:rPr>
        <w:t>填表人：</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填报日期：</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联系电话： </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单位负责人签字：</w:t>
      </w:r>
      <w:r>
        <w:rPr>
          <w:rFonts w:hint="default" w:ascii="Times New Roman" w:hAnsi="Times New Roman" w:eastAsia="仿宋_GB2312" w:cs="Times New Roman"/>
          <w:snapToGrid/>
          <w:sz w:val="22"/>
          <w:szCs w:val="24"/>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2</w:t>
      </w:r>
    </w:p>
    <w:p w14:paraId="35C82F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5</w:t>
      </w:r>
      <w:r>
        <w:rPr>
          <w:rFonts w:hint="eastAsia" w:ascii="方正小标宋简体" w:hAnsi="方正小标宋简体" w:eastAsia="方正小标宋简体" w:cs="方正小标宋简体"/>
          <w:snapToGrid/>
          <w:color w:val="000000"/>
          <w:sz w:val="36"/>
          <w:szCs w:val="36"/>
          <w:highlight w:val="none"/>
          <w:lang w:eastAsia="zh-CN"/>
        </w:rPr>
        <w:t>年度岳阳市岳阳楼区西塘镇人民政府</w:t>
      </w:r>
    </w:p>
    <w:p w14:paraId="4CD3F2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整体支出绩效自评表</w:t>
      </w:r>
    </w:p>
    <w:tbl>
      <w:tblPr>
        <w:tblStyle w:val="5"/>
        <w:tblW w:w="10079" w:type="dxa"/>
        <w:jc w:val="center"/>
        <w:tblLayout w:type="autofit"/>
        <w:tblCellMar>
          <w:top w:w="0" w:type="dxa"/>
          <w:left w:w="108" w:type="dxa"/>
          <w:bottom w:w="0" w:type="dxa"/>
          <w:right w:w="108" w:type="dxa"/>
        </w:tblCellMar>
      </w:tblPr>
      <w:tblGrid>
        <w:gridCol w:w="1074"/>
        <w:gridCol w:w="1075"/>
        <w:gridCol w:w="1027"/>
        <w:gridCol w:w="1265"/>
        <w:gridCol w:w="1310"/>
        <w:gridCol w:w="1264"/>
        <w:gridCol w:w="714"/>
        <w:gridCol w:w="916"/>
        <w:gridCol w:w="1434"/>
      </w:tblGrid>
      <w:tr w14:paraId="61A1D94B">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7948CAF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单位</w:t>
            </w:r>
            <w:r>
              <w:rPr>
                <w:rFonts w:hint="eastAsia" w:ascii="仿宋_GB2312" w:hAnsi="仿宋_GB2312" w:eastAsia="仿宋_GB2312" w:cs="仿宋_GB2312"/>
                <w:snapToGrid/>
                <w:color w:val="000000"/>
                <w:sz w:val="20"/>
                <w:szCs w:val="20"/>
                <w:highlight w:val="none"/>
                <w:lang w:eastAsia="zh-CN"/>
              </w:rPr>
              <w:t>名称</w:t>
            </w:r>
          </w:p>
        </w:tc>
        <w:tc>
          <w:tcPr>
            <w:tcW w:w="9005" w:type="dxa"/>
            <w:gridSpan w:val="8"/>
            <w:tcBorders>
              <w:top w:val="single" w:color="auto" w:sz="4" w:space="0"/>
              <w:left w:val="nil"/>
              <w:bottom w:val="single" w:color="auto" w:sz="4" w:space="0"/>
              <w:right w:val="single" w:color="auto" w:sz="4" w:space="0"/>
            </w:tcBorders>
            <w:noWrap w:val="0"/>
            <w:vAlign w:val="center"/>
          </w:tcPr>
          <w:p w14:paraId="5FB06C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岳阳市岳阳楼区西塘镇人民政府</w:t>
            </w:r>
          </w:p>
        </w:tc>
      </w:tr>
      <w:tr w14:paraId="2A7E26C4">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14:paraId="350B619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年度预</w:t>
            </w:r>
          </w:p>
          <w:p w14:paraId="33D8A45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算申请</w:t>
            </w:r>
          </w:p>
          <w:p w14:paraId="6A42C37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02" w:type="dxa"/>
            <w:gridSpan w:val="2"/>
            <w:tcBorders>
              <w:top w:val="nil"/>
              <w:left w:val="nil"/>
              <w:bottom w:val="single" w:color="auto" w:sz="4" w:space="0"/>
              <w:right w:val="single" w:color="auto" w:sz="4" w:space="0"/>
            </w:tcBorders>
            <w:noWrap w:val="0"/>
            <w:vAlign w:val="center"/>
          </w:tcPr>
          <w:p w14:paraId="54312C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p>
        </w:tc>
        <w:tc>
          <w:tcPr>
            <w:tcW w:w="1265" w:type="dxa"/>
            <w:tcBorders>
              <w:top w:val="nil"/>
              <w:left w:val="nil"/>
              <w:bottom w:val="single" w:color="auto" w:sz="4" w:space="0"/>
              <w:right w:val="single" w:color="auto" w:sz="4" w:space="0"/>
            </w:tcBorders>
            <w:noWrap w:val="0"/>
            <w:vAlign w:val="center"/>
          </w:tcPr>
          <w:p w14:paraId="3BBF2C3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年初预算数</w:t>
            </w:r>
          </w:p>
        </w:tc>
        <w:tc>
          <w:tcPr>
            <w:tcW w:w="1310" w:type="dxa"/>
            <w:tcBorders>
              <w:top w:val="nil"/>
              <w:left w:val="nil"/>
              <w:bottom w:val="single" w:color="auto" w:sz="4" w:space="0"/>
              <w:right w:val="single" w:color="auto" w:sz="4" w:space="0"/>
            </w:tcBorders>
            <w:noWrap w:val="0"/>
            <w:vAlign w:val="center"/>
          </w:tcPr>
          <w:p w14:paraId="4D25B10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全年预算数</w:t>
            </w:r>
          </w:p>
        </w:tc>
        <w:tc>
          <w:tcPr>
            <w:tcW w:w="1264" w:type="dxa"/>
            <w:tcBorders>
              <w:top w:val="nil"/>
              <w:left w:val="nil"/>
              <w:bottom w:val="single" w:color="auto" w:sz="4" w:space="0"/>
              <w:right w:val="single" w:color="auto" w:sz="4" w:space="0"/>
            </w:tcBorders>
            <w:noWrap w:val="0"/>
            <w:vAlign w:val="center"/>
          </w:tcPr>
          <w:p w14:paraId="64DD3FA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全年执行数</w:t>
            </w:r>
          </w:p>
        </w:tc>
        <w:tc>
          <w:tcPr>
            <w:tcW w:w="714" w:type="dxa"/>
            <w:tcBorders>
              <w:top w:val="nil"/>
              <w:left w:val="nil"/>
              <w:bottom w:val="single" w:color="auto" w:sz="4" w:space="0"/>
              <w:right w:val="single" w:color="auto" w:sz="4" w:space="0"/>
            </w:tcBorders>
            <w:noWrap w:val="0"/>
            <w:vAlign w:val="center"/>
          </w:tcPr>
          <w:p w14:paraId="5543FFF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916" w:type="dxa"/>
            <w:tcBorders>
              <w:top w:val="nil"/>
              <w:left w:val="nil"/>
              <w:bottom w:val="single" w:color="auto" w:sz="4" w:space="0"/>
              <w:right w:val="single" w:color="auto" w:sz="4" w:space="0"/>
            </w:tcBorders>
            <w:noWrap w:val="0"/>
            <w:vAlign w:val="center"/>
          </w:tcPr>
          <w:p w14:paraId="21F7295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34" w:type="dxa"/>
            <w:tcBorders>
              <w:top w:val="nil"/>
              <w:left w:val="nil"/>
              <w:bottom w:val="single" w:color="auto" w:sz="4" w:space="0"/>
              <w:right w:val="single" w:color="auto" w:sz="4" w:space="0"/>
            </w:tcBorders>
            <w:noWrap w:val="0"/>
            <w:vAlign w:val="center"/>
          </w:tcPr>
          <w:p w14:paraId="41A6A4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B307BFA">
        <w:tblPrEx>
          <w:tblCellMar>
            <w:top w:w="0" w:type="dxa"/>
            <w:left w:w="108" w:type="dxa"/>
            <w:bottom w:w="0" w:type="dxa"/>
            <w:right w:w="108" w:type="dxa"/>
          </w:tblCellMar>
        </w:tblPrEx>
        <w:trPr>
          <w:jc w:val="center"/>
        </w:trPr>
        <w:tc>
          <w:tcPr>
            <w:tcW w:w="1074" w:type="dxa"/>
            <w:vMerge w:val="continue"/>
            <w:tcBorders>
              <w:top w:val="nil"/>
              <w:left w:val="single" w:color="auto" w:sz="4" w:space="0"/>
              <w:right w:val="single" w:color="auto" w:sz="4" w:space="0"/>
            </w:tcBorders>
            <w:noWrap w:val="0"/>
            <w:vAlign w:val="center"/>
          </w:tcPr>
          <w:p w14:paraId="6133EDD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2102" w:type="dxa"/>
            <w:gridSpan w:val="2"/>
            <w:tcBorders>
              <w:top w:val="nil"/>
              <w:left w:val="nil"/>
              <w:bottom w:val="single" w:color="auto" w:sz="4" w:space="0"/>
              <w:right w:val="single" w:color="auto" w:sz="4" w:space="0"/>
            </w:tcBorders>
            <w:noWrap w:val="0"/>
            <w:vAlign w:val="center"/>
          </w:tcPr>
          <w:p w14:paraId="2E59A13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w:t>
            </w:r>
          </w:p>
        </w:tc>
        <w:tc>
          <w:tcPr>
            <w:tcW w:w="1265" w:type="dxa"/>
            <w:tcBorders>
              <w:top w:val="nil"/>
              <w:left w:val="nil"/>
              <w:bottom w:val="single" w:color="auto" w:sz="4" w:space="0"/>
              <w:right w:val="single" w:color="auto" w:sz="4" w:space="0"/>
            </w:tcBorders>
            <w:noWrap w:val="0"/>
            <w:vAlign w:val="center"/>
          </w:tcPr>
          <w:p w14:paraId="13924838">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3181.8</w:t>
            </w:r>
            <w:r>
              <w:rPr>
                <w:rFonts w:hint="eastAsia" w:ascii="仿宋_GB2312" w:hAnsi="仿宋_GB2312" w:eastAsia="仿宋_GB2312" w:cs="仿宋_GB2312"/>
                <w:snapToGrid/>
                <w:sz w:val="20"/>
                <w:szCs w:val="20"/>
                <w:highlight w:val="none"/>
                <w:lang w:val="en-US" w:eastAsia="zh-CN"/>
              </w:rPr>
              <w:t>1</w:t>
            </w:r>
          </w:p>
        </w:tc>
        <w:tc>
          <w:tcPr>
            <w:tcW w:w="1310" w:type="dxa"/>
            <w:tcBorders>
              <w:top w:val="nil"/>
              <w:left w:val="nil"/>
              <w:bottom w:val="single" w:color="auto" w:sz="4" w:space="0"/>
              <w:right w:val="single" w:color="auto" w:sz="4" w:space="0"/>
            </w:tcBorders>
            <w:noWrap w:val="0"/>
            <w:vAlign w:val="center"/>
          </w:tcPr>
          <w:p w14:paraId="3F6E38CF">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7711.34</w:t>
            </w:r>
          </w:p>
        </w:tc>
        <w:tc>
          <w:tcPr>
            <w:tcW w:w="1264" w:type="dxa"/>
            <w:tcBorders>
              <w:top w:val="nil"/>
              <w:left w:val="nil"/>
              <w:bottom w:val="single" w:color="auto" w:sz="4" w:space="0"/>
              <w:right w:val="single" w:color="auto" w:sz="4" w:space="0"/>
            </w:tcBorders>
            <w:noWrap w:val="0"/>
            <w:vAlign w:val="center"/>
          </w:tcPr>
          <w:p w14:paraId="021BEFDC">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7461.65</w:t>
            </w:r>
          </w:p>
        </w:tc>
        <w:tc>
          <w:tcPr>
            <w:tcW w:w="714" w:type="dxa"/>
            <w:tcBorders>
              <w:top w:val="nil"/>
              <w:left w:val="nil"/>
              <w:bottom w:val="single" w:color="auto" w:sz="4" w:space="0"/>
              <w:right w:val="single" w:color="auto" w:sz="4" w:space="0"/>
            </w:tcBorders>
            <w:noWrap w:val="0"/>
            <w:vAlign w:val="center"/>
          </w:tcPr>
          <w:p w14:paraId="70361FB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10</w:t>
            </w:r>
          </w:p>
        </w:tc>
        <w:tc>
          <w:tcPr>
            <w:tcW w:w="916" w:type="dxa"/>
            <w:tcBorders>
              <w:top w:val="nil"/>
              <w:left w:val="nil"/>
              <w:bottom w:val="single" w:color="auto" w:sz="4" w:space="0"/>
              <w:right w:val="single" w:color="auto" w:sz="4" w:space="0"/>
            </w:tcBorders>
            <w:noWrap w:val="0"/>
            <w:vAlign w:val="center"/>
          </w:tcPr>
          <w:p w14:paraId="1BF5BB32">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96.76%</w:t>
            </w:r>
          </w:p>
        </w:tc>
        <w:tc>
          <w:tcPr>
            <w:tcW w:w="1434" w:type="dxa"/>
            <w:tcBorders>
              <w:top w:val="nil"/>
              <w:left w:val="nil"/>
              <w:bottom w:val="single" w:color="auto" w:sz="4" w:space="0"/>
              <w:right w:val="single" w:color="auto" w:sz="4" w:space="0"/>
            </w:tcBorders>
            <w:noWrap w:val="0"/>
            <w:vAlign w:val="center"/>
          </w:tcPr>
          <w:p w14:paraId="3EDC9DCE">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9.68</w:t>
            </w:r>
          </w:p>
        </w:tc>
      </w:tr>
      <w:tr w14:paraId="670FFD35">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6B201F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2116EC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按收入性质分：</w:t>
            </w:r>
          </w:p>
        </w:tc>
        <w:tc>
          <w:tcPr>
            <w:tcW w:w="4328" w:type="dxa"/>
            <w:gridSpan w:val="4"/>
            <w:tcBorders>
              <w:top w:val="nil"/>
              <w:left w:val="nil"/>
              <w:bottom w:val="single" w:color="auto" w:sz="4" w:space="0"/>
              <w:right w:val="single" w:color="auto" w:sz="4" w:space="0"/>
            </w:tcBorders>
            <w:noWrap w:val="0"/>
            <w:vAlign w:val="center"/>
          </w:tcPr>
          <w:p w14:paraId="721A663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按支出性质分：</w:t>
            </w:r>
          </w:p>
        </w:tc>
      </w:tr>
      <w:tr w14:paraId="0CC6C976">
        <w:tblPrEx>
          <w:tblCellMar>
            <w:top w:w="0" w:type="dxa"/>
            <w:left w:w="108" w:type="dxa"/>
            <w:bottom w:w="0" w:type="dxa"/>
            <w:right w:w="108" w:type="dxa"/>
          </w:tblCellMar>
        </w:tblPrEx>
        <w:trPr>
          <w:trHeight w:val="90" w:hRule="atLeast"/>
          <w:jc w:val="center"/>
        </w:trPr>
        <w:tc>
          <w:tcPr>
            <w:tcW w:w="1074" w:type="dxa"/>
            <w:vMerge w:val="continue"/>
            <w:tcBorders>
              <w:left w:val="single" w:color="auto" w:sz="4" w:space="0"/>
              <w:right w:val="single" w:color="auto" w:sz="4" w:space="0"/>
            </w:tcBorders>
            <w:noWrap w:val="0"/>
            <w:vAlign w:val="center"/>
          </w:tcPr>
          <w:p w14:paraId="0560824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03E56651">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 xml:space="preserve">  其中：  一般公共预算：</w:t>
            </w:r>
            <w:r>
              <w:rPr>
                <w:rFonts w:hint="eastAsia" w:ascii="仿宋_GB2312" w:hAnsi="仿宋_GB2312" w:eastAsia="仿宋_GB2312" w:cs="仿宋_GB2312"/>
                <w:snapToGrid/>
                <w:color w:val="auto"/>
                <w:sz w:val="20"/>
                <w:szCs w:val="20"/>
                <w:highlight w:val="none"/>
                <w:lang w:val="en-US" w:eastAsia="zh-CN"/>
              </w:rPr>
              <w:t>7324.22</w:t>
            </w:r>
          </w:p>
        </w:tc>
        <w:tc>
          <w:tcPr>
            <w:tcW w:w="4328" w:type="dxa"/>
            <w:gridSpan w:val="4"/>
            <w:tcBorders>
              <w:top w:val="nil"/>
              <w:left w:val="nil"/>
              <w:bottom w:val="single" w:color="auto" w:sz="4" w:space="0"/>
              <w:right w:val="single" w:color="auto" w:sz="4" w:space="0"/>
            </w:tcBorders>
            <w:noWrap w:val="0"/>
            <w:vAlign w:val="center"/>
          </w:tcPr>
          <w:p w14:paraId="055BA7E8">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其中：基本支出：</w:t>
            </w:r>
            <w:r>
              <w:rPr>
                <w:rFonts w:hint="eastAsia" w:ascii="仿宋_GB2312" w:hAnsi="仿宋_GB2312" w:eastAsia="仿宋_GB2312" w:cs="仿宋_GB2312"/>
                <w:snapToGrid/>
                <w:color w:val="000000"/>
                <w:sz w:val="20"/>
                <w:szCs w:val="20"/>
                <w:highlight w:val="none"/>
                <w:lang w:val="en-US" w:eastAsia="zh-CN"/>
              </w:rPr>
              <w:t>3952.65</w:t>
            </w:r>
          </w:p>
        </w:tc>
      </w:tr>
      <w:tr w14:paraId="4470ACF4">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F35F07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96E36AE">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政府性基金拨款：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5112848">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项目支出：</w:t>
            </w:r>
            <w:r>
              <w:rPr>
                <w:rFonts w:hint="eastAsia" w:ascii="仿宋_GB2312" w:hAnsi="仿宋_GB2312" w:eastAsia="仿宋_GB2312" w:cs="仿宋_GB2312"/>
                <w:snapToGrid/>
                <w:color w:val="000000"/>
                <w:sz w:val="20"/>
                <w:szCs w:val="20"/>
                <w:highlight w:val="none"/>
                <w:lang w:val="en-US" w:eastAsia="zh-CN"/>
              </w:rPr>
              <w:t>3509.00</w:t>
            </w:r>
          </w:p>
        </w:tc>
      </w:tr>
      <w:tr w14:paraId="5A1C05FE">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0B6A32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116ACF0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纳入专户管理的非税收入拨款：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393FF2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BD48C79">
        <w:tblPrEx>
          <w:tblCellMar>
            <w:top w:w="0" w:type="dxa"/>
            <w:left w:w="108" w:type="dxa"/>
            <w:bottom w:w="0" w:type="dxa"/>
            <w:right w:w="108" w:type="dxa"/>
          </w:tblCellMar>
        </w:tblPrEx>
        <w:trPr>
          <w:jc w:val="center"/>
        </w:trPr>
        <w:tc>
          <w:tcPr>
            <w:tcW w:w="1074" w:type="dxa"/>
            <w:vMerge w:val="continue"/>
            <w:tcBorders>
              <w:left w:val="single" w:color="auto" w:sz="4" w:space="0"/>
              <w:bottom w:val="single" w:color="000000" w:sz="4" w:space="0"/>
              <w:right w:val="single" w:color="auto" w:sz="4" w:space="0"/>
            </w:tcBorders>
            <w:noWrap w:val="0"/>
            <w:vAlign w:val="center"/>
          </w:tcPr>
          <w:p w14:paraId="3DC591D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53F753B0">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其他资金：</w:t>
            </w:r>
            <w:r>
              <w:rPr>
                <w:rFonts w:hint="eastAsia" w:ascii="仿宋_GB2312" w:hAnsi="仿宋_GB2312" w:eastAsia="仿宋_GB2312" w:cs="仿宋_GB2312"/>
                <w:snapToGrid/>
                <w:color w:val="auto"/>
                <w:sz w:val="20"/>
                <w:szCs w:val="20"/>
                <w:highlight w:val="none"/>
                <w:lang w:val="en-US" w:eastAsia="zh-CN"/>
              </w:rPr>
              <w:t>387.12</w:t>
            </w:r>
          </w:p>
        </w:tc>
        <w:tc>
          <w:tcPr>
            <w:tcW w:w="4328" w:type="dxa"/>
            <w:gridSpan w:val="4"/>
            <w:tcBorders>
              <w:top w:val="nil"/>
              <w:left w:val="nil"/>
              <w:bottom w:val="single" w:color="auto" w:sz="4" w:space="0"/>
              <w:right w:val="single" w:color="auto" w:sz="4" w:space="0"/>
            </w:tcBorders>
            <w:noWrap w:val="0"/>
            <w:vAlign w:val="center"/>
          </w:tcPr>
          <w:p w14:paraId="626C5E1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42C5464B">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017431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677" w:type="dxa"/>
            <w:gridSpan w:val="4"/>
            <w:tcBorders>
              <w:top w:val="single" w:color="auto" w:sz="4" w:space="0"/>
              <w:left w:val="nil"/>
              <w:bottom w:val="single" w:color="auto" w:sz="4" w:space="0"/>
              <w:right w:val="single" w:color="000000" w:sz="4" w:space="0"/>
            </w:tcBorders>
            <w:noWrap w:val="0"/>
            <w:vAlign w:val="center"/>
          </w:tcPr>
          <w:p w14:paraId="7103047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28" w:type="dxa"/>
            <w:gridSpan w:val="4"/>
            <w:tcBorders>
              <w:top w:val="single" w:color="auto" w:sz="4" w:space="0"/>
              <w:left w:val="nil"/>
              <w:bottom w:val="single" w:color="auto" w:sz="4" w:space="0"/>
              <w:right w:val="single" w:color="auto" w:sz="4" w:space="0"/>
            </w:tcBorders>
            <w:noWrap w:val="0"/>
            <w:vAlign w:val="center"/>
          </w:tcPr>
          <w:p w14:paraId="2F8CB0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7E701DF8">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auto" w:sz="4" w:space="0"/>
              <w:right w:val="single" w:color="auto" w:sz="4" w:space="0"/>
            </w:tcBorders>
            <w:noWrap w:val="0"/>
            <w:vAlign w:val="center"/>
          </w:tcPr>
          <w:p w14:paraId="093F1BD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single" w:color="auto" w:sz="4" w:space="0"/>
              <w:left w:val="nil"/>
              <w:bottom w:val="single" w:color="auto" w:sz="4" w:space="0"/>
              <w:right w:val="single" w:color="000000" w:sz="4" w:space="0"/>
            </w:tcBorders>
            <w:noWrap w:val="0"/>
            <w:vAlign w:val="center"/>
          </w:tcPr>
          <w:p w14:paraId="2A560604">
            <w:pPr>
              <w:widowControl/>
              <w:numPr>
                <w:ilvl w:val="0"/>
                <w:numId w:val="0"/>
              </w:numPr>
              <w:kinsoku/>
              <w:autoSpaceDE/>
              <w:autoSpaceDN/>
              <w:adjustRightInd/>
              <w:snapToGrid/>
              <w:spacing w:line="240" w:lineRule="exact"/>
              <w:ind w:leftChars="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坚持以习近平新时代中国特色社会主义思想为指引，在区委、区政府的坚强领导下，从容应对中心工作任务繁重、防范风险压力巨大等诸多不利因素，全力以赴推动发展、保障民生、维护稳定。</w:t>
            </w:r>
          </w:p>
        </w:tc>
        <w:tc>
          <w:tcPr>
            <w:tcW w:w="4328" w:type="dxa"/>
            <w:gridSpan w:val="4"/>
            <w:tcBorders>
              <w:top w:val="single" w:color="auto" w:sz="4" w:space="0"/>
              <w:left w:val="nil"/>
              <w:bottom w:val="single" w:color="auto" w:sz="4" w:space="0"/>
              <w:right w:val="single" w:color="auto" w:sz="4" w:space="0"/>
            </w:tcBorders>
            <w:noWrap w:val="0"/>
            <w:vAlign w:val="center"/>
          </w:tcPr>
          <w:p w14:paraId="51EDEC84">
            <w:pPr>
              <w:widowControl/>
              <w:numPr>
                <w:ilvl w:val="0"/>
                <w:numId w:val="4"/>
              </w:numPr>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民生帮扶落地见效。为全镇现有脱贫户456户1389人、监测户32户116人落实“一户一策”帮扶措施，投入36万元财政衔接资金用于产业帮扶。开发公益性岗位139个，消除风险监测户47户135人，无规模性返贫现象发生。</w:t>
            </w:r>
          </w:p>
          <w:p w14:paraId="58D2A6E1">
            <w:pPr>
              <w:widowControl/>
              <w:numPr>
                <w:ilvl w:val="0"/>
                <w:numId w:val="4"/>
              </w:numPr>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default" w:ascii="仿宋_GB2312" w:hAnsi="仿宋_GB2312" w:eastAsia="仿宋_GB2312" w:cs="仿宋_GB2312"/>
                <w:snapToGrid/>
                <w:color w:val="000000"/>
                <w:sz w:val="20"/>
                <w:szCs w:val="20"/>
                <w:highlight w:val="none"/>
                <w:lang w:val="en-US" w:eastAsia="zh-CN"/>
              </w:rPr>
              <w:t>完成城乡居民医疗保险参保34530人，100%达标完成参保任务；完成城乡居民养老保险参保21118人，为其中1163名特殊群体代缴社保医保费用</w:t>
            </w:r>
            <w:r>
              <w:rPr>
                <w:rFonts w:hint="eastAsia" w:ascii="仿宋_GB2312" w:hAnsi="仿宋_GB2312" w:eastAsia="仿宋_GB2312" w:cs="仿宋_GB2312"/>
                <w:snapToGrid/>
                <w:color w:val="000000"/>
                <w:sz w:val="20"/>
                <w:szCs w:val="20"/>
                <w:highlight w:val="none"/>
                <w:lang w:val="en-US" w:eastAsia="zh-CN"/>
              </w:rPr>
              <w:t>。</w:t>
            </w:r>
          </w:p>
          <w:p w14:paraId="1489CBC3">
            <w:pPr>
              <w:widowControl/>
              <w:numPr>
                <w:ilvl w:val="0"/>
                <w:numId w:val="4"/>
              </w:numPr>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default" w:ascii="仿宋_GB2312" w:hAnsi="仿宋_GB2312" w:eastAsia="仿宋_GB2312" w:cs="仿宋_GB2312"/>
                <w:snapToGrid/>
                <w:color w:val="000000"/>
                <w:sz w:val="20"/>
                <w:szCs w:val="20"/>
                <w:highlight w:val="none"/>
                <w:lang w:val="en-US" w:eastAsia="zh-CN"/>
              </w:rPr>
              <w:t>持续开展夜间巡逻及“防性侵”专项巡查265次。</w:t>
            </w:r>
          </w:p>
        </w:tc>
      </w:tr>
      <w:tr w14:paraId="24A8914A">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2B8C16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251BF1E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74F3F6B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10521AF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p w14:paraId="4F899EB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4625F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7AECD0B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00F5F9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CED617D">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年度指标值</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1BAF34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实际完成值</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BFC0FB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482D9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CCA02E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47BEBC8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3A59C9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4FBF1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4A4AAA6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46A94CF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(50分)</w:t>
            </w:r>
          </w:p>
        </w:tc>
        <w:tc>
          <w:tcPr>
            <w:tcW w:w="1027" w:type="dxa"/>
            <w:vMerge w:val="restart"/>
            <w:tcBorders>
              <w:top w:val="single" w:color="auto" w:sz="4" w:space="0"/>
              <w:left w:val="single" w:color="auto" w:sz="4" w:space="0"/>
              <w:right w:val="single" w:color="auto" w:sz="4" w:space="0"/>
            </w:tcBorders>
            <w:noWrap w:val="0"/>
            <w:vAlign w:val="center"/>
          </w:tcPr>
          <w:p w14:paraId="3E0473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3F21A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民生帮扶,困难救助户数</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2F9E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w:t>
            </w:r>
            <w:r>
              <w:rPr>
                <w:rFonts w:hint="eastAsia" w:ascii="仿宋_GB2312" w:hAnsi="宋体" w:eastAsia="仿宋_GB2312" w:cs="仿宋_GB2312"/>
                <w:i w:val="0"/>
                <w:iCs w:val="0"/>
                <w:snapToGrid/>
                <w:color w:val="000000"/>
                <w:kern w:val="0"/>
                <w:sz w:val="20"/>
                <w:szCs w:val="20"/>
                <w:u w:val="none"/>
                <w:lang w:val="en-US" w:eastAsia="zh-CN" w:bidi="ar"/>
              </w:rPr>
              <w:t>456</w:t>
            </w:r>
            <w:r>
              <w:rPr>
                <w:rFonts w:hint="default" w:ascii="仿宋_GB2312" w:hAnsi="宋体" w:eastAsia="仿宋_GB2312" w:cs="仿宋_GB2312"/>
                <w:i w:val="0"/>
                <w:iCs w:val="0"/>
                <w:snapToGrid/>
                <w:color w:val="000000"/>
                <w:kern w:val="0"/>
                <w:sz w:val="20"/>
                <w:szCs w:val="20"/>
                <w:u w:val="none"/>
                <w:lang w:val="en-US" w:eastAsia="zh-CN" w:bidi="ar"/>
              </w:rPr>
              <w:t>户</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6D2A93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456户</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45C7D8D">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605FE94">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7880B2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3BE98CC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9C216ED">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5D5CBB5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58AE7D7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12F1E02">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仿宋_GB2312" w:eastAsia="仿宋_GB2312" w:cs="仿宋_GB2312"/>
                <w:snapToGrid/>
                <w:color w:val="000000"/>
                <w:sz w:val="20"/>
                <w:szCs w:val="20"/>
                <w:highlight w:val="none"/>
                <w:lang w:val="en-US" w:eastAsia="zh-CN"/>
              </w:rPr>
              <w:t>夜间巡逻</w:t>
            </w:r>
            <w:r>
              <w:rPr>
                <w:rFonts w:hint="eastAsia" w:ascii="仿宋_GB2312" w:hAnsi="仿宋_GB2312" w:eastAsia="仿宋_GB2312" w:cs="仿宋_GB2312"/>
                <w:snapToGrid/>
                <w:color w:val="000000"/>
                <w:sz w:val="20"/>
                <w:szCs w:val="20"/>
                <w:highlight w:val="none"/>
                <w:lang w:val="en-US" w:eastAsia="zh-CN"/>
              </w:rPr>
              <w:t>、</w:t>
            </w:r>
            <w:r>
              <w:rPr>
                <w:rFonts w:hint="default" w:ascii="仿宋_GB2312" w:hAnsi="仿宋_GB2312" w:eastAsia="仿宋_GB2312" w:cs="仿宋_GB2312"/>
                <w:snapToGrid/>
                <w:color w:val="000000"/>
                <w:sz w:val="20"/>
                <w:szCs w:val="20"/>
                <w:highlight w:val="none"/>
                <w:lang w:val="en-US" w:eastAsia="zh-CN"/>
              </w:rPr>
              <w:t>专项巡查</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81BD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200次</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336873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仿宋_GB2312" w:eastAsia="仿宋_GB2312" w:cs="仿宋_GB2312"/>
                <w:snapToGrid/>
                <w:color w:val="000000"/>
                <w:sz w:val="20"/>
                <w:szCs w:val="20"/>
                <w:highlight w:val="none"/>
                <w:lang w:val="en-US" w:eastAsia="zh-CN"/>
              </w:rPr>
              <w:t>265次</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A34E5B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E6959D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4A0BD62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37D05B61">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F58F50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2FCFFFB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4FD9559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E77CF79">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医疗保险参保率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192E0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141B3B1">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09AED2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7DDF89A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CCAC83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09A6D96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32DDB1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277D763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right w:val="single" w:color="auto" w:sz="4" w:space="0"/>
            </w:tcBorders>
            <w:noWrap w:val="0"/>
            <w:vAlign w:val="center"/>
          </w:tcPr>
          <w:p w14:paraId="164A141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27F3221">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环境整治成效率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375DE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2C497D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9D0F2D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7DB2991">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1F726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7233B13">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9D64FE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437F43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51478F8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8E592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预算年度内完成</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66B7F3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2025年度</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B036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2025年度</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1222508">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auto"/>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DFFB995">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auto"/>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D770B2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BEDBE7D">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01E38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366FE16">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bottom w:val="single" w:color="auto" w:sz="4" w:space="0"/>
              <w:right w:val="single" w:color="auto" w:sz="4" w:space="0"/>
            </w:tcBorders>
            <w:noWrap w:val="0"/>
            <w:vAlign w:val="center"/>
          </w:tcPr>
          <w:p w14:paraId="4A21AED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70D092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慰问困难群众时效性</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BCD817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及时</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D0111E">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及时</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7A4A84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auto"/>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97614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auto"/>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1BC414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4D68BC6">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E606C2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3679618">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4D1CF75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EBBDDC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预算总成本控制</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B5C2AAB">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w:t>
            </w:r>
            <w:r>
              <w:rPr>
                <w:rFonts w:hint="eastAsia" w:ascii="仿宋_GB2312" w:hAnsi="仿宋_GB2312" w:eastAsia="仿宋_GB2312" w:cs="仿宋_GB2312"/>
                <w:snapToGrid/>
                <w:sz w:val="20"/>
                <w:szCs w:val="20"/>
                <w:highlight w:val="none"/>
                <w:lang w:val="en-US" w:eastAsia="zh-CN"/>
              </w:rPr>
              <w:t>7711.34</w:t>
            </w:r>
            <w:r>
              <w:rPr>
                <w:rFonts w:hint="eastAsia" w:ascii="仿宋_GB2312" w:hAnsi="仿宋_GB2312" w:eastAsia="仿宋_GB2312" w:cs="仿宋_GB2312"/>
                <w:snapToGrid/>
                <w:color w:val="auto"/>
                <w:sz w:val="20"/>
                <w:szCs w:val="20"/>
                <w:highlight w:val="none"/>
                <w:lang w:val="en-US" w:eastAsia="zh-CN"/>
              </w:rPr>
              <w:t>万元</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A6591C">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sz w:val="20"/>
                <w:szCs w:val="20"/>
                <w:highlight w:val="none"/>
                <w:lang w:val="en-US" w:eastAsia="zh-CN"/>
              </w:rPr>
              <w:t>7461.65万元</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A337CF6">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20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54765F3">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20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9BD172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0B838FBE">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B51698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267857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440435E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0C334CAC">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（30分）</w:t>
            </w:r>
          </w:p>
          <w:p w14:paraId="207E013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DBCB12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0CF3E76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3B3919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营商环境优化,</w:t>
            </w:r>
            <w:r>
              <w:rPr>
                <w:rFonts w:hint="default" w:ascii="仿宋_GB2312" w:hAnsi="宋体" w:eastAsia="仿宋_GB2312" w:cs="仿宋_GB2312"/>
                <w:i w:val="0"/>
                <w:iCs w:val="0"/>
                <w:snapToGrid/>
                <w:color w:val="000000"/>
                <w:kern w:val="0"/>
                <w:sz w:val="20"/>
                <w:szCs w:val="20"/>
                <w:u w:val="none"/>
                <w:lang w:val="en-US" w:eastAsia="zh-CN" w:bidi="ar"/>
              </w:rPr>
              <w:t>促进经济发展</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004A3CE">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显著优化</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87249B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显著优化</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49297D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97B32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D36E9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F487EBA">
        <w:tblPrEx>
          <w:tblCellMar>
            <w:top w:w="0" w:type="dxa"/>
            <w:left w:w="108" w:type="dxa"/>
            <w:bottom w:w="0" w:type="dxa"/>
            <w:right w:w="108" w:type="dxa"/>
          </w:tblCellMar>
        </w:tblPrEx>
        <w:trPr>
          <w:trHeight w:val="442"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84F84D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0171D39">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52EDB9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457CB83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54C51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促进社会就业,</w:t>
            </w:r>
            <w:r>
              <w:rPr>
                <w:rFonts w:hint="default" w:ascii="仿宋_GB2312" w:hAnsi="宋体" w:eastAsia="仿宋_GB2312" w:cs="仿宋_GB2312"/>
                <w:i w:val="0"/>
                <w:iCs w:val="0"/>
                <w:snapToGrid/>
                <w:color w:val="000000"/>
                <w:kern w:val="0"/>
                <w:sz w:val="20"/>
                <w:szCs w:val="20"/>
                <w:u w:val="none"/>
                <w:lang w:val="en-US" w:eastAsia="zh-CN" w:bidi="ar"/>
              </w:rPr>
              <w:t>就业人数增加</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B06C0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有所增加</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8CA52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有所增加</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C08F31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69841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7D6476C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AC5D407">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8FBCD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4DB732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0A1FBE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0B8C1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8F96AD5">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改善居民居住环境</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173F42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有所改善</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4EFB7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有所改善</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64EF0A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4AC50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182762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A3E99AA">
        <w:tblPrEx>
          <w:tblCellMar>
            <w:top w:w="0" w:type="dxa"/>
            <w:left w:w="108" w:type="dxa"/>
            <w:bottom w:w="0" w:type="dxa"/>
            <w:right w:w="108" w:type="dxa"/>
          </w:tblCellMar>
        </w:tblPrEx>
        <w:trPr>
          <w:trHeight w:val="2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9CA149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DC886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45577A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DF0EAE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严守底线整顿禁违乱象</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84831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有所改善</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3DC98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有所改善</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9DFDF7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6DEBAD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968686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7800CB2">
        <w:tblPrEx>
          <w:tblCellMar>
            <w:top w:w="0" w:type="dxa"/>
            <w:left w:w="108" w:type="dxa"/>
            <w:bottom w:w="0" w:type="dxa"/>
            <w:right w:w="108" w:type="dxa"/>
          </w:tblCellMar>
        </w:tblPrEx>
        <w:trPr>
          <w:trHeight w:val="33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A5EAEC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9491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0E0CF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p w14:paraId="2AC65D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（10分）</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91E28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F54B97D">
            <w:pPr>
              <w:widowControl/>
              <w:kinsoku/>
              <w:autoSpaceDE/>
              <w:autoSpaceDN/>
              <w:adjustRightInd/>
              <w:snapToGrid/>
              <w:spacing w:line="240" w:lineRule="exact"/>
              <w:jc w:val="both"/>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群众满意率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4A9A3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宋体" w:eastAsia="仿宋_GB2312" w:cs="仿宋_GB2312"/>
                <w:i w:val="0"/>
                <w:iCs w:val="0"/>
                <w:snapToGrid/>
                <w:color w:val="000000"/>
                <w:kern w:val="0"/>
                <w:sz w:val="20"/>
                <w:szCs w:val="20"/>
                <w:u w:val="none"/>
                <w:lang w:val="en-US" w:eastAsia="zh-CN" w:bidi="ar"/>
              </w:rPr>
              <w:t>≥95%</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89442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95%</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D276E7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sz w:val="20"/>
                <w:szCs w:val="20"/>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E97421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84352B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4D74D487">
        <w:tblPrEx>
          <w:tblCellMar>
            <w:top w:w="0" w:type="dxa"/>
            <w:left w:w="108" w:type="dxa"/>
            <w:bottom w:w="0" w:type="dxa"/>
            <w:right w:w="108" w:type="dxa"/>
          </w:tblCellMar>
        </w:tblPrEx>
        <w:trPr>
          <w:trHeight w:val="270" w:hRule="atLeast"/>
          <w:jc w:val="center"/>
        </w:trPr>
        <w:tc>
          <w:tcPr>
            <w:tcW w:w="7015" w:type="dxa"/>
            <w:gridSpan w:val="6"/>
            <w:tcBorders>
              <w:top w:val="single" w:color="auto" w:sz="4" w:space="0"/>
              <w:left w:val="single" w:color="auto" w:sz="4" w:space="0"/>
              <w:bottom w:val="single" w:color="auto" w:sz="4" w:space="0"/>
              <w:right w:val="single" w:color="000000" w:sz="4" w:space="0"/>
            </w:tcBorders>
            <w:noWrap w:val="0"/>
            <w:vAlign w:val="center"/>
          </w:tcPr>
          <w:p w14:paraId="03FDBA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714" w:type="dxa"/>
            <w:tcBorders>
              <w:top w:val="single" w:color="auto" w:sz="4" w:space="0"/>
              <w:left w:val="nil"/>
              <w:bottom w:val="single" w:color="auto" w:sz="4" w:space="0"/>
              <w:right w:val="single" w:color="auto" w:sz="4" w:space="0"/>
            </w:tcBorders>
            <w:noWrap w:val="0"/>
            <w:vAlign w:val="center"/>
          </w:tcPr>
          <w:p w14:paraId="1535B33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916" w:type="dxa"/>
            <w:tcBorders>
              <w:top w:val="single" w:color="auto" w:sz="4" w:space="0"/>
              <w:left w:val="nil"/>
              <w:bottom w:val="single" w:color="auto" w:sz="4" w:space="0"/>
              <w:right w:val="single" w:color="auto" w:sz="4" w:space="0"/>
            </w:tcBorders>
            <w:noWrap w:val="0"/>
            <w:vAlign w:val="center"/>
          </w:tcPr>
          <w:p w14:paraId="59848181">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99.68</w:t>
            </w:r>
          </w:p>
        </w:tc>
        <w:tc>
          <w:tcPr>
            <w:tcW w:w="1434" w:type="dxa"/>
            <w:tcBorders>
              <w:top w:val="single" w:color="auto" w:sz="4" w:space="0"/>
              <w:left w:val="nil"/>
              <w:bottom w:val="single" w:color="auto" w:sz="4" w:space="0"/>
              <w:right w:val="single" w:color="auto" w:sz="4" w:space="0"/>
            </w:tcBorders>
            <w:noWrap w:val="0"/>
            <w:vAlign w:val="center"/>
          </w:tcPr>
          <w:p w14:paraId="7F12F3D5">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2F0C842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黑体" w:cs="Times New Roman"/>
          <w:snapToGrid/>
          <w:sz w:val="32"/>
          <w:szCs w:val="3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单位负责人签字：</w:t>
      </w:r>
      <w:r>
        <w:rPr>
          <w:rFonts w:hint="default" w:ascii="Times New Roman" w:hAnsi="Times New Roman" w:eastAsia="仿宋_GB2312" w:cs="Times New Roman"/>
          <w:snapToGrid/>
          <w:sz w:val="22"/>
          <w:szCs w:val="22"/>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w:t>
      </w:r>
    </w:p>
    <w:p w14:paraId="40B859B4">
      <w:pPr>
        <w:widowControl/>
        <w:kinsoku/>
        <w:autoSpaceDE/>
        <w:autoSpaceDN/>
        <w:adjustRightInd/>
        <w:snapToGrid/>
        <w:spacing w:line="6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5</w:t>
      </w:r>
      <w:r>
        <w:rPr>
          <w:rFonts w:hint="eastAsia" w:ascii="方正小标宋简体" w:hAnsi="方正小标宋简体" w:eastAsia="方正小标宋简体" w:cs="方正小标宋简体"/>
          <w:snapToGrid/>
          <w:color w:val="000000"/>
          <w:sz w:val="36"/>
          <w:szCs w:val="36"/>
          <w:highlight w:val="none"/>
          <w:lang w:eastAsia="zh-CN"/>
        </w:rPr>
        <w:t>年度岳阳市岳阳楼区西塘镇人民政府</w:t>
      </w:r>
    </w:p>
    <w:p w14:paraId="7A5A6AE8">
      <w:pPr>
        <w:widowControl/>
        <w:kinsoku/>
        <w:autoSpaceDE/>
        <w:autoSpaceDN/>
        <w:adjustRightInd/>
        <w:snapToGrid/>
        <w:spacing w:line="6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026"/>
        <w:gridCol w:w="1042"/>
        <w:gridCol w:w="1028"/>
        <w:gridCol w:w="873"/>
        <w:gridCol w:w="1418"/>
      </w:tblGrid>
      <w:tr w14:paraId="4E9CEED1">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CBC7F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项目名称</w:t>
            </w:r>
          </w:p>
        </w:tc>
        <w:tc>
          <w:tcPr>
            <w:tcW w:w="8771" w:type="dxa"/>
            <w:gridSpan w:val="8"/>
            <w:tcBorders>
              <w:top w:val="single" w:color="auto" w:sz="4" w:space="0"/>
              <w:left w:val="nil"/>
              <w:bottom w:val="single" w:color="auto" w:sz="4" w:space="0"/>
              <w:right w:val="single" w:color="auto" w:sz="4" w:space="0"/>
            </w:tcBorders>
            <w:noWrap w:val="0"/>
            <w:vAlign w:val="center"/>
          </w:tcPr>
          <w:p w14:paraId="3AEC92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sz w:val="20"/>
                <w:szCs w:val="20"/>
                <w:highlight w:val="none"/>
                <w:lang w:val="en-US" w:eastAsia="zh-CN"/>
              </w:rPr>
              <w:t>乡镇人大事务经费</w:t>
            </w:r>
            <w:r>
              <w:rPr>
                <w:rFonts w:hint="eastAsia" w:ascii="仿宋_GB2312" w:hAnsi="仿宋_GB2312" w:eastAsia="仿宋_GB2312" w:cs="仿宋_GB2312"/>
                <w:snapToGrid/>
                <w:color w:val="000000"/>
                <w:sz w:val="20"/>
                <w:szCs w:val="20"/>
                <w:highlight w:val="none"/>
                <w:lang w:eastAsia="zh-CN"/>
              </w:rPr>
              <w:t>　</w:t>
            </w:r>
          </w:p>
        </w:tc>
      </w:tr>
      <w:tr w14:paraId="2A461123">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A54D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主管部门</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6EF57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岳阳市岳阳楼区西塘镇人民政府</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99952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实施单位</w:t>
            </w:r>
          </w:p>
        </w:tc>
        <w:tc>
          <w:tcPr>
            <w:tcW w:w="3319" w:type="dxa"/>
            <w:gridSpan w:val="3"/>
            <w:tcBorders>
              <w:top w:val="single" w:color="auto" w:sz="4" w:space="0"/>
              <w:left w:val="single" w:color="auto" w:sz="4" w:space="0"/>
              <w:bottom w:val="single" w:color="auto" w:sz="4" w:space="0"/>
              <w:right w:val="single" w:color="auto" w:sz="4" w:space="0"/>
            </w:tcBorders>
            <w:noWrap w:val="0"/>
            <w:vAlign w:val="center"/>
          </w:tcPr>
          <w:p w14:paraId="6437A5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岳阳市岳阳楼区西塘镇人民政府</w:t>
            </w:r>
          </w:p>
        </w:tc>
      </w:tr>
      <w:tr w14:paraId="1B2277F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FB384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项目资金</w:t>
            </w:r>
          </w:p>
          <w:p w14:paraId="0BC39A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7AFC0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6DF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年初</w:t>
            </w:r>
          </w:p>
          <w:p w14:paraId="7E662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856F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全年</w:t>
            </w:r>
          </w:p>
          <w:p w14:paraId="0A1A82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7E7EA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w:t>
            </w:r>
          </w:p>
          <w:p w14:paraId="7E022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754B3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90A6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7BD1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D74AA7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FB39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E6C3C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E0C0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69E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E66D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6CD3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5853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06C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r>
      <w:tr w14:paraId="0965B10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F6C4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75A88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3C5E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B2125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65A82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15.00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7EC2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2C8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65B4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2F7C5E8B">
        <w:tblPrEx>
          <w:tblCellMar>
            <w:top w:w="0" w:type="dxa"/>
            <w:left w:w="108" w:type="dxa"/>
            <w:bottom w:w="0" w:type="dxa"/>
            <w:right w:w="108" w:type="dxa"/>
          </w:tblCellMar>
        </w:tblPrEx>
        <w:trPr>
          <w:trHeight w:val="2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B00B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9D7CFA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910F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5820F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EBB1F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C4DF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9DDC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9632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25D418C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AE94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820722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DCD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B929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0258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0BF9A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AE6F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F71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8F768EE">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A7D08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48EA34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56280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3BBF261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043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20E6A7F9">
            <w:pPr>
              <w:keepNext w:val="0"/>
              <w:keepLines w:val="0"/>
              <w:pageBreakBefore w:val="0"/>
              <w:widowControl/>
              <w:numPr>
                <w:ilvl w:val="0"/>
                <w:numId w:val="0"/>
              </w:numPr>
              <w:kinsoku/>
              <w:wordWrap/>
              <w:overflowPunct/>
              <w:topLinePunct w:val="0"/>
              <w:autoSpaceDE/>
              <w:autoSpaceDN/>
              <w:bidi w:val="0"/>
              <w:adjustRightInd/>
              <w:snapToGrid/>
              <w:spacing w:line="260" w:lineRule="exact"/>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000000"/>
                <w:sz w:val="20"/>
                <w:szCs w:val="20"/>
                <w:highlight w:val="none"/>
                <w:lang w:val="en-US" w:eastAsia="zh-CN"/>
              </w:rPr>
              <w:t>根据年度工作和财政预算批复，开展人大监督、宣传等各项工作，确保西塘镇人大工作顺利开展。</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30FABC2E">
            <w:pPr>
              <w:keepNext w:val="0"/>
              <w:keepLines w:val="0"/>
              <w:pageBreakBefore w:val="0"/>
              <w:widowControl/>
              <w:numPr>
                <w:ilvl w:val="0"/>
                <w:numId w:val="0"/>
              </w:numPr>
              <w:kinsoku/>
              <w:wordWrap/>
              <w:overflowPunct/>
              <w:topLinePunct w:val="0"/>
              <w:autoSpaceDE/>
              <w:autoSpaceDN/>
              <w:bidi w:val="0"/>
              <w:adjustRightInd/>
              <w:snapToGrid/>
              <w:spacing w:line="260" w:lineRule="exact"/>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000000"/>
                <w:sz w:val="20"/>
                <w:szCs w:val="20"/>
                <w:highlight w:val="none"/>
                <w:lang w:val="en-US" w:eastAsia="zh-CN"/>
              </w:rPr>
              <w:t>已完成</w:t>
            </w:r>
          </w:p>
        </w:tc>
      </w:tr>
      <w:tr w14:paraId="249FBD27">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4720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64E0D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6E8AD9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31A99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EC1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404B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C1D2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11AB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w:t>
            </w:r>
          </w:p>
          <w:p w14:paraId="72AA65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指标值</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18ED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w:t>
            </w:r>
          </w:p>
          <w:p w14:paraId="61749C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完成值</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DC8B9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16CA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D1D8F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38ACA25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434BEA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303AE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0F3AA9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1EB6B0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(50分)</w:t>
            </w:r>
          </w:p>
        </w:tc>
        <w:tc>
          <w:tcPr>
            <w:tcW w:w="1080" w:type="dxa"/>
            <w:tcBorders>
              <w:top w:val="single" w:color="auto" w:sz="4" w:space="0"/>
              <w:left w:val="single" w:color="auto" w:sz="4" w:space="0"/>
              <w:right w:val="single" w:color="auto" w:sz="4" w:space="0"/>
            </w:tcBorders>
            <w:noWrap w:val="0"/>
            <w:vAlign w:val="center"/>
          </w:tcPr>
          <w:p w14:paraId="32D60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A5355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宋体" w:eastAsia="仿宋_GB2312" w:cs="仿宋_GB2312"/>
                <w:i w:val="0"/>
                <w:iCs w:val="0"/>
                <w:snapToGrid/>
                <w:color w:val="auto"/>
                <w:kern w:val="0"/>
                <w:sz w:val="20"/>
                <w:szCs w:val="20"/>
                <w:u w:val="none"/>
                <w:lang w:val="en-US" w:eastAsia="zh-CN" w:bidi="ar"/>
              </w:rPr>
              <w:t>组织培训学习</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7ACB2F7">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宋体" w:eastAsia="仿宋_GB2312" w:cs="仿宋_GB2312"/>
                <w:i w:val="0"/>
                <w:iCs w:val="0"/>
                <w:snapToGrid/>
                <w:color w:val="auto"/>
                <w:kern w:val="0"/>
                <w:sz w:val="20"/>
                <w:szCs w:val="20"/>
                <w:u w:val="none"/>
                <w:lang w:val="en-US" w:eastAsia="zh-CN" w:bidi="ar"/>
              </w:rPr>
              <w:t>10次</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B74CF00">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宋体" w:eastAsia="仿宋_GB2312" w:cs="仿宋_GB2312"/>
                <w:i w:val="0"/>
                <w:iCs w:val="0"/>
                <w:snapToGrid/>
                <w:color w:val="auto"/>
                <w:kern w:val="0"/>
                <w:sz w:val="20"/>
                <w:szCs w:val="20"/>
                <w:u w:val="none"/>
                <w:lang w:val="en-US" w:eastAsia="zh-CN" w:bidi="ar"/>
              </w:rPr>
              <w:t>11次</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F3C98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5F27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5EA2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E99926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7571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67D99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626A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276AC2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kern w:val="0"/>
                <w:sz w:val="20"/>
                <w:szCs w:val="20"/>
                <w:highlight w:val="none"/>
                <w:lang w:eastAsia="zh-CN"/>
              </w:rPr>
              <w:t>资金使用及时率、合规率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4682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E10307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974C9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FA34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3618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3A01A73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03DA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AA971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B2D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D5C1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宋体" w:eastAsia="仿宋_GB2312" w:cs="仿宋_GB2312"/>
                <w:i w:val="0"/>
                <w:iCs w:val="0"/>
                <w:snapToGrid/>
                <w:color w:val="auto"/>
                <w:kern w:val="0"/>
                <w:sz w:val="20"/>
                <w:szCs w:val="20"/>
                <w:u w:val="none"/>
                <w:lang w:val="en-US" w:eastAsia="zh-CN" w:bidi="ar"/>
              </w:rPr>
              <w:t>完成时间</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17846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宋体" w:eastAsia="仿宋_GB2312" w:cs="仿宋_GB2312"/>
                <w:i w:val="0"/>
                <w:iCs w:val="0"/>
                <w:snapToGrid/>
                <w:color w:val="000000"/>
                <w:kern w:val="0"/>
                <w:sz w:val="20"/>
                <w:szCs w:val="20"/>
                <w:u w:val="none"/>
                <w:lang w:val="en-US" w:eastAsia="zh-CN" w:bidi="ar"/>
              </w:rPr>
              <w:t>2025年度</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C13EA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宋体" w:eastAsia="仿宋_GB2312" w:cs="仿宋_GB2312"/>
                <w:i w:val="0"/>
                <w:iCs w:val="0"/>
                <w:snapToGrid/>
                <w:color w:val="000000"/>
                <w:kern w:val="0"/>
                <w:sz w:val="20"/>
                <w:szCs w:val="20"/>
                <w:u w:val="none"/>
                <w:lang w:val="en-US" w:eastAsia="zh-CN" w:bidi="ar"/>
              </w:rPr>
              <w:t>2025年度</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E005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C6C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2ED29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78A0BB1">
        <w:tblPrEx>
          <w:tblCellMar>
            <w:top w:w="0" w:type="dxa"/>
            <w:left w:w="108" w:type="dxa"/>
            <w:bottom w:w="0" w:type="dxa"/>
            <w:right w:w="108" w:type="dxa"/>
          </w:tblCellMar>
        </w:tblPrEx>
        <w:trPr>
          <w:trHeight w:val="52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A9C8A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1AEA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FFA2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86B98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eastAsia="zh-CN"/>
              </w:rPr>
              <w:t>支出控制在预算内</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5327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kern w:val="0"/>
                <w:sz w:val="20"/>
                <w:szCs w:val="20"/>
                <w:lang w:val="en-US" w:eastAsia="zh-CN" w:bidi="ar-SA"/>
              </w:rPr>
              <w:t>≤15</w:t>
            </w:r>
            <w:r>
              <w:rPr>
                <w:rFonts w:hint="eastAsia" w:ascii="仿宋_GB2312" w:hAnsi="仿宋_GB2312" w:eastAsia="仿宋_GB2312" w:cs="仿宋_GB2312"/>
                <w:snapToGrid/>
                <w:color w:val="auto"/>
                <w:sz w:val="20"/>
                <w:szCs w:val="20"/>
                <w:highlight w:val="none"/>
                <w:lang w:val="en-US" w:eastAsia="zh-CN"/>
              </w:rPr>
              <w:t>万元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9700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15万元</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56959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3702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166D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265CC405">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2AD7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7EB90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21E055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03F152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（30分）</w:t>
            </w:r>
          </w:p>
          <w:p w14:paraId="4AF6B8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D8C6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3F4A5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C68D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宋体" w:eastAsia="仿宋_GB2312" w:cs="仿宋_GB2312"/>
                <w:i w:val="0"/>
                <w:iCs w:val="0"/>
                <w:snapToGrid/>
                <w:color w:val="auto"/>
                <w:kern w:val="0"/>
                <w:sz w:val="20"/>
                <w:szCs w:val="20"/>
                <w:u w:val="none"/>
                <w:lang w:val="en-US" w:eastAsia="zh-CN" w:bidi="ar"/>
              </w:rPr>
              <w:t>促进</w:t>
            </w:r>
            <w:r>
              <w:rPr>
                <w:rFonts w:hint="eastAsia" w:ascii="仿宋_GB2312" w:hAnsi="仿宋_GB2312" w:eastAsia="仿宋_GB2312" w:cs="仿宋_GB2312"/>
                <w:snapToGrid/>
                <w:color w:val="000000"/>
                <w:sz w:val="20"/>
                <w:szCs w:val="20"/>
                <w:highlight w:val="none"/>
                <w:lang w:eastAsia="zh-CN"/>
              </w:rPr>
              <w:t>经济发展水平</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B3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有所</w:t>
            </w:r>
            <w:r>
              <w:rPr>
                <w:rFonts w:hint="eastAsia" w:ascii="仿宋_GB2312" w:hAnsi="宋体" w:eastAsia="仿宋_GB2312" w:cs="仿宋_GB2312"/>
                <w:i w:val="0"/>
                <w:iCs w:val="0"/>
                <w:snapToGrid/>
                <w:color w:val="auto"/>
                <w:kern w:val="0"/>
                <w:sz w:val="20"/>
                <w:szCs w:val="20"/>
                <w:u w:val="none"/>
                <w:lang w:val="en-US" w:eastAsia="zh-CN" w:bidi="ar"/>
              </w:rPr>
              <w:t>促进</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7EEFB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有所</w:t>
            </w:r>
            <w:r>
              <w:rPr>
                <w:rFonts w:hint="eastAsia" w:ascii="仿宋_GB2312" w:hAnsi="宋体" w:eastAsia="仿宋_GB2312" w:cs="仿宋_GB2312"/>
                <w:i w:val="0"/>
                <w:iCs w:val="0"/>
                <w:snapToGrid/>
                <w:color w:val="auto"/>
                <w:kern w:val="0"/>
                <w:sz w:val="20"/>
                <w:szCs w:val="20"/>
                <w:u w:val="none"/>
                <w:lang w:val="en-US" w:eastAsia="zh-CN" w:bidi="ar"/>
              </w:rPr>
              <w:t>促进</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7F965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10B04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F7D4C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54C5059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5482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B909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95C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5BC7C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35957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eastAsia="zh-CN"/>
              </w:rPr>
              <w:t>提升社会稳定性</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29D70E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有所提升</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4C76D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eastAsia="zh-CN"/>
              </w:rPr>
              <w:t>有所提升</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7937F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74BA6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43C8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3E7EF01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0C7B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9009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64DA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64C0B4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B7325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default" w:ascii="仿宋_GB2312" w:hAnsi="仿宋_GB2312" w:eastAsia="仿宋_GB2312" w:cs="仿宋_GB2312"/>
                <w:snapToGrid/>
                <w:color w:val="000000"/>
                <w:sz w:val="20"/>
                <w:szCs w:val="20"/>
                <w:highlight w:val="none"/>
                <w:lang w:val="en-US" w:eastAsia="zh-CN"/>
              </w:rPr>
              <w:t>生态环境改善</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E1FBD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有所改善</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DD39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有所改善</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F6D2A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3E554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A66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76A540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3949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B263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40BD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237C14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仿宋_GB2312" w:eastAsia="仿宋_GB2312" w:cs="仿宋_GB2312"/>
                <w:snapToGrid/>
                <w:color w:val="000000"/>
                <w:kern w:val="0"/>
                <w:sz w:val="20"/>
                <w:szCs w:val="20"/>
                <w:lang w:val="en-US" w:eastAsia="zh-CN" w:bidi="ar-SA"/>
              </w:rPr>
              <w:t>激发人大代表履职积极性和主动性</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28D8EA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宋体" w:eastAsia="仿宋_GB2312" w:cs="仿宋_GB2312"/>
                <w:i w:val="0"/>
                <w:iCs w:val="0"/>
                <w:snapToGrid/>
                <w:color w:val="auto"/>
                <w:kern w:val="0"/>
                <w:sz w:val="20"/>
                <w:szCs w:val="20"/>
                <w:u w:val="none"/>
                <w:rtl w:val="0"/>
                <w:lang w:val="en-US" w:eastAsia="zh-CN" w:bidi="ar"/>
              </w:rPr>
              <w:t>有所促进</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489B0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r>
              <w:rPr>
                <w:rFonts w:hint="eastAsia" w:ascii="仿宋_GB2312" w:hAnsi="宋体" w:eastAsia="仿宋_GB2312" w:cs="仿宋_GB2312"/>
                <w:i w:val="0"/>
                <w:iCs w:val="0"/>
                <w:snapToGrid/>
                <w:color w:val="auto"/>
                <w:kern w:val="0"/>
                <w:sz w:val="20"/>
                <w:szCs w:val="20"/>
                <w:u w:val="none"/>
                <w:rtl w:val="0"/>
                <w:lang w:val="en-US" w:eastAsia="zh-CN" w:bidi="ar"/>
              </w:rPr>
              <w:t>有所促进</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5ADBD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E75A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EE32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0A21408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A12F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BBDE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7F59B6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p w14:paraId="67A22C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28D5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030A1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服务对象</w:t>
            </w:r>
            <w:r>
              <w:rPr>
                <w:rFonts w:hint="eastAsia" w:ascii="仿宋_GB2312" w:hAnsi="仿宋_GB2312" w:eastAsia="仿宋_GB2312" w:cs="仿宋_GB2312"/>
                <w:snapToGrid/>
                <w:color w:val="000000"/>
                <w:sz w:val="20"/>
                <w:szCs w:val="20"/>
                <w:highlight w:val="none"/>
                <w:lang w:val="en-US" w:eastAsia="zh-CN"/>
              </w:rPr>
              <w:t>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AFB7C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≥95%</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5DC996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95%</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63CC2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6813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4BE3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05E47C5">
        <w:tblPrEx>
          <w:tblCellMar>
            <w:top w:w="0" w:type="dxa"/>
            <w:left w:w="108" w:type="dxa"/>
            <w:bottom w:w="0" w:type="dxa"/>
            <w:right w:w="108" w:type="dxa"/>
          </w:tblCellMar>
        </w:tblPrEx>
        <w:trPr>
          <w:jc w:val="center"/>
        </w:trPr>
        <w:tc>
          <w:tcPr>
            <w:tcW w:w="6532" w:type="dxa"/>
            <w:gridSpan w:val="6"/>
            <w:tcBorders>
              <w:top w:val="single" w:color="auto" w:sz="4" w:space="0"/>
              <w:left w:val="single" w:color="auto" w:sz="4" w:space="0"/>
              <w:bottom w:val="single" w:color="auto" w:sz="4" w:space="0"/>
              <w:right w:val="single" w:color="auto" w:sz="4" w:space="0"/>
            </w:tcBorders>
            <w:noWrap w:val="0"/>
            <w:vAlign w:val="center"/>
          </w:tcPr>
          <w:p w14:paraId="5BD644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18FF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818B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8643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013D3145">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7E4547B7">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28"/>
          <w:szCs w:val="21"/>
          <w:highlight w:val="none"/>
          <w:lang w:eastAsia="zh-CN"/>
        </w:rPr>
      </w:pPr>
      <w:r>
        <w:rPr>
          <w:rFonts w:hint="default" w:ascii="Times New Roman" w:hAnsi="Times New Roman" w:eastAsia="仿宋_GB2312" w:cs="Times New Roman"/>
          <w:snapToGrid/>
          <w:sz w:val="18"/>
          <w:szCs w:val="18"/>
          <w:highlight w:val="none"/>
          <w:lang w:eastAsia="zh-CN"/>
        </w:rPr>
        <w:t>备注：一个一级项目支出一张表。</w:t>
      </w:r>
      <w:r>
        <w:rPr>
          <w:rFonts w:hint="eastAsia" w:ascii="Times New Roman" w:hAnsi="Times New Roman" w:eastAsia="仿宋_GB2312" w:cs="Times New Roman"/>
          <w:snapToGrid/>
          <w:sz w:val="18"/>
          <w:szCs w:val="18"/>
          <w:highlight w:val="none"/>
          <w:lang w:eastAsia="zh-CN"/>
        </w:rPr>
        <w:t>如，</w:t>
      </w:r>
      <w:r>
        <w:rPr>
          <w:rFonts w:hint="default" w:ascii="Times New Roman" w:hAnsi="Times New Roman" w:eastAsia="仿宋_GB2312" w:cs="Times New Roman"/>
          <w:snapToGrid/>
          <w:sz w:val="18"/>
          <w:szCs w:val="18"/>
          <w:highlight w:val="none"/>
          <w:lang w:eastAsia="zh-CN"/>
        </w:rPr>
        <w:t>业务工作经费</w:t>
      </w:r>
      <w:r>
        <w:rPr>
          <w:rFonts w:hint="eastAsia" w:ascii="Times New Roman" w:hAnsi="Times New Roman" w:eastAsia="仿宋_GB2312" w:cs="Times New Roman"/>
          <w:snapToGrid/>
          <w:sz w:val="18"/>
          <w:szCs w:val="18"/>
          <w:highlight w:val="none"/>
          <w:lang w:eastAsia="zh-CN"/>
        </w:rPr>
        <w:t>，</w:t>
      </w:r>
      <w:r>
        <w:rPr>
          <w:rFonts w:hint="default" w:ascii="Times New Roman" w:hAnsi="Times New Roman" w:eastAsia="仿宋_GB2312" w:cs="Times New Roman"/>
          <w:snapToGrid/>
          <w:sz w:val="18"/>
          <w:szCs w:val="18"/>
          <w:highlight w:val="none"/>
          <w:lang w:eastAsia="zh-CN"/>
        </w:rPr>
        <w:t>运行维护经费</w:t>
      </w:r>
      <w:r>
        <w:rPr>
          <w:rFonts w:hint="eastAsia" w:ascii="Times New Roman" w:hAnsi="Times New Roman" w:eastAsia="仿宋_GB2312" w:cs="Times New Roman"/>
          <w:snapToGrid/>
          <w:sz w:val="18"/>
          <w:szCs w:val="18"/>
          <w:highlight w:val="none"/>
          <w:lang w:eastAsia="zh-CN"/>
        </w:rPr>
        <w:t>，其他事业发展类资金…各一张表。</w:t>
      </w:r>
    </w:p>
    <w:p w14:paraId="2E5E069E">
      <w:pPr>
        <w:widowControl/>
        <w:kinsoku/>
        <w:autoSpaceDE/>
        <w:autoSpaceDN/>
        <w:adjustRightInd/>
        <w:snapToGrid/>
        <w:spacing w:line="600" w:lineRule="exact"/>
        <w:jc w:val="left"/>
        <w:textAlignment w:val="auto"/>
        <w:rPr>
          <w:rFonts w:hint="default" w:ascii="Times New Roman" w:hAnsi="Times New Roman" w:eastAsia="仿宋_GB2312" w:cs="Times New Roman"/>
          <w:snapToGrid/>
          <w:sz w:val="22"/>
          <w:szCs w:val="22"/>
          <w:highlight w:val="none"/>
          <w:lang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p>
    <w:p w14:paraId="579AE9F5">
      <w:pPr>
        <w:pStyle w:val="2"/>
      </w:pPr>
    </w:p>
    <w:p w14:paraId="7DE4C62F">
      <w:pPr>
        <w:keepNext w:val="0"/>
        <w:keepLines w:val="0"/>
        <w:pageBreakBefore w:val="0"/>
        <w:wordWrap/>
        <w:overflowPunct/>
        <w:topLinePunct w:val="0"/>
        <w:bidi w:val="0"/>
        <w:spacing w:line="600" w:lineRule="exact"/>
        <w:rPr>
          <w:rFonts w:ascii="仿宋" w:hAnsi="仿宋" w:eastAsia="仿宋" w:cs="仿宋"/>
          <w:spacing w:val="35"/>
          <w:sz w:val="32"/>
          <w:szCs w:val="32"/>
        </w:rPr>
      </w:pPr>
    </w:p>
    <w:sectPr>
      <w:headerReference r:id="rId6" w:type="default"/>
      <w:footerReference r:id="rId7" w:type="default"/>
      <w:pgSz w:w="11900" w:h="16830"/>
      <w:pgMar w:top="1440" w:right="1800" w:bottom="1134" w:left="1800" w:header="0"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B8BC">
    <w:pPr>
      <w:spacing w:before="1" w:line="233" w:lineRule="auto"/>
      <w:ind w:left="7405"/>
      <w:rPr>
        <w:rFonts w:ascii="宋体" w:hAnsi="宋体" w:eastAsia="宋体" w:cs="宋体"/>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74341">
    <w:pPr>
      <w:spacing w:before="1" w:line="233" w:lineRule="auto"/>
      <w:ind w:left="195"/>
      <w:rPr>
        <w:rFonts w:ascii="宋体" w:hAnsi="宋体" w:eastAsia="宋体" w:cs="宋体"/>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3F43">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D464CF"/>
    <w:multiLevelType w:val="singleLevel"/>
    <w:tmpl w:val="D5D464CF"/>
    <w:lvl w:ilvl="0" w:tentative="0">
      <w:start w:val="1"/>
      <w:numFmt w:val="chineseCounting"/>
      <w:suff w:val="nothing"/>
      <w:lvlText w:val="%1、"/>
      <w:lvlJc w:val="left"/>
      <w:rPr>
        <w:rFonts w:hint="eastAsia"/>
      </w:rPr>
    </w:lvl>
  </w:abstractNum>
  <w:abstractNum w:abstractNumId="1">
    <w:nsid w:val="FE8E9D7D"/>
    <w:multiLevelType w:val="singleLevel"/>
    <w:tmpl w:val="FE8E9D7D"/>
    <w:lvl w:ilvl="0" w:tentative="0">
      <w:start w:val="4"/>
      <w:numFmt w:val="chineseCounting"/>
      <w:suff w:val="nothing"/>
      <w:lvlText w:val="%1、"/>
      <w:lvlJc w:val="left"/>
      <w:rPr>
        <w:rFonts w:hint="eastAsia"/>
      </w:rPr>
    </w:lvl>
  </w:abstractNum>
  <w:abstractNum w:abstractNumId="2">
    <w:nsid w:val="1CBF6CD7"/>
    <w:multiLevelType w:val="singleLevel"/>
    <w:tmpl w:val="1CBF6CD7"/>
    <w:lvl w:ilvl="0" w:tentative="0">
      <w:start w:val="2"/>
      <w:numFmt w:val="chineseCounting"/>
      <w:lvlText w:val="(%1)"/>
      <w:lvlJc w:val="left"/>
      <w:pPr>
        <w:tabs>
          <w:tab w:val="left" w:pos="312"/>
        </w:tabs>
      </w:pPr>
      <w:rPr>
        <w:rFonts w:hint="eastAsia"/>
      </w:rPr>
    </w:lvl>
  </w:abstractNum>
  <w:abstractNum w:abstractNumId="3">
    <w:nsid w:val="6426185D"/>
    <w:multiLevelType w:val="singleLevel"/>
    <w:tmpl w:val="6426185D"/>
    <w:lvl w:ilvl="0" w:tentative="0">
      <w:start w:val="1"/>
      <w:numFmt w:val="decimal"/>
      <w:lvlText w:val="%1."/>
      <w:lvlJc w:val="left"/>
      <w:pPr>
        <w:tabs>
          <w:tab w:val="left" w:pos="312"/>
        </w:tabs>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5DD0A83"/>
    <w:rsid w:val="069E5BE2"/>
    <w:rsid w:val="15347FDF"/>
    <w:rsid w:val="15ED6AF6"/>
    <w:rsid w:val="16C44F84"/>
    <w:rsid w:val="17742506"/>
    <w:rsid w:val="18B21538"/>
    <w:rsid w:val="258379D8"/>
    <w:rsid w:val="26C901BC"/>
    <w:rsid w:val="29747366"/>
    <w:rsid w:val="2B312790"/>
    <w:rsid w:val="2D404F0C"/>
    <w:rsid w:val="31780C48"/>
    <w:rsid w:val="35C61714"/>
    <w:rsid w:val="3D6B0EEA"/>
    <w:rsid w:val="4AD43D49"/>
    <w:rsid w:val="558739CF"/>
    <w:rsid w:val="56731F2A"/>
    <w:rsid w:val="56B817EA"/>
    <w:rsid w:val="574C432A"/>
    <w:rsid w:val="62F26BD0"/>
    <w:rsid w:val="69A973BA"/>
    <w:rsid w:val="6B8226B0"/>
    <w:rsid w:val="6C3C38A0"/>
    <w:rsid w:val="764E7D30"/>
    <w:rsid w:val="769E5DCD"/>
    <w:rsid w:val="77195207"/>
    <w:rsid w:val="79C80157"/>
    <w:rsid w:val="7C280612"/>
    <w:rsid w:val="7FBA77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paragraph" w:styleId="9">
    <w:name w:val="List Paragraph"/>
    <w:basedOn w:val="1"/>
    <w:qFormat/>
    <w:uiPriority w:val="99"/>
    <w:pPr>
      <w:ind w:firstLine="420" w:firstLineChars="200"/>
    </w:pPr>
    <w:rPr>
      <w:rFonts w:ascii="Calibri" w:hAnsi="Calibri"/>
      <w:szCs w:val="22"/>
    </w:rPr>
  </w:style>
  <w:style w:type="paragraph" w:customStyle="1" w:styleId="10">
    <w:name w:val="List Paragraph_a0f507d5-6e28-4914-b37f-020b7d2b0f7c"/>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6156</Words>
  <Characters>6832</Characters>
  <TotalTime>13</TotalTime>
  <ScaleCrop>false</ScaleCrop>
  <LinksUpToDate>false</LinksUpToDate>
  <CharactersWithSpaces>6991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2025-06-30T16:55:00Z</dcterms:created>
  <dc:creator>Administrator</dc:creator>
  <cp:lastModifiedBy>李晨</cp:lastModifiedBy>
  <dcterms:modified xsi:type="dcterms:W3CDTF">2026-06-26T03:30:34Z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2025-06-30T16:55:36Z</vt:filetime>
  </property>
  <property fmtid="{D5CDD505-2E9C-101B-9397-08002B2CF9AE}" pid="4" name="UsrData">
    <vt:lpwstr>686251064feef9001f700a84wl</vt:lpwstr>
  </property>
  <property fmtid="{D5CDD505-2E9C-101B-9397-08002B2CF9AE}" pid="5" name="KSOTemplateDocerSaveRecord">
    <vt:lpwstr>eyJoZGlkIjoiYTI1ZWRhODIzZjNkMzE5ODI3Y2UwZTM2NjQ3YjE4YjIiLCJ1c2VySWQiOiIyNDA2NTM0MjMifQ==</vt:lpwstr>
  </property>
  <property fmtid="{D5CDD505-2E9C-101B-9397-08002B2CF9AE}" pid="6" name="KSOProductBuildVer">
    <vt:lpwstr>2052-12.1.0.26895</vt:lpwstr>
  </property>
  <property fmtid="{D5CDD505-2E9C-101B-9397-08002B2CF9AE}" pid="7" name="ICV">
    <vt:lpwstr>64DD95F61DBF4C42A98FABD4FC07EF1E_12</vt:lpwstr>
  </property>
</Properties>
</file>