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0ACC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2</w:t>
      </w:r>
    </w:p>
    <w:p w14:paraId="67539F8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66C155FA">
      <w:pPr>
        <w:spacing w:line="115" w:lineRule="exact"/>
        <w:rPr>
          <w:color w:val="000000"/>
        </w:rPr>
      </w:pPr>
    </w:p>
    <w:tbl>
      <w:tblPr>
        <w:tblStyle w:val="6"/>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67909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1E325D4D">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4EAEDA09">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岳阳市岳阳楼区城市管理局</w:t>
            </w:r>
          </w:p>
        </w:tc>
      </w:tr>
      <w:tr w14:paraId="49934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6EB38833">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0995719C">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05E2C7DA">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eastAsia="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121D06A1">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23D68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2455441E">
            <w:pPr>
              <w:jc w:val="left"/>
              <w:rPr>
                <w:rFonts w:hint="eastAsia" w:ascii="宋体" w:hAnsi="宋体" w:eastAsia="宋体" w:cs="宋体"/>
                <w:color w:val="000000"/>
                <w:sz w:val="24"/>
                <w:szCs w:val="24"/>
              </w:rPr>
            </w:pPr>
          </w:p>
        </w:tc>
        <w:tc>
          <w:tcPr>
            <w:tcW w:w="1815" w:type="dxa"/>
            <w:gridSpan w:val="2"/>
            <w:noWrap w:val="0"/>
            <w:vAlign w:val="top"/>
          </w:tcPr>
          <w:p w14:paraId="05AF6F1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493</w:t>
            </w:r>
          </w:p>
        </w:tc>
        <w:tc>
          <w:tcPr>
            <w:tcW w:w="2325" w:type="dxa"/>
            <w:gridSpan w:val="2"/>
            <w:noWrap w:val="0"/>
            <w:vAlign w:val="top"/>
          </w:tcPr>
          <w:p w14:paraId="51EEDB08">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312</w:t>
            </w:r>
          </w:p>
        </w:tc>
        <w:tc>
          <w:tcPr>
            <w:tcW w:w="1679" w:type="dxa"/>
            <w:gridSpan w:val="2"/>
            <w:noWrap w:val="0"/>
            <w:vAlign w:val="top"/>
          </w:tcPr>
          <w:p w14:paraId="73570DF0">
            <w:pPr>
              <w:rPr>
                <w:rFonts w:hint="eastAsia" w:ascii="宋体" w:hAnsi="宋体" w:eastAsia="宋体" w:cs="宋体"/>
                <w:color w:val="000000"/>
                <w:sz w:val="24"/>
                <w:szCs w:val="24"/>
              </w:rPr>
            </w:pPr>
          </w:p>
        </w:tc>
      </w:tr>
      <w:tr w14:paraId="1479A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5171505E">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79AF5CFF">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2138C267">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5CEF609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eastAsia="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7A472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D5A4B09">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10C49CD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18.06</w:t>
            </w:r>
          </w:p>
        </w:tc>
        <w:tc>
          <w:tcPr>
            <w:tcW w:w="2325" w:type="dxa"/>
            <w:gridSpan w:val="2"/>
            <w:noWrap w:val="0"/>
            <w:vAlign w:val="top"/>
          </w:tcPr>
          <w:p w14:paraId="0C365C9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18.00</w:t>
            </w:r>
          </w:p>
        </w:tc>
        <w:tc>
          <w:tcPr>
            <w:tcW w:w="1679" w:type="dxa"/>
            <w:gridSpan w:val="2"/>
            <w:noWrap w:val="0"/>
            <w:vAlign w:val="top"/>
          </w:tcPr>
          <w:p w14:paraId="4607C3E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r>
      <w:tr w14:paraId="7B235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BBDAACE">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34C6839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18.06</w:t>
            </w:r>
          </w:p>
        </w:tc>
        <w:tc>
          <w:tcPr>
            <w:tcW w:w="2325" w:type="dxa"/>
            <w:gridSpan w:val="2"/>
            <w:noWrap w:val="0"/>
            <w:vAlign w:val="top"/>
          </w:tcPr>
          <w:p w14:paraId="4078597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18.00</w:t>
            </w:r>
          </w:p>
        </w:tc>
        <w:tc>
          <w:tcPr>
            <w:tcW w:w="1679" w:type="dxa"/>
            <w:gridSpan w:val="2"/>
            <w:noWrap w:val="0"/>
            <w:vAlign w:val="top"/>
          </w:tcPr>
          <w:p w14:paraId="1518BEC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w:t>
            </w:r>
          </w:p>
        </w:tc>
      </w:tr>
      <w:tr w14:paraId="0DFA7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F6B6D8D">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4387B3FD">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2325" w:type="dxa"/>
            <w:gridSpan w:val="2"/>
            <w:noWrap w:val="0"/>
            <w:vAlign w:val="top"/>
          </w:tcPr>
          <w:p w14:paraId="11F7F69F">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73F8C33D">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689FC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4F8173C5">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35468EB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18.06</w:t>
            </w:r>
          </w:p>
        </w:tc>
        <w:tc>
          <w:tcPr>
            <w:tcW w:w="2325" w:type="dxa"/>
            <w:gridSpan w:val="2"/>
            <w:noWrap w:val="0"/>
            <w:vAlign w:val="top"/>
          </w:tcPr>
          <w:p w14:paraId="3FF89F3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18.00</w:t>
            </w:r>
          </w:p>
        </w:tc>
        <w:tc>
          <w:tcPr>
            <w:tcW w:w="1679" w:type="dxa"/>
            <w:gridSpan w:val="2"/>
            <w:noWrap w:val="0"/>
            <w:vAlign w:val="top"/>
          </w:tcPr>
          <w:p w14:paraId="76B8182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w:t>
            </w:r>
          </w:p>
        </w:tc>
      </w:tr>
      <w:tr w14:paraId="3BF0E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727BD4A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45E9FC77">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2325" w:type="dxa"/>
            <w:gridSpan w:val="2"/>
            <w:noWrap w:val="0"/>
            <w:vAlign w:val="top"/>
          </w:tcPr>
          <w:p w14:paraId="0C277EBA">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60D8951A">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17A13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BC79CFE">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2761F196">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2325" w:type="dxa"/>
            <w:gridSpan w:val="2"/>
            <w:noWrap w:val="0"/>
            <w:vAlign w:val="top"/>
          </w:tcPr>
          <w:p w14:paraId="2882A76B">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06A01804">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1C19D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0350EE">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428C171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195.63</w:t>
            </w:r>
          </w:p>
        </w:tc>
        <w:tc>
          <w:tcPr>
            <w:tcW w:w="2325" w:type="dxa"/>
            <w:gridSpan w:val="2"/>
            <w:noWrap w:val="0"/>
            <w:vAlign w:val="top"/>
          </w:tcPr>
          <w:p w14:paraId="742326B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124</w:t>
            </w:r>
          </w:p>
        </w:tc>
        <w:tc>
          <w:tcPr>
            <w:tcW w:w="1679" w:type="dxa"/>
            <w:gridSpan w:val="2"/>
            <w:noWrap w:val="0"/>
            <w:vAlign w:val="top"/>
          </w:tcPr>
          <w:p w14:paraId="48F769D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141.71</w:t>
            </w:r>
          </w:p>
        </w:tc>
      </w:tr>
      <w:tr w14:paraId="51690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7A7BD98F">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67B48F4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192.86</w:t>
            </w:r>
          </w:p>
        </w:tc>
        <w:tc>
          <w:tcPr>
            <w:tcW w:w="2325" w:type="dxa"/>
            <w:gridSpan w:val="2"/>
            <w:noWrap w:val="0"/>
            <w:vAlign w:val="top"/>
          </w:tcPr>
          <w:p w14:paraId="3D299FE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124</w:t>
            </w:r>
          </w:p>
        </w:tc>
        <w:tc>
          <w:tcPr>
            <w:tcW w:w="1679" w:type="dxa"/>
            <w:gridSpan w:val="2"/>
            <w:noWrap w:val="0"/>
            <w:vAlign w:val="top"/>
          </w:tcPr>
          <w:p w14:paraId="0BD42F0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141.71</w:t>
            </w:r>
          </w:p>
        </w:tc>
      </w:tr>
      <w:tr w14:paraId="45FB4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42A965EF">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5238D735">
            <w:pPr>
              <w:jc w:val="center"/>
              <w:rPr>
                <w:rFonts w:hint="default" w:ascii="宋体" w:hAnsi="宋体" w:eastAsia="宋体" w:cs="宋体"/>
                <w:color w:val="000000"/>
                <w:sz w:val="21"/>
                <w:lang w:val="en-US" w:eastAsia="zh-CN"/>
              </w:rPr>
            </w:pPr>
          </w:p>
        </w:tc>
        <w:tc>
          <w:tcPr>
            <w:tcW w:w="2325" w:type="dxa"/>
            <w:gridSpan w:val="2"/>
            <w:noWrap w:val="0"/>
            <w:vAlign w:val="top"/>
          </w:tcPr>
          <w:p w14:paraId="68D576F2">
            <w:pPr>
              <w:jc w:val="center"/>
              <w:rPr>
                <w:rFonts w:hint="default" w:ascii="宋体" w:hAnsi="宋体" w:eastAsia="宋体" w:cs="宋体"/>
                <w:color w:val="000000"/>
                <w:sz w:val="21"/>
                <w:lang w:val="en-US" w:eastAsia="zh-CN"/>
              </w:rPr>
            </w:pPr>
          </w:p>
        </w:tc>
        <w:tc>
          <w:tcPr>
            <w:tcW w:w="1679" w:type="dxa"/>
            <w:gridSpan w:val="2"/>
            <w:noWrap w:val="0"/>
            <w:vAlign w:val="top"/>
          </w:tcPr>
          <w:p w14:paraId="6070DE45">
            <w:pPr>
              <w:jc w:val="center"/>
              <w:rPr>
                <w:rFonts w:hint="default" w:ascii="宋体" w:hAnsi="宋体" w:eastAsia="宋体" w:cs="宋体"/>
                <w:color w:val="000000"/>
                <w:sz w:val="21"/>
                <w:lang w:val="en-US" w:eastAsia="zh-CN"/>
              </w:rPr>
            </w:pPr>
          </w:p>
        </w:tc>
      </w:tr>
      <w:tr w14:paraId="3A6C2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7C60054B">
            <w:pPr>
              <w:jc w:val="left"/>
              <w:rPr>
                <w:rFonts w:hint="eastAsia" w:ascii="宋体" w:hAnsi="宋体" w:eastAsia="宋体" w:cs="宋体"/>
                <w:color w:val="000000"/>
                <w:sz w:val="24"/>
                <w:szCs w:val="24"/>
                <w:lang w:val="en-US" w:eastAsia="zh-CN"/>
              </w:rPr>
            </w:pPr>
          </w:p>
        </w:tc>
        <w:tc>
          <w:tcPr>
            <w:tcW w:w="1815" w:type="dxa"/>
            <w:gridSpan w:val="2"/>
            <w:noWrap w:val="0"/>
            <w:vAlign w:val="top"/>
          </w:tcPr>
          <w:p w14:paraId="18175C78">
            <w:pPr>
              <w:jc w:val="center"/>
              <w:rPr>
                <w:rFonts w:hint="eastAsia" w:ascii="宋体" w:hAnsi="宋体" w:eastAsia="宋体" w:cs="宋体"/>
                <w:color w:val="000000"/>
                <w:sz w:val="21"/>
              </w:rPr>
            </w:pPr>
          </w:p>
        </w:tc>
        <w:tc>
          <w:tcPr>
            <w:tcW w:w="2325" w:type="dxa"/>
            <w:gridSpan w:val="2"/>
            <w:noWrap w:val="0"/>
            <w:vAlign w:val="top"/>
          </w:tcPr>
          <w:p w14:paraId="7C250221">
            <w:pPr>
              <w:jc w:val="center"/>
              <w:rPr>
                <w:rFonts w:hint="eastAsia" w:ascii="宋体" w:hAnsi="宋体" w:eastAsia="宋体" w:cs="宋体"/>
                <w:color w:val="000000"/>
                <w:sz w:val="21"/>
              </w:rPr>
            </w:pPr>
          </w:p>
        </w:tc>
        <w:tc>
          <w:tcPr>
            <w:tcW w:w="1679" w:type="dxa"/>
            <w:gridSpan w:val="2"/>
            <w:noWrap w:val="0"/>
            <w:vAlign w:val="top"/>
          </w:tcPr>
          <w:p w14:paraId="3AD5AEEB">
            <w:pPr>
              <w:jc w:val="center"/>
              <w:rPr>
                <w:rFonts w:hint="eastAsia" w:ascii="宋体" w:hAnsi="宋体" w:eastAsia="宋体" w:cs="宋体"/>
                <w:color w:val="000000"/>
                <w:sz w:val="21"/>
              </w:rPr>
            </w:pPr>
          </w:p>
        </w:tc>
      </w:tr>
      <w:tr w14:paraId="52F81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4004B4B">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6D69D8F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2.77</w:t>
            </w:r>
            <w:bookmarkStart w:id="0" w:name="_GoBack"/>
            <w:bookmarkEnd w:id="0"/>
          </w:p>
        </w:tc>
        <w:tc>
          <w:tcPr>
            <w:tcW w:w="2325" w:type="dxa"/>
            <w:gridSpan w:val="2"/>
            <w:noWrap w:val="0"/>
            <w:vAlign w:val="top"/>
          </w:tcPr>
          <w:p w14:paraId="1651EB46">
            <w:pPr>
              <w:jc w:val="center"/>
              <w:rPr>
                <w:rFonts w:hint="eastAsia" w:ascii="宋体" w:hAnsi="宋体" w:eastAsia="宋体" w:cs="宋体"/>
                <w:color w:val="000000"/>
                <w:sz w:val="21"/>
              </w:rPr>
            </w:pPr>
          </w:p>
        </w:tc>
        <w:tc>
          <w:tcPr>
            <w:tcW w:w="1679" w:type="dxa"/>
            <w:gridSpan w:val="2"/>
            <w:noWrap w:val="0"/>
            <w:vAlign w:val="top"/>
          </w:tcPr>
          <w:p w14:paraId="2438CFCE">
            <w:pPr>
              <w:jc w:val="center"/>
              <w:rPr>
                <w:rFonts w:hint="eastAsia" w:ascii="宋体" w:hAnsi="宋体" w:eastAsia="宋体" w:cs="宋体"/>
                <w:color w:val="000000"/>
                <w:sz w:val="21"/>
              </w:rPr>
            </w:pPr>
          </w:p>
        </w:tc>
      </w:tr>
      <w:tr w14:paraId="07E6D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63E35F4">
            <w:pPr>
              <w:jc w:val="left"/>
              <w:rPr>
                <w:rFonts w:hint="eastAsia" w:ascii="宋体" w:hAnsi="宋体" w:eastAsia="宋体" w:cs="宋体"/>
                <w:color w:val="000000"/>
                <w:sz w:val="24"/>
                <w:szCs w:val="24"/>
              </w:rPr>
            </w:pPr>
          </w:p>
        </w:tc>
        <w:tc>
          <w:tcPr>
            <w:tcW w:w="1815" w:type="dxa"/>
            <w:gridSpan w:val="2"/>
            <w:noWrap w:val="0"/>
            <w:vAlign w:val="top"/>
          </w:tcPr>
          <w:p w14:paraId="7DD96A4A">
            <w:pPr>
              <w:jc w:val="center"/>
              <w:rPr>
                <w:rFonts w:hint="eastAsia" w:ascii="宋体" w:hAnsi="宋体" w:eastAsia="宋体" w:cs="宋体"/>
                <w:color w:val="000000"/>
                <w:sz w:val="21"/>
              </w:rPr>
            </w:pPr>
          </w:p>
        </w:tc>
        <w:tc>
          <w:tcPr>
            <w:tcW w:w="2325" w:type="dxa"/>
            <w:gridSpan w:val="2"/>
            <w:noWrap w:val="0"/>
            <w:vAlign w:val="top"/>
          </w:tcPr>
          <w:p w14:paraId="3ACED21D">
            <w:pPr>
              <w:jc w:val="center"/>
              <w:rPr>
                <w:rFonts w:hint="eastAsia" w:ascii="宋体" w:hAnsi="宋体" w:eastAsia="宋体" w:cs="宋体"/>
                <w:color w:val="000000"/>
                <w:sz w:val="21"/>
              </w:rPr>
            </w:pPr>
          </w:p>
        </w:tc>
        <w:tc>
          <w:tcPr>
            <w:tcW w:w="1679" w:type="dxa"/>
            <w:gridSpan w:val="2"/>
            <w:noWrap w:val="0"/>
            <w:vAlign w:val="top"/>
          </w:tcPr>
          <w:p w14:paraId="4932B0BE">
            <w:pPr>
              <w:jc w:val="center"/>
              <w:rPr>
                <w:rFonts w:hint="eastAsia" w:ascii="宋体" w:hAnsi="宋体" w:eastAsia="宋体" w:cs="宋体"/>
                <w:color w:val="000000"/>
                <w:sz w:val="21"/>
              </w:rPr>
            </w:pPr>
          </w:p>
        </w:tc>
      </w:tr>
      <w:tr w14:paraId="5D0F4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96A8D3A">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1531F78B">
            <w:pPr>
              <w:jc w:val="center"/>
              <w:rPr>
                <w:rFonts w:hint="eastAsia" w:ascii="宋体" w:hAnsi="宋体" w:eastAsia="宋体" w:cs="宋体"/>
                <w:color w:val="000000"/>
                <w:sz w:val="21"/>
              </w:rPr>
            </w:pPr>
          </w:p>
        </w:tc>
        <w:tc>
          <w:tcPr>
            <w:tcW w:w="2325" w:type="dxa"/>
            <w:gridSpan w:val="2"/>
            <w:noWrap w:val="0"/>
            <w:vAlign w:val="top"/>
          </w:tcPr>
          <w:p w14:paraId="28B3CA59">
            <w:pPr>
              <w:jc w:val="center"/>
              <w:rPr>
                <w:rFonts w:hint="eastAsia" w:ascii="宋体" w:hAnsi="宋体" w:eastAsia="宋体" w:cs="宋体"/>
                <w:color w:val="000000"/>
                <w:sz w:val="21"/>
              </w:rPr>
            </w:pPr>
          </w:p>
        </w:tc>
        <w:tc>
          <w:tcPr>
            <w:tcW w:w="1679" w:type="dxa"/>
            <w:gridSpan w:val="2"/>
            <w:noWrap w:val="0"/>
            <w:vAlign w:val="top"/>
          </w:tcPr>
          <w:p w14:paraId="34A633B1">
            <w:pPr>
              <w:jc w:val="center"/>
              <w:rPr>
                <w:rFonts w:hint="eastAsia" w:ascii="宋体" w:hAnsi="宋体" w:eastAsia="宋体" w:cs="宋体"/>
                <w:color w:val="000000"/>
                <w:sz w:val="21"/>
              </w:rPr>
            </w:pPr>
          </w:p>
        </w:tc>
      </w:tr>
      <w:tr w14:paraId="1A54E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FE39E24">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1E72413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767.57</w:t>
            </w:r>
          </w:p>
        </w:tc>
        <w:tc>
          <w:tcPr>
            <w:tcW w:w="2325" w:type="dxa"/>
            <w:gridSpan w:val="2"/>
            <w:noWrap w:val="0"/>
            <w:vAlign w:val="top"/>
          </w:tcPr>
          <w:p w14:paraId="69000ED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516.60</w:t>
            </w:r>
          </w:p>
        </w:tc>
        <w:tc>
          <w:tcPr>
            <w:tcW w:w="1679" w:type="dxa"/>
            <w:gridSpan w:val="2"/>
            <w:noWrap w:val="0"/>
            <w:vAlign w:val="top"/>
          </w:tcPr>
          <w:p w14:paraId="3B8B1E5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769.73</w:t>
            </w:r>
          </w:p>
        </w:tc>
      </w:tr>
      <w:tr w14:paraId="69D4A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4C7427B">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top"/>
          </w:tcPr>
          <w:p w14:paraId="657414A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70.02</w:t>
            </w:r>
          </w:p>
        </w:tc>
        <w:tc>
          <w:tcPr>
            <w:tcW w:w="2325" w:type="dxa"/>
            <w:gridSpan w:val="2"/>
            <w:noWrap w:val="0"/>
            <w:vAlign w:val="top"/>
          </w:tcPr>
          <w:p w14:paraId="10ED0F9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7209405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87.43</w:t>
            </w:r>
          </w:p>
        </w:tc>
      </w:tr>
      <w:tr w14:paraId="0B321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8D7C8C4">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top"/>
          </w:tcPr>
          <w:p w14:paraId="5DEFFF0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9.73</w:t>
            </w:r>
          </w:p>
        </w:tc>
        <w:tc>
          <w:tcPr>
            <w:tcW w:w="2325" w:type="dxa"/>
            <w:gridSpan w:val="2"/>
            <w:noWrap w:val="0"/>
            <w:vAlign w:val="top"/>
          </w:tcPr>
          <w:p w14:paraId="2EC6266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3129CD9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6.01</w:t>
            </w:r>
          </w:p>
        </w:tc>
      </w:tr>
      <w:tr w14:paraId="2FC84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7FE21F9">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top"/>
          </w:tcPr>
          <w:p w14:paraId="2417019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2.04</w:t>
            </w:r>
          </w:p>
        </w:tc>
        <w:tc>
          <w:tcPr>
            <w:tcW w:w="2325" w:type="dxa"/>
            <w:gridSpan w:val="2"/>
            <w:noWrap w:val="0"/>
            <w:vAlign w:val="top"/>
          </w:tcPr>
          <w:p w14:paraId="0B8B721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0E8DDE5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14.23</w:t>
            </w:r>
          </w:p>
        </w:tc>
      </w:tr>
      <w:tr w14:paraId="68251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449542">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top"/>
          </w:tcPr>
          <w:p w14:paraId="3A90D7AC">
            <w:pPr>
              <w:ind w:firstLine="547" w:firstLineChars="0"/>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331.61</w:t>
            </w:r>
          </w:p>
        </w:tc>
        <w:tc>
          <w:tcPr>
            <w:tcW w:w="2325" w:type="dxa"/>
            <w:gridSpan w:val="2"/>
            <w:noWrap w:val="0"/>
            <w:vAlign w:val="top"/>
          </w:tcPr>
          <w:p w14:paraId="2EAE849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401.90</w:t>
            </w:r>
          </w:p>
        </w:tc>
        <w:tc>
          <w:tcPr>
            <w:tcW w:w="1679" w:type="dxa"/>
            <w:gridSpan w:val="2"/>
            <w:noWrap w:val="0"/>
            <w:vAlign w:val="top"/>
          </w:tcPr>
          <w:p w14:paraId="2E49941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328.69</w:t>
            </w:r>
          </w:p>
        </w:tc>
      </w:tr>
      <w:tr w14:paraId="24440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13090CD">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3D7626A1">
            <w:pPr>
              <w:jc w:val="center"/>
              <w:rPr>
                <w:rFonts w:hint="eastAsia" w:ascii="宋体" w:hAnsi="宋体" w:eastAsia="宋体" w:cs="宋体"/>
                <w:color w:val="000000"/>
                <w:sz w:val="21"/>
              </w:rPr>
            </w:pPr>
          </w:p>
        </w:tc>
        <w:tc>
          <w:tcPr>
            <w:tcW w:w="2325" w:type="dxa"/>
            <w:gridSpan w:val="2"/>
            <w:noWrap w:val="0"/>
            <w:vAlign w:val="top"/>
          </w:tcPr>
          <w:p w14:paraId="1A43E805">
            <w:pPr>
              <w:jc w:val="center"/>
              <w:rPr>
                <w:rFonts w:hint="eastAsia" w:ascii="宋体" w:hAnsi="宋体" w:eastAsia="宋体" w:cs="宋体"/>
                <w:color w:val="000000"/>
                <w:sz w:val="21"/>
              </w:rPr>
            </w:pPr>
          </w:p>
        </w:tc>
        <w:tc>
          <w:tcPr>
            <w:tcW w:w="1679" w:type="dxa"/>
            <w:gridSpan w:val="2"/>
            <w:noWrap w:val="0"/>
            <w:vAlign w:val="top"/>
          </w:tcPr>
          <w:p w14:paraId="474B3159">
            <w:pPr>
              <w:jc w:val="center"/>
              <w:rPr>
                <w:rFonts w:hint="eastAsia" w:ascii="宋体" w:hAnsi="宋体" w:eastAsia="宋体" w:cs="宋体"/>
                <w:color w:val="000000"/>
                <w:sz w:val="21"/>
              </w:rPr>
            </w:pPr>
          </w:p>
        </w:tc>
      </w:tr>
      <w:tr w14:paraId="324B2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171B9D1C">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19B61BBC">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cs="宋体"/>
                <w:color w:val="000000"/>
                <w:spacing w:val="3"/>
                <w:sz w:val="24"/>
                <w:szCs w:val="24"/>
                <w:lang w:val="en-US" w:eastAsia="zh-CN"/>
              </w:rPr>
              <w:t>3</w:t>
            </w:r>
            <w:r>
              <w:rPr>
                <w:rFonts w:hint="eastAsia" w:ascii="宋体" w:hAnsi="宋体" w:eastAsia="宋体" w:cs="宋体"/>
                <w:color w:val="000000"/>
                <w:spacing w:val="3"/>
                <w:sz w:val="24"/>
                <w:szCs w:val="24"/>
              </w:rPr>
              <w:t>年完工项目)</w:t>
            </w:r>
          </w:p>
        </w:tc>
        <w:tc>
          <w:tcPr>
            <w:tcW w:w="825" w:type="dxa"/>
            <w:noWrap w:val="0"/>
            <w:vAlign w:val="center"/>
          </w:tcPr>
          <w:p w14:paraId="0C8B549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064EB4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70AA6C3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53ED5E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6BCA0DA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6FB0010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7EC1AD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34D50C0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1F3D961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2226C99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420C60B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4F38596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6797491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32A87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152D4B69">
            <w:pPr>
              <w:jc w:val="left"/>
              <w:rPr>
                <w:rFonts w:hint="eastAsia" w:ascii="宋体" w:hAnsi="宋体" w:eastAsia="宋体" w:cs="宋体"/>
                <w:color w:val="000000"/>
                <w:sz w:val="24"/>
                <w:szCs w:val="24"/>
              </w:rPr>
            </w:pPr>
          </w:p>
        </w:tc>
        <w:tc>
          <w:tcPr>
            <w:tcW w:w="825" w:type="dxa"/>
            <w:noWrap w:val="0"/>
            <w:vAlign w:val="top"/>
          </w:tcPr>
          <w:p w14:paraId="38E71470">
            <w:pPr>
              <w:rPr>
                <w:rFonts w:hint="eastAsia" w:ascii="宋体" w:hAnsi="宋体" w:eastAsia="宋体" w:cs="宋体"/>
                <w:color w:val="000000"/>
                <w:sz w:val="21"/>
              </w:rPr>
            </w:pPr>
          </w:p>
        </w:tc>
        <w:tc>
          <w:tcPr>
            <w:tcW w:w="990" w:type="dxa"/>
            <w:noWrap w:val="0"/>
            <w:vAlign w:val="top"/>
          </w:tcPr>
          <w:p w14:paraId="1B93B40B">
            <w:pPr>
              <w:rPr>
                <w:rFonts w:hint="eastAsia" w:ascii="宋体" w:hAnsi="宋体" w:eastAsia="宋体" w:cs="宋体"/>
                <w:color w:val="000000"/>
                <w:sz w:val="21"/>
              </w:rPr>
            </w:pPr>
          </w:p>
        </w:tc>
        <w:tc>
          <w:tcPr>
            <w:tcW w:w="1140" w:type="dxa"/>
            <w:noWrap w:val="0"/>
            <w:vAlign w:val="top"/>
          </w:tcPr>
          <w:p w14:paraId="4E0E2680">
            <w:pPr>
              <w:rPr>
                <w:rFonts w:hint="eastAsia" w:ascii="宋体" w:hAnsi="宋体" w:eastAsia="宋体" w:cs="宋体"/>
                <w:color w:val="000000"/>
                <w:sz w:val="21"/>
              </w:rPr>
            </w:pPr>
          </w:p>
        </w:tc>
        <w:tc>
          <w:tcPr>
            <w:tcW w:w="1185" w:type="dxa"/>
            <w:noWrap w:val="0"/>
            <w:vAlign w:val="top"/>
          </w:tcPr>
          <w:p w14:paraId="2ED88AA4">
            <w:pPr>
              <w:rPr>
                <w:rFonts w:hint="eastAsia" w:ascii="宋体" w:hAnsi="宋体" w:eastAsia="宋体" w:cs="宋体"/>
                <w:color w:val="000000"/>
                <w:sz w:val="21"/>
              </w:rPr>
            </w:pPr>
          </w:p>
        </w:tc>
        <w:tc>
          <w:tcPr>
            <w:tcW w:w="810" w:type="dxa"/>
            <w:noWrap w:val="0"/>
            <w:vAlign w:val="top"/>
          </w:tcPr>
          <w:p w14:paraId="582C0D8C">
            <w:pPr>
              <w:rPr>
                <w:rFonts w:hint="eastAsia" w:ascii="宋体" w:hAnsi="宋体" w:eastAsia="宋体" w:cs="宋体"/>
                <w:color w:val="000000"/>
                <w:sz w:val="21"/>
              </w:rPr>
            </w:pPr>
          </w:p>
        </w:tc>
        <w:tc>
          <w:tcPr>
            <w:tcW w:w="869" w:type="dxa"/>
            <w:noWrap w:val="0"/>
            <w:vAlign w:val="top"/>
          </w:tcPr>
          <w:p w14:paraId="30F81238">
            <w:pPr>
              <w:rPr>
                <w:rFonts w:hint="eastAsia" w:ascii="宋体" w:hAnsi="宋体" w:eastAsia="宋体" w:cs="宋体"/>
                <w:color w:val="000000"/>
                <w:sz w:val="21"/>
              </w:rPr>
            </w:pPr>
          </w:p>
        </w:tc>
      </w:tr>
      <w:tr w14:paraId="052D0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212A67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681F552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68DCB589">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t>说明：“项目支出”需要填报基本支出以外的所有项目支出情况，“公用经费”填报基本支出中的一般商品和服务支出。</w:t>
      </w:r>
    </w:p>
    <w:p w14:paraId="65BE1EC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342E4D66">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方赛</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eastAsia="zh-CN"/>
        </w:rPr>
        <w:t>：</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13471356347</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val="en-US" w:eastAsia="zh-CN"/>
        </w:rPr>
        <w:t>2025年7月14日</w:t>
      </w:r>
    </w:p>
    <w:p w14:paraId="251312DC">
      <w:pPr>
        <w:spacing w:before="64" w:line="230" w:lineRule="auto"/>
        <w:rPr>
          <w:rFonts w:ascii="Times New Roman" w:hAnsi="Times New Roman" w:eastAsia="Times New Roman" w:cs="Times New Roman"/>
          <w:sz w:val="31"/>
          <w:szCs w:val="31"/>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ascii="Times New Roman" w:hAnsi="Times New Roman" w:eastAsia="Times New Roman" w:cs="Times New Roman"/>
          <w:spacing w:val="-4"/>
          <w:sz w:val="31"/>
          <w:szCs w:val="31"/>
        </w:rPr>
        <w:t>3</w:t>
      </w:r>
    </w:p>
    <w:p w14:paraId="17E8D17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年度预算单位整体支出绩效自评表</w:t>
      </w:r>
    </w:p>
    <w:p w14:paraId="71061521">
      <w:pPr>
        <w:spacing w:line="132" w:lineRule="exact"/>
      </w:pPr>
    </w:p>
    <w:tbl>
      <w:tblPr>
        <w:tblStyle w:val="6"/>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70"/>
        <w:gridCol w:w="1333"/>
        <w:gridCol w:w="1310"/>
        <w:gridCol w:w="1268"/>
        <w:gridCol w:w="716"/>
        <w:gridCol w:w="873"/>
        <w:gridCol w:w="1450"/>
      </w:tblGrid>
      <w:tr w14:paraId="70C49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33" w:type="dxa"/>
            <w:gridSpan w:val="3"/>
            <w:noWrap w:val="0"/>
            <w:vAlign w:val="top"/>
          </w:tcPr>
          <w:p w14:paraId="29535858">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950" w:type="dxa"/>
            <w:gridSpan w:val="6"/>
            <w:noWrap w:val="0"/>
            <w:vAlign w:val="top"/>
          </w:tcPr>
          <w:p w14:paraId="6BF6760B">
            <w:pPr>
              <w:pStyle w:val="7"/>
              <w:spacing w:line="239" w:lineRule="exact"/>
              <w:rPr>
                <w:rFonts w:hint="default" w:ascii="宋体" w:hAnsi="宋体" w:eastAsia="宋体" w:cs="宋体"/>
                <w:sz w:val="20"/>
                <w:lang w:val="en-US" w:eastAsia="zh-CN"/>
              </w:rPr>
            </w:pPr>
            <w:r>
              <w:rPr>
                <w:rFonts w:hint="eastAsia" w:ascii="宋体" w:hAnsi="宋体" w:eastAsia="宋体" w:cs="宋体"/>
                <w:sz w:val="20"/>
                <w:lang w:val="en-US" w:eastAsia="zh-CN"/>
              </w:rPr>
              <w:t>岳阳市岳阳楼区城市管理局</w:t>
            </w:r>
          </w:p>
        </w:tc>
      </w:tr>
      <w:tr w14:paraId="4CCFB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2A0107CC">
            <w:pPr>
              <w:pStyle w:val="7"/>
              <w:spacing w:line="467" w:lineRule="auto"/>
              <w:rPr>
                <w:rFonts w:hint="eastAsia" w:ascii="宋体" w:hAnsi="宋体" w:eastAsia="宋体" w:cs="宋体"/>
              </w:rPr>
            </w:pPr>
          </w:p>
          <w:p w14:paraId="77D2F114">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049" w:type="dxa"/>
            <w:gridSpan w:val="2"/>
            <w:noWrap w:val="0"/>
            <w:vAlign w:val="top"/>
          </w:tcPr>
          <w:p w14:paraId="78039251">
            <w:pPr>
              <w:pStyle w:val="7"/>
              <w:spacing w:line="235" w:lineRule="exact"/>
              <w:rPr>
                <w:rFonts w:hint="eastAsia" w:ascii="宋体" w:hAnsi="宋体" w:eastAsia="宋体" w:cs="宋体"/>
                <w:sz w:val="20"/>
              </w:rPr>
            </w:pPr>
          </w:p>
        </w:tc>
        <w:tc>
          <w:tcPr>
            <w:tcW w:w="1333" w:type="dxa"/>
            <w:noWrap w:val="0"/>
            <w:vAlign w:val="top"/>
          </w:tcPr>
          <w:p w14:paraId="34C84830">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2CD971B2">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1AFD389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6428B2B8">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1C886C4">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69135A09">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45E6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14699E7">
            <w:pPr>
              <w:pStyle w:val="7"/>
              <w:rPr>
                <w:rFonts w:hint="eastAsia" w:ascii="宋体" w:hAnsi="宋体" w:eastAsia="宋体" w:cs="宋体"/>
              </w:rPr>
            </w:pPr>
          </w:p>
        </w:tc>
        <w:tc>
          <w:tcPr>
            <w:tcW w:w="2049" w:type="dxa"/>
            <w:gridSpan w:val="2"/>
            <w:noWrap w:val="0"/>
            <w:vAlign w:val="top"/>
          </w:tcPr>
          <w:p w14:paraId="4BC754AD">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333" w:type="dxa"/>
            <w:noWrap w:val="0"/>
            <w:vAlign w:val="top"/>
          </w:tcPr>
          <w:p w14:paraId="010639BC">
            <w:pPr>
              <w:pStyle w:val="7"/>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4513.10</w:t>
            </w:r>
          </w:p>
        </w:tc>
        <w:tc>
          <w:tcPr>
            <w:tcW w:w="1310" w:type="dxa"/>
            <w:noWrap w:val="0"/>
            <w:vAlign w:val="top"/>
          </w:tcPr>
          <w:p w14:paraId="10BCC036">
            <w:pPr>
              <w:pStyle w:val="7"/>
              <w:tabs>
                <w:tab w:val="center" w:pos="653"/>
              </w:tabs>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5077.17</w:t>
            </w:r>
          </w:p>
        </w:tc>
        <w:tc>
          <w:tcPr>
            <w:tcW w:w="1268" w:type="dxa"/>
            <w:noWrap w:val="0"/>
            <w:vAlign w:val="top"/>
          </w:tcPr>
          <w:p w14:paraId="5280BCD6">
            <w:pPr>
              <w:pStyle w:val="7"/>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4987.40</w:t>
            </w:r>
          </w:p>
        </w:tc>
        <w:tc>
          <w:tcPr>
            <w:tcW w:w="716" w:type="dxa"/>
            <w:noWrap w:val="0"/>
            <w:vAlign w:val="top"/>
          </w:tcPr>
          <w:p w14:paraId="05AB98F2">
            <w:pPr>
              <w:pStyle w:val="7"/>
              <w:spacing w:before="54" w:line="194" w:lineRule="auto"/>
              <w:ind w:left="270"/>
              <w:rPr>
                <w:rFonts w:hint="eastAsia" w:ascii="宋体" w:hAnsi="宋体" w:eastAsia="宋体" w:cs="宋体"/>
                <w:sz w:val="19"/>
                <w:szCs w:val="19"/>
              </w:rPr>
            </w:pPr>
            <w:r>
              <w:rPr>
                <w:rFonts w:hint="eastAsia" w:ascii="宋体" w:hAnsi="宋体" w:eastAsia="宋体" w:cs="宋体"/>
                <w:b/>
                <w:bCs/>
                <w:spacing w:val="-10"/>
                <w:sz w:val="19"/>
                <w:szCs w:val="19"/>
              </w:rPr>
              <w:t>10</w:t>
            </w:r>
          </w:p>
        </w:tc>
        <w:tc>
          <w:tcPr>
            <w:tcW w:w="873" w:type="dxa"/>
            <w:noWrap w:val="0"/>
            <w:vAlign w:val="top"/>
          </w:tcPr>
          <w:p w14:paraId="1A1ECB9C">
            <w:pPr>
              <w:pStyle w:val="7"/>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98.23%</w:t>
            </w:r>
          </w:p>
        </w:tc>
        <w:tc>
          <w:tcPr>
            <w:tcW w:w="1450" w:type="dxa"/>
            <w:noWrap w:val="0"/>
            <w:vAlign w:val="top"/>
          </w:tcPr>
          <w:p w14:paraId="23D86FCC">
            <w:pPr>
              <w:pStyle w:val="7"/>
              <w:spacing w:line="235" w:lineRule="exact"/>
              <w:rPr>
                <w:rFonts w:hint="eastAsia" w:ascii="宋体" w:hAnsi="宋体" w:eastAsia="宋体" w:cs="宋体"/>
                <w:sz w:val="20"/>
              </w:rPr>
            </w:pPr>
          </w:p>
        </w:tc>
      </w:tr>
      <w:tr w14:paraId="37FFB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92B920A">
            <w:pPr>
              <w:pStyle w:val="7"/>
              <w:rPr>
                <w:rFonts w:hint="eastAsia" w:ascii="宋体" w:hAnsi="宋体" w:eastAsia="宋体" w:cs="宋体"/>
              </w:rPr>
            </w:pPr>
          </w:p>
        </w:tc>
        <w:tc>
          <w:tcPr>
            <w:tcW w:w="4692" w:type="dxa"/>
            <w:gridSpan w:val="4"/>
            <w:noWrap w:val="0"/>
            <w:vAlign w:val="top"/>
          </w:tcPr>
          <w:p w14:paraId="2FC6C0E3">
            <w:pPr>
              <w:spacing w:before="22" w:line="206" w:lineRule="auto"/>
              <w:ind w:left="111"/>
              <w:rPr>
                <w:rFonts w:hint="default" w:ascii="宋体" w:hAnsi="宋体" w:eastAsia="宋体" w:cs="宋体"/>
                <w:sz w:val="19"/>
                <w:szCs w:val="19"/>
                <w:lang w:val="en-US" w:eastAsia="zh-CN"/>
              </w:rPr>
            </w:pPr>
            <w:r>
              <w:rPr>
                <w:rFonts w:hint="eastAsia" w:ascii="宋体" w:hAnsi="宋体" w:eastAsia="宋体" w:cs="宋体"/>
                <w:spacing w:val="2"/>
                <w:sz w:val="19"/>
                <w:szCs w:val="19"/>
              </w:rPr>
              <w:t>按收入性质分：</w:t>
            </w:r>
            <w:r>
              <w:rPr>
                <w:rFonts w:hint="eastAsia" w:ascii="宋体" w:hAnsi="宋体" w:eastAsia="宋体" w:cs="宋体"/>
                <w:spacing w:val="2"/>
                <w:sz w:val="19"/>
                <w:szCs w:val="19"/>
                <w:lang w:val="en-US" w:eastAsia="zh-CN"/>
              </w:rPr>
              <w:t>5077.17</w:t>
            </w:r>
          </w:p>
        </w:tc>
        <w:tc>
          <w:tcPr>
            <w:tcW w:w="4307" w:type="dxa"/>
            <w:gridSpan w:val="4"/>
            <w:noWrap w:val="0"/>
            <w:vAlign w:val="top"/>
          </w:tcPr>
          <w:p w14:paraId="6F9C8E8A">
            <w:pPr>
              <w:spacing w:before="22" w:line="206" w:lineRule="auto"/>
              <w:ind w:left="116"/>
              <w:rPr>
                <w:rFonts w:hint="default" w:ascii="宋体" w:hAnsi="宋体" w:eastAsia="宋体" w:cs="宋体"/>
                <w:sz w:val="19"/>
                <w:szCs w:val="19"/>
                <w:lang w:val="en-US" w:eastAsia="zh-CN"/>
              </w:rPr>
            </w:pPr>
            <w:r>
              <w:rPr>
                <w:rFonts w:hint="eastAsia" w:ascii="宋体" w:hAnsi="宋体" w:eastAsia="宋体" w:cs="宋体"/>
                <w:spacing w:val="2"/>
                <w:sz w:val="19"/>
                <w:szCs w:val="19"/>
              </w:rPr>
              <w:t>按支出性质分：</w:t>
            </w:r>
            <w:r>
              <w:rPr>
                <w:rFonts w:hint="eastAsia" w:ascii="宋体" w:hAnsi="宋体" w:eastAsia="宋体" w:cs="宋体"/>
                <w:spacing w:val="2"/>
                <w:sz w:val="19"/>
                <w:szCs w:val="19"/>
                <w:lang w:val="en-US" w:eastAsia="zh-CN"/>
              </w:rPr>
              <w:t>5077.17</w:t>
            </w:r>
          </w:p>
        </w:tc>
      </w:tr>
      <w:tr w14:paraId="72208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78759CBB">
            <w:pPr>
              <w:pStyle w:val="7"/>
              <w:rPr>
                <w:rFonts w:hint="eastAsia" w:ascii="宋体" w:hAnsi="宋体" w:eastAsia="宋体" w:cs="宋体"/>
              </w:rPr>
            </w:pPr>
          </w:p>
        </w:tc>
        <w:tc>
          <w:tcPr>
            <w:tcW w:w="4692" w:type="dxa"/>
            <w:gridSpan w:val="4"/>
            <w:noWrap w:val="0"/>
            <w:vAlign w:val="top"/>
          </w:tcPr>
          <w:p w14:paraId="7DAE8367">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5070.48</w:t>
            </w:r>
          </w:p>
        </w:tc>
        <w:tc>
          <w:tcPr>
            <w:tcW w:w="4307" w:type="dxa"/>
            <w:gridSpan w:val="4"/>
            <w:noWrap w:val="0"/>
            <w:vAlign w:val="top"/>
          </w:tcPr>
          <w:p w14:paraId="4D5DF310">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4935.46</w:t>
            </w:r>
          </w:p>
        </w:tc>
      </w:tr>
      <w:tr w14:paraId="40933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EBEBE0E">
            <w:pPr>
              <w:pStyle w:val="7"/>
              <w:rPr>
                <w:rFonts w:hint="eastAsia" w:ascii="宋体" w:hAnsi="宋体" w:eastAsia="宋体" w:cs="宋体"/>
              </w:rPr>
            </w:pPr>
          </w:p>
        </w:tc>
        <w:tc>
          <w:tcPr>
            <w:tcW w:w="4692" w:type="dxa"/>
            <w:gridSpan w:val="4"/>
            <w:noWrap w:val="0"/>
            <w:vAlign w:val="top"/>
          </w:tcPr>
          <w:p w14:paraId="6D5093E7">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noWrap w:val="0"/>
            <w:vAlign w:val="top"/>
          </w:tcPr>
          <w:p w14:paraId="0F85EC26">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141.71</w:t>
            </w:r>
          </w:p>
        </w:tc>
      </w:tr>
      <w:tr w14:paraId="0ADC5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7F92186">
            <w:pPr>
              <w:pStyle w:val="7"/>
              <w:rPr>
                <w:rFonts w:hint="eastAsia" w:ascii="宋体" w:hAnsi="宋体" w:eastAsia="宋体" w:cs="宋体"/>
              </w:rPr>
            </w:pPr>
          </w:p>
        </w:tc>
        <w:tc>
          <w:tcPr>
            <w:tcW w:w="4692" w:type="dxa"/>
            <w:gridSpan w:val="4"/>
            <w:noWrap w:val="0"/>
            <w:vAlign w:val="top"/>
          </w:tcPr>
          <w:p w14:paraId="12577667">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noWrap w:val="0"/>
            <w:vAlign w:val="top"/>
          </w:tcPr>
          <w:p w14:paraId="5B2F1B1F">
            <w:pPr>
              <w:pStyle w:val="7"/>
              <w:spacing w:line="235" w:lineRule="exact"/>
              <w:rPr>
                <w:rFonts w:hint="eastAsia" w:ascii="宋体" w:hAnsi="宋体" w:eastAsia="宋体" w:cs="宋体"/>
                <w:sz w:val="20"/>
              </w:rPr>
            </w:pPr>
          </w:p>
        </w:tc>
      </w:tr>
      <w:tr w14:paraId="43D44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13A46236">
            <w:pPr>
              <w:pStyle w:val="7"/>
              <w:rPr>
                <w:rFonts w:hint="eastAsia" w:ascii="宋体" w:hAnsi="宋体" w:eastAsia="宋体" w:cs="宋体"/>
              </w:rPr>
            </w:pPr>
          </w:p>
        </w:tc>
        <w:tc>
          <w:tcPr>
            <w:tcW w:w="4692" w:type="dxa"/>
            <w:gridSpan w:val="4"/>
            <w:noWrap w:val="0"/>
            <w:vAlign w:val="top"/>
          </w:tcPr>
          <w:p w14:paraId="60500C8F">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6.69</w:t>
            </w:r>
          </w:p>
        </w:tc>
        <w:tc>
          <w:tcPr>
            <w:tcW w:w="4307" w:type="dxa"/>
            <w:gridSpan w:val="4"/>
            <w:noWrap w:val="0"/>
            <w:vAlign w:val="top"/>
          </w:tcPr>
          <w:p w14:paraId="1515C604">
            <w:pPr>
              <w:pStyle w:val="7"/>
              <w:spacing w:line="235" w:lineRule="exact"/>
              <w:rPr>
                <w:rFonts w:hint="eastAsia" w:ascii="宋体" w:hAnsi="宋体" w:eastAsia="宋体" w:cs="宋体"/>
                <w:sz w:val="20"/>
              </w:rPr>
            </w:pPr>
          </w:p>
        </w:tc>
      </w:tr>
      <w:tr w14:paraId="1DABC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636CB448">
            <w:pPr>
              <w:pStyle w:val="7"/>
              <w:spacing w:line="242" w:lineRule="auto"/>
              <w:rPr>
                <w:rFonts w:hint="eastAsia" w:ascii="宋体" w:hAnsi="宋体" w:eastAsia="宋体" w:cs="宋体"/>
              </w:rPr>
            </w:pPr>
          </w:p>
          <w:p w14:paraId="1284CA4E">
            <w:pPr>
              <w:pStyle w:val="7"/>
              <w:spacing w:line="243" w:lineRule="auto"/>
              <w:rPr>
                <w:rFonts w:hint="eastAsia" w:ascii="宋体" w:hAnsi="宋体" w:eastAsia="宋体" w:cs="宋体"/>
              </w:rPr>
            </w:pPr>
          </w:p>
          <w:p w14:paraId="124842B2">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6E7ED851">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3F6E897B">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4327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tcBorders>
            <w:noWrap w:val="0"/>
            <w:vAlign w:val="top"/>
          </w:tcPr>
          <w:p w14:paraId="6895AFF7">
            <w:pPr>
              <w:pStyle w:val="7"/>
              <w:rPr>
                <w:rFonts w:hint="eastAsia" w:ascii="宋体" w:hAnsi="宋体" w:eastAsia="宋体" w:cs="宋体"/>
              </w:rPr>
            </w:pPr>
          </w:p>
        </w:tc>
        <w:tc>
          <w:tcPr>
            <w:tcW w:w="4692" w:type="dxa"/>
            <w:gridSpan w:val="4"/>
            <w:noWrap w:val="0"/>
            <w:vAlign w:val="top"/>
          </w:tcPr>
          <w:p w14:paraId="0D526471">
            <w:pPr>
              <w:pStyle w:val="7"/>
              <w:rPr>
                <w:rFonts w:hint="eastAsia" w:ascii="宋体" w:hAnsi="宋体" w:eastAsia="宋体" w:cs="宋体"/>
                <w:color w:val="000000" w:themeColor="text1"/>
                <w14:textFill>
                  <w14:solidFill>
                    <w14:schemeClr w14:val="tx1"/>
                  </w14:solidFill>
                </w14:textFill>
              </w:rPr>
            </w:pPr>
          </w:p>
          <w:p w14:paraId="722DDEDF">
            <w:pPr>
              <w:bidi w:val="0"/>
              <w:rPr>
                <w:rFonts w:hint="eastAsia"/>
                <w:color w:val="000000" w:themeColor="text1"/>
                <w14:textFill>
                  <w14:solidFill>
                    <w14:schemeClr w14:val="tx1"/>
                  </w14:solidFill>
                </w14:textFill>
              </w:rPr>
            </w:pPr>
          </w:p>
          <w:p w14:paraId="71D95ED4">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color w:val="000000" w:themeColor="text1"/>
                <w:lang w:eastAsia="zh-CN"/>
                <w14:textFill>
                  <w14:solidFill>
                    <w14:schemeClr w14:val="tx1"/>
                  </w14:solidFill>
                </w14:textFill>
              </w:rPr>
              <w:tab/>
            </w:r>
            <w:r>
              <w:rPr>
                <w:rFonts w:hint="eastAsia" w:ascii="宋体" w:hAnsi="宋体" w:eastAsia="宋体" w:cs="宋体"/>
                <w:b w:val="0"/>
                <w:bCs/>
                <w:color w:val="000000" w:themeColor="text1"/>
                <w:sz w:val="21"/>
                <w:szCs w:val="21"/>
                <w14:textFill>
                  <w14:solidFill>
                    <w14:schemeClr w14:val="tx1"/>
                  </w14:solidFill>
                </w14:textFill>
              </w:rPr>
              <w:t>①核心职责：负责维护城市管理和公共秩序稳定，加强城市安全管理和应急处理。</w:t>
            </w:r>
          </w:p>
          <w:p w14:paraId="736F7DB9">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②总体目标：提升楼区市容秩序环境，营造良好生活环境和营商环境。</w:t>
            </w:r>
          </w:p>
          <w:p w14:paraId="7DCFA52E">
            <w:pPr>
              <w:tabs>
                <w:tab w:val="left" w:pos="1743"/>
              </w:tabs>
              <w:bidi w:val="0"/>
              <w:jc w:val="left"/>
              <w:rPr>
                <w:rFonts w:hint="eastAsia" w:eastAsiaTheme="minorEastAsia"/>
                <w:color w:val="000000" w:themeColor="text1"/>
                <w:lang w:eastAsia="zh-CN"/>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③年度任务目标：“六治”工作为抓手，落实城市管理核心职责：全域推进市容秩序整治，不留死角；全面整治户外广告，提升城市形象；控制餐饮油烟排放，还复居民清新空气；开展炮源清缴行动，源头保障城市安全；建设长效保障机制，维护燃气安全稳定；加强建筑垃圾清理，降低施工对生态环境负面影响</w:t>
            </w:r>
          </w:p>
        </w:tc>
        <w:tc>
          <w:tcPr>
            <w:tcW w:w="4307" w:type="dxa"/>
            <w:gridSpan w:val="4"/>
            <w:noWrap w:val="0"/>
            <w:vAlign w:val="top"/>
          </w:tcPr>
          <w:p w14:paraId="6A66D8B4">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①所获成绩和荣誉：202</w:t>
            </w:r>
            <w:r>
              <w:rPr>
                <w:rFonts w:hint="eastAsia" w:ascii="宋体" w:hAnsi="宋体" w:eastAsia="宋体" w:cs="宋体"/>
                <w:b w:val="0"/>
                <w:bCs/>
                <w:color w:val="000000" w:themeColor="text1"/>
                <w:sz w:val="21"/>
                <w:szCs w:val="21"/>
                <w:lang w:val="en-US" w:eastAsia="zh-CN"/>
                <w14:textFill>
                  <w14:solidFill>
                    <w14:schemeClr w14:val="tx1"/>
                  </w14:solidFill>
                </w14:textFill>
              </w:rPr>
              <w:t>4</w:t>
            </w:r>
            <w:r>
              <w:rPr>
                <w:rFonts w:hint="eastAsia" w:ascii="宋体" w:hAnsi="宋体" w:eastAsia="宋体" w:cs="宋体"/>
                <w:b w:val="0"/>
                <w:bCs/>
                <w:color w:val="000000" w:themeColor="text1"/>
                <w:sz w:val="21"/>
                <w:szCs w:val="21"/>
                <w14:textFill>
                  <w14:solidFill>
                    <w14:schemeClr w14:val="tx1"/>
                  </w14:solidFill>
                </w14:textFill>
              </w:rPr>
              <w:t>年楼区</w:t>
            </w:r>
            <w:r>
              <w:rPr>
                <w:rFonts w:hint="eastAsia" w:ascii="宋体" w:hAnsi="宋体" w:eastAsia="宋体" w:cs="宋体"/>
                <w:b w:val="0"/>
                <w:bCs/>
                <w:color w:val="000000" w:themeColor="text1"/>
                <w:sz w:val="21"/>
                <w:szCs w:val="21"/>
                <w:lang w:val="en-US" w:eastAsia="zh-CN"/>
                <w14:textFill>
                  <w14:solidFill>
                    <w14:schemeClr w14:val="tx1"/>
                  </w14:solidFill>
                </w14:textFill>
              </w:rPr>
              <w:t>综合和绩效</w:t>
            </w:r>
            <w:r>
              <w:rPr>
                <w:rFonts w:hint="eastAsia" w:ascii="宋体" w:hAnsi="宋体" w:eastAsia="宋体" w:cs="宋体"/>
                <w:b w:val="0"/>
                <w:bCs/>
                <w:color w:val="000000" w:themeColor="text1"/>
                <w:sz w:val="21"/>
                <w:szCs w:val="21"/>
                <w14:textFill>
                  <w14:solidFill>
                    <w14:schemeClr w14:val="tx1"/>
                  </w14:solidFill>
                </w14:textFill>
              </w:rPr>
              <w:t>，市容环境质量明显提升。</w:t>
            </w:r>
          </w:p>
          <w:p w14:paraId="0ACF6428">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②核心主责完成情况：采取有效措施，狠抓城市六治，推进市容秩序迈上新台阶。</w:t>
            </w:r>
          </w:p>
          <w:p w14:paraId="2B9D3668">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市容整治方面，以全国文明城市创建为标准，以背街小巷、马路市场为年度整治重点，全年开展整治行动</w:t>
            </w:r>
            <w:r>
              <w:rPr>
                <w:rFonts w:hint="eastAsia" w:ascii="宋体" w:hAnsi="宋体" w:eastAsia="宋体" w:cs="宋体"/>
                <w:b w:val="0"/>
                <w:bCs/>
                <w:color w:val="000000" w:themeColor="text1"/>
                <w:sz w:val="21"/>
                <w:szCs w:val="21"/>
                <w:lang w:val="en-US" w:eastAsia="zh-CN"/>
                <w14:textFill>
                  <w14:solidFill>
                    <w14:schemeClr w14:val="tx1"/>
                  </w14:solidFill>
                </w14:textFill>
              </w:rPr>
              <w:t>1020</w:t>
            </w:r>
            <w:r>
              <w:rPr>
                <w:rFonts w:hint="eastAsia" w:ascii="宋体" w:hAnsi="宋体" w:eastAsia="宋体" w:cs="宋体"/>
                <w:b w:val="0"/>
                <w:bCs/>
                <w:color w:val="000000" w:themeColor="text1"/>
                <w:sz w:val="21"/>
                <w:szCs w:val="21"/>
                <w14:textFill>
                  <w14:solidFill>
                    <w14:schemeClr w14:val="tx1"/>
                  </w14:solidFill>
                </w14:textFill>
              </w:rPr>
              <w:t>次，开展拆除违建棚亭、清退乱停放车辆、清理占道经营摊贩、收缴违规灯箱等市容整治行动。</w:t>
            </w:r>
          </w:p>
          <w:p w14:paraId="16FB930F">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户外广告方面，摸排全区违法违规广告</w:t>
            </w:r>
            <w:r>
              <w:rPr>
                <w:rFonts w:hint="eastAsia" w:ascii="宋体" w:hAnsi="宋体" w:eastAsia="宋体" w:cs="宋体"/>
                <w:b w:val="0"/>
                <w:bCs/>
                <w:color w:val="000000" w:themeColor="text1"/>
                <w:sz w:val="21"/>
                <w:szCs w:val="21"/>
                <w:lang w:val="en-US" w:eastAsia="zh-CN"/>
                <w14:textFill>
                  <w14:solidFill>
                    <w14:schemeClr w14:val="tx1"/>
                  </w14:solidFill>
                </w14:textFill>
              </w:rPr>
              <w:t>650</w:t>
            </w:r>
            <w:r>
              <w:rPr>
                <w:rFonts w:hint="eastAsia" w:ascii="宋体" w:hAnsi="宋体" w:eastAsia="宋体" w:cs="宋体"/>
                <w:b w:val="0"/>
                <w:bCs/>
                <w:color w:val="000000" w:themeColor="text1"/>
                <w:sz w:val="21"/>
                <w:szCs w:val="21"/>
                <w14:textFill>
                  <w14:solidFill>
                    <w14:schemeClr w14:val="tx1"/>
                  </w14:solidFill>
                </w14:textFill>
              </w:rPr>
              <w:t>处，全部拆除</w:t>
            </w:r>
            <w:r>
              <w:rPr>
                <w:rFonts w:hint="eastAsia" w:ascii="宋体" w:hAnsi="宋体" w:eastAsia="宋体" w:cs="宋体"/>
                <w:b w:val="0"/>
                <w:bCs/>
                <w:color w:val="000000" w:themeColor="text1"/>
                <w:sz w:val="21"/>
                <w:szCs w:val="21"/>
                <w:lang w:val="en-US" w:eastAsia="zh-CN"/>
                <w14:textFill>
                  <w14:solidFill>
                    <w14:schemeClr w14:val="tx1"/>
                  </w14:solidFill>
                </w14:textFill>
              </w:rPr>
              <w:t>315</w:t>
            </w:r>
            <w:r>
              <w:rPr>
                <w:rFonts w:hint="eastAsia" w:ascii="宋体" w:hAnsi="宋体" w:eastAsia="宋体" w:cs="宋体"/>
                <w:b w:val="0"/>
                <w:bCs/>
                <w:color w:val="000000" w:themeColor="text1"/>
                <w:sz w:val="21"/>
                <w:szCs w:val="21"/>
                <w14:textFill>
                  <w14:solidFill>
                    <w14:schemeClr w14:val="tx1"/>
                  </w14:solidFill>
                </w14:textFill>
              </w:rPr>
              <w:t>处户外不雅广告，通过追呼治理系统，有效清除“非法小广告”。</w:t>
            </w:r>
          </w:p>
          <w:p w14:paraId="35100A45">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油烟排放方面，排查全区</w:t>
            </w:r>
            <w:r>
              <w:rPr>
                <w:rFonts w:hint="eastAsia" w:ascii="宋体" w:hAnsi="宋体" w:eastAsia="宋体" w:cs="宋体"/>
                <w:b w:val="0"/>
                <w:bCs/>
                <w:color w:val="000000" w:themeColor="text1"/>
                <w:sz w:val="21"/>
                <w:szCs w:val="21"/>
                <w:lang w:val="en-US" w:eastAsia="zh-CN"/>
                <w14:textFill>
                  <w14:solidFill>
                    <w14:schemeClr w14:val="tx1"/>
                  </w14:solidFill>
                </w14:textFill>
              </w:rPr>
              <w:t>685</w:t>
            </w:r>
            <w:r>
              <w:rPr>
                <w:rFonts w:hint="eastAsia" w:ascii="宋体" w:hAnsi="宋体" w:eastAsia="宋体" w:cs="宋体"/>
                <w:b w:val="0"/>
                <w:bCs/>
                <w:color w:val="000000" w:themeColor="text1"/>
                <w:sz w:val="21"/>
                <w:szCs w:val="21"/>
                <w14:textFill>
                  <w14:solidFill>
                    <w14:schemeClr w14:val="tx1"/>
                  </w14:solidFill>
                </w14:textFill>
              </w:rPr>
              <w:t>家餐饮门店，整改油烟排放管道门店</w:t>
            </w:r>
            <w:r>
              <w:rPr>
                <w:rFonts w:hint="eastAsia" w:ascii="宋体" w:hAnsi="宋体" w:eastAsia="宋体" w:cs="宋体"/>
                <w:b w:val="0"/>
                <w:bCs/>
                <w:color w:val="000000" w:themeColor="text1"/>
                <w:sz w:val="21"/>
                <w:szCs w:val="21"/>
                <w:lang w:val="en-US" w:eastAsia="zh-CN"/>
                <w14:textFill>
                  <w14:solidFill>
                    <w14:schemeClr w14:val="tx1"/>
                  </w14:solidFill>
                </w14:textFill>
              </w:rPr>
              <w:t>124</w:t>
            </w:r>
            <w:r>
              <w:rPr>
                <w:rFonts w:hint="eastAsia" w:ascii="宋体" w:hAnsi="宋体" w:eastAsia="宋体" w:cs="宋体"/>
                <w:b w:val="0"/>
                <w:bCs/>
                <w:color w:val="000000" w:themeColor="text1"/>
                <w:sz w:val="21"/>
                <w:szCs w:val="21"/>
                <w14:textFill>
                  <w14:solidFill>
                    <w14:schemeClr w14:val="tx1"/>
                  </w14:solidFill>
                </w14:textFill>
              </w:rPr>
              <w:t>家，安装油烟净化设备门店</w:t>
            </w:r>
            <w:r>
              <w:rPr>
                <w:rFonts w:hint="eastAsia" w:ascii="宋体" w:hAnsi="宋体" w:eastAsia="宋体" w:cs="宋体"/>
                <w:b w:val="0"/>
                <w:bCs/>
                <w:color w:val="000000" w:themeColor="text1"/>
                <w:sz w:val="21"/>
                <w:szCs w:val="21"/>
                <w:lang w:val="en-US" w:eastAsia="zh-CN"/>
                <w14:textFill>
                  <w14:solidFill>
                    <w14:schemeClr w14:val="tx1"/>
                  </w14:solidFill>
                </w14:textFill>
              </w:rPr>
              <w:t>86</w:t>
            </w:r>
            <w:r>
              <w:rPr>
                <w:rFonts w:hint="eastAsia" w:ascii="宋体" w:hAnsi="宋体" w:eastAsia="宋体" w:cs="宋体"/>
                <w:b w:val="0"/>
                <w:bCs/>
                <w:color w:val="000000" w:themeColor="text1"/>
                <w:sz w:val="21"/>
                <w:szCs w:val="21"/>
                <w14:textFill>
                  <w14:solidFill>
                    <w14:schemeClr w14:val="tx1"/>
                  </w14:solidFill>
                </w14:textFill>
              </w:rPr>
              <w:t>家，更换环保净化烧烤炉</w:t>
            </w:r>
            <w:r>
              <w:rPr>
                <w:rFonts w:hint="eastAsia" w:ascii="宋体" w:hAnsi="宋体" w:eastAsia="宋体" w:cs="宋体"/>
                <w:b w:val="0"/>
                <w:bCs/>
                <w:color w:val="000000" w:themeColor="text1"/>
                <w:sz w:val="21"/>
                <w:szCs w:val="21"/>
                <w:lang w:val="en-US" w:eastAsia="zh-CN"/>
                <w14:textFill>
                  <w14:solidFill>
                    <w14:schemeClr w14:val="tx1"/>
                  </w14:solidFill>
                </w14:textFill>
              </w:rPr>
              <w:t>231</w:t>
            </w:r>
            <w:r>
              <w:rPr>
                <w:rFonts w:hint="eastAsia" w:ascii="宋体" w:hAnsi="宋体" w:eastAsia="宋体" w:cs="宋体"/>
                <w:b w:val="0"/>
                <w:bCs/>
                <w:color w:val="000000" w:themeColor="text1"/>
                <w:sz w:val="21"/>
                <w:szCs w:val="21"/>
                <w14:textFill>
                  <w14:solidFill>
                    <w14:schemeClr w14:val="tx1"/>
                  </w14:solidFill>
                </w14:textFill>
              </w:rPr>
              <w:t>家。</w:t>
            </w:r>
          </w:p>
          <w:p w14:paraId="082242B9">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炮源清缴方面，以城乡结合部、湘北大道等为重点管控区域，采取打桩定位、蹲点劝导等措施，开展炮源清缴行动</w:t>
            </w:r>
            <w:r>
              <w:rPr>
                <w:rFonts w:hint="eastAsia" w:ascii="宋体" w:hAnsi="宋体" w:eastAsia="宋体" w:cs="宋体"/>
                <w:b w:val="0"/>
                <w:bCs/>
                <w:color w:val="000000" w:themeColor="text1"/>
                <w:sz w:val="21"/>
                <w:szCs w:val="21"/>
                <w:lang w:val="en-US" w:eastAsia="zh-CN"/>
                <w14:textFill>
                  <w14:solidFill>
                    <w14:schemeClr w14:val="tx1"/>
                  </w14:solidFill>
                </w14:textFill>
              </w:rPr>
              <w:t>321</w:t>
            </w:r>
            <w:r>
              <w:rPr>
                <w:rFonts w:hint="eastAsia" w:ascii="宋体" w:hAnsi="宋体" w:eastAsia="宋体" w:cs="宋体"/>
                <w:b w:val="0"/>
                <w:bCs/>
                <w:color w:val="000000" w:themeColor="text1"/>
                <w:sz w:val="21"/>
                <w:szCs w:val="21"/>
                <w14:textFill>
                  <w14:solidFill>
                    <w14:schemeClr w14:val="tx1"/>
                  </w14:solidFill>
                </w14:textFill>
              </w:rPr>
              <w:t>次，查找门店</w:t>
            </w:r>
            <w:r>
              <w:rPr>
                <w:rFonts w:hint="eastAsia" w:ascii="宋体" w:hAnsi="宋体" w:eastAsia="宋体" w:cs="宋体"/>
                <w:b w:val="0"/>
                <w:bCs/>
                <w:color w:val="000000" w:themeColor="text1"/>
                <w:sz w:val="21"/>
                <w:szCs w:val="21"/>
                <w:lang w:val="en-US" w:eastAsia="zh-CN"/>
                <w14:textFill>
                  <w14:solidFill>
                    <w14:schemeClr w14:val="tx1"/>
                  </w14:solidFill>
                </w14:textFill>
              </w:rPr>
              <w:t>2311</w:t>
            </w:r>
            <w:r>
              <w:rPr>
                <w:rFonts w:hint="eastAsia" w:ascii="宋体" w:hAnsi="宋体" w:eastAsia="宋体" w:cs="宋体"/>
                <w:b w:val="0"/>
                <w:bCs/>
                <w:color w:val="000000" w:themeColor="text1"/>
                <w:sz w:val="21"/>
                <w:szCs w:val="21"/>
                <w14:textFill>
                  <w14:solidFill>
                    <w14:schemeClr w14:val="tx1"/>
                  </w14:solidFill>
                </w14:textFill>
              </w:rPr>
              <w:t>余家。</w:t>
            </w:r>
          </w:p>
          <w:p w14:paraId="5ABEE394">
            <w:pPr>
              <w:spacing w:line="240" w:lineRule="exac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燃气安全方面，构建“宣传、摸排、执法、整治”长效机制，摸底排查餐饮门店1865户（不含天然气用户），共检查出安全隐患</w:t>
            </w:r>
            <w:r>
              <w:rPr>
                <w:rFonts w:hint="eastAsia" w:ascii="宋体" w:hAnsi="宋体" w:eastAsia="宋体" w:cs="宋体"/>
                <w:b w:val="0"/>
                <w:bCs/>
                <w:color w:val="000000" w:themeColor="text1"/>
                <w:sz w:val="21"/>
                <w:szCs w:val="21"/>
                <w:lang w:val="en-US" w:eastAsia="zh-CN"/>
                <w14:textFill>
                  <w14:solidFill>
                    <w14:schemeClr w14:val="tx1"/>
                  </w14:solidFill>
                </w14:textFill>
              </w:rPr>
              <w:t>2300</w:t>
            </w:r>
            <w:r>
              <w:rPr>
                <w:rFonts w:hint="eastAsia" w:ascii="宋体" w:hAnsi="宋体" w:eastAsia="宋体" w:cs="宋体"/>
                <w:b w:val="0"/>
                <w:bCs/>
                <w:color w:val="000000" w:themeColor="text1"/>
                <w:sz w:val="21"/>
                <w:szCs w:val="21"/>
                <w14:textFill>
                  <w14:solidFill>
                    <w14:schemeClr w14:val="tx1"/>
                  </w14:solidFill>
                </w14:textFill>
              </w:rPr>
              <w:t>余处。</w:t>
            </w:r>
          </w:p>
          <w:p w14:paraId="7FBF0CA1">
            <w:pPr>
              <w:pStyle w:val="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环境整治方面，重点对施工现场的物料场扬尘、裸露土覆盖不全、现场道路未洒水降尘、出入车辆车轮未冲洗除泥、渣土运输车辆未采取密闭等问题进行整治，共巡查建筑工地、砂石料场等</w:t>
            </w:r>
            <w:r>
              <w:rPr>
                <w:rFonts w:hint="eastAsia" w:ascii="宋体" w:hAnsi="宋体" w:eastAsia="宋体" w:cs="宋体"/>
                <w:b w:val="0"/>
                <w:bCs/>
                <w:color w:val="000000" w:themeColor="text1"/>
                <w:sz w:val="21"/>
                <w:szCs w:val="21"/>
                <w:lang w:val="en-US" w:eastAsia="zh-CN"/>
                <w14:textFill>
                  <w14:solidFill>
                    <w14:schemeClr w14:val="tx1"/>
                  </w14:solidFill>
                </w14:textFill>
              </w:rPr>
              <w:t>73</w:t>
            </w:r>
            <w:r>
              <w:rPr>
                <w:rFonts w:hint="eastAsia" w:ascii="宋体" w:hAnsi="宋体" w:eastAsia="宋体" w:cs="宋体"/>
                <w:b w:val="0"/>
                <w:bCs/>
                <w:color w:val="000000" w:themeColor="text1"/>
                <w:sz w:val="21"/>
                <w:szCs w:val="21"/>
                <w14:textFill>
                  <w14:solidFill>
                    <w14:schemeClr w14:val="tx1"/>
                  </w14:solidFill>
                </w14:textFill>
              </w:rPr>
              <w:t>家。</w:t>
            </w:r>
          </w:p>
        </w:tc>
      </w:tr>
      <w:tr w14:paraId="39FCF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bottom w:val="nil"/>
            </w:tcBorders>
            <w:noWrap w:val="0"/>
            <w:textDirection w:val="tbRlV"/>
            <w:vAlign w:val="top"/>
          </w:tcPr>
          <w:p w14:paraId="650A2EE3">
            <w:pPr>
              <w:pStyle w:val="7"/>
              <w:spacing w:line="364" w:lineRule="auto"/>
              <w:ind w:left="0" w:leftChars="0" w:firstLine="0" w:firstLineChars="0"/>
              <w:rPr>
                <w:rFonts w:hint="eastAsia" w:ascii="宋体" w:hAnsi="宋体" w:eastAsia="宋体" w:cs="宋体"/>
              </w:rPr>
            </w:pPr>
          </w:p>
          <w:p w14:paraId="587B624C">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noWrap w:val="0"/>
            <w:vAlign w:val="top"/>
          </w:tcPr>
          <w:p w14:paraId="65B5B1F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970" w:type="dxa"/>
            <w:tcBorders>
              <w:bottom w:val="single" w:color="auto" w:sz="4" w:space="0"/>
            </w:tcBorders>
            <w:noWrap w:val="0"/>
            <w:vAlign w:val="top"/>
          </w:tcPr>
          <w:p w14:paraId="4EB72587">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333" w:type="dxa"/>
            <w:noWrap w:val="0"/>
            <w:vAlign w:val="top"/>
          </w:tcPr>
          <w:p w14:paraId="0C2B8D02">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noWrap w:val="0"/>
            <w:vAlign w:val="top"/>
          </w:tcPr>
          <w:p w14:paraId="6868C641">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noWrap w:val="0"/>
            <w:vAlign w:val="top"/>
          </w:tcPr>
          <w:p w14:paraId="1398B73A">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noWrap w:val="0"/>
            <w:vAlign w:val="top"/>
          </w:tcPr>
          <w:p w14:paraId="7E2375AB">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6046E23">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val="0"/>
            <w:vAlign w:val="top"/>
          </w:tcPr>
          <w:p w14:paraId="3BA83FB2">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08EA4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5F2A96D7">
            <w:pPr>
              <w:pStyle w:val="7"/>
              <w:rPr>
                <w:rFonts w:hint="eastAsia" w:ascii="宋体" w:hAnsi="宋体" w:eastAsia="宋体" w:cs="宋体"/>
                <w:color w:val="000000" w:themeColor="text1"/>
                <w14:textFill>
                  <w14:solidFill>
                    <w14:schemeClr w14:val="tx1"/>
                  </w14:solidFill>
                </w14:textFill>
              </w:rPr>
            </w:pPr>
          </w:p>
        </w:tc>
        <w:tc>
          <w:tcPr>
            <w:tcW w:w="1079" w:type="dxa"/>
            <w:vMerge w:val="restart"/>
            <w:tcBorders>
              <w:bottom w:val="nil"/>
              <w:right w:val="single" w:color="auto" w:sz="4" w:space="0"/>
            </w:tcBorders>
            <w:noWrap w:val="0"/>
            <w:vAlign w:val="top"/>
          </w:tcPr>
          <w:p w14:paraId="5B149C08">
            <w:pPr>
              <w:pStyle w:val="7"/>
              <w:spacing w:line="272" w:lineRule="auto"/>
              <w:rPr>
                <w:rFonts w:hint="eastAsia" w:ascii="宋体" w:hAnsi="宋体" w:eastAsia="宋体" w:cs="宋体"/>
                <w:color w:val="000000" w:themeColor="text1"/>
                <w14:textFill>
                  <w14:solidFill>
                    <w14:schemeClr w14:val="tx1"/>
                  </w14:solidFill>
                </w14:textFill>
              </w:rPr>
            </w:pPr>
          </w:p>
          <w:p w14:paraId="3CAC9AF5">
            <w:pPr>
              <w:pStyle w:val="7"/>
              <w:spacing w:line="272" w:lineRule="auto"/>
              <w:rPr>
                <w:rFonts w:hint="eastAsia" w:ascii="宋体" w:hAnsi="宋体" w:eastAsia="宋体" w:cs="宋体"/>
                <w:color w:val="000000" w:themeColor="text1"/>
                <w14:textFill>
                  <w14:solidFill>
                    <w14:schemeClr w14:val="tx1"/>
                  </w14:solidFill>
                </w14:textFill>
              </w:rPr>
            </w:pPr>
          </w:p>
          <w:p w14:paraId="2212C5FD">
            <w:pPr>
              <w:pStyle w:val="7"/>
              <w:spacing w:line="272" w:lineRule="auto"/>
              <w:rPr>
                <w:rFonts w:hint="eastAsia" w:ascii="宋体" w:hAnsi="宋体" w:eastAsia="宋体" w:cs="宋体"/>
                <w:color w:val="000000" w:themeColor="text1"/>
                <w14:textFill>
                  <w14:solidFill>
                    <w14:schemeClr w14:val="tx1"/>
                  </w14:solidFill>
                </w14:textFill>
              </w:rPr>
            </w:pPr>
          </w:p>
          <w:p w14:paraId="33987B82">
            <w:pPr>
              <w:pStyle w:val="7"/>
              <w:spacing w:line="273" w:lineRule="auto"/>
              <w:rPr>
                <w:rFonts w:hint="eastAsia" w:ascii="宋体" w:hAnsi="宋体" w:eastAsia="宋体" w:cs="宋体"/>
                <w:color w:val="000000" w:themeColor="text1"/>
                <w14:textFill>
                  <w14:solidFill>
                    <w14:schemeClr w14:val="tx1"/>
                  </w14:solidFill>
                </w14:textFill>
              </w:rPr>
            </w:pPr>
          </w:p>
          <w:p w14:paraId="0CB1DEBD">
            <w:pPr>
              <w:spacing w:before="62" w:line="450" w:lineRule="exact"/>
              <w:ind w:left="14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position w:val="19"/>
                <w:sz w:val="19"/>
                <w:szCs w:val="19"/>
                <w14:textFill>
                  <w14:solidFill>
                    <w14:schemeClr w14:val="tx1"/>
                  </w14:solidFill>
                </w14:textFill>
              </w:rPr>
              <w:t>产出指标</w:t>
            </w:r>
          </w:p>
          <w:p w14:paraId="7DC9A749">
            <w:pPr>
              <w:spacing w:line="261" w:lineRule="exact"/>
              <w:ind w:left="252"/>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1"/>
                <w:position w:val="2"/>
                <w:sz w:val="19"/>
                <w:szCs w:val="19"/>
                <w14:textFill>
                  <w14:solidFill>
                    <w14:schemeClr w14:val="tx1"/>
                  </w14:solidFill>
                </w14:textFill>
              </w:rPr>
              <w:t>(50</w:t>
            </w:r>
            <w:r>
              <w:rPr>
                <w:rFonts w:hint="eastAsia" w:ascii="宋体" w:hAnsi="宋体" w:eastAsia="宋体" w:cs="宋体"/>
                <w:color w:val="000000" w:themeColor="text1"/>
                <w:spacing w:val="14"/>
                <w:position w:val="2"/>
                <w:sz w:val="19"/>
                <w:szCs w:val="19"/>
                <w14:textFill>
                  <w14:solidFill>
                    <w14:schemeClr w14:val="tx1"/>
                  </w14:solidFill>
                </w14:textFill>
              </w:rPr>
              <w:t xml:space="preserve"> </w:t>
            </w:r>
            <w:r>
              <w:rPr>
                <w:rFonts w:hint="eastAsia" w:ascii="宋体" w:hAnsi="宋体" w:eastAsia="宋体" w:cs="宋体"/>
                <w:color w:val="000000" w:themeColor="text1"/>
                <w:spacing w:val="1"/>
                <w:position w:val="2"/>
                <w:sz w:val="19"/>
                <w:szCs w:val="19"/>
                <w14:textFill>
                  <w14:solidFill>
                    <w14:schemeClr w14:val="tx1"/>
                  </w14:solidFill>
                </w14:textFill>
              </w:rPr>
              <w:t>分)</w:t>
            </w:r>
          </w:p>
        </w:tc>
        <w:tc>
          <w:tcPr>
            <w:tcW w:w="970" w:type="dxa"/>
            <w:vMerge w:val="restart"/>
            <w:tcBorders>
              <w:top w:val="single" w:color="auto" w:sz="4" w:space="0"/>
              <w:left w:val="single" w:color="auto" w:sz="4" w:space="0"/>
              <w:bottom w:val="single" w:color="auto" w:sz="4" w:space="0"/>
              <w:right w:val="single" w:color="auto" w:sz="4" w:space="0"/>
            </w:tcBorders>
            <w:noWrap w:val="0"/>
            <w:vAlign w:val="top"/>
          </w:tcPr>
          <w:p w14:paraId="297BA8E5">
            <w:pPr>
              <w:spacing w:before="274" w:line="226" w:lineRule="auto"/>
              <w:ind w:left="126"/>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数量指标</w:t>
            </w:r>
          </w:p>
        </w:tc>
        <w:tc>
          <w:tcPr>
            <w:tcW w:w="1333" w:type="dxa"/>
            <w:tcBorders>
              <w:left w:val="single" w:color="auto" w:sz="4" w:space="0"/>
            </w:tcBorders>
            <w:noWrap w:val="0"/>
            <w:vAlign w:val="center"/>
          </w:tcPr>
          <w:p w14:paraId="25566C06">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全面市容整治</w:t>
            </w:r>
          </w:p>
        </w:tc>
        <w:tc>
          <w:tcPr>
            <w:tcW w:w="1310" w:type="dxa"/>
            <w:noWrap w:val="0"/>
            <w:vAlign w:val="center"/>
          </w:tcPr>
          <w:p w14:paraId="296A8246">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行动次数不低于1000次</w:t>
            </w:r>
          </w:p>
        </w:tc>
        <w:tc>
          <w:tcPr>
            <w:tcW w:w="1268" w:type="dxa"/>
            <w:noWrap w:val="0"/>
            <w:vAlign w:val="center"/>
          </w:tcPr>
          <w:p w14:paraId="208ACD87">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1020次</w:t>
            </w:r>
          </w:p>
        </w:tc>
        <w:tc>
          <w:tcPr>
            <w:tcW w:w="716" w:type="dxa"/>
            <w:noWrap w:val="0"/>
            <w:vAlign w:val="center"/>
          </w:tcPr>
          <w:p w14:paraId="7EEFB5B0">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873" w:type="dxa"/>
            <w:noWrap w:val="0"/>
            <w:vAlign w:val="center"/>
          </w:tcPr>
          <w:p w14:paraId="092E8B96">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1450" w:type="dxa"/>
            <w:noWrap w:val="0"/>
            <w:vAlign w:val="center"/>
          </w:tcPr>
          <w:p w14:paraId="4BE8B08D">
            <w:pPr>
              <w:jc w:val="both"/>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3C329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210BA09D">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right w:val="single" w:color="auto" w:sz="4" w:space="0"/>
            </w:tcBorders>
            <w:noWrap w:val="0"/>
            <w:vAlign w:val="top"/>
          </w:tcPr>
          <w:p w14:paraId="5BA016EB">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6CB4D001">
            <w:pPr>
              <w:pStyle w:val="7"/>
              <w:rPr>
                <w:rFonts w:hint="eastAsia" w:ascii="宋体" w:hAnsi="宋体" w:eastAsia="宋体" w:cs="宋体"/>
                <w:color w:val="000000" w:themeColor="text1"/>
                <w14:textFill>
                  <w14:solidFill>
                    <w14:schemeClr w14:val="tx1"/>
                  </w14:solidFill>
                </w14:textFill>
              </w:rPr>
            </w:pPr>
          </w:p>
        </w:tc>
        <w:tc>
          <w:tcPr>
            <w:tcW w:w="1333" w:type="dxa"/>
            <w:tcBorders>
              <w:left w:val="single" w:color="auto" w:sz="4" w:space="0"/>
            </w:tcBorders>
            <w:noWrap w:val="0"/>
            <w:vAlign w:val="center"/>
          </w:tcPr>
          <w:p w14:paraId="660366C0">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摸排户外违法违规广告</w:t>
            </w:r>
          </w:p>
        </w:tc>
        <w:tc>
          <w:tcPr>
            <w:tcW w:w="1310" w:type="dxa"/>
            <w:noWrap w:val="0"/>
            <w:vAlign w:val="center"/>
          </w:tcPr>
          <w:p w14:paraId="7163E6AB">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摸排全覆盖</w:t>
            </w:r>
          </w:p>
        </w:tc>
        <w:tc>
          <w:tcPr>
            <w:tcW w:w="1268" w:type="dxa"/>
            <w:noWrap w:val="0"/>
            <w:vAlign w:val="center"/>
          </w:tcPr>
          <w:p w14:paraId="0190D0F0">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完成全区摸排315处</w:t>
            </w:r>
          </w:p>
        </w:tc>
        <w:tc>
          <w:tcPr>
            <w:tcW w:w="716" w:type="dxa"/>
            <w:noWrap w:val="0"/>
            <w:vAlign w:val="center"/>
          </w:tcPr>
          <w:p w14:paraId="000B31E7">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873" w:type="dxa"/>
            <w:noWrap w:val="0"/>
            <w:vAlign w:val="center"/>
          </w:tcPr>
          <w:p w14:paraId="47A99F96">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1450" w:type="dxa"/>
            <w:noWrap w:val="0"/>
            <w:vAlign w:val="center"/>
          </w:tcPr>
          <w:p w14:paraId="3AD7D93F">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摸排样本数量较少</w:t>
            </w:r>
          </w:p>
        </w:tc>
      </w:tr>
      <w:tr w14:paraId="0499E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3D289856">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right w:val="single" w:color="auto" w:sz="4" w:space="0"/>
            </w:tcBorders>
            <w:noWrap w:val="0"/>
            <w:vAlign w:val="top"/>
          </w:tcPr>
          <w:p w14:paraId="3A91CDFB">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54669539">
            <w:pPr>
              <w:pStyle w:val="7"/>
              <w:rPr>
                <w:rFonts w:hint="eastAsia" w:ascii="宋体" w:hAnsi="宋体" w:eastAsia="宋体" w:cs="宋体"/>
                <w:color w:val="000000" w:themeColor="text1"/>
                <w14:textFill>
                  <w14:solidFill>
                    <w14:schemeClr w14:val="tx1"/>
                  </w14:solidFill>
                </w14:textFill>
              </w:rPr>
            </w:pPr>
          </w:p>
        </w:tc>
        <w:tc>
          <w:tcPr>
            <w:tcW w:w="1333" w:type="dxa"/>
            <w:tcBorders>
              <w:left w:val="single" w:color="auto" w:sz="4" w:space="0"/>
            </w:tcBorders>
            <w:noWrap w:val="0"/>
            <w:vAlign w:val="center"/>
          </w:tcPr>
          <w:p w14:paraId="47DDED42">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全区大范围摸排餐饮油烟</w:t>
            </w:r>
          </w:p>
        </w:tc>
        <w:tc>
          <w:tcPr>
            <w:tcW w:w="1310" w:type="dxa"/>
            <w:noWrap w:val="0"/>
            <w:vAlign w:val="center"/>
          </w:tcPr>
          <w:p w14:paraId="46D4A1BE">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摸排全覆盖</w:t>
            </w:r>
          </w:p>
        </w:tc>
        <w:tc>
          <w:tcPr>
            <w:tcW w:w="1268" w:type="dxa"/>
            <w:noWrap w:val="0"/>
            <w:vAlign w:val="center"/>
          </w:tcPr>
          <w:p w14:paraId="60730A6B">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完成全区摸排650家餐饮门店</w:t>
            </w:r>
          </w:p>
        </w:tc>
        <w:tc>
          <w:tcPr>
            <w:tcW w:w="716" w:type="dxa"/>
            <w:noWrap w:val="0"/>
            <w:vAlign w:val="center"/>
          </w:tcPr>
          <w:p w14:paraId="70764474">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873" w:type="dxa"/>
            <w:noWrap w:val="0"/>
            <w:vAlign w:val="center"/>
          </w:tcPr>
          <w:p w14:paraId="32D66864">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1450" w:type="dxa"/>
            <w:noWrap w:val="0"/>
            <w:vAlign w:val="center"/>
          </w:tcPr>
          <w:p w14:paraId="2A21B597">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摸排样本数量较少</w:t>
            </w:r>
          </w:p>
        </w:tc>
      </w:tr>
      <w:tr w14:paraId="02A67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nil"/>
            </w:tcBorders>
            <w:noWrap w:val="0"/>
            <w:textDirection w:val="tbRlV"/>
            <w:vAlign w:val="top"/>
          </w:tcPr>
          <w:p w14:paraId="7565D557">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right w:val="single" w:color="auto" w:sz="4" w:space="0"/>
            </w:tcBorders>
            <w:noWrap w:val="0"/>
            <w:vAlign w:val="top"/>
          </w:tcPr>
          <w:p w14:paraId="115C3B70">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7D664654">
            <w:pPr>
              <w:pStyle w:val="7"/>
              <w:rPr>
                <w:rFonts w:hint="eastAsia" w:ascii="宋体" w:hAnsi="宋体" w:eastAsia="宋体" w:cs="宋体"/>
                <w:color w:val="000000" w:themeColor="text1"/>
                <w14:textFill>
                  <w14:solidFill>
                    <w14:schemeClr w14:val="tx1"/>
                  </w14:solidFill>
                </w14:textFill>
              </w:rPr>
            </w:pPr>
          </w:p>
        </w:tc>
        <w:tc>
          <w:tcPr>
            <w:tcW w:w="1333" w:type="dxa"/>
            <w:tcBorders>
              <w:left w:val="single" w:color="auto" w:sz="4" w:space="0"/>
            </w:tcBorders>
            <w:noWrap w:val="0"/>
            <w:vAlign w:val="center"/>
          </w:tcPr>
          <w:p w14:paraId="68E41DAE">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开展炮源清缴行动</w:t>
            </w:r>
          </w:p>
        </w:tc>
        <w:tc>
          <w:tcPr>
            <w:tcW w:w="1310" w:type="dxa"/>
            <w:noWrap w:val="0"/>
            <w:vAlign w:val="center"/>
          </w:tcPr>
          <w:p w14:paraId="0C4C2D74">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行动次数不低于200次</w:t>
            </w:r>
          </w:p>
        </w:tc>
        <w:tc>
          <w:tcPr>
            <w:tcW w:w="1268" w:type="dxa"/>
            <w:noWrap w:val="0"/>
            <w:vAlign w:val="center"/>
          </w:tcPr>
          <w:p w14:paraId="36048378">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312次</w:t>
            </w:r>
          </w:p>
        </w:tc>
        <w:tc>
          <w:tcPr>
            <w:tcW w:w="716" w:type="dxa"/>
            <w:noWrap w:val="0"/>
            <w:vAlign w:val="center"/>
          </w:tcPr>
          <w:p w14:paraId="42987E63">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873" w:type="dxa"/>
            <w:noWrap w:val="0"/>
            <w:vAlign w:val="center"/>
          </w:tcPr>
          <w:p w14:paraId="06FD63BE">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1450" w:type="dxa"/>
            <w:noWrap w:val="0"/>
            <w:vAlign w:val="center"/>
          </w:tcPr>
          <w:p w14:paraId="3DEA192C">
            <w:pPr>
              <w:jc w:val="both"/>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3DE1D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084" w:type="dxa"/>
            <w:vMerge w:val="continue"/>
            <w:tcBorders>
              <w:top w:val="nil"/>
              <w:bottom w:val="nil"/>
            </w:tcBorders>
            <w:noWrap w:val="0"/>
            <w:textDirection w:val="tbRlV"/>
            <w:vAlign w:val="top"/>
          </w:tcPr>
          <w:p w14:paraId="02D0092B">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right w:val="single" w:color="auto" w:sz="4" w:space="0"/>
            </w:tcBorders>
            <w:noWrap w:val="0"/>
            <w:vAlign w:val="top"/>
          </w:tcPr>
          <w:p w14:paraId="0B851482">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left w:val="single" w:color="auto" w:sz="4" w:space="0"/>
              <w:bottom w:val="single" w:color="auto" w:sz="4" w:space="0"/>
              <w:right w:val="single" w:color="auto" w:sz="4" w:space="0"/>
            </w:tcBorders>
            <w:noWrap w:val="0"/>
            <w:vAlign w:val="top"/>
          </w:tcPr>
          <w:p w14:paraId="21B0D9A3">
            <w:pPr>
              <w:pStyle w:val="7"/>
              <w:rPr>
                <w:rFonts w:hint="eastAsia" w:ascii="宋体" w:hAnsi="宋体" w:eastAsia="宋体" w:cs="宋体"/>
                <w:color w:val="000000" w:themeColor="text1"/>
                <w14:textFill>
                  <w14:solidFill>
                    <w14:schemeClr w14:val="tx1"/>
                  </w14:solidFill>
                </w14:textFill>
              </w:rPr>
            </w:pPr>
          </w:p>
        </w:tc>
        <w:tc>
          <w:tcPr>
            <w:tcW w:w="1333" w:type="dxa"/>
            <w:tcBorders>
              <w:left w:val="single" w:color="auto" w:sz="4" w:space="0"/>
            </w:tcBorders>
            <w:noWrap w:val="0"/>
            <w:vAlign w:val="center"/>
          </w:tcPr>
          <w:p w14:paraId="4A6CE170">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摸排餐饮门店燃气安全</w:t>
            </w:r>
          </w:p>
        </w:tc>
        <w:tc>
          <w:tcPr>
            <w:tcW w:w="1310" w:type="dxa"/>
            <w:noWrap w:val="0"/>
            <w:vAlign w:val="center"/>
          </w:tcPr>
          <w:p w14:paraId="0AE284B6">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摸排全覆盖</w:t>
            </w:r>
          </w:p>
        </w:tc>
        <w:tc>
          <w:tcPr>
            <w:tcW w:w="1268" w:type="dxa"/>
            <w:noWrap w:val="0"/>
            <w:vAlign w:val="center"/>
          </w:tcPr>
          <w:p w14:paraId="2ED19771">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完成全区摸排2300家餐饮门店</w:t>
            </w:r>
          </w:p>
        </w:tc>
        <w:tc>
          <w:tcPr>
            <w:tcW w:w="716" w:type="dxa"/>
            <w:noWrap w:val="0"/>
            <w:vAlign w:val="center"/>
          </w:tcPr>
          <w:p w14:paraId="528595FE">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873" w:type="dxa"/>
            <w:noWrap w:val="0"/>
            <w:vAlign w:val="center"/>
          </w:tcPr>
          <w:p w14:paraId="4F9B1F4F">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1450" w:type="dxa"/>
            <w:noWrap w:val="0"/>
            <w:vAlign w:val="center"/>
          </w:tcPr>
          <w:p w14:paraId="17CAAA87">
            <w:pPr>
              <w:jc w:val="both"/>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3B090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285890EA">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7EFE9C79">
            <w:pPr>
              <w:pStyle w:val="7"/>
              <w:rPr>
                <w:rFonts w:hint="eastAsia" w:ascii="宋体" w:hAnsi="宋体" w:eastAsia="宋体" w:cs="宋体"/>
                <w:color w:val="000000" w:themeColor="text1"/>
                <w14:textFill>
                  <w14:solidFill>
                    <w14:schemeClr w14:val="tx1"/>
                  </w14:solidFill>
                </w14:textFill>
              </w:rPr>
            </w:pPr>
          </w:p>
        </w:tc>
        <w:tc>
          <w:tcPr>
            <w:tcW w:w="970" w:type="dxa"/>
            <w:vMerge w:val="restart"/>
            <w:tcBorders>
              <w:top w:val="single" w:color="auto" w:sz="4" w:space="0"/>
              <w:bottom w:val="single" w:color="auto" w:sz="4" w:space="0"/>
            </w:tcBorders>
            <w:noWrap w:val="0"/>
            <w:vAlign w:val="top"/>
          </w:tcPr>
          <w:p w14:paraId="0A5F8295">
            <w:pPr>
              <w:spacing w:before="273" w:line="226" w:lineRule="auto"/>
              <w:ind w:left="12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质量指标</w:t>
            </w:r>
          </w:p>
        </w:tc>
        <w:tc>
          <w:tcPr>
            <w:tcW w:w="1333" w:type="dxa"/>
            <w:noWrap w:val="0"/>
            <w:vAlign w:val="center"/>
          </w:tcPr>
          <w:p w14:paraId="5DCBE87D">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爆竹燃放火灾发生率</w:t>
            </w:r>
          </w:p>
        </w:tc>
        <w:tc>
          <w:tcPr>
            <w:tcW w:w="1310" w:type="dxa"/>
            <w:noWrap w:val="0"/>
            <w:vAlign w:val="center"/>
          </w:tcPr>
          <w:p w14:paraId="26700BCC">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O起火宅</w:t>
            </w:r>
          </w:p>
        </w:tc>
        <w:tc>
          <w:tcPr>
            <w:tcW w:w="1268" w:type="dxa"/>
            <w:noWrap w:val="0"/>
            <w:vAlign w:val="center"/>
          </w:tcPr>
          <w:p w14:paraId="2CC5F5E0">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0起</w:t>
            </w:r>
          </w:p>
        </w:tc>
        <w:tc>
          <w:tcPr>
            <w:tcW w:w="716" w:type="dxa"/>
            <w:noWrap w:val="0"/>
            <w:vAlign w:val="center"/>
          </w:tcPr>
          <w:p w14:paraId="170CB518">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873" w:type="dxa"/>
            <w:noWrap w:val="0"/>
            <w:vAlign w:val="center"/>
          </w:tcPr>
          <w:p w14:paraId="210366EE">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1450" w:type="dxa"/>
            <w:noWrap w:val="0"/>
            <w:vAlign w:val="center"/>
          </w:tcPr>
          <w:p w14:paraId="5EA8EA93">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爆竹燃放火灾发生率</w:t>
            </w:r>
          </w:p>
        </w:tc>
      </w:tr>
      <w:tr w14:paraId="17E42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10E5EAE0">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748ED08E">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bottom w:val="single" w:color="auto" w:sz="4" w:space="0"/>
            </w:tcBorders>
            <w:noWrap w:val="0"/>
            <w:vAlign w:val="top"/>
          </w:tcPr>
          <w:p w14:paraId="6F94106C">
            <w:pPr>
              <w:pStyle w:val="7"/>
              <w:rPr>
                <w:rFonts w:hint="eastAsia" w:ascii="宋体" w:hAnsi="宋体" w:eastAsia="宋体" w:cs="宋体"/>
                <w:color w:val="000000" w:themeColor="text1"/>
                <w14:textFill>
                  <w14:solidFill>
                    <w14:schemeClr w14:val="tx1"/>
                  </w14:solidFill>
                </w14:textFill>
              </w:rPr>
            </w:pPr>
          </w:p>
        </w:tc>
        <w:tc>
          <w:tcPr>
            <w:tcW w:w="1333" w:type="dxa"/>
            <w:noWrap w:val="0"/>
            <w:vAlign w:val="center"/>
          </w:tcPr>
          <w:p w14:paraId="4B34990A">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shd w:val="clear" w:color="auto" w:fill="FFFFFF"/>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餐厅燃气爆炸发生率</w:t>
            </w:r>
          </w:p>
        </w:tc>
        <w:tc>
          <w:tcPr>
            <w:tcW w:w="1310" w:type="dxa"/>
            <w:noWrap w:val="0"/>
            <w:vAlign w:val="center"/>
          </w:tcPr>
          <w:p w14:paraId="35BEF258">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O起爆炸</w:t>
            </w:r>
          </w:p>
        </w:tc>
        <w:tc>
          <w:tcPr>
            <w:tcW w:w="1268" w:type="dxa"/>
            <w:noWrap w:val="0"/>
            <w:vAlign w:val="center"/>
          </w:tcPr>
          <w:p w14:paraId="1CD0EDB3">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0起</w:t>
            </w:r>
          </w:p>
        </w:tc>
        <w:tc>
          <w:tcPr>
            <w:tcW w:w="716" w:type="dxa"/>
            <w:noWrap w:val="0"/>
            <w:vAlign w:val="center"/>
          </w:tcPr>
          <w:p w14:paraId="40AF9FBC">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873" w:type="dxa"/>
            <w:noWrap w:val="0"/>
            <w:vAlign w:val="center"/>
          </w:tcPr>
          <w:p w14:paraId="0FD293A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1450" w:type="dxa"/>
            <w:noWrap w:val="0"/>
            <w:vAlign w:val="center"/>
          </w:tcPr>
          <w:p w14:paraId="39FBF379">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49CFE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019F3413">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198E228E">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single" w:color="auto" w:sz="4" w:space="0"/>
              <w:bottom w:val="single" w:color="auto" w:sz="4" w:space="0"/>
            </w:tcBorders>
            <w:noWrap w:val="0"/>
            <w:vAlign w:val="top"/>
          </w:tcPr>
          <w:p w14:paraId="40249DEF">
            <w:pPr>
              <w:pStyle w:val="7"/>
              <w:rPr>
                <w:rFonts w:hint="eastAsia" w:ascii="宋体" w:hAnsi="宋体" w:eastAsia="宋体" w:cs="宋体"/>
                <w:color w:val="000000" w:themeColor="text1"/>
                <w14:textFill>
                  <w14:solidFill>
                    <w14:schemeClr w14:val="tx1"/>
                  </w14:solidFill>
                </w14:textFill>
              </w:rPr>
            </w:pPr>
          </w:p>
        </w:tc>
        <w:tc>
          <w:tcPr>
            <w:tcW w:w="1333" w:type="dxa"/>
            <w:noWrap w:val="0"/>
            <w:vAlign w:val="center"/>
          </w:tcPr>
          <w:p w14:paraId="09E69AA5">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城管执法质量</w:t>
            </w:r>
          </w:p>
        </w:tc>
        <w:tc>
          <w:tcPr>
            <w:tcW w:w="1310" w:type="dxa"/>
            <w:noWrap w:val="0"/>
            <w:vAlign w:val="center"/>
          </w:tcPr>
          <w:p w14:paraId="52C15369">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O起行政复议案件</w:t>
            </w:r>
          </w:p>
        </w:tc>
        <w:tc>
          <w:tcPr>
            <w:tcW w:w="1268" w:type="dxa"/>
            <w:noWrap w:val="0"/>
            <w:vAlign w:val="center"/>
          </w:tcPr>
          <w:p w14:paraId="35B69265">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0起</w:t>
            </w:r>
          </w:p>
        </w:tc>
        <w:tc>
          <w:tcPr>
            <w:tcW w:w="716" w:type="dxa"/>
            <w:noWrap w:val="0"/>
            <w:vAlign w:val="center"/>
          </w:tcPr>
          <w:p w14:paraId="6222A1E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873" w:type="dxa"/>
            <w:noWrap w:val="0"/>
            <w:vAlign w:val="center"/>
          </w:tcPr>
          <w:p w14:paraId="4CE56CEF">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1450" w:type="dxa"/>
            <w:noWrap w:val="0"/>
            <w:vAlign w:val="center"/>
          </w:tcPr>
          <w:p w14:paraId="5F11FD7A">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15584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7B1F8C82">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50B372A8">
            <w:pPr>
              <w:pStyle w:val="7"/>
              <w:rPr>
                <w:rFonts w:hint="eastAsia" w:ascii="宋体" w:hAnsi="宋体" w:eastAsia="宋体" w:cs="宋体"/>
                <w:color w:val="000000" w:themeColor="text1"/>
                <w14:textFill>
                  <w14:solidFill>
                    <w14:schemeClr w14:val="tx1"/>
                  </w14:solidFill>
                </w14:textFill>
              </w:rPr>
            </w:pPr>
          </w:p>
        </w:tc>
        <w:tc>
          <w:tcPr>
            <w:tcW w:w="970" w:type="dxa"/>
            <w:tcBorders>
              <w:top w:val="single" w:color="auto" w:sz="4" w:space="0"/>
              <w:bottom w:val="nil"/>
            </w:tcBorders>
            <w:noWrap w:val="0"/>
            <w:vAlign w:val="top"/>
          </w:tcPr>
          <w:p w14:paraId="1DBC1612">
            <w:pPr>
              <w:spacing w:before="274" w:line="226" w:lineRule="auto"/>
              <w:ind w:left="13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时效指标</w:t>
            </w:r>
          </w:p>
        </w:tc>
        <w:tc>
          <w:tcPr>
            <w:tcW w:w="1333" w:type="dxa"/>
            <w:noWrap w:val="0"/>
            <w:vAlign w:val="center"/>
          </w:tcPr>
          <w:p w14:paraId="01DC38D9">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完成守护好一江碧水年度工作任务</w:t>
            </w:r>
          </w:p>
        </w:tc>
        <w:tc>
          <w:tcPr>
            <w:tcW w:w="1310" w:type="dxa"/>
            <w:noWrap w:val="0"/>
            <w:vAlign w:val="center"/>
          </w:tcPr>
          <w:p w14:paraId="32D0402C">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年底全部完成</w:t>
            </w:r>
          </w:p>
        </w:tc>
        <w:tc>
          <w:tcPr>
            <w:tcW w:w="1268" w:type="dxa"/>
            <w:noWrap w:val="0"/>
            <w:vAlign w:val="center"/>
          </w:tcPr>
          <w:p w14:paraId="472490FF">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全部完成</w:t>
            </w:r>
          </w:p>
        </w:tc>
        <w:tc>
          <w:tcPr>
            <w:tcW w:w="716" w:type="dxa"/>
            <w:noWrap w:val="0"/>
            <w:vAlign w:val="center"/>
          </w:tcPr>
          <w:p w14:paraId="5FAED190">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873" w:type="dxa"/>
            <w:noWrap w:val="0"/>
            <w:vAlign w:val="center"/>
          </w:tcPr>
          <w:p w14:paraId="6A781737">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1450" w:type="dxa"/>
            <w:noWrap w:val="0"/>
            <w:vAlign w:val="center"/>
          </w:tcPr>
          <w:p w14:paraId="3A00D332">
            <w:pPr>
              <w:jc w:val="both"/>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p>
        </w:tc>
      </w:tr>
      <w:tr w14:paraId="0235B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3D41B3CE">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4A02CA9E">
            <w:pPr>
              <w:pStyle w:val="7"/>
              <w:rPr>
                <w:rFonts w:hint="eastAsia" w:ascii="宋体" w:hAnsi="宋体" w:eastAsia="宋体" w:cs="宋体"/>
                <w:color w:val="000000" w:themeColor="text1"/>
                <w14:textFill>
                  <w14:solidFill>
                    <w14:schemeClr w14:val="tx1"/>
                  </w14:solidFill>
                </w14:textFill>
              </w:rPr>
            </w:pPr>
          </w:p>
        </w:tc>
        <w:tc>
          <w:tcPr>
            <w:tcW w:w="970" w:type="dxa"/>
            <w:tcBorders>
              <w:bottom w:val="nil"/>
            </w:tcBorders>
            <w:noWrap w:val="0"/>
            <w:vAlign w:val="top"/>
          </w:tcPr>
          <w:p w14:paraId="413852AF">
            <w:pPr>
              <w:spacing w:before="273" w:line="226" w:lineRule="auto"/>
              <w:ind w:left="125"/>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成本指标</w:t>
            </w:r>
          </w:p>
        </w:tc>
        <w:tc>
          <w:tcPr>
            <w:tcW w:w="1333" w:type="dxa"/>
            <w:noWrap w:val="0"/>
            <w:vAlign w:val="center"/>
          </w:tcPr>
          <w:p w14:paraId="7D7FE575">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支出预算控制</w:t>
            </w:r>
          </w:p>
        </w:tc>
        <w:tc>
          <w:tcPr>
            <w:tcW w:w="1310" w:type="dxa"/>
            <w:noWrap w:val="0"/>
            <w:vAlign w:val="center"/>
          </w:tcPr>
          <w:p w14:paraId="71E19B8D">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5077.17万元</w:t>
            </w:r>
          </w:p>
        </w:tc>
        <w:tc>
          <w:tcPr>
            <w:tcW w:w="1268" w:type="dxa"/>
            <w:noWrap w:val="0"/>
            <w:vAlign w:val="center"/>
          </w:tcPr>
          <w:p w14:paraId="657A178B">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4987.40万元</w:t>
            </w:r>
          </w:p>
        </w:tc>
        <w:tc>
          <w:tcPr>
            <w:tcW w:w="716" w:type="dxa"/>
            <w:noWrap w:val="0"/>
            <w:vAlign w:val="center"/>
          </w:tcPr>
          <w:p w14:paraId="6AE730F2">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5</w:t>
            </w:r>
          </w:p>
        </w:tc>
        <w:tc>
          <w:tcPr>
            <w:tcW w:w="873" w:type="dxa"/>
            <w:noWrap w:val="0"/>
            <w:vAlign w:val="center"/>
          </w:tcPr>
          <w:p w14:paraId="5310C1E9">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4</w:t>
            </w:r>
          </w:p>
        </w:tc>
        <w:tc>
          <w:tcPr>
            <w:tcW w:w="1450" w:type="dxa"/>
            <w:noWrap w:val="0"/>
            <w:vAlign w:val="center"/>
          </w:tcPr>
          <w:p w14:paraId="66FC1D94">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p>
        </w:tc>
      </w:tr>
      <w:tr w14:paraId="2BB4A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2B1341B0">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56A5AB4D">
            <w:pPr>
              <w:pStyle w:val="7"/>
              <w:rPr>
                <w:rFonts w:hint="eastAsia" w:ascii="宋体" w:hAnsi="宋体" w:eastAsia="宋体" w:cs="宋体"/>
                <w:color w:val="000000" w:themeColor="text1"/>
                <w14:textFill>
                  <w14:solidFill>
                    <w14:schemeClr w14:val="tx1"/>
                  </w14:solidFill>
                </w14:textFill>
              </w:rPr>
            </w:pPr>
          </w:p>
        </w:tc>
        <w:tc>
          <w:tcPr>
            <w:tcW w:w="970" w:type="dxa"/>
            <w:vMerge w:val="restart"/>
            <w:tcBorders>
              <w:bottom w:val="nil"/>
            </w:tcBorders>
            <w:noWrap w:val="0"/>
            <w:vAlign w:val="top"/>
          </w:tcPr>
          <w:p w14:paraId="75ECCE2E">
            <w:pPr>
              <w:spacing w:before="153" w:line="233" w:lineRule="auto"/>
              <w:ind w:left="225"/>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社会效</w:t>
            </w:r>
          </w:p>
          <w:p w14:paraId="29AB6044">
            <w:pPr>
              <w:spacing w:line="225" w:lineRule="auto"/>
              <w:ind w:left="232"/>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益指标</w:t>
            </w:r>
          </w:p>
        </w:tc>
        <w:tc>
          <w:tcPr>
            <w:tcW w:w="1333" w:type="dxa"/>
            <w:noWrap w:val="0"/>
            <w:vAlign w:val="center"/>
          </w:tcPr>
          <w:p w14:paraId="74DB1338">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提升市容环境秩序</w:t>
            </w:r>
          </w:p>
        </w:tc>
        <w:tc>
          <w:tcPr>
            <w:tcW w:w="1310" w:type="dxa"/>
            <w:noWrap w:val="0"/>
            <w:vAlign w:val="center"/>
          </w:tcPr>
          <w:p w14:paraId="18583E9F">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干净、整洁、有序</w:t>
            </w:r>
          </w:p>
        </w:tc>
        <w:tc>
          <w:tcPr>
            <w:tcW w:w="1268" w:type="dxa"/>
            <w:noWrap w:val="0"/>
            <w:vAlign w:val="center"/>
          </w:tcPr>
          <w:p w14:paraId="7860108C">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城市“客厅”颜值较大提升</w:t>
            </w:r>
          </w:p>
        </w:tc>
        <w:tc>
          <w:tcPr>
            <w:tcW w:w="716" w:type="dxa"/>
            <w:noWrap w:val="0"/>
            <w:vAlign w:val="center"/>
          </w:tcPr>
          <w:p w14:paraId="2B2515DD">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8</w:t>
            </w:r>
          </w:p>
        </w:tc>
        <w:tc>
          <w:tcPr>
            <w:tcW w:w="873" w:type="dxa"/>
            <w:noWrap w:val="0"/>
            <w:vAlign w:val="center"/>
          </w:tcPr>
          <w:p w14:paraId="549CD337">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1450" w:type="dxa"/>
            <w:noWrap w:val="0"/>
            <w:vAlign w:val="center"/>
          </w:tcPr>
          <w:p w14:paraId="748817CF">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还有不少突出问题待解决</w:t>
            </w:r>
          </w:p>
        </w:tc>
      </w:tr>
      <w:tr w14:paraId="41317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3F5457A3">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12726061">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nil"/>
              <w:bottom w:val="nil"/>
            </w:tcBorders>
            <w:noWrap w:val="0"/>
            <w:vAlign w:val="top"/>
          </w:tcPr>
          <w:p w14:paraId="16B3179D">
            <w:pPr>
              <w:pStyle w:val="7"/>
              <w:rPr>
                <w:rFonts w:hint="eastAsia" w:ascii="宋体" w:hAnsi="宋体" w:eastAsia="宋体" w:cs="宋体"/>
                <w:color w:val="000000" w:themeColor="text1"/>
                <w14:textFill>
                  <w14:solidFill>
                    <w14:schemeClr w14:val="tx1"/>
                  </w14:solidFill>
                </w14:textFill>
              </w:rPr>
            </w:pPr>
          </w:p>
        </w:tc>
        <w:tc>
          <w:tcPr>
            <w:tcW w:w="1333" w:type="dxa"/>
            <w:noWrap w:val="0"/>
            <w:vAlign w:val="center"/>
          </w:tcPr>
          <w:p w14:paraId="45FD3B1B">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维护烟花爆竹燃放安全</w:t>
            </w:r>
          </w:p>
        </w:tc>
        <w:tc>
          <w:tcPr>
            <w:tcW w:w="1310" w:type="dxa"/>
            <w:noWrap w:val="0"/>
            <w:vAlign w:val="center"/>
          </w:tcPr>
          <w:p w14:paraId="50868524">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全面有效管控</w:t>
            </w:r>
          </w:p>
        </w:tc>
        <w:tc>
          <w:tcPr>
            <w:tcW w:w="1268" w:type="dxa"/>
            <w:noWrap w:val="0"/>
            <w:vAlign w:val="center"/>
          </w:tcPr>
          <w:p w14:paraId="14CC2BA9">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实现有效管控</w:t>
            </w:r>
          </w:p>
        </w:tc>
        <w:tc>
          <w:tcPr>
            <w:tcW w:w="716" w:type="dxa"/>
            <w:noWrap w:val="0"/>
            <w:vAlign w:val="center"/>
          </w:tcPr>
          <w:p w14:paraId="645D90C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873" w:type="dxa"/>
            <w:noWrap w:val="0"/>
            <w:vAlign w:val="center"/>
          </w:tcPr>
          <w:p w14:paraId="1A58447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1450" w:type="dxa"/>
            <w:noWrap w:val="0"/>
            <w:vAlign w:val="center"/>
          </w:tcPr>
          <w:p w14:paraId="15ACEC33">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全面性有待加强</w:t>
            </w:r>
          </w:p>
        </w:tc>
      </w:tr>
      <w:tr w14:paraId="72973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38A3DCA9">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637A37D4">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nil"/>
            </w:tcBorders>
            <w:noWrap w:val="0"/>
            <w:vAlign w:val="top"/>
          </w:tcPr>
          <w:p w14:paraId="3F3924F0">
            <w:pPr>
              <w:pStyle w:val="7"/>
              <w:rPr>
                <w:rFonts w:hint="eastAsia" w:ascii="宋体" w:hAnsi="宋体" w:eastAsia="宋体" w:cs="宋体"/>
                <w:color w:val="000000" w:themeColor="text1"/>
                <w14:textFill>
                  <w14:solidFill>
                    <w14:schemeClr w14:val="tx1"/>
                  </w14:solidFill>
                </w14:textFill>
              </w:rPr>
            </w:pPr>
          </w:p>
        </w:tc>
        <w:tc>
          <w:tcPr>
            <w:tcW w:w="1333" w:type="dxa"/>
            <w:noWrap w:val="0"/>
            <w:vAlign w:val="center"/>
          </w:tcPr>
          <w:p w14:paraId="17EF4ADF">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维护城市燃气安全</w:t>
            </w:r>
          </w:p>
        </w:tc>
        <w:tc>
          <w:tcPr>
            <w:tcW w:w="1310" w:type="dxa"/>
            <w:noWrap w:val="0"/>
            <w:vAlign w:val="center"/>
          </w:tcPr>
          <w:p w14:paraId="0E73768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全面有效管控</w:t>
            </w:r>
          </w:p>
        </w:tc>
        <w:tc>
          <w:tcPr>
            <w:tcW w:w="1268" w:type="dxa"/>
            <w:noWrap w:val="0"/>
            <w:vAlign w:val="center"/>
          </w:tcPr>
          <w:p w14:paraId="4552E7C3">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实现有效管控</w:t>
            </w:r>
          </w:p>
        </w:tc>
        <w:tc>
          <w:tcPr>
            <w:tcW w:w="716" w:type="dxa"/>
            <w:noWrap w:val="0"/>
            <w:vAlign w:val="center"/>
          </w:tcPr>
          <w:p w14:paraId="72DF7900">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6</w:t>
            </w:r>
          </w:p>
        </w:tc>
        <w:tc>
          <w:tcPr>
            <w:tcW w:w="873" w:type="dxa"/>
            <w:noWrap w:val="0"/>
            <w:vAlign w:val="center"/>
          </w:tcPr>
          <w:p w14:paraId="5F1FE234">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1450" w:type="dxa"/>
            <w:noWrap w:val="0"/>
            <w:vAlign w:val="center"/>
          </w:tcPr>
          <w:p w14:paraId="442F3BE0">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全面性有待加强</w:t>
            </w:r>
          </w:p>
        </w:tc>
      </w:tr>
      <w:tr w14:paraId="79674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4AE26B58">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1F12D209">
            <w:pPr>
              <w:pStyle w:val="7"/>
              <w:rPr>
                <w:rFonts w:hint="eastAsia" w:ascii="宋体" w:hAnsi="宋体" w:eastAsia="宋体" w:cs="宋体"/>
                <w:color w:val="000000" w:themeColor="text1"/>
                <w14:textFill>
                  <w14:solidFill>
                    <w14:schemeClr w14:val="tx1"/>
                  </w14:solidFill>
                </w14:textFill>
              </w:rPr>
            </w:pPr>
          </w:p>
        </w:tc>
        <w:tc>
          <w:tcPr>
            <w:tcW w:w="970" w:type="dxa"/>
            <w:vMerge w:val="restart"/>
            <w:tcBorders>
              <w:bottom w:val="nil"/>
            </w:tcBorders>
            <w:noWrap w:val="0"/>
            <w:vAlign w:val="top"/>
          </w:tcPr>
          <w:p w14:paraId="5CAF83EC">
            <w:pPr>
              <w:spacing w:before="154" w:line="233" w:lineRule="auto"/>
              <w:ind w:left="23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生态效</w:t>
            </w:r>
          </w:p>
          <w:p w14:paraId="2656F48F">
            <w:pPr>
              <w:spacing w:line="225" w:lineRule="auto"/>
              <w:ind w:left="232"/>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益指标</w:t>
            </w:r>
          </w:p>
        </w:tc>
        <w:tc>
          <w:tcPr>
            <w:tcW w:w="1333" w:type="dxa"/>
            <w:noWrap w:val="0"/>
            <w:vAlign w:val="center"/>
          </w:tcPr>
          <w:p w14:paraId="6991B74E">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减少餐饮油烟污染</w:t>
            </w:r>
          </w:p>
        </w:tc>
        <w:tc>
          <w:tcPr>
            <w:tcW w:w="1310" w:type="dxa"/>
            <w:noWrap w:val="0"/>
            <w:vAlign w:val="center"/>
          </w:tcPr>
          <w:p w14:paraId="31F6753C">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有效减少</w:t>
            </w:r>
          </w:p>
        </w:tc>
        <w:tc>
          <w:tcPr>
            <w:tcW w:w="1268" w:type="dxa"/>
            <w:noWrap w:val="0"/>
            <w:vAlign w:val="center"/>
          </w:tcPr>
          <w:p w14:paraId="37045D68">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一般减少</w:t>
            </w:r>
          </w:p>
        </w:tc>
        <w:tc>
          <w:tcPr>
            <w:tcW w:w="716" w:type="dxa"/>
            <w:noWrap w:val="0"/>
            <w:vAlign w:val="center"/>
          </w:tcPr>
          <w:p w14:paraId="0B374D2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2</w:t>
            </w:r>
          </w:p>
        </w:tc>
        <w:tc>
          <w:tcPr>
            <w:tcW w:w="873" w:type="dxa"/>
            <w:noWrap w:val="0"/>
            <w:vAlign w:val="center"/>
          </w:tcPr>
          <w:p w14:paraId="610F942B">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1</w:t>
            </w:r>
          </w:p>
        </w:tc>
        <w:tc>
          <w:tcPr>
            <w:tcW w:w="1450" w:type="dxa"/>
            <w:noWrap w:val="0"/>
            <w:vAlign w:val="center"/>
          </w:tcPr>
          <w:p w14:paraId="64B8B741">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减少餐饮油烟污染</w:t>
            </w:r>
          </w:p>
        </w:tc>
      </w:tr>
      <w:tr w14:paraId="487A8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71AA2134">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13DABA82">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nil"/>
              <w:bottom w:val="nil"/>
            </w:tcBorders>
            <w:noWrap w:val="0"/>
            <w:vAlign w:val="top"/>
          </w:tcPr>
          <w:p w14:paraId="3AA3B36B">
            <w:pPr>
              <w:pStyle w:val="7"/>
              <w:rPr>
                <w:rFonts w:hint="eastAsia" w:ascii="宋体" w:hAnsi="宋体" w:eastAsia="宋体" w:cs="宋体"/>
                <w:color w:val="000000" w:themeColor="text1"/>
                <w14:textFill>
                  <w14:solidFill>
                    <w14:schemeClr w14:val="tx1"/>
                  </w14:solidFill>
                </w14:textFill>
              </w:rPr>
            </w:pPr>
          </w:p>
        </w:tc>
        <w:tc>
          <w:tcPr>
            <w:tcW w:w="1333" w:type="dxa"/>
            <w:noWrap w:val="0"/>
            <w:vAlign w:val="center"/>
          </w:tcPr>
          <w:p w14:paraId="157064EF">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优化施工现场环境</w:t>
            </w:r>
          </w:p>
        </w:tc>
        <w:tc>
          <w:tcPr>
            <w:tcW w:w="1310" w:type="dxa"/>
            <w:noWrap w:val="0"/>
            <w:vAlign w:val="center"/>
          </w:tcPr>
          <w:p w14:paraId="2C7B3F3C">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施工环境质量明显改善</w:t>
            </w:r>
          </w:p>
        </w:tc>
        <w:tc>
          <w:tcPr>
            <w:tcW w:w="1268" w:type="dxa"/>
            <w:noWrap w:val="0"/>
            <w:vAlign w:val="center"/>
          </w:tcPr>
          <w:p w14:paraId="1D79C61D">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较大完善</w:t>
            </w:r>
          </w:p>
        </w:tc>
        <w:tc>
          <w:tcPr>
            <w:tcW w:w="716" w:type="dxa"/>
            <w:noWrap w:val="0"/>
            <w:vAlign w:val="center"/>
          </w:tcPr>
          <w:p w14:paraId="3AEEB412">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3</w:t>
            </w:r>
          </w:p>
        </w:tc>
        <w:tc>
          <w:tcPr>
            <w:tcW w:w="873" w:type="dxa"/>
            <w:noWrap w:val="0"/>
            <w:vAlign w:val="center"/>
          </w:tcPr>
          <w:p w14:paraId="18483A6A">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2</w:t>
            </w:r>
          </w:p>
        </w:tc>
        <w:tc>
          <w:tcPr>
            <w:tcW w:w="1450" w:type="dxa"/>
            <w:noWrap w:val="0"/>
            <w:vAlign w:val="center"/>
          </w:tcPr>
          <w:p w14:paraId="1AE8B65F">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优化施工现场环境</w:t>
            </w:r>
          </w:p>
        </w:tc>
      </w:tr>
      <w:tr w14:paraId="39513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nil"/>
              <w:bottom w:val="nil"/>
            </w:tcBorders>
            <w:noWrap w:val="0"/>
            <w:textDirection w:val="tbRlV"/>
            <w:vAlign w:val="top"/>
          </w:tcPr>
          <w:p w14:paraId="6C1936F9">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135040AB">
            <w:pPr>
              <w:pStyle w:val="7"/>
              <w:rPr>
                <w:rFonts w:hint="eastAsia" w:ascii="宋体" w:hAnsi="宋体" w:eastAsia="宋体" w:cs="宋体"/>
                <w:color w:val="000000" w:themeColor="text1"/>
                <w14:textFill>
                  <w14:solidFill>
                    <w14:schemeClr w14:val="tx1"/>
                  </w14:solidFill>
                </w14:textFill>
              </w:rPr>
            </w:pPr>
          </w:p>
        </w:tc>
        <w:tc>
          <w:tcPr>
            <w:tcW w:w="970" w:type="dxa"/>
            <w:tcBorders>
              <w:bottom w:val="nil"/>
            </w:tcBorders>
            <w:noWrap w:val="0"/>
            <w:vAlign w:val="top"/>
          </w:tcPr>
          <w:p w14:paraId="1F3E0873">
            <w:pPr>
              <w:spacing w:before="207" w:line="230" w:lineRule="auto"/>
              <w:ind w:left="227" w:right="116" w:hanging="98"/>
              <w:rPr>
                <w:rFonts w:hint="eastAsia" w:ascii="宋体" w:hAnsi="宋体" w:eastAsia="宋体" w:cs="宋体"/>
                <w:color w:val="000000" w:themeColor="text1"/>
                <w:sz w:val="19"/>
                <w:szCs w:val="19"/>
                <w:lang w:eastAsia="zh-CN"/>
                <w14:textFill>
                  <w14:solidFill>
                    <w14:schemeClr w14:val="tx1"/>
                  </w14:solidFill>
                </w14:textFill>
              </w:rPr>
            </w:pPr>
            <w:r>
              <w:rPr>
                <w:rFonts w:hint="eastAsia" w:ascii="宋体" w:hAnsi="宋体" w:cs="宋体"/>
                <w:color w:val="000000" w:themeColor="text1"/>
                <w:sz w:val="19"/>
                <w:szCs w:val="19"/>
                <w:lang w:eastAsia="zh-CN"/>
                <w14:textFill>
                  <w14:solidFill>
                    <w14:schemeClr w14:val="tx1"/>
                  </w14:solidFill>
                </w14:textFill>
              </w:rPr>
              <w:t>可持续影响指标</w:t>
            </w:r>
          </w:p>
        </w:tc>
        <w:tc>
          <w:tcPr>
            <w:tcW w:w="1333" w:type="dxa"/>
            <w:noWrap w:val="0"/>
            <w:vAlign w:val="center"/>
          </w:tcPr>
          <w:p w14:paraId="37300F41">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构建燃气安全长效机制</w:t>
            </w:r>
          </w:p>
        </w:tc>
        <w:tc>
          <w:tcPr>
            <w:tcW w:w="1310" w:type="dxa"/>
            <w:noWrap w:val="0"/>
            <w:vAlign w:val="center"/>
          </w:tcPr>
          <w:p w14:paraId="4C49488B">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持续有效</w:t>
            </w:r>
          </w:p>
        </w:tc>
        <w:tc>
          <w:tcPr>
            <w:tcW w:w="1268" w:type="dxa"/>
            <w:noWrap w:val="0"/>
            <w:vAlign w:val="center"/>
          </w:tcPr>
          <w:p w14:paraId="005BF65B">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已构建燃气安全“宣传、摸排、执法、整治”长效管控机制</w:t>
            </w:r>
          </w:p>
        </w:tc>
        <w:tc>
          <w:tcPr>
            <w:tcW w:w="716" w:type="dxa"/>
            <w:noWrap w:val="0"/>
            <w:vAlign w:val="center"/>
          </w:tcPr>
          <w:p w14:paraId="45FB17A1">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873" w:type="dxa"/>
            <w:noWrap w:val="0"/>
            <w:vAlign w:val="center"/>
          </w:tcPr>
          <w:p w14:paraId="17694CBF">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1450" w:type="dxa"/>
            <w:noWrap w:val="0"/>
            <w:vAlign w:val="center"/>
          </w:tcPr>
          <w:p w14:paraId="5BB875FC">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构建燃气安全长效机制</w:t>
            </w:r>
          </w:p>
        </w:tc>
      </w:tr>
      <w:tr w14:paraId="0AC66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tcBorders>
            <w:noWrap w:val="0"/>
            <w:textDirection w:val="tbRlV"/>
            <w:vAlign w:val="top"/>
          </w:tcPr>
          <w:p w14:paraId="553272A8">
            <w:pPr>
              <w:pStyle w:val="7"/>
              <w:rPr>
                <w:rFonts w:hint="eastAsia" w:ascii="宋体" w:hAnsi="宋体" w:eastAsia="宋体" w:cs="宋体"/>
                <w:color w:val="000000" w:themeColor="text1"/>
                <w14:textFill>
                  <w14:solidFill>
                    <w14:schemeClr w14:val="tx1"/>
                  </w14:solidFill>
                </w14:textFill>
              </w:rPr>
            </w:pPr>
          </w:p>
        </w:tc>
        <w:tc>
          <w:tcPr>
            <w:tcW w:w="1079" w:type="dxa"/>
            <w:vMerge w:val="restart"/>
            <w:tcBorders>
              <w:bottom w:val="nil"/>
            </w:tcBorders>
            <w:noWrap w:val="0"/>
            <w:vAlign w:val="top"/>
          </w:tcPr>
          <w:p w14:paraId="517B1307">
            <w:pPr>
              <w:spacing w:before="110" w:line="226" w:lineRule="auto"/>
              <w:ind w:left="25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满意度</w:t>
            </w:r>
          </w:p>
          <w:p w14:paraId="2694651D">
            <w:pPr>
              <w:spacing w:before="7" w:line="226" w:lineRule="auto"/>
              <w:ind w:left="345"/>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指标</w:t>
            </w:r>
          </w:p>
          <w:p w14:paraId="769DDDC4">
            <w:pPr>
              <w:spacing w:before="7" w:line="227" w:lineRule="auto"/>
              <w:ind w:left="11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（10</w:t>
            </w:r>
            <w:r>
              <w:rPr>
                <w:rFonts w:hint="eastAsia" w:ascii="宋体" w:hAnsi="宋体" w:eastAsia="宋体" w:cs="宋体"/>
                <w:color w:val="000000" w:themeColor="text1"/>
                <w:spacing w:val="16"/>
                <w:w w:val="101"/>
                <w:sz w:val="19"/>
                <w:szCs w:val="19"/>
                <w14:textFill>
                  <w14:solidFill>
                    <w14:schemeClr w14:val="tx1"/>
                  </w14:solidFill>
                </w14:textFill>
              </w:rPr>
              <w:t xml:space="preserve"> </w:t>
            </w:r>
            <w:r>
              <w:rPr>
                <w:rFonts w:hint="eastAsia" w:ascii="宋体" w:hAnsi="宋体" w:eastAsia="宋体" w:cs="宋体"/>
                <w:color w:val="000000" w:themeColor="text1"/>
                <w:spacing w:val="3"/>
                <w:sz w:val="19"/>
                <w:szCs w:val="19"/>
                <w14:textFill>
                  <w14:solidFill>
                    <w14:schemeClr w14:val="tx1"/>
                  </w14:solidFill>
                </w14:textFill>
              </w:rPr>
              <w:t>分）</w:t>
            </w:r>
          </w:p>
        </w:tc>
        <w:tc>
          <w:tcPr>
            <w:tcW w:w="970" w:type="dxa"/>
            <w:vMerge w:val="restart"/>
            <w:tcBorders>
              <w:bottom w:val="nil"/>
            </w:tcBorders>
            <w:noWrap w:val="0"/>
            <w:vAlign w:val="top"/>
          </w:tcPr>
          <w:p w14:paraId="110F042A">
            <w:pPr>
              <w:spacing w:before="110" w:line="226" w:lineRule="auto"/>
              <w:ind w:left="12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服务对象</w:t>
            </w:r>
          </w:p>
          <w:p w14:paraId="2873EE88">
            <w:pPr>
              <w:spacing w:before="7" w:line="226" w:lineRule="auto"/>
              <w:ind w:left="12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满意度指</w:t>
            </w:r>
          </w:p>
          <w:p w14:paraId="2D2256FB">
            <w:pPr>
              <w:spacing w:before="7" w:line="226" w:lineRule="auto"/>
              <w:ind w:left="41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2"/>
                <w:sz w:val="19"/>
                <w:szCs w:val="19"/>
                <w14:textFill>
                  <w14:solidFill>
                    <w14:schemeClr w14:val="tx1"/>
                  </w14:solidFill>
                </w14:textFill>
              </w:rPr>
              <w:t>标</w:t>
            </w:r>
          </w:p>
        </w:tc>
        <w:tc>
          <w:tcPr>
            <w:tcW w:w="1333" w:type="dxa"/>
            <w:noWrap w:val="0"/>
            <w:vAlign w:val="center"/>
          </w:tcPr>
          <w:p w14:paraId="7F71DCC7">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监管对象满意度</w:t>
            </w:r>
          </w:p>
        </w:tc>
        <w:tc>
          <w:tcPr>
            <w:tcW w:w="1310" w:type="dxa"/>
            <w:noWrap w:val="0"/>
            <w:vAlign w:val="center"/>
          </w:tcPr>
          <w:p w14:paraId="64A04C5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85%</w:t>
            </w:r>
          </w:p>
        </w:tc>
        <w:tc>
          <w:tcPr>
            <w:tcW w:w="1268" w:type="dxa"/>
            <w:noWrap w:val="0"/>
            <w:vAlign w:val="center"/>
          </w:tcPr>
          <w:p w14:paraId="3D24D7B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80%</w:t>
            </w:r>
          </w:p>
        </w:tc>
        <w:tc>
          <w:tcPr>
            <w:tcW w:w="716" w:type="dxa"/>
            <w:noWrap w:val="0"/>
            <w:vAlign w:val="center"/>
          </w:tcPr>
          <w:p w14:paraId="4CC1214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873" w:type="dxa"/>
            <w:noWrap w:val="0"/>
            <w:vAlign w:val="center"/>
          </w:tcPr>
          <w:p w14:paraId="04A52B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1450" w:type="dxa"/>
            <w:noWrap w:val="0"/>
            <w:vAlign w:val="center"/>
          </w:tcPr>
          <w:p w14:paraId="7C20EF5E">
            <w:pPr>
              <w:keepNext w:val="0"/>
              <w:keepLines w:val="0"/>
              <w:widowControl/>
              <w:suppressLineNumbers w:val="0"/>
              <w:jc w:val="both"/>
              <w:textAlignment w:val="cente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文明执法有待加强</w:t>
            </w:r>
          </w:p>
        </w:tc>
      </w:tr>
      <w:tr w14:paraId="630AD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bottom w:val="nil"/>
            </w:tcBorders>
            <w:noWrap w:val="0"/>
            <w:textDirection w:val="tbRlV"/>
            <w:vAlign w:val="top"/>
          </w:tcPr>
          <w:p w14:paraId="765938A4">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4C45BB4D">
            <w:pPr>
              <w:pStyle w:val="7"/>
              <w:rPr>
                <w:rFonts w:hint="eastAsia" w:ascii="宋体" w:hAnsi="宋体" w:eastAsia="宋体" w:cs="宋体"/>
                <w:color w:val="000000" w:themeColor="text1"/>
                <w14:textFill>
                  <w14:solidFill>
                    <w14:schemeClr w14:val="tx1"/>
                  </w14:solidFill>
                </w14:textFill>
              </w:rPr>
            </w:pPr>
          </w:p>
        </w:tc>
        <w:tc>
          <w:tcPr>
            <w:tcW w:w="970" w:type="dxa"/>
            <w:vMerge w:val="continue"/>
            <w:tcBorders>
              <w:top w:val="nil"/>
              <w:bottom w:val="nil"/>
            </w:tcBorders>
            <w:noWrap w:val="0"/>
            <w:vAlign w:val="top"/>
          </w:tcPr>
          <w:p w14:paraId="0834B7D9">
            <w:pPr>
              <w:pStyle w:val="7"/>
              <w:rPr>
                <w:rFonts w:hint="eastAsia" w:ascii="宋体" w:hAnsi="宋体" w:eastAsia="宋体" w:cs="宋体"/>
                <w:color w:val="000000" w:themeColor="text1"/>
                <w14:textFill>
                  <w14:solidFill>
                    <w14:schemeClr w14:val="tx1"/>
                  </w14:solidFill>
                </w14:textFill>
              </w:rPr>
            </w:pPr>
          </w:p>
        </w:tc>
        <w:tc>
          <w:tcPr>
            <w:tcW w:w="1333" w:type="dxa"/>
            <w:noWrap w:val="0"/>
            <w:vAlign w:val="center"/>
          </w:tcPr>
          <w:p w14:paraId="3F3C74ED">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群众满意度</w:t>
            </w:r>
          </w:p>
        </w:tc>
        <w:tc>
          <w:tcPr>
            <w:tcW w:w="1310" w:type="dxa"/>
            <w:noWrap w:val="0"/>
            <w:vAlign w:val="center"/>
          </w:tcPr>
          <w:p w14:paraId="08318018">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85%</w:t>
            </w:r>
          </w:p>
        </w:tc>
        <w:tc>
          <w:tcPr>
            <w:tcW w:w="1268" w:type="dxa"/>
            <w:noWrap w:val="0"/>
            <w:vAlign w:val="center"/>
          </w:tcPr>
          <w:p w14:paraId="01B8006D">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80%</w:t>
            </w:r>
          </w:p>
        </w:tc>
        <w:tc>
          <w:tcPr>
            <w:tcW w:w="716" w:type="dxa"/>
            <w:noWrap w:val="0"/>
            <w:vAlign w:val="center"/>
          </w:tcPr>
          <w:p w14:paraId="7602B035">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5</w:t>
            </w:r>
          </w:p>
        </w:tc>
        <w:tc>
          <w:tcPr>
            <w:tcW w:w="873" w:type="dxa"/>
            <w:noWrap w:val="0"/>
            <w:vAlign w:val="center"/>
          </w:tcPr>
          <w:p w14:paraId="57B88562">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4</w:t>
            </w:r>
          </w:p>
        </w:tc>
        <w:tc>
          <w:tcPr>
            <w:tcW w:w="1450" w:type="dxa"/>
            <w:noWrap w:val="0"/>
            <w:vAlign w:val="center"/>
          </w:tcPr>
          <w:p w14:paraId="23B253D7">
            <w:pPr>
              <w:keepNext w:val="0"/>
              <w:keepLines w:val="0"/>
              <w:widowControl/>
              <w:suppressLineNumbers w:val="0"/>
              <w:jc w:val="both"/>
              <w:textAlignment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u w:val="none"/>
                <w:lang w:val="en-US" w:eastAsia="zh-CN" w:bidi="ar"/>
                <w14:textFill>
                  <w14:solidFill>
                    <w14:schemeClr w14:val="tx1"/>
                  </w14:solidFill>
                </w14:textFill>
              </w:rPr>
              <w:t>文明执法有待加强</w:t>
            </w:r>
          </w:p>
        </w:tc>
      </w:tr>
      <w:tr w14:paraId="69DFA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val="0"/>
            <w:vAlign w:val="top"/>
          </w:tcPr>
          <w:p w14:paraId="6338366F">
            <w:pPr>
              <w:spacing w:before="41" w:line="221" w:lineRule="auto"/>
              <w:ind w:left="334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1"/>
                <w:sz w:val="19"/>
                <w:szCs w:val="19"/>
                <w14:textFill>
                  <w14:solidFill>
                    <w14:schemeClr w14:val="tx1"/>
                  </w14:solidFill>
                </w14:textFill>
              </w:rPr>
              <w:t>总分</w:t>
            </w:r>
          </w:p>
        </w:tc>
        <w:tc>
          <w:tcPr>
            <w:tcW w:w="716" w:type="dxa"/>
            <w:noWrap w:val="0"/>
            <w:vAlign w:val="top"/>
          </w:tcPr>
          <w:p w14:paraId="186035E7">
            <w:pPr>
              <w:spacing w:before="75" w:line="195" w:lineRule="auto"/>
              <w:ind w:left="230"/>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100</w:t>
            </w:r>
          </w:p>
        </w:tc>
        <w:tc>
          <w:tcPr>
            <w:tcW w:w="873" w:type="dxa"/>
            <w:noWrap w:val="0"/>
            <w:vAlign w:val="top"/>
          </w:tcPr>
          <w:p w14:paraId="63CC3D04">
            <w:pPr>
              <w:pStyle w:val="7"/>
              <w:ind w:firstLine="415" w:firstLineChars="0"/>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83</w:t>
            </w:r>
          </w:p>
        </w:tc>
        <w:tc>
          <w:tcPr>
            <w:tcW w:w="1450" w:type="dxa"/>
            <w:noWrap w:val="0"/>
            <w:vAlign w:val="top"/>
          </w:tcPr>
          <w:p w14:paraId="319BE46A">
            <w:pPr>
              <w:pStyle w:val="7"/>
              <w:rPr>
                <w:rFonts w:hint="eastAsia" w:ascii="宋体" w:hAnsi="宋体" w:eastAsia="宋体" w:cs="宋体"/>
                <w:color w:val="000000" w:themeColor="text1"/>
                <w14:textFill>
                  <w14:solidFill>
                    <w14:schemeClr w14:val="tx1"/>
                  </w14:solidFill>
                </w14:textFill>
              </w:rPr>
            </w:pPr>
          </w:p>
        </w:tc>
      </w:tr>
    </w:tbl>
    <w:p w14:paraId="47515BB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themeColor="text1"/>
          <w:spacing w:val="0"/>
          <w:position w:val="0"/>
          <w:sz w:val="23"/>
          <w:szCs w:val="23"/>
          <w14:textFill>
            <w14:solidFill>
              <w14:schemeClr w14:val="tx1"/>
            </w14:solidFill>
          </w14:textFill>
        </w:rPr>
      </w:pPr>
    </w:p>
    <w:p w14:paraId="753CD0C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themeColor="text1"/>
          <w:spacing w:val="0"/>
          <w:position w:val="0"/>
          <w:sz w:val="23"/>
          <w:szCs w:val="23"/>
          <w14:textFill>
            <w14:solidFill>
              <w14:schemeClr w14:val="tx1"/>
            </w14:solidFill>
          </w14:textFill>
        </w:rPr>
      </w:pPr>
    </w:p>
    <w:p w14:paraId="5C8CBFB4">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color w:val="000000" w:themeColor="text1"/>
          <w:sz w:val="28"/>
          <w:szCs w:val="28"/>
          <w:lang w:val="en-US" w:eastAsia="zh-CN"/>
          <w14:textFill>
            <w14:solidFill>
              <w14:schemeClr w14:val="tx1"/>
            </w14:solidFill>
          </w14:textFill>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themeColor="text1"/>
          <w:spacing w:val="0"/>
          <w:position w:val="0"/>
          <w:sz w:val="23"/>
          <w:szCs w:val="23"/>
          <w14:textFill>
            <w14:solidFill>
              <w14:schemeClr w14:val="tx1"/>
            </w14:solidFill>
          </w14:textFill>
        </w:rPr>
        <w:t>单位负责人签字：</w:t>
      </w:r>
      <w:r>
        <w:rPr>
          <w:rFonts w:hint="eastAsia" w:ascii="宋体" w:hAnsi="宋体" w:eastAsia="宋体" w:cs="宋体"/>
          <w:color w:val="000000" w:themeColor="text1"/>
          <w:spacing w:val="0"/>
          <w:position w:val="0"/>
          <w:sz w:val="23"/>
          <w:szCs w:val="23"/>
          <w:lang w:val="en-US" w:eastAsia="zh-CN"/>
          <w14:textFill>
            <w14:solidFill>
              <w14:schemeClr w14:val="tx1"/>
            </w14:solidFill>
          </w14:textFill>
        </w:rPr>
        <w:t xml:space="preserve">     </w:t>
      </w:r>
      <w:r>
        <w:rPr>
          <w:rFonts w:hint="eastAsia" w:ascii="宋体" w:hAnsi="宋体" w:cs="宋体"/>
          <w:color w:val="000000" w:themeColor="text1"/>
          <w:spacing w:val="0"/>
          <w:position w:val="0"/>
          <w:sz w:val="23"/>
          <w:szCs w:val="23"/>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3"/>
          <w:szCs w:val="23"/>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3"/>
          <w:szCs w:val="23"/>
          <w14:textFill>
            <w14:solidFill>
              <w14:schemeClr w14:val="tx1"/>
            </w14:solidFill>
          </w14:textFill>
        </w:rPr>
        <w:t>填表人：</w:t>
      </w:r>
      <w:r>
        <w:rPr>
          <w:rFonts w:hint="eastAsia" w:ascii="宋体" w:hAnsi="宋体" w:eastAsia="宋体" w:cs="宋体"/>
          <w:color w:val="000000" w:themeColor="text1"/>
          <w:spacing w:val="0"/>
          <w:position w:val="0"/>
          <w:sz w:val="23"/>
          <w:szCs w:val="23"/>
          <w:lang w:val="en-US" w:eastAsia="zh-CN"/>
          <w14:textFill>
            <w14:solidFill>
              <w14:schemeClr w14:val="tx1"/>
            </w14:solidFill>
          </w14:textFill>
        </w:rPr>
        <w:t>方赛</w:t>
      </w:r>
      <w:r>
        <w:rPr>
          <w:rFonts w:hint="eastAsia" w:ascii="宋体" w:hAnsi="宋体" w:eastAsia="宋体" w:cs="宋体"/>
          <w:color w:val="000000" w:themeColor="text1"/>
          <w:spacing w:val="0"/>
          <w:position w:val="0"/>
          <w:sz w:val="23"/>
          <w:szCs w:val="23"/>
          <w14:textFill>
            <w14:solidFill>
              <w14:schemeClr w14:val="tx1"/>
            </w14:solidFill>
          </w14:textFill>
        </w:rPr>
        <w:t xml:space="preserve">  联系电话：       </w:t>
      </w:r>
      <w:r>
        <w:rPr>
          <w:rFonts w:hint="eastAsia" w:ascii="宋体" w:hAnsi="宋体" w:cs="宋体"/>
          <w:color w:val="000000" w:themeColor="text1"/>
          <w:spacing w:val="0"/>
          <w:position w:val="0"/>
          <w:sz w:val="23"/>
          <w:szCs w:val="23"/>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3"/>
          <w:szCs w:val="23"/>
          <w14:textFill>
            <w14:solidFill>
              <w14:schemeClr w14:val="tx1"/>
            </w14:solidFill>
          </w14:textFill>
        </w:rPr>
        <w:t>填报日期</w:t>
      </w:r>
      <w:r>
        <w:rPr>
          <w:rFonts w:hint="eastAsia" w:ascii="宋体" w:hAnsi="宋体" w:cs="宋体"/>
          <w:color w:val="000000" w:themeColor="text1"/>
          <w:spacing w:val="0"/>
          <w:position w:val="0"/>
          <w:sz w:val="23"/>
          <w:szCs w:val="23"/>
          <w:lang w:eastAsia="zh-CN"/>
          <w14:textFill>
            <w14:solidFill>
              <w14:schemeClr w14:val="tx1"/>
            </w14:solidFill>
          </w14:textFill>
        </w:rPr>
        <w:t>：</w:t>
      </w:r>
      <w:r>
        <w:rPr>
          <w:rFonts w:hint="eastAsia" w:ascii="宋体" w:hAnsi="宋体" w:cs="宋体"/>
          <w:color w:val="000000" w:themeColor="text1"/>
          <w:spacing w:val="0"/>
          <w:position w:val="0"/>
          <w:sz w:val="23"/>
          <w:szCs w:val="23"/>
          <w:lang w:val="en-US" w:eastAsia="zh-CN"/>
          <w14:textFill>
            <w14:solidFill>
              <w14:schemeClr w14:val="tx1"/>
            </w14:solidFill>
          </w14:textFill>
        </w:rPr>
        <w:t>2024年5月20日</w:t>
      </w:r>
    </w:p>
    <w:p w14:paraId="05A9C79E">
      <w:pPr>
        <w:spacing w:before="191" w:line="230" w:lineRule="auto"/>
        <w:rPr>
          <w:rFonts w:hint="eastAsia" w:ascii="方正小标宋简体" w:hAnsi="方正小标宋简体" w:eastAsia="方正小标宋简体" w:cs="方正小标宋简体"/>
          <w:color w:val="000000" w:themeColor="text1"/>
          <w:sz w:val="31"/>
          <w:szCs w:val="31"/>
          <w14:textFill>
            <w14:solidFill>
              <w14:schemeClr w14:val="tx1"/>
            </w14:solidFill>
          </w14:textFill>
        </w:rPr>
      </w:pPr>
      <w:r>
        <w:rPr>
          <w:rFonts w:ascii="黑体" w:hAnsi="黑体" w:eastAsia="黑体" w:cs="黑体"/>
          <w:color w:val="000000" w:themeColor="text1"/>
          <w:spacing w:val="-4"/>
          <w:sz w:val="31"/>
          <w:szCs w:val="31"/>
          <w14:textFill>
            <w14:solidFill>
              <w14:schemeClr w14:val="tx1"/>
            </w14:solidFill>
          </w14:textFill>
        </w:rPr>
        <w:t>附件</w:t>
      </w:r>
      <w:r>
        <w:rPr>
          <w:rFonts w:ascii="黑体" w:hAnsi="黑体" w:eastAsia="黑体" w:cs="黑体"/>
          <w:color w:val="000000" w:themeColor="text1"/>
          <w:spacing w:val="-68"/>
          <w:sz w:val="31"/>
          <w:szCs w:val="31"/>
          <w14:textFill>
            <w14:solidFill>
              <w14:schemeClr w14:val="tx1"/>
            </w14:solidFill>
          </w14:textFill>
        </w:rPr>
        <w:t xml:space="preserve"> </w:t>
      </w:r>
      <w:r>
        <w:rPr>
          <w:rFonts w:ascii="Times New Roman" w:hAnsi="Times New Roman" w:eastAsia="Times New Roman" w:cs="Times New Roman"/>
          <w:color w:val="000000" w:themeColor="text1"/>
          <w:spacing w:val="-4"/>
          <w:sz w:val="31"/>
          <w:szCs w:val="31"/>
          <w14:textFill>
            <w14:solidFill>
              <w14:schemeClr w14:val="tx1"/>
            </w14:solidFill>
          </w14:textFill>
        </w:rPr>
        <w:t>4</w:t>
      </w:r>
    </w:p>
    <w:p w14:paraId="4DB0F0B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 xml:space="preserve"> 年度项目支出绩效自评表</w:t>
      </w:r>
    </w:p>
    <w:tbl>
      <w:tblPr>
        <w:tblStyle w:val="6"/>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20B1E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143BF188">
            <w:pPr>
              <w:spacing w:before="41" w:line="211" w:lineRule="auto"/>
              <w:ind w:left="967"/>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8"/>
                <w:sz w:val="19"/>
                <w:szCs w:val="19"/>
                <w14:textFill>
                  <w14:solidFill>
                    <w14:schemeClr w14:val="tx1"/>
                  </w14:solidFill>
                </w14:textFill>
              </w:rPr>
              <w:t>项目支出名称</w:t>
            </w:r>
          </w:p>
        </w:tc>
        <w:tc>
          <w:tcPr>
            <w:tcW w:w="6737" w:type="dxa"/>
            <w:gridSpan w:val="6"/>
            <w:noWrap w:val="0"/>
            <w:vAlign w:val="top"/>
          </w:tcPr>
          <w:p w14:paraId="35D822A9">
            <w:pPr>
              <w:pStyle w:val="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岳阳市岳阳楼区城市管理和综合执法局项目支出</w:t>
            </w:r>
          </w:p>
        </w:tc>
      </w:tr>
      <w:tr w14:paraId="72600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3B124452">
            <w:pPr>
              <w:spacing w:before="32" w:line="215" w:lineRule="auto"/>
              <w:ind w:left="12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主管部门</w:t>
            </w:r>
          </w:p>
        </w:tc>
        <w:tc>
          <w:tcPr>
            <w:tcW w:w="4522" w:type="dxa"/>
            <w:gridSpan w:val="4"/>
            <w:noWrap w:val="0"/>
            <w:vAlign w:val="top"/>
          </w:tcPr>
          <w:p w14:paraId="5B222B85">
            <w:pPr>
              <w:pStyle w:val="7"/>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岳阳楼区政府</w:t>
            </w:r>
          </w:p>
        </w:tc>
        <w:tc>
          <w:tcPr>
            <w:tcW w:w="1281" w:type="dxa"/>
            <w:noWrap w:val="0"/>
            <w:vAlign w:val="top"/>
          </w:tcPr>
          <w:p w14:paraId="03F98325">
            <w:pPr>
              <w:spacing w:before="32" w:line="215" w:lineRule="auto"/>
              <w:ind w:left="258"/>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实施单位</w:t>
            </w:r>
          </w:p>
        </w:tc>
        <w:tc>
          <w:tcPr>
            <w:tcW w:w="2968" w:type="dxa"/>
            <w:gridSpan w:val="3"/>
            <w:noWrap w:val="0"/>
            <w:vAlign w:val="top"/>
          </w:tcPr>
          <w:p w14:paraId="21F82CBE">
            <w:pPr>
              <w:pStyle w:val="7"/>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岳阳楼区城市管理和综合执法局</w:t>
            </w:r>
          </w:p>
        </w:tc>
      </w:tr>
      <w:tr w14:paraId="34033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DA2CEF8">
            <w:pPr>
              <w:spacing w:before="61" w:line="241" w:lineRule="auto"/>
              <w:ind w:right="141"/>
              <w:jc w:val="both"/>
              <w:rPr>
                <w:rFonts w:hint="eastAsia" w:ascii="宋体" w:hAnsi="宋体" w:cs="宋体"/>
                <w:color w:val="000000" w:themeColor="text1"/>
                <w:sz w:val="19"/>
                <w:szCs w:val="19"/>
                <w:lang w:eastAsia="zh-CN"/>
                <w14:textFill>
                  <w14:solidFill>
                    <w14:schemeClr w14:val="tx1"/>
                  </w14:solidFill>
                </w14:textFill>
              </w:rPr>
            </w:pPr>
          </w:p>
          <w:p w14:paraId="66C98863">
            <w:pPr>
              <w:spacing w:before="61" w:line="241" w:lineRule="auto"/>
              <w:ind w:right="141"/>
              <w:jc w:val="center"/>
              <w:rPr>
                <w:rFonts w:hint="eastAsia" w:ascii="宋体" w:hAnsi="宋体" w:eastAsia="宋体" w:cs="宋体"/>
                <w:color w:val="000000" w:themeColor="text1"/>
                <w:sz w:val="19"/>
                <w:szCs w:val="19"/>
                <w:lang w:eastAsia="zh-CN"/>
                <w14:textFill>
                  <w14:solidFill>
                    <w14:schemeClr w14:val="tx1"/>
                  </w14:solidFill>
                </w14:textFill>
              </w:rPr>
            </w:pPr>
            <w:r>
              <w:rPr>
                <w:rFonts w:hint="eastAsia" w:ascii="宋体" w:hAnsi="宋体" w:cs="宋体"/>
                <w:color w:val="000000" w:themeColor="text1"/>
                <w:sz w:val="19"/>
                <w:szCs w:val="19"/>
                <w:lang w:eastAsia="zh-CN"/>
                <w14:textFill>
                  <w14:solidFill>
                    <w14:schemeClr w14:val="tx1"/>
                  </w14:solidFill>
                </w14:textFill>
              </w:rPr>
              <w:t>项目资金（万元）</w:t>
            </w:r>
          </w:p>
        </w:tc>
        <w:tc>
          <w:tcPr>
            <w:tcW w:w="2034" w:type="dxa"/>
            <w:gridSpan w:val="2"/>
            <w:noWrap w:val="0"/>
            <w:vAlign w:val="top"/>
          </w:tcPr>
          <w:p w14:paraId="53BFF7D1">
            <w:pPr>
              <w:pStyle w:val="7"/>
              <w:rPr>
                <w:rFonts w:hint="eastAsia" w:ascii="宋体" w:hAnsi="宋体" w:eastAsia="宋体" w:cs="宋体"/>
                <w:color w:val="000000" w:themeColor="text1"/>
                <w14:textFill>
                  <w14:solidFill>
                    <w14:schemeClr w14:val="tx1"/>
                  </w14:solidFill>
                </w14:textFill>
              </w:rPr>
            </w:pPr>
          </w:p>
        </w:tc>
        <w:tc>
          <w:tcPr>
            <w:tcW w:w="1244" w:type="dxa"/>
            <w:noWrap w:val="0"/>
            <w:vAlign w:val="top"/>
          </w:tcPr>
          <w:p w14:paraId="7FF7BECC">
            <w:pPr>
              <w:spacing w:before="31" w:line="217" w:lineRule="auto"/>
              <w:ind w:left="12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年初预算数</w:t>
            </w:r>
          </w:p>
        </w:tc>
        <w:tc>
          <w:tcPr>
            <w:tcW w:w="1244" w:type="dxa"/>
            <w:noWrap w:val="0"/>
            <w:vAlign w:val="top"/>
          </w:tcPr>
          <w:p w14:paraId="27773D09">
            <w:pPr>
              <w:spacing w:before="31" w:line="217" w:lineRule="auto"/>
              <w:ind w:left="11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8"/>
                <w:sz w:val="19"/>
                <w:szCs w:val="19"/>
                <w14:textFill>
                  <w14:solidFill>
                    <w14:schemeClr w14:val="tx1"/>
                  </w14:solidFill>
                </w14:textFill>
              </w:rPr>
              <w:t>全年预算数</w:t>
            </w:r>
          </w:p>
        </w:tc>
        <w:tc>
          <w:tcPr>
            <w:tcW w:w="1281" w:type="dxa"/>
            <w:noWrap w:val="0"/>
            <w:vAlign w:val="top"/>
          </w:tcPr>
          <w:p w14:paraId="44B50BF4">
            <w:pPr>
              <w:spacing w:before="31" w:line="217" w:lineRule="auto"/>
              <w:ind w:left="146"/>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8"/>
                <w:sz w:val="19"/>
                <w:szCs w:val="19"/>
                <w14:textFill>
                  <w14:solidFill>
                    <w14:schemeClr w14:val="tx1"/>
                  </w14:solidFill>
                </w14:textFill>
              </w:rPr>
              <w:t>全年执行数</w:t>
            </w:r>
          </w:p>
        </w:tc>
        <w:tc>
          <w:tcPr>
            <w:tcW w:w="673" w:type="dxa"/>
            <w:noWrap w:val="0"/>
            <w:vAlign w:val="top"/>
          </w:tcPr>
          <w:p w14:paraId="66519D31">
            <w:pPr>
              <w:spacing w:before="31" w:line="217" w:lineRule="auto"/>
              <w:ind w:left="14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分值</w:t>
            </w:r>
          </w:p>
        </w:tc>
        <w:tc>
          <w:tcPr>
            <w:tcW w:w="873" w:type="dxa"/>
            <w:noWrap w:val="0"/>
            <w:vAlign w:val="top"/>
          </w:tcPr>
          <w:p w14:paraId="3F2CF4B5">
            <w:pPr>
              <w:spacing w:before="31" w:line="217" w:lineRule="auto"/>
              <w:ind w:left="14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执行率</w:t>
            </w:r>
          </w:p>
        </w:tc>
        <w:tc>
          <w:tcPr>
            <w:tcW w:w="1422" w:type="dxa"/>
            <w:noWrap w:val="0"/>
            <w:vAlign w:val="top"/>
          </w:tcPr>
          <w:p w14:paraId="2814E35C">
            <w:pPr>
              <w:spacing w:before="31" w:line="217" w:lineRule="auto"/>
              <w:ind w:left="35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2"/>
                <w:sz w:val="19"/>
                <w:szCs w:val="19"/>
                <w14:textFill>
                  <w14:solidFill>
                    <w14:schemeClr w14:val="tx1"/>
                  </w14:solidFill>
                </w14:textFill>
              </w:rPr>
              <w:t>自评得分</w:t>
            </w:r>
          </w:p>
        </w:tc>
      </w:tr>
      <w:tr w14:paraId="57C0B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0ADC6213">
            <w:pPr>
              <w:pStyle w:val="7"/>
              <w:rPr>
                <w:rFonts w:hint="eastAsia" w:ascii="宋体" w:hAnsi="宋体" w:eastAsia="宋体" w:cs="宋体"/>
                <w:color w:val="000000" w:themeColor="text1"/>
                <w14:textFill>
                  <w14:solidFill>
                    <w14:schemeClr w14:val="tx1"/>
                  </w14:solidFill>
                </w14:textFill>
              </w:rPr>
            </w:pPr>
          </w:p>
        </w:tc>
        <w:tc>
          <w:tcPr>
            <w:tcW w:w="2034" w:type="dxa"/>
            <w:gridSpan w:val="2"/>
            <w:noWrap w:val="0"/>
            <w:vAlign w:val="top"/>
          </w:tcPr>
          <w:p w14:paraId="429E0511">
            <w:pPr>
              <w:spacing w:before="30" w:line="217" w:lineRule="auto"/>
              <w:ind w:left="11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8"/>
                <w:sz w:val="19"/>
                <w:szCs w:val="19"/>
                <w14:textFill>
                  <w14:solidFill>
                    <w14:schemeClr w14:val="tx1"/>
                  </w14:solidFill>
                </w14:textFill>
              </w:rPr>
              <w:t>年度资金总额</w:t>
            </w:r>
          </w:p>
        </w:tc>
        <w:tc>
          <w:tcPr>
            <w:tcW w:w="1244" w:type="dxa"/>
            <w:noWrap w:val="0"/>
            <w:vAlign w:val="top"/>
          </w:tcPr>
          <w:p w14:paraId="65BB5F54">
            <w:pPr>
              <w:pStyle w:val="7"/>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124.00</w:t>
            </w:r>
          </w:p>
        </w:tc>
        <w:tc>
          <w:tcPr>
            <w:tcW w:w="1244" w:type="dxa"/>
            <w:noWrap w:val="0"/>
            <w:vAlign w:val="top"/>
          </w:tcPr>
          <w:p w14:paraId="58DA5669">
            <w:pPr>
              <w:pStyle w:val="7"/>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141.71</w:t>
            </w:r>
          </w:p>
        </w:tc>
        <w:tc>
          <w:tcPr>
            <w:tcW w:w="1281" w:type="dxa"/>
            <w:noWrap w:val="0"/>
            <w:vAlign w:val="top"/>
          </w:tcPr>
          <w:p w14:paraId="31A4146E">
            <w:pPr>
              <w:pStyle w:val="7"/>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141.71</w:t>
            </w:r>
          </w:p>
        </w:tc>
        <w:tc>
          <w:tcPr>
            <w:tcW w:w="673" w:type="dxa"/>
            <w:noWrap w:val="0"/>
            <w:vAlign w:val="top"/>
          </w:tcPr>
          <w:p w14:paraId="5712E1A9">
            <w:pPr>
              <w:spacing w:before="64" w:line="195" w:lineRule="auto"/>
              <w:ind w:left="33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8"/>
                <w:sz w:val="19"/>
                <w:szCs w:val="19"/>
                <w14:textFill>
                  <w14:solidFill>
                    <w14:schemeClr w14:val="tx1"/>
                  </w14:solidFill>
                </w14:textFill>
              </w:rPr>
              <w:t>10</w:t>
            </w:r>
          </w:p>
        </w:tc>
        <w:tc>
          <w:tcPr>
            <w:tcW w:w="873" w:type="dxa"/>
            <w:noWrap w:val="0"/>
            <w:vAlign w:val="top"/>
          </w:tcPr>
          <w:p w14:paraId="3DACFB92">
            <w:pPr>
              <w:pStyle w:val="7"/>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114%</w:t>
            </w:r>
          </w:p>
        </w:tc>
        <w:tc>
          <w:tcPr>
            <w:tcW w:w="1422" w:type="dxa"/>
            <w:noWrap w:val="0"/>
            <w:vAlign w:val="top"/>
          </w:tcPr>
          <w:p w14:paraId="12F554AC">
            <w:pPr>
              <w:pStyle w:val="7"/>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8</w:t>
            </w:r>
          </w:p>
        </w:tc>
      </w:tr>
      <w:tr w14:paraId="0F9BF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59DBF529">
            <w:pPr>
              <w:pStyle w:val="7"/>
              <w:rPr>
                <w:rFonts w:hint="eastAsia" w:ascii="宋体" w:hAnsi="宋体" w:eastAsia="宋体" w:cs="宋体"/>
                <w:color w:val="000000" w:themeColor="text1"/>
                <w14:textFill>
                  <w14:solidFill>
                    <w14:schemeClr w14:val="tx1"/>
                  </w14:solidFill>
                </w14:textFill>
              </w:rPr>
            </w:pPr>
          </w:p>
        </w:tc>
        <w:tc>
          <w:tcPr>
            <w:tcW w:w="2034" w:type="dxa"/>
            <w:gridSpan w:val="2"/>
            <w:noWrap w:val="0"/>
            <w:vAlign w:val="top"/>
          </w:tcPr>
          <w:p w14:paraId="782D2A99">
            <w:pPr>
              <w:spacing w:before="30" w:line="218" w:lineRule="auto"/>
              <w:ind w:left="11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9"/>
                <w:sz w:val="19"/>
                <w:szCs w:val="19"/>
                <w14:textFill>
                  <w14:solidFill>
                    <w14:schemeClr w14:val="tx1"/>
                  </w14:solidFill>
                </w14:textFill>
              </w:rPr>
              <w:t>其中：当年财政拨款</w:t>
            </w:r>
          </w:p>
        </w:tc>
        <w:tc>
          <w:tcPr>
            <w:tcW w:w="1244" w:type="dxa"/>
            <w:noWrap w:val="0"/>
            <w:vAlign w:val="top"/>
          </w:tcPr>
          <w:p w14:paraId="2A830F6E">
            <w:pPr>
              <w:pStyle w:val="7"/>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124.00</w:t>
            </w:r>
          </w:p>
        </w:tc>
        <w:tc>
          <w:tcPr>
            <w:tcW w:w="1244" w:type="dxa"/>
            <w:noWrap w:val="0"/>
            <w:vAlign w:val="top"/>
          </w:tcPr>
          <w:p w14:paraId="1611BFCF">
            <w:pPr>
              <w:pStyle w:val="7"/>
              <w:rPr>
                <w:rFonts w:hint="eastAsia" w:ascii="宋体" w:hAnsi="宋体" w:eastAsia="宋体" w:cs="宋体"/>
                <w:color w:val="000000" w:themeColor="text1"/>
                <w14:textFill>
                  <w14:solidFill>
                    <w14:schemeClr w14:val="tx1"/>
                  </w14:solidFill>
                </w14:textFill>
              </w:rPr>
            </w:pPr>
          </w:p>
        </w:tc>
        <w:tc>
          <w:tcPr>
            <w:tcW w:w="1281" w:type="dxa"/>
            <w:noWrap w:val="0"/>
            <w:vAlign w:val="top"/>
          </w:tcPr>
          <w:p w14:paraId="25B37467">
            <w:pPr>
              <w:pStyle w:val="7"/>
              <w:rPr>
                <w:rFonts w:hint="eastAsia" w:ascii="宋体" w:hAnsi="宋体" w:eastAsia="宋体" w:cs="宋体"/>
                <w:color w:val="000000" w:themeColor="text1"/>
                <w14:textFill>
                  <w14:solidFill>
                    <w14:schemeClr w14:val="tx1"/>
                  </w14:solidFill>
                </w14:textFill>
              </w:rPr>
            </w:pPr>
          </w:p>
        </w:tc>
        <w:tc>
          <w:tcPr>
            <w:tcW w:w="673" w:type="dxa"/>
            <w:noWrap w:val="0"/>
            <w:vAlign w:val="top"/>
          </w:tcPr>
          <w:p w14:paraId="2F003453">
            <w:pPr>
              <w:pStyle w:val="7"/>
              <w:rPr>
                <w:rFonts w:hint="eastAsia" w:ascii="宋体" w:hAnsi="宋体" w:eastAsia="宋体" w:cs="宋体"/>
                <w:color w:val="000000" w:themeColor="text1"/>
                <w14:textFill>
                  <w14:solidFill>
                    <w14:schemeClr w14:val="tx1"/>
                  </w14:solidFill>
                </w14:textFill>
              </w:rPr>
            </w:pPr>
          </w:p>
        </w:tc>
        <w:tc>
          <w:tcPr>
            <w:tcW w:w="873" w:type="dxa"/>
            <w:noWrap w:val="0"/>
            <w:vAlign w:val="top"/>
          </w:tcPr>
          <w:p w14:paraId="4427279F">
            <w:pPr>
              <w:pStyle w:val="7"/>
              <w:rPr>
                <w:rFonts w:hint="eastAsia" w:ascii="宋体" w:hAnsi="宋体" w:eastAsia="宋体" w:cs="宋体"/>
                <w:color w:val="000000" w:themeColor="text1"/>
                <w14:textFill>
                  <w14:solidFill>
                    <w14:schemeClr w14:val="tx1"/>
                  </w14:solidFill>
                </w14:textFill>
              </w:rPr>
            </w:pPr>
          </w:p>
        </w:tc>
        <w:tc>
          <w:tcPr>
            <w:tcW w:w="1422" w:type="dxa"/>
            <w:noWrap w:val="0"/>
            <w:vAlign w:val="top"/>
          </w:tcPr>
          <w:p w14:paraId="303B935C">
            <w:pPr>
              <w:pStyle w:val="7"/>
              <w:rPr>
                <w:rFonts w:hint="eastAsia" w:ascii="宋体" w:hAnsi="宋体" w:eastAsia="宋体" w:cs="宋体"/>
                <w:color w:val="000000" w:themeColor="text1"/>
                <w14:textFill>
                  <w14:solidFill>
                    <w14:schemeClr w14:val="tx1"/>
                  </w14:solidFill>
                </w14:textFill>
              </w:rPr>
            </w:pPr>
          </w:p>
        </w:tc>
      </w:tr>
      <w:tr w14:paraId="17706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54D2FE26">
            <w:pPr>
              <w:pStyle w:val="7"/>
              <w:rPr>
                <w:rFonts w:hint="eastAsia" w:ascii="宋体" w:hAnsi="宋体" w:eastAsia="宋体" w:cs="宋体"/>
                <w:color w:val="000000" w:themeColor="text1"/>
                <w14:textFill>
                  <w14:solidFill>
                    <w14:schemeClr w14:val="tx1"/>
                  </w14:solidFill>
                </w14:textFill>
              </w:rPr>
            </w:pPr>
          </w:p>
        </w:tc>
        <w:tc>
          <w:tcPr>
            <w:tcW w:w="2034" w:type="dxa"/>
            <w:gridSpan w:val="2"/>
            <w:noWrap w:val="0"/>
            <w:vAlign w:val="top"/>
          </w:tcPr>
          <w:p w14:paraId="20F4A0CD">
            <w:pPr>
              <w:spacing w:before="31" w:line="216" w:lineRule="auto"/>
              <w:ind w:left="716"/>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上年结转资金</w:t>
            </w:r>
          </w:p>
        </w:tc>
        <w:tc>
          <w:tcPr>
            <w:tcW w:w="1244" w:type="dxa"/>
            <w:noWrap w:val="0"/>
            <w:vAlign w:val="top"/>
          </w:tcPr>
          <w:p w14:paraId="0D3540F6">
            <w:pPr>
              <w:pStyle w:val="7"/>
              <w:rPr>
                <w:rFonts w:hint="eastAsia" w:ascii="宋体" w:hAnsi="宋体" w:eastAsia="宋体" w:cs="宋体"/>
                <w:color w:val="000000" w:themeColor="text1"/>
                <w14:textFill>
                  <w14:solidFill>
                    <w14:schemeClr w14:val="tx1"/>
                  </w14:solidFill>
                </w14:textFill>
              </w:rPr>
            </w:pPr>
          </w:p>
        </w:tc>
        <w:tc>
          <w:tcPr>
            <w:tcW w:w="1244" w:type="dxa"/>
            <w:noWrap w:val="0"/>
            <w:vAlign w:val="top"/>
          </w:tcPr>
          <w:p w14:paraId="4A50099F">
            <w:pPr>
              <w:pStyle w:val="7"/>
              <w:rPr>
                <w:rFonts w:hint="eastAsia" w:ascii="宋体" w:hAnsi="宋体" w:eastAsia="宋体" w:cs="宋体"/>
                <w:color w:val="000000" w:themeColor="text1"/>
                <w14:textFill>
                  <w14:solidFill>
                    <w14:schemeClr w14:val="tx1"/>
                  </w14:solidFill>
                </w14:textFill>
              </w:rPr>
            </w:pPr>
          </w:p>
        </w:tc>
        <w:tc>
          <w:tcPr>
            <w:tcW w:w="1281" w:type="dxa"/>
            <w:noWrap w:val="0"/>
            <w:vAlign w:val="top"/>
          </w:tcPr>
          <w:p w14:paraId="00D89863">
            <w:pPr>
              <w:pStyle w:val="7"/>
              <w:rPr>
                <w:rFonts w:hint="eastAsia" w:ascii="宋体" w:hAnsi="宋体" w:eastAsia="宋体" w:cs="宋体"/>
                <w:color w:val="000000" w:themeColor="text1"/>
                <w14:textFill>
                  <w14:solidFill>
                    <w14:schemeClr w14:val="tx1"/>
                  </w14:solidFill>
                </w14:textFill>
              </w:rPr>
            </w:pPr>
          </w:p>
        </w:tc>
        <w:tc>
          <w:tcPr>
            <w:tcW w:w="673" w:type="dxa"/>
            <w:noWrap w:val="0"/>
            <w:vAlign w:val="top"/>
          </w:tcPr>
          <w:p w14:paraId="06020BD6">
            <w:pPr>
              <w:pStyle w:val="7"/>
              <w:rPr>
                <w:rFonts w:hint="eastAsia" w:ascii="宋体" w:hAnsi="宋体" w:eastAsia="宋体" w:cs="宋体"/>
                <w:color w:val="000000" w:themeColor="text1"/>
                <w14:textFill>
                  <w14:solidFill>
                    <w14:schemeClr w14:val="tx1"/>
                  </w14:solidFill>
                </w14:textFill>
              </w:rPr>
            </w:pPr>
          </w:p>
        </w:tc>
        <w:tc>
          <w:tcPr>
            <w:tcW w:w="873" w:type="dxa"/>
            <w:noWrap w:val="0"/>
            <w:vAlign w:val="top"/>
          </w:tcPr>
          <w:p w14:paraId="32A150A3">
            <w:pPr>
              <w:pStyle w:val="7"/>
              <w:rPr>
                <w:rFonts w:hint="eastAsia" w:ascii="宋体" w:hAnsi="宋体" w:eastAsia="宋体" w:cs="宋体"/>
                <w:color w:val="000000" w:themeColor="text1"/>
                <w14:textFill>
                  <w14:solidFill>
                    <w14:schemeClr w14:val="tx1"/>
                  </w14:solidFill>
                </w14:textFill>
              </w:rPr>
            </w:pPr>
          </w:p>
        </w:tc>
        <w:tc>
          <w:tcPr>
            <w:tcW w:w="1422" w:type="dxa"/>
            <w:noWrap w:val="0"/>
            <w:vAlign w:val="top"/>
          </w:tcPr>
          <w:p w14:paraId="53CBCC03">
            <w:pPr>
              <w:pStyle w:val="7"/>
              <w:rPr>
                <w:rFonts w:hint="eastAsia" w:ascii="宋体" w:hAnsi="宋体" w:eastAsia="宋体" w:cs="宋体"/>
                <w:color w:val="000000" w:themeColor="text1"/>
                <w14:textFill>
                  <w14:solidFill>
                    <w14:schemeClr w14:val="tx1"/>
                  </w14:solidFill>
                </w14:textFill>
              </w:rPr>
            </w:pPr>
          </w:p>
        </w:tc>
      </w:tr>
      <w:tr w14:paraId="6734F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07B4E488">
            <w:pPr>
              <w:pStyle w:val="7"/>
              <w:rPr>
                <w:rFonts w:hint="eastAsia" w:ascii="宋体" w:hAnsi="宋体" w:eastAsia="宋体" w:cs="宋体"/>
                <w:color w:val="000000" w:themeColor="text1"/>
                <w14:textFill>
                  <w14:solidFill>
                    <w14:schemeClr w14:val="tx1"/>
                  </w14:solidFill>
                </w14:textFill>
              </w:rPr>
            </w:pPr>
          </w:p>
        </w:tc>
        <w:tc>
          <w:tcPr>
            <w:tcW w:w="2034" w:type="dxa"/>
            <w:gridSpan w:val="2"/>
            <w:noWrap w:val="0"/>
            <w:vAlign w:val="top"/>
          </w:tcPr>
          <w:p w14:paraId="3AC523C3">
            <w:pPr>
              <w:spacing w:before="31" w:line="216" w:lineRule="auto"/>
              <w:ind w:left="71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其他资金</w:t>
            </w:r>
          </w:p>
        </w:tc>
        <w:tc>
          <w:tcPr>
            <w:tcW w:w="1244" w:type="dxa"/>
            <w:noWrap w:val="0"/>
            <w:vAlign w:val="top"/>
          </w:tcPr>
          <w:p w14:paraId="758D99F0">
            <w:pPr>
              <w:pStyle w:val="7"/>
              <w:rPr>
                <w:rFonts w:hint="eastAsia" w:ascii="宋体" w:hAnsi="宋体" w:eastAsia="宋体" w:cs="宋体"/>
                <w:color w:val="000000" w:themeColor="text1"/>
                <w14:textFill>
                  <w14:solidFill>
                    <w14:schemeClr w14:val="tx1"/>
                  </w14:solidFill>
                </w14:textFill>
              </w:rPr>
            </w:pPr>
          </w:p>
        </w:tc>
        <w:tc>
          <w:tcPr>
            <w:tcW w:w="1244" w:type="dxa"/>
            <w:noWrap w:val="0"/>
            <w:vAlign w:val="top"/>
          </w:tcPr>
          <w:p w14:paraId="0BDA1D64">
            <w:pPr>
              <w:pStyle w:val="7"/>
              <w:rPr>
                <w:rFonts w:hint="eastAsia" w:ascii="宋体" w:hAnsi="宋体" w:eastAsia="宋体" w:cs="宋体"/>
                <w:color w:val="000000" w:themeColor="text1"/>
                <w14:textFill>
                  <w14:solidFill>
                    <w14:schemeClr w14:val="tx1"/>
                  </w14:solidFill>
                </w14:textFill>
              </w:rPr>
            </w:pPr>
          </w:p>
        </w:tc>
        <w:tc>
          <w:tcPr>
            <w:tcW w:w="1281" w:type="dxa"/>
            <w:noWrap w:val="0"/>
            <w:vAlign w:val="top"/>
          </w:tcPr>
          <w:p w14:paraId="1F4BA1D2">
            <w:pPr>
              <w:pStyle w:val="7"/>
              <w:rPr>
                <w:rFonts w:hint="eastAsia" w:ascii="宋体" w:hAnsi="宋体" w:eastAsia="宋体" w:cs="宋体"/>
                <w:color w:val="000000" w:themeColor="text1"/>
                <w14:textFill>
                  <w14:solidFill>
                    <w14:schemeClr w14:val="tx1"/>
                  </w14:solidFill>
                </w14:textFill>
              </w:rPr>
            </w:pPr>
          </w:p>
        </w:tc>
        <w:tc>
          <w:tcPr>
            <w:tcW w:w="673" w:type="dxa"/>
            <w:noWrap w:val="0"/>
            <w:vAlign w:val="top"/>
          </w:tcPr>
          <w:p w14:paraId="401BAE5F">
            <w:pPr>
              <w:pStyle w:val="7"/>
              <w:rPr>
                <w:rFonts w:hint="eastAsia" w:ascii="宋体" w:hAnsi="宋体" w:eastAsia="宋体" w:cs="宋体"/>
                <w:color w:val="000000" w:themeColor="text1"/>
                <w14:textFill>
                  <w14:solidFill>
                    <w14:schemeClr w14:val="tx1"/>
                  </w14:solidFill>
                </w14:textFill>
              </w:rPr>
            </w:pPr>
          </w:p>
        </w:tc>
        <w:tc>
          <w:tcPr>
            <w:tcW w:w="873" w:type="dxa"/>
            <w:noWrap w:val="0"/>
            <w:vAlign w:val="top"/>
          </w:tcPr>
          <w:p w14:paraId="669CB633">
            <w:pPr>
              <w:pStyle w:val="7"/>
              <w:rPr>
                <w:rFonts w:hint="eastAsia" w:ascii="宋体" w:hAnsi="宋体" w:eastAsia="宋体" w:cs="宋体"/>
                <w:color w:val="000000" w:themeColor="text1"/>
                <w14:textFill>
                  <w14:solidFill>
                    <w14:schemeClr w14:val="tx1"/>
                  </w14:solidFill>
                </w14:textFill>
              </w:rPr>
            </w:pPr>
          </w:p>
        </w:tc>
        <w:tc>
          <w:tcPr>
            <w:tcW w:w="1422" w:type="dxa"/>
            <w:noWrap w:val="0"/>
            <w:vAlign w:val="top"/>
          </w:tcPr>
          <w:p w14:paraId="2577175B">
            <w:pPr>
              <w:pStyle w:val="7"/>
              <w:rPr>
                <w:rFonts w:hint="eastAsia" w:ascii="宋体" w:hAnsi="宋体" w:eastAsia="宋体" w:cs="宋体"/>
                <w:color w:val="000000" w:themeColor="text1"/>
                <w14:textFill>
                  <w14:solidFill>
                    <w14:schemeClr w14:val="tx1"/>
                  </w14:solidFill>
                </w14:textFill>
              </w:rPr>
            </w:pPr>
          </w:p>
        </w:tc>
      </w:tr>
      <w:tr w14:paraId="66726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6284DC1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color w:val="000000" w:themeColor="text1"/>
                <w:spacing w:val="7"/>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年度</w:t>
            </w:r>
          </w:p>
          <w:p w14:paraId="23621C9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总体</w:t>
            </w:r>
          </w:p>
          <w:p w14:paraId="22C34747">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目标</w:t>
            </w:r>
          </w:p>
        </w:tc>
        <w:tc>
          <w:tcPr>
            <w:tcW w:w="4522" w:type="dxa"/>
            <w:gridSpan w:val="4"/>
            <w:noWrap w:val="0"/>
            <w:vAlign w:val="top"/>
          </w:tcPr>
          <w:p w14:paraId="60FF852B">
            <w:pPr>
              <w:spacing w:before="31" w:line="217" w:lineRule="auto"/>
              <w:ind w:left="187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预期目标</w:t>
            </w:r>
          </w:p>
        </w:tc>
        <w:tc>
          <w:tcPr>
            <w:tcW w:w="4249" w:type="dxa"/>
            <w:gridSpan w:val="4"/>
            <w:noWrap w:val="0"/>
            <w:vAlign w:val="top"/>
          </w:tcPr>
          <w:p w14:paraId="63840860">
            <w:pPr>
              <w:spacing w:before="31" w:line="217" w:lineRule="auto"/>
              <w:ind w:left="153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实际完成情况</w:t>
            </w:r>
          </w:p>
        </w:tc>
      </w:tr>
      <w:tr w14:paraId="5CA93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4" w:hRule="atLeast"/>
        </w:trPr>
        <w:tc>
          <w:tcPr>
            <w:tcW w:w="1084" w:type="dxa"/>
            <w:vMerge w:val="continue"/>
            <w:tcBorders>
              <w:top w:val="nil"/>
            </w:tcBorders>
            <w:noWrap w:val="0"/>
            <w:vAlign w:val="top"/>
          </w:tcPr>
          <w:p w14:paraId="0589E3D5">
            <w:pPr>
              <w:pStyle w:val="7"/>
              <w:rPr>
                <w:rFonts w:hint="eastAsia" w:ascii="宋体" w:hAnsi="宋体" w:eastAsia="宋体" w:cs="宋体"/>
                <w:color w:val="000000" w:themeColor="text1"/>
                <w14:textFill>
                  <w14:solidFill>
                    <w14:schemeClr w14:val="tx1"/>
                  </w14:solidFill>
                </w14:textFill>
              </w:rPr>
            </w:pPr>
          </w:p>
        </w:tc>
        <w:tc>
          <w:tcPr>
            <w:tcW w:w="4522" w:type="dxa"/>
            <w:gridSpan w:val="4"/>
            <w:noWrap w:val="0"/>
            <w:vAlign w:val="top"/>
          </w:tcPr>
          <w:p w14:paraId="574F49B8">
            <w:pPr>
              <w:pStyle w:val="7"/>
              <w:tabs>
                <w:tab w:val="left" w:pos="1610"/>
              </w:tabs>
              <w:ind w:firstLine="42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总体目标：安排业务工作经费保障市容秩序监管有序推进。年度目标：展开强有力整治行动，实施拆除违建棚亭、清理占道经营摊贩、规范出店经营行为9546起、收缴违规设置户外灯箱等重点整治工作。</w:t>
            </w:r>
          </w:p>
        </w:tc>
        <w:tc>
          <w:tcPr>
            <w:tcW w:w="4249" w:type="dxa"/>
            <w:gridSpan w:val="4"/>
            <w:noWrap w:val="0"/>
            <w:vAlign w:val="top"/>
          </w:tcPr>
          <w:p w14:paraId="6CDEBB21">
            <w:pPr>
              <w:tabs>
                <w:tab w:val="left" w:pos="1444"/>
              </w:tabs>
              <w:bidi w:val="0"/>
              <w:jc w:val="left"/>
              <w:rPr>
                <w:rFonts w:hint="eastAsia"/>
                <w:color w:val="000000" w:themeColor="text1"/>
                <w:lang w:eastAsia="zh-CN"/>
                <w14:textFill>
                  <w14:solidFill>
                    <w14:schemeClr w14:val="tx1"/>
                  </w14:solidFill>
                </w14:textFill>
              </w:rPr>
            </w:pPr>
            <w:r>
              <w:rPr>
                <w:rFonts w:hint="eastAsia" w:eastAsiaTheme="minorEastAsia"/>
                <w:color w:val="000000" w:themeColor="text1"/>
                <w:lang w:eastAsia="zh-CN"/>
                <w14:textFill>
                  <w14:solidFill>
                    <w14:schemeClr w14:val="tx1"/>
                  </w14:solidFill>
                </w14:textFill>
              </w:rPr>
              <w:t>①马路市场执法整治行动</w:t>
            </w:r>
            <w:r>
              <w:rPr>
                <w:rFonts w:hint="eastAsia"/>
                <w:color w:val="000000" w:themeColor="text1"/>
                <w:lang w:val="en-US" w:eastAsia="zh-CN"/>
                <w14:textFill>
                  <w14:solidFill>
                    <w14:schemeClr w14:val="tx1"/>
                  </w14:solidFill>
                </w14:textFill>
              </w:rPr>
              <w:t>321</w:t>
            </w:r>
            <w:r>
              <w:rPr>
                <w:rFonts w:hint="eastAsia" w:eastAsiaTheme="minorEastAsia"/>
                <w:color w:val="000000" w:themeColor="text1"/>
                <w:lang w:eastAsia="zh-CN"/>
                <w14:textFill>
                  <w14:solidFill>
                    <w14:schemeClr w14:val="tx1"/>
                  </w14:solidFill>
                </w14:textFill>
              </w:rPr>
              <w:t>次；</w:t>
            </w:r>
          </w:p>
          <w:p w14:paraId="543160D9">
            <w:pPr>
              <w:tabs>
                <w:tab w:val="left" w:pos="1444"/>
              </w:tabs>
              <w:bidi w:val="0"/>
              <w:jc w:val="left"/>
              <w:rPr>
                <w:rFonts w:hint="eastAsia"/>
                <w:color w:val="000000" w:themeColor="text1"/>
                <w:lang w:eastAsia="zh-CN"/>
                <w14:textFill>
                  <w14:solidFill>
                    <w14:schemeClr w14:val="tx1"/>
                  </w14:solidFill>
                </w14:textFill>
              </w:rPr>
            </w:pPr>
            <w:r>
              <w:rPr>
                <w:rFonts w:hint="eastAsia" w:eastAsiaTheme="minorEastAsia"/>
                <w:color w:val="000000" w:themeColor="text1"/>
                <w:lang w:eastAsia="zh-CN"/>
                <w14:textFill>
                  <w14:solidFill>
                    <w14:schemeClr w14:val="tx1"/>
                  </w14:solidFill>
                </w14:textFill>
              </w:rPr>
              <w:t>②出动执法人员</w:t>
            </w:r>
            <w:r>
              <w:rPr>
                <w:rFonts w:hint="eastAsia"/>
                <w:color w:val="000000" w:themeColor="text1"/>
                <w:lang w:val="en-US" w:eastAsia="zh-CN"/>
                <w14:textFill>
                  <w14:solidFill>
                    <w14:schemeClr w14:val="tx1"/>
                  </w14:solidFill>
                </w14:textFill>
              </w:rPr>
              <w:t>3145</w:t>
            </w:r>
            <w:r>
              <w:rPr>
                <w:rFonts w:hint="eastAsia" w:eastAsiaTheme="minorEastAsia"/>
                <w:color w:val="000000" w:themeColor="text1"/>
                <w:lang w:eastAsia="zh-CN"/>
                <w14:textFill>
                  <w14:solidFill>
                    <w14:schemeClr w14:val="tx1"/>
                  </w14:solidFill>
                </w14:textFill>
              </w:rPr>
              <w:t>人次；</w:t>
            </w:r>
          </w:p>
          <w:p w14:paraId="74C76AB0">
            <w:pPr>
              <w:bidi w:val="0"/>
              <w:rPr>
                <w:rFonts w:hint="eastAsia"/>
                <w:color w:val="000000" w:themeColor="text1"/>
                <w14:textFill>
                  <w14:solidFill>
                    <w14:schemeClr w14:val="tx1"/>
                  </w14:solidFill>
                </w14:textFill>
              </w:rPr>
            </w:pPr>
            <w:r>
              <w:rPr>
                <w:rFonts w:hint="eastAsia" w:eastAsiaTheme="minorEastAsia"/>
                <w:color w:val="000000" w:themeColor="text1"/>
                <w:lang w:eastAsia="zh-CN"/>
                <w14:textFill>
                  <w14:solidFill>
                    <w14:schemeClr w14:val="tx1"/>
                  </w14:solidFill>
                </w14:textFill>
              </w:rPr>
              <w:t>③全年完成拆除违建棚亭</w:t>
            </w:r>
            <w:r>
              <w:rPr>
                <w:rFonts w:hint="eastAsia"/>
                <w:color w:val="000000" w:themeColor="text1"/>
                <w:lang w:val="en-US" w:eastAsia="zh-CN"/>
                <w14:textFill>
                  <w14:solidFill>
                    <w14:schemeClr w14:val="tx1"/>
                  </w14:solidFill>
                </w14:textFill>
              </w:rPr>
              <w:t>312</w:t>
            </w:r>
            <w:r>
              <w:rPr>
                <w:rFonts w:hint="eastAsia" w:eastAsiaTheme="minorEastAsia"/>
                <w:color w:val="000000" w:themeColor="text1"/>
                <w:lang w:eastAsia="zh-CN"/>
                <w14:textFill>
                  <w14:solidFill>
                    <w14:schemeClr w14:val="tx1"/>
                  </w14:solidFill>
                </w14:textFill>
              </w:rPr>
              <w:t>个、清理占道经营摊贩</w:t>
            </w:r>
            <w:r>
              <w:rPr>
                <w:rFonts w:hint="eastAsia"/>
                <w:color w:val="000000" w:themeColor="text1"/>
                <w:lang w:val="en-US" w:eastAsia="zh-CN"/>
                <w14:textFill>
                  <w14:solidFill>
                    <w14:schemeClr w14:val="tx1"/>
                  </w14:solidFill>
                </w14:textFill>
              </w:rPr>
              <w:t>7520</w:t>
            </w:r>
            <w:r>
              <w:rPr>
                <w:rFonts w:hint="eastAsia" w:eastAsiaTheme="minorEastAsia"/>
                <w:color w:val="000000" w:themeColor="text1"/>
                <w:lang w:eastAsia="zh-CN"/>
                <w14:textFill>
                  <w14:solidFill>
                    <w14:schemeClr w14:val="tx1"/>
                  </w14:solidFill>
                </w14:textFill>
              </w:rPr>
              <w:t>个、规范出店经营行为</w:t>
            </w:r>
            <w:r>
              <w:rPr>
                <w:rFonts w:hint="eastAsia"/>
                <w:color w:val="000000" w:themeColor="text1"/>
                <w:lang w:val="en-US" w:eastAsia="zh-CN"/>
                <w14:textFill>
                  <w14:solidFill>
                    <w14:schemeClr w14:val="tx1"/>
                  </w14:solidFill>
                </w14:textFill>
              </w:rPr>
              <w:t>8214</w:t>
            </w:r>
            <w:r>
              <w:rPr>
                <w:rFonts w:hint="eastAsia" w:eastAsiaTheme="minorEastAsia"/>
                <w:color w:val="000000" w:themeColor="text1"/>
                <w:lang w:eastAsia="zh-CN"/>
                <w14:textFill>
                  <w14:solidFill>
                    <w14:schemeClr w14:val="tx1"/>
                  </w14:solidFill>
                </w14:textFill>
              </w:rPr>
              <w:t>起收缴违规设置户外灯箱</w:t>
            </w:r>
            <w:r>
              <w:rPr>
                <w:rFonts w:hint="eastAsia"/>
                <w:color w:val="000000" w:themeColor="text1"/>
                <w:lang w:val="en-US" w:eastAsia="zh-CN"/>
                <w14:textFill>
                  <w14:solidFill>
                    <w14:schemeClr w14:val="tx1"/>
                  </w14:solidFill>
                </w14:textFill>
              </w:rPr>
              <w:t>312</w:t>
            </w:r>
            <w:r>
              <w:rPr>
                <w:rFonts w:hint="eastAsia" w:eastAsiaTheme="minorEastAsia"/>
                <w:color w:val="000000" w:themeColor="text1"/>
                <w:lang w:eastAsia="zh-CN"/>
                <w14:textFill>
                  <w14:solidFill>
                    <w14:schemeClr w14:val="tx1"/>
                  </w14:solidFill>
                </w14:textFill>
              </w:rPr>
              <w:t>个等行动</w:t>
            </w:r>
          </w:p>
          <w:p w14:paraId="76EF1766">
            <w:pPr>
              <w:tabs>
                <w:tab w:val="left" w:pos="1444"/>
              </w:tabs>
              <w:bidi w:val="0"/>
              <w:jc w:val="left"/>
              <w:rPr>
                <w:rFonts w:hint="eastAsia" w:eastAsiaTheme="minorEastAsia"/>
                <w:color w:val="000000" w:themeColor="text1"/>
                <w:lang w:eastAsia="zh-CN"/>
                <w14:textFill>
                  <w14:solidFill>
                    <w14:schemeClr w14:val="tx1"/>
                  </w14:solidFill>
                </w14:textFill>
              </w:rPr>
            </w:pPr>
          </w:p>
        </w:tc>
      </w:tr>
      <w:tr w14:paraId="45744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084" w:type="dxa"/>
            <w:vMerge w:val="restart"/>
            <w:tcBorders>
              <w:bottom w:val="nil"/>
            </w:tcBorders>
            <w:noWrap w:val="0"/>
            <w:textDirection w:val="tbRlV"/>
            <w:vAlign w:val="top"/>
          </w:tcPr>
          <w:p w14:paraId="744725F2">
            <w:pPr>
              <w:pStyle w:val="7"/>
              <w:spacing w:line="366" w:lineRule="auto"/>
              <w:rPr>
                <w:rFonts w:hint="eastAsia" w:ascii="宋体" w:hAnsi="宋体" w:eastAsia="宋体" w:cs="宋体"/>
                <w:color w:val="000000" w:themeColor="text1"/>
                <w14:textFill>
                  <w14:solidFill>
                    <w14:schemeClr w14:val="tx1"/>
                  </w14:solidFill>
                </w14:textFill>
              </w:rPr>
            </w:pPr>
          </w:p>
          <w:p w14:paraId="4598D1B1">
            <w:pPr>
              <w:spacing w:before="63" w:line="216" w:lineRule="auto"/>
              <w:ind w:left="3058"/>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绩</w:t>
            </w:r>
            <w:r>
              <w:rPr>
                <w:rFonts w:hint="eastAsia" w:ascii="宋体" w:hAnsi="宋体" w:eastAsia="宋体" w:cs="宋体"/>
                <w:color w:val="000000" w:themeColor="text1"/>
                <w:spacing w:val="-31"/>
                <w:sz w:val="19"/>
                <w:szCs w:val="19"/>
                <w14:textFill>
                  <w14:solidFill>
                    <w14:schemeClr w14:val="tx1"/>
                  </w14:solidFill>
                </w14:textFill>
              </w:rPr>
              <w:t xml:space="preserve"> </w:t>
            </w:r>
            <w:r>
              <w:rPr>
                <w:rFonts w:hint="eastAsia" w:ascii="宋体" w:hAnsi="宋体" w:eastAsia="宋体" w:cs="宋体"/>
                <w:color w:val="000000" w:themeColor="text1"/>
                <w:spacing w:val="7"/>
                <w:sz w:val="19"/>
                <w:szCs w:val="19"/>
                <w14:textFill>
                  <w14:solidFill>
                    <w14:schemeClr w14:val="tx1"/>
                  </w14:solidFill>
                </w14:textFill>
              </w:rPr>
              <w:t>效</w:t>
            </w:r>
            <w:r>
              <w:rPr>
                <w:rFonts w:hint="eastAsia" w:ascii="宋体" w:hAnsi="宋体" w:eastAsia="宋体" w:cs="宋体"/>
                <w:color w:val="000000" w:themeColor="text1"/>
                <w:spacing w:val="-34"/>
                <w:sz w:val="19"/>
                <w:szCs w:val="19"/>
                <w14:textFill>
                  <w14:solidFill>
                    <w14:schemeClr w14:val="tx1"/>
                  </w14:solidFill>
                </w14:textFill>
              </w:rPr>
              <w:t xml:space="preserve"> </w:t>
            </w:r>
            <w:r>
              <w:rPr>
                <w:rFonts w:hint="eastAsia" w:ascii="宋体" w:hAnsi="宋体" w:eastAsia="宋体" w:cs="宋体"/>
                <w:color w:val="000000" w:themeColor="text1"/>
                <w:spacing w:val="7"/>
                <w:sz w:val="19"/>
                <w:szCs w:val="19"/>
                <w14:textFill>
                  <w14:solidFill>
                    <w14:schemeClr w14:val="tx1"/>
                  </w14:solidFill>
                </w14:textFill>
              </w:rPr>
              <w:t>指</w:t>
            </w:r>
            <w:r>
              <w:rPr>
                <w:rFonts w:hint="eastAsia" w:ascii="宋体" w:hAnsi="宋体" w:eastAsia="宋体" w:cs="宋体"/>
                <w:color w:val="000000" w:themeColor="text1"/>
                <w:spacing w:val="-32"/>
                <w:sz w:val="19"/>
                <w:szCs w:val="19"/>
                <w14:textFill>
                  <w14:solidFill>
                    <w14:schemeClr w14:val="tx1"/>
                  </w14:solidFill>
                </w14:textFill>
              </w:rPr>
              <w:t xml:space="preserve"> </w:t>
            </w:r>
            <w:r>
              <w:rPr>
                <w:rFonts w:hint="eastAsia" w:ascii="宋体" w:hAnsi="宋体" w:eastAsia="宋体" w:cs="宋体"/>
                <w:color w:val="000000" w:themeColor="text1"/>
                <w:spacing w:val="7"/>
                <w:sz w:val="19"/>
                <w:szCs w:val="19"/>
                <w14:textFill>
                  <w14:solidFill>
                    <w14:schemeClr w14:val="tx1"/>
                  </w14:solidFill>
                </w14:textFill>
              </w:rPr>
              <w:t>标</w:t>
            </w:r>
          </w:p>
        </w:tc>
        <w:tc>
          <w:tcPr>
            <w:tcW w:w="1079" w:type="dxa"/>
            <w:noWrap w:val="0"/>
            <w:vAlign w:val="top"/>
          </w:tcPr>
          <w:p w14:paraId="72921CAF">
            <w:pPr>
              <w:spacing w:before="141" w:line="226" w:lineRule="auto"/>
              <w:ind w:left="156"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一级指标</w:t>
            </w:r>
          </w:p>
        </w:tc>
        <w:tc>
          <w:tcPr>
            <w:tcW w:w="955" w:type="dxa"/>
            <w:noWrap w:val="0"/>
            <w:vAlign w:val="top"/>
          </w:tcPr>
          <w:p w14:paraId="25100E25">
            <w:pPr>
              <w:spacing w:before="141" w:line="226" w:lineRule="auto"/>
              <w:ind w:left="132"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二级指标</w:t>
            </w:r>
          </w:p>
        </w:tc>
        <w:tc>
          <w:tcPr>
            <w:tcW w:w="1244" w:type="dxa"/>
            <w:noWrap w:val="0"/>
            <w:vAlign w:val="top"/>
          </w:tcPr>
          <w:p w14:paraId="17269D8B">
            <w:pPr>
              <w:spacing w:before="141" w:line="226" w:lineRule="auto"/>
              <w:ind w:left="253"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三级指标</w:t>
            </w:r>
          </w:p>
        </w:tc>
        <w:tc>
          <w:tcPr>
            <w:tcW w:w="1244" w:type="dxa"/>
            <w:noWrap w:val="0"/>
            <w:vAlign w:val="top"/>
          </w:tcPr>
          <w:p w14:paraId="0C3EFCB1">
            <w:pPr>
              <w:spacing w:before="22" w:line="233" w:lineRule="auto"/>
              <w:ind w:left="428"/>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年度</w:t>
            </w:r>
          </w:p>
          <w:p w14:paraId="549EFF4D">
            <w:pPr>
              <w:spacing w:line="205" w:lineRule="auto"/>
              <w:ind w:left="330"/>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指标值</w:t>
            </w:r>
          </w:p>
        </w:tc>
        <w:tc>
          <w:tcPr>
            <w:tcW w:w="1281" w:type="dxa"/>
            <w:noWrap w:val="0"/>
            <w:vAlign w:val="top"/>
          </w:tcPr>
          <w:p w14:paraId="3DE28D5F">
            <w:pPr>
              <w:spacing w:before="22" w:line="233" w:lineRule="auto"/>
              <w:ind w:left="457"/>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z w:val="19"/>
                <w:szCs w:val="19"/>
                <w14:textFill>
                  <w14:solidFill>
                    <w14:schemeClr w14:val="tx1"/>
                  </w14:solidFill>
                </w14:textFill>
              </w:rPr>
              <w:t>实际</w:t>
            </w:r>
          </w:p>
          <w:p w14:paraId="121D01F5">
            <w:pPr>
              <w:spacing w:line="205" w:lineRule="auto"/>
              <w:ind w:left="357"/>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完成值</w:t>
            </w:r>
          </w:p>
        </w:tc>
        <w:tc>
          <w:tcPr>
            <w:tcW w:w="673" w:type="dxa"/>
            <w:noWrap w:val="0"/>
            <w:vAlign w:val="top"/>
          </w:tcPr>
          <w:p w14:paraId="76C5EF91">
            <w:pPr>
              <w:spacing w:before="142" w:line="227" w:lineRule="auto"/>
              <w:ind w:left="14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分值</w:t>
            </w:r>
          </w:p>
        </w:tc>
        <w:tc>
          <w:tcPr>
            <w:tcW w:w="873" w:type="dxa"/>
            <w:noWrap w:val="0"/>
            <w:vAlign w:val="top"/>
          </w:tcPr>
          <w:p w14:paraId="0AB61284">
            <w:pPr>
              <w:spacing w:before="175" w:line="218" w:lineRule="auto"/>
              <w:ind w:left="150"/>
              <w:rPr>
                <w:rFonts w:hint="eastAsia" w:ascii="宋体" w:hAnsi="宋体" w:eastAsia="宋体" w:cs="宋体"/>
                <w:color w:val="000000" w:themeColor="text1"/>
                <w:sz w:val="16"/>
                <w:szCs w:val="16"/>
                <w14:textFill>
                  <w14:solidFill>
                    <w14:schemeClr w14:val="tx1"/>
                  </w14:solidFill>
                </w14:textFill>
              </w:rPr>
            </w:pPr>
            <w:r>
              <w:rPr>
                <w:rFonts w:hint="eastAsia" w:ascii="宋体" w:hAnsi="宋体" w:eastAsia="宋体" w:cs="宋体"/>
                <w:color w:val="000000" w:themeColor="text1"/>
                <w:spacing w:val="-8"/>
                <w:sz w:val="16"/>
                <w:szCs w:val="16"/>
                <w14:textFill>
                  <w14:solidFill>
                    <w14:schemeClr w14:val="tx1"/>
                  </w14:solidFill>
                </w14:textFill>
              </w:rPr>
              <w:t>自评得分</w:t>
            </w:r>
          </w:p>
        </w:tc>
        <w:tc>
          <w:tcPr>
            <w:tcW w:w="1422" w:type="dxa"/>
            <w:noWrap w:val="0"/>
            <w:vAlign w:val="top"/>
          </w:tcPr>
          <w:p w14:paraId="633BDD9D">
            <w:pPr>
              <w:spacing w:before="23" w:line="219" w:lineRule="auto"/>
              <w:ind w:left="113" w:right="109" w:firstLine="1"/>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8"/>
                <w:sz w:val="19"/>
                <w:szCs w:val="19"/>
                <w14:textFill>
                  <w14:solidFill>
                    <w14:schemeClr w14:val="tx1"/>
                  </w14:solidFill>
                </w14:textFill>
              </w:rPr>
              <w:t>偏差原因分析及改进措施</w:t>
            </w:r>
          </w:p>
        </w:tc>
      </w:tr>
      <w:tr w14:paraId="2F365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F151B22">
            <w:pPr>
              <w:pStyle w:val="7"/>
              <w:rPr>
                <w:rFonts w:hint="eastAsia" w:ascii="宋体" w:hAnsi="宋体" w:eastAsia="宋体" w:cs="宋体"/>
                <w:color w:val="000000" w:themeColor="text1"/>
                <w14:textFill>
                  <w14:solidFill>
                    <w14:schemeClr w14:val="tx1"/>
                  </w14:solidFill>
                </w14:textFill>
              </w:rPr>
            </w:pPr>
          </w:p>
        </w:tc>
        <w:tc>
          <w:tcPr>
            <w:tcW w:w="1079" w:type="dxa"/>
            <w:vMerge w:val="restart"/>
            <w:tcBorders>
              <w:bottom w:val="nil"/>
            </w:tcBorders>
            <w:noWrap w:val="0"/>
            <w:vAlign w:val="top"/>
          </w:tcPr>
          <w:p w14:paraId="6DA11988">
            <w:pPr>
              <w:pStyle w:val="7"/>
              <w:spacing w:line="256" w:lineRule="auto"/>
              <w:rPr>
                <w:rFonts w:hint="eastAsia" w:ascii="宋体" w:hAnsi="宋体" w:eastAsia="宋体" w:cs="宋体"/>
                <w:color w:val="000000" w:themeColor="text1"/>
                <w14:textFill>
                  <w14:solidFill>
                    <w14:schemeClr w14:val="tx1"/>
                  </w14:solidFill>
                </w14:textFill>
              </w:rPr>
            </w:pPr>
          </w:p>
          <w:p w14:paraId="449AA275">
            <w:pPr>
              <w:pStyle w:val="7"/>
              <w:spacing w:line="256" w:lineRule="auto"/>
              <w:rPr>
                <w:rFonts w:hint="eastAsia" w:ascii="宋体" w:hAnsi="宋体" w:eastAsia="宋体" w:cs="宋体"/>
                <w:color w:val="000000" w:themeColor="text1"/>
                <w14:textFill>
                  <w14:solidFill>
                    <w14:schemeClr w14:val="tx1"/>
                  </w14:solidFill>
                </w14:textFill>
              </w:rPr>
            </w:pPr>
          </w:p>
          <w:p w14:paraId="752C2CEA">
            <w:pPr>
              <w:pStyle w:val="7"/>
              <w:spacing w:line="256" w:lineRule="auto"/>
              <w:rPr>
                <w:rFonts w:hint="eastAsia" w:ascii="宋体" w:hAnsi="宋体" w:eastAsia="宋体" w:cs="宋体"/>
                <w:color w:val="000000" w:themeColor="text1"/>
                <w14:textFill>
                  <w14:solidFill>
                    <w14:schemeClr w14:val="tx1"/>
                  </w14:solidFill>
                </w14:textFill>
              </w:rPr>
            </w:pPr>
          </w:p>
          <w:p w14:paraId="01E2A526">
            <w:pPr>
              <w:pStyle w:val="7"/>
              <w:spacing w:line="257" w:lineRule="auto"/>
              <w:rPr>
                <w:rFonts w:hint="eastAsia" w:ascii="宋体" w:hAnsi="宋体" w:eastAsia="宋体" w:cs="宋体"/>
                <w:color w:val="000000" w:themeColor="text1"/>
                <w14:textFill>
                  <w14:solidFill>
                    <w14:schemeClr w14:val="tx1"/>
                  </w14:solidFill>
                </w14:textFill>
              </w:rPr>
            </w:pPr>
          </w:p>
          <w:p w14:paraId="2F583A76">
            <w:pPr>
              <w:spacing w:before="62" w:line="457" w:lineRule="exact"/>
              <w:ind w:left="142"/>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position w:val="20"/>
                <w:sz w:val="19"/>
                <w:szCs w:val="19"/>
                <w14:textFill>
                  <w14:solidFill>
                    <w14:schemeClr w14:val="tx1"/>
                  </w14:solidFill>
                </w14:textFill>
              </w:rPr>
              <w:t>产出指标</w:t>
            </w:r>
          </w:p>
          <w:p w14:paraId="0D8A69E2">
            <w:pPr>
              <w:spacing w:line="261" w:lineRule="exact"/>
              <w:ind w:left="25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1"/>
                <w:position w:val="2"/>
                <w:sz w:val="19"/>
                <w:szCs w:val="19"/>
                <w14:textFill>
                  <w14:solidFill>
                    <w14:schemeClr w14:val="tx1"/>
                  </w14:solidFill>
                </w14:textFill>
              </w:rPr>
              <w:t>(50分)</w:t>
            </w:r>
          </w:p>
        </w:tc>
        <w:tc>
          <w:tcPr>
            <w:tcW w:w="955" w:type="dxa"/>
            <w:vMerge w:val="restart"/>
            <w:tcBorders>
              <w:bottom w:val="nil"/>
            </w:tcBorders>
            <w:noWrap w:val="0"/>
            <w:vAlign w:val="top"/>
          </w:tcPr>
          <w:p w14:paraId="4B46D307">
            <w:pPr>
              <w:spacing w:before="274" w:line="226" w:lineRule="auto"/>
              <w:ind w:left="126"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数量指标</w:t>
            </w:r>
          </w:p>
          <w:p w14:paraId="4893F9B0">
            <w:pPr>
              <w:spacing w:before="126" w:line="239" w:lineRule="auto"/>
              <w:ind w:left="379" w:right="175" w:hanging="192"/>
              <w:rPr>
                <w:rFonts w:hint="eastAsia" w:ascii="宋体" w:hAnsi="宋体" w:eastAsia="宋体" w:cs="宋体"/>
                <w:color w:val="000000" w:themeColor="text1"/>
                <w:sz w:val="19"/>
                <w:szCs w:val="19"/>
                <w14:textFill>
                  <w14:solidFill>
                    <w14:schemeClr w14:val="tx1"/>
                  </w14:solidFill>
                </w14:textFill>
              </w:rPr>
            </w:pPr>
          </w:p>
        </w:tc>
        <w:tc>
          <w:tcPr>
            <w:tcW w:w="1244" w:type="dxa"/>
            <w:noWrap w:val="0"/>
            <w:vAlign w:val="center"/>
          </w:tcPr>
          <w:p w14:paraId="67A0D271">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开展开展马路市容整治行动</w:t>
            </w:r>
          </w:p>
        </w:tc>
        <w:tc>
          <w:tcPr>
            <w:tcW w:w="1244" w:type="dxa"/>
            <w:noWrap w:val="0"/>
            <w:vAlign w:val="center"/>
          </w:tcPr>
          <w:p w14:paraId="1767E259">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行动次数不低于260次</w:t>
            </w:r>
          </w:p>
        </w:tc>
        <w:tc>
          <w:tcPr>
            <w:tcW w:w="1281" w:type="dxa"/>
            <w:noWrap w:val="0"/>
            <w:vAlign w:val="center"/>
          </w:tcPr>
          <w:p w14:paraId="3E1F5F70">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321次</w:t>
            </w:r>
          </w:p>
        </w:tc>
        <w:tc>
          <w:tcPr>
            <w:tcW w:w="673" w:type="dxa"/>
            <w:noWrap w:val="0"/>
            <w:vAlign w:val="center"/>
          </w:tcPr>
          <w:p w14:paraId="10CE7035">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873" w:type="dxa"/>
            <w:noWrap w:val="0"/>
            <w:vAlign w:val="center"/>
          </w:tcPr>
          <w:p w14:paraId="35B88BBD">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1422" w:type="dxa"/>
            <w:noWrap w:val="0"/>
            <w:vAlign w:val="top"/>
          </w:tcPr>
          <w:p w14:paraId="503C7141">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15DDC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596B795">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734D6563">
            <w:pPr>
              <w:pStyle w:val="7"/>
              <w:rPr>
                <w:rFonts w:hint="eastAsia" w:ascii="宋体" w:hAnsi="宋体" w:eastAsia="宋体" w:cs="宋体"/>
                <w:color w:val="000000" w:themeColor="text1"/>
                <w14:textFill>
                  <w14:solidFill>
                    <w14:schemeClr w14:val="tx1"/>
                  </w14:solidFill>
                </w14:textFill>
              </w:rPr>
            </w:pPr>
          </w:p>
        </w:tc>
        <w:tc>
          <w:tcPr>
            <w:tcW w:w="955" w:type="dxa"/>
            <w:vMerge w:val="continue"/>
            <w:tcBorders>
              <w:top w:val="nil"/>
              <w:bottom w:val="nil"/>
            </w:tcBorders>
            <w:noWrap w:val="0"/>
            <w:vAlign w:val="top"/>
          </w:tcPr>
          <w:p w14:paraId="74ED03C0">
            <w:pPr>
              <w:pStyle w:val="7"/>
              <w:rPr>
                <w:rFonts w:hint="eastAsia" w:ascii="宋体" w:hAnsi="宋体" w:eastAsia="宋体" w:cs="宋体"/>
                <w:color w:val="000000" w:themeColor="text1"/>
                <w14:textFill>
                  <w14:solidFill>
                    <w14:schemeClr w14:val="tx1"/>
                  </w14:solidFill>
                </w14:textFill>
              </w:rPr>
            </w:pPr>
          </w:p>
        </w:tc>
        <w:tc>
          <w:tcPr>
            <w:tcW w:w="1244" w:type="dxa"/>
            <w:noWrap w:val="0"/>
            <w:vAlign w:val="center"/>
          </w:tcPr>
          <w:p w14:paraId="0AFAB78D">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开展“牛皮癣”专项整治</w:t>
            </w:r>
          </w:p>
        </w:tc>
        <w:tc>
          <w:tcPr>
            <w:tcW w:w="1244" w:type="dxa"/>
            <w:noWrap w:val="0"/>
            <w:vAlign w:val="center"/>
          </w:tcPr>
          <w:p w14:paraId="0467C00A">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行动次数不低于100次</w:t>
            </w:r>
          </w:p>
        </w:tc>
        <w:tc>
          <w:tcPr>
            <w:tcW w:w="1281" w:type="dxa"/>
            <w:noWrap w:val="0"/>
            <w:vAlign w:val="center"/>
          </w:tcPr>
          <w:p w14:paraId="0592B792">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100次</w:t>
            </w:r>
          </w:p>
        </w:tc>
        <w:tc>
          <w:tcPr>
            <w:tcW w:w="673" w:type="dxa"/>
            <w:noWrap w:val="0"/>
            <w:vAlign w:val="center"/>
          </w:tcPr>
          <w:p w14:paraId="7D1EE2BE">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873" w:type="dxa"/>
            <w:noWrap w:val="0"/>
            <w:vAlign w:val="center"/>
          </w:tcPr>
          <w:p w14:paraId="440A89C6">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1422" w:type="dxa"/>
            <w:noWrap w:val="0"/>
            <w:vAlign w:val="top"/>
          </w:tcPr>
          <w:p w14:paraId="268036C3">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0A5A0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F14C8A9">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7951769B">
            <w:pPr>
              <w:pStyle w:val="7"/>
              <w:rPr>
                <w:rFonts w:hint="eastAsia" w:ascii="宋体" w:hAnsi="宋体" w:eastAsia="宋体" w:cs="宋体"/>
                <w:color w:val="000000" w:themeColor="text1"/>
                <w14:textFill>
                  <w14:solidFill>
                    <w14:schemeClr w14:val="tx1"/>
                  </w14:solidFill>
                </w14:textFill>
              </w:rPr>
            </w:pPr>
          </w:p>
        </w:tc>
        <w:tc>
          <w:tcPr>
            <w:tcW w:w="955" w:type="dxa"/>
            <w:vMerge w:val="restart"/>
            <w:tcBorders>
              <w:bottom w:val="nil"/>
            </w:tcBorders>
            <w:noWrap w:val="0"/>
            <w:vAlign w:val="top"/>
          </w:tcPr>
          <w:p w14:paraId="786A7A1B">
            <w:pPr>
              <w:spacing w:before="273" w:line="226" w:lineRule="auto"/>
              <w:ind w:left="121"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质量指标</w:t>
            </w:r>
          </w:p>
          <w:p w14:paraId="0C6B0D25">
            <w:pPr>
              <w:spacing w:before="126" w:line="239" w:lineRule="auto"/>
              <w:ind w:left="379" w:right="175" w:hanging="196"/>
              <w:rPr>
                <w:rFonts w:hint="eastAsia" w:ascii="宋体" w:hAnsi="宋体" w:eastAsia="宋体" w:cs="宋体"/>
                <w:color w:val="000000" w:themeColor="text1"/>
                <w:sz w:val="19"/>
                <w:szCs w:val="19"/>
                <w14:textFill>
                  <w14:solidFill>
                    <w14:schemeClr w14:val="tx1"/>
                  </w14:solidFill>
                </w14:textFill>
              </w:rPr>
            </w:pPr>
          </w:p>
        </w:tc>
        <w:tc>
          <w:tcPr>
            <w:tcW w:w="1244" w:type="dxa"/>
            <w:noWrap w:val="0"/>
            <w:vAlign w:val="center"/>
          </w:tcPr>
          <w:p w14:paraId="0729B9A4">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市容秩序改善</w:t>
            </w:r>
          </w:p>
        </w:tc>
        <w:tc>
          <w:tcPr>
            <w:tcW w:w="1244" w:type="dxa"/>
            <w:noWrap w:val="0"/>
            <w:vAlign w:val="center"/>
          </w:tcPr>
          <w:p w14:paraId="6E1263FF">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改善持续天数不低于100天</w:t>
            </w:r>
          </w:p>
        </w:tc>
        <w:tc>
          <w:tcPr>
            <w:tcW w:w="1281" w:type="dxa"/>
            <w:noWrap w:val="0"/>
            <w:vAlign w:val="center"/>
          </w:tcPr>
          <w:p w14:paraId="15723403">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80</w:t>
            </w:r>
          </w:p>
        </w:tc>
        <w:tc>
          <w:tcPr>
            <w:tcW w:w="673" w:type="dxa"/>
            <w:noWrap w:val="0"/>
            <w:vAlign w:val="center"/>
          </w:tcPr>
          <w:p w14:paraId="38361272">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873" w:type="dxa"/>
            <w:noWrap w:val="0"/>
            <w:vAlign w:val="center"/>
          </w:tcPr>
          <w:p w14:paraId="334C5CB7">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8</w:t>
            </w:r>
          </w:p>
        </w:tc>
        <w:tc>
          <w:tcPr>
            <w:tcW w:w="1422" w:type="dxa"/>
            <w:noWrap w:val="0"/>
            <w:vAlign w:val="top"/>
          </w:tcPr>
          <w:p w14:paraId="4A570B9E">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35F28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173C595">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217F2CF7">
            <w:pPr>
              <w:pStyle w:val="7"/>
              <w:rPr>
                <w:rFonts w:hint="eastAsia" w:ascii="宋体" w:hAnsi="宋体" w:eastAsia="宋体" w:cs="宋体"/>
                <w:color w:val="000000" w:themeColor="text1"/>
                <w14:textFill>
                  <w14:solidFill>
                    <w14:schemeClr w14:val="tx1"/>
                  </w14:solidFill>
                </w14:textFill>
              </w:rPr>
            </w:pPr>
          </w:p>
        </w:tc>
        <w:tc>
          <w:tcPr>
            <w:tcW w:w="955" w:type="dxa"/>
            <w:vMerge w:val="continue"/>
            <w:tcBorders>
              <w:top w:val="nil"/>
              <w:bottom w:val="nil"/>
            </w:tcBorders>
            <w:noWrap w:val="0"/>
            <w:vAlign w:val="top"/>
          </w:tcPr>
          <w:p w14:paraId="1C24FC49">
            <w:pPr>
              <w:pStyle w:val="7"/>
              <w:rPr>
                <w:rFonts w:hint="eastAsia" w:ascii="宋体" w:hAnsi="宋体" w:eastAsia="宋体" w:cs="宋体"/>
                <w:color w:val="000000" w:themeColor="text1"/>
                <w14:textFill>
                  <w14:solidFill>
                    <w14:schemeClr w14:val="tx1"/>
                  </w14:solidFill>
                </w14:textFill>
              </w:rPr>
            </w:pPr>
          </w:p>
        </w:tc>
        <w:tc>
          <w:tcPr>
            <w:tcW w:w="1244" w:type="dxa"/>
            <w:noWrap w:val="0"/>
            <w:vAlign w:val="center"/>
          </w:tcPr>
          <w:p w14:paraId="4371F9A1">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城管执法质量</w:t>
            </w:r>
          </w:p>
        </w:tc>
        <w:tc>
          <w:tcPr>
            <w:tcW w:w="1244" w:type="dxa"/>
            <w:noWrap w:val="0"/>
            <w:vAlign w:val="center"/>
          </w:tcPr>
          <w:p w14:paraId="61CE0E19">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O起行政复议案件</w:t>
            </w:r>
          </w:p>
        </w:tc>
        <w:tc>
          <w:tcPr>
            <w:tcW w:w="1281" w:type="dxa"/>
            <w:noWrap w:val="0"/>
            <w:vAlign w:val="center"/>
          </w:tcPr>
          <w:p w14:paraId="3F255C5D">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0起</w:t>
            </w:r>
          </w:p>
        </w:tc>
        <w:tc>
          <w:tcPr>
            <w:tcW w:w="673" w:type="dxa"/>
            <w:noWrap w:val="0"/>
            <w:vAlign w:val="center"/>
          </w:tcPr>
          <w:p w14:paraId="2E832509">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873" w:type="dxa"/>
            <w:noWrap w:val="0"/>
            <w:vAlign w:val="center"/>
          </w:tcPr>
          <w:p w14:paraId="0085D411">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1422" w:type="dxa"/>
            <w:noWrap w:val="0"/>
            <w:vAlign w:val="top"/>
          </w:tcPr>
          <w:p w14:paraId="3B4654B8">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473A1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25FD16B4">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2DC06C24">
            <w:pPr>
              <w:pStyle w:val="7"/>
              <w:rPr>
                <w:rFonts w:hint="eastAsia" w:ascii="宋体" w:hAnsi="宋体" w:eastAsia="宋体" w:cs="宋体"/>
                <w:color w:val="000000" w:themeColor="text1"/>
                <w14:textFill>
                  <w14:solidFill>
                    <w14:schemeClr w14:val="tx1"/>
                  </w14:solidFill>
                </w14:textFill>
              </w:rPr>
            </w:pPr>
          </w:p>
        </w:tc>
        <w:tc>
          <w:tcPr>
            <w:tcW w:w="955" w:type="dxa"/>
            <w:tcBorders>
              <w:bottom w:val="nil"/>
            </w:tcBorders>
            <w:noWrap w:val="0"/>
            <w:vAlign w:val="top"/>
          </w:tcPr>
          <w:p w14:paraId="5B01425C">
            <w:pPr>
              <w:spacing w:before="274" w:line="226" w:lineRule="auto"/>
              <w:ind w:left="139"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时效指标</w:t>
            </w:r>
          </w:p>
          <w:p w14:paraId="537E8295">
            <w:pPr>
              <w:spacing w:before="126" w:line="239" w:lineRule="auto"/>
              <w:ind w:left="379" w:right="175" w:hanging="178"/>
              <w:rPr>
                <w:rFonts w:hint="eastAsia" w:ascii="宋体" w:hAnsi="宋体" w:eastAsia="宋体" w:cs="宋体"/>
                <w:color w:val="000000" w:themeColor="text1"/>
                <w:sz w:val="19"/>
                <w:szCs w:val="19"/>
                <w14:textFill>
                  <w14:solidFill>
                    <w14:schemeClr w14:val="tx1"/>
                  </w14:solidFill>
                </w14:textFill>
              </w:rPr>
            </w:pPr>
          </w:p>
        </w:tc>
        <w:tc>
          <w:tcPr>
            <w:tcW w:w="1244" w:type="dxa"/>
            <w:noWrap w:val="0"/>
            <w:vAlign w:val="center"/>
          </w:tcPr>
          <w:p w14:paraId="7E7C6942">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完成市容秩序整治工作任务</w:t>
            </w:r>
          </w:p>
        </w:tc>
        <w:tc>
          <w:tcPr>
            <w:tcW w:w="1244" w:type="dxa"/>
            <w:noWrap w:val="0"/>
            <w:vAlign w:val="center"/>
          </w:tcPr>
          <w:p w14:paraId="3E510271">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年底全部完成</w:t>
            </w:r>
          </w:p>
        </w:tc>
        <w:tc>
          <w:tcPr>
            <w:tcW w:w="1281" w:type="dxa"/>
            <w:noWrap w:val="0"/>
            <w:vAlign w:val="center"/>
          </w:tcPr>
          <w:p w14:paraId="18936916">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全部完成</w:t>
            </w:r>
          </w:p>
        </w:tc>
        <w:tc>
          <w:tcPr>
            <w:tcW w:w="673" w:type="dxa"/>
            <w:noWrap w:val="0"/>
            <w:vAlign w:val="center"/>
          </w:tcPr>
          <w:p w14:paraId="1FDC9D6C">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5</w:t>
            </w:r>
          </w:p>
        </w:tc>
        <w:tc>
          <w:tcPr>
            <w:tcW w:w="873" w:type="dxa"/>
            <w:noWrap w:val="0"/>
            <w:vAlign w:val="center"/>
          </w:tcPr>
          <w:p w14:paraId="3EA2613F">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5</w:t>
            </w:r>
          </w:p>
        </w:tc>
        <w:tc>
          <w:tcPr>
            <w:tcW w:w="1422" w:type="dxa"/>
            <w:noWrap w:val="0"/>
            <w:vAlign w:val="top"/>
          </w:tcPr>
          <w:p w14:paraId="5885A3DB">
            <w:pPr>
              <w:pStyle w:val="7"/>
              <w:spacing w:line="224" w:lineRule="exact"/>
              <w:rPr>
                <w:rFonts w:hint="eastAsia" w:ascii="宋体" w:hAnsi="宋体" w:eastAsia="宋体" w:cs="宋体"/>
                <w:color w:val="000000" w:themeColor="text1"/>
                <w:sz w:val="19"/>
                <w14:textFill>
                  <w14:solidFill>
                    <w14:schemeClr w14:val="tx1"/>
                  </w14:solidFill>
                </w14:textFill>
              </w:rPr>
            </w:pPr>
          </w:p>
        </w:tc>
      </w:tr>
      <w:tr w14:paraId="61D0F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99479E6">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bottom w:val="nil"/>
            </w:tcBorders>
            <w:noWrap w:val="0"/>
            <w:vAlign w:val="top"/>
          </w:tcPr>
          <w:p w14:paraId="383C1C1E">
            <w:pPr>
              <w:pStyle w:val="7"/>
              <w:rPr>
                <w:rFonts w:hint="eastAsia" w:ascii="宋体" w:hAnsi="宋体" w:eastAsia="宋体" w:cs="宋体"/>
                <w:color w:val="000000" w:themeColor="text1"/>
                <w14:textFill>
                  <w14:solidFill>
                    <w14:schemeClr w14:val="tx1"/>
                  </w14:solidFill>
                </w14:textFill>
              </w:rPr>
            </w:pPr>
          </w:p>
        </w:tc>
        <w:tc>
          <w:tcPr>
            <w:tcW w:w="955" w:type="dxa"/>
            <w:tcBorders>
              <w:bottom w:val="nil"/>
            </w:tcBorders>
            <w:noWrap w:val="0"/>
            <w:vAlign w:val="top"/>
          </w:tcPr>
          <w:p w14:paraId="4C22F485">
            <w:pPr>
              <w:spacing w:before="273" w:line="226" w:lineRule="auto"/>
              <w:ind w:left="125"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成本指标</w:t>
            </w:r>
          </w:p>
          <w:p w14:paraId="22A79FC1">
            <w:pPr>
              <w:spacing w:before="127" w:line="239" w:lineRule="auto"/>
              <w:ind w:left="379" w:right="175" w:hanging="192"/>
              <w:rPr>
                <w:rFonts w:hint="eastAsia" w:ascii="宋体" w:hAnsi="宋体" w:eastAsia="宋体" w:cs="宋体"/>
                <w:color w:val="000000" w:themeColor="text1"/>
                <w:sz w:val="19"/>
                <w:szCs w:val="19"/>
                <w14:textFill>
                  <w14:solidFill>
                    <w14:schemeClr w14:val="tx1"/>
                  </w14:solidFill>
                </w14:textFill>
              </w:rPr>
            </w:pPr>
          </w:p>
        </w:tc>
        <w:tc>
          <w:tcPr>
            <w:tcW w:w="1244" w:type="dxa"/>
            <w:noWrap w:val="0"/>
            <w:vAlign w:val="center"/>
          </w:tcPr>
          <w:p w14:paraId="1873B7C2">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支出预算控制</w:t>
            </w:r>
          </w:p>
        </w:tc>
        <w:tc>
          <w:tcPr>
            <w:tcW w:w="1244" w:type="dxa"/>
            <w:noWrap w:val="0"/>
            <w:vAlign w:val="center"/>
          </w:tcPr>
          <w:p w14:paraId="688507ED">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124.00万元</w:t>
            </w:r>
          </w:p>
        </w:tc>
        <w:tc>
          <w:tcPr>
            <w:tcW w:w="1281" w:type="dxa"/>
            <w:noWrap w:val="0"/>
            <w:vAlign w:val="center"/>
          </w:tcPr>
          <w:p w14:paraId="663DB798">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141.71万元</w:t>
            </w:r>
          </w:p>
        </w:tc>
        <w:tc>
          <w:tcPr>
            <w:tcW w:w="673" w:type="dxa"/>
            <w:noWrap w:val="0"/>
            <w:vAlign w:val="center"/>
          </w:tcPr>
          <w:p w14:paraId="760B205D">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5</w:t>
            </w:r>
          </w:p>
        </w:tc>
        <w:tc>
          <w:tcPr>
            <w:tcW w:w="873" w:type="dxa"/>
            <w:noWrap w:val="0"/>
            <w:vAlign w:val="center"/>
          </w:tcPr>
          <w:p w14:paraId="426E60B8">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5</w:t>
            </w:r>
          </w:p>
        </w:tc>
        <w:tc>
          <w:tcPr>
            <w:tcW w:w="1422" w:type="dxa"/>
            <w:noWrap w:val="0"/>
            <w:vAlign w:val="top"/>
          </w:tcPr>
          <w:p w14:paraId="668DBC5D">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31606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7" w:hRule="atLeast"/>
        </w:trPr>
        <w:tc>
          <w:tcPr>
            <w:tcW w:w="1084" w:type="dxa"/>
            <w:vMerge w:val="continue"/>
            <w:tcBorders>
              <w:top w:val="nil"/>
              <w:bottom w:val="nil"/>
              <w:right w:val="single" w:color="auto" w:sz="4" w:space="0"/>
            </w:tcBorders>
            <w:noWrap w:val="0"/>
            <w:textDirection w:val="tbRlV"/>
            <w:vAlign w:val="top"/>
          </w:tcPr>
          <w:p w14:paraId="28C617FC">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left w:val="single" w:color="auto" w:sz="4" w:space="0"/>
              <w:bottom w:val="nil"/>
            </w:tcBorders>
            <w:noWrap w:val="0"/>
            <w:vAlign w:val="top"/>
          </w:tcPr>
          <w:p w14:paraId="0F875217">
            <w:pPr>
              <w:pStyle w:val="7"/>
              <w:rPr>
                <w:rFonts w:hint="eastAsia" w:ascii="宋体" w:hAnsi="宋体" w:eastAsia="宋体" w:cs="宋体"/>
                <w:color w:val="000000" w:themeColor="text1"/>
                <w14:textFill>
                  <w14:solidFill>
                    <w14:schemeClr w14:val="tx1"/>
                  </w14:solidFill>
                </w14:textFill>
              </w:rPr>
            </w:pPr>
          </w:p>
        </w:tc>
        <w:tc>
          <w:tcPr>
            <w:tcW w:w="955" w:type="dxa"/>
            <w:tcBorders>
              <w:bottom w:val="nil"/>
              <w:right w:val="single" w:color="auto" w:sz="4" w:space="0"/>
            </w:tcBorders>
            <w:noWrap w:val="0"/>
            <w:vAlign w:val="top"/>
          </w:tcPr>
          <w:p w14:paraId="42A47B91">
            <w:pPr>
              <w:spacing w:before="153" w:line="233" w:lineRule="auto"/>
              <w:ind w:left="225"/>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6"/>
                <w:sz w:val="19"/>
                <w:szCs w:val="19"/>
                <w14:textFill>
                  <w14:solidFill>
                    <w14:schemeClr w14:val="tx1"/>
                  </w14:solidFill>
                </w14:textFill>
              </w:rPr>
              <w:t>社会效</w:t>
            </w:r>
          </w:p>
          <w:p w14:paraId="05BA15AC">
            <w:pPr>
              <w:spacing w:line="225" w:lineRule="auto"/>
              <w:ind w:left="232"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益指标</w:t>
            </w:r>
          </w:p>
          <w:p w14:paraId="1E49FB4E">
            <w:pPr>
              <w:spacing w:before="127" w:line="239" w:lineRule="auto"/>
              <w:ind w:left="192" w:right="175" w:hanging="6"/>
              <w:rPr>
                <w:rFonts w:hint="eastAsia" w:ascii="宋体" w:hAnsi="宋体" w:eastAsia="宋体" w:cs="宋体"/>
                <w:color w:val="000000" w:themeColor="text1"/>
                <w:sz w:val="19"/>
                <w:szCs w:val="19"/>
                <w14:textFill>
                  <w14:solidFill>
                    <w14:schemeClr w14:val="tx1"/>
                  </w14:solidFill>
                </w14:textFill>
              </w:rPr>
            </w:pPr>
          </w:p>
        </w:tc>
        <w:tc>
          <w:tcPr>
            <w:tcW w:w="1244" w:type="dxa"/>
            <w:tcBorders>
              <w:left w:val="single" w:color="auto" w:sz="4" w:space="0"/>
            </w:tcBorders>
            <w:noWrap w:val="0"/>
            <w:vAlign w:val="center"/>
          </w:tcPr>
          <w:p w14:paraId="174AAE3D">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改善市容秩序</w:t>
            </w:r>
          </w:p>
        </w:tc>
        <w:tc>
          <w:tcPr>
            <w:tcW w:w="1244" w:type="dxa"/>
            <w:noWrap w:val="0"/>
            <w:vAlign w:val="center"/>
          </w:tcPr>
          <w:p w14:paraId="0835BBC5">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干净、整洁、有序</w:t>
            </w:r>
          </w:p>
        </w:tc>
        <w:tc>
          <w:tcPr>
            <w:tcW w:w="1281" w:type="dxa"/>
            <w:noWrap w:val="0"/>
            <w:vAlign w:val="center"/>
          </w:tcPr>
          <w:p w14:paraId="4CCF288C">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城市“客厅”颜值较大提升</w:t>
            </w:r>
          </w:p>
        </w:tc>
        <w:tc>
          <w:tcPr>
            <w:tcW w:w="673" w:type="dxa"/>
            <w:noWrap w:val="0"/>
            <w:vAlign w:val="center"/>
          </w:tcPr>
          <w:p w14:paraId="5667F42E">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15</w:t>
            </w:r>
          </w:p>
        </w:tc>
        <w:tc>
          <w:tcPr>
            <w:tcW w:w="873" w:type="dxa"/>
            <w:noWrap w:val="0"/>
            <w:vAlign w:val="center"/>
          </w:tcPr>
          <w:p w14:paraId="1AA6BF3E">
            <w:pPr>
              <w:keepNext w:val="0"/>
              <w:keepLines w:val="0"/>
              <w:widowControl/>
              <w:suppressLineNumbers w:val="0"/>
              <w:jc w:val="center"/>
              <w:textAlignment w:val="center"/>
              <w:rPr>
                <w:rFonts w:hint="default" w:ascii="宋体" w:hAnsi="宋体" w:eastAsia="宋体" w:cs="宋体"/>
                <w:color w:val="000000" w:themeColor="text1"/>
                <w:sz w:val="19"/>
                <w:lang w:val="en-US" w:eastAsia="zh-CN"/>
                <w14:textFill>
                  <w14:solidFill>
                    <w14:schemeClr w14:val="tx1"/>
                  </w14:solidFill>
                </w14:textFill>
              </w:rPr>
            </w:pPr>
            <w:r>
              <w:rPr>
                <w:rFonts w:hint="eastAsia" w:ascii="宋体" w:hAnsi="宋体" w:eastAsia="宋体" w:cs="宋体"/>
                <w:color w:val="000000" w:themeColor="text1"/>
                <w:sz w:val="19"/>
                <w:lang w:val="en-US" w:eastAsia="zh-CN"/>
                <w14:textFill>
                  <w14:solidFill>
                    <w14:schemeClr w14:val="tx1"/>
                  </w14:solidFill>
                </w14:textFill>
              </w:rPr>
              <w:t>13</w:t>
            </w:r>
          </w:p>
        </w:tc>
        <w:tc>
          <w:tcPr>
            <w:tcW w:w="1422" w:type="dxa"/>
            <w:noWrap w:val="0"/>
            <w:vAlign w:val="top"/>
          </w:tcPr>
          <w:p w14:paraId="5F48C1B2">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00284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1084" w:type="dxa"/>
            <w:vMerge w:val="continue"/>
            <w:tcBorders>
              <w:top w:val="nil"/>
              <w:bottom w:val="nil"/>
              <w:right w:val="single" w:color="auto" w:sz="4" w:space="0"/>
            </w:tcBorders>
            <w:noWrap w:val="0"/>
            <w:textDirection w:val="tbRlV"/>
            <w:vAlign w:val="top"/>
          </w:tcPr>
          <w:p w14:paraId="4929CD17">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nil"/>
              <w:left w:val="single" w:color="auto" w:sz="4" w:space="0"/>
              <w:bottom w:val="nil"/>
            </w:tcBorders>
            <w:noWrap w:val="0"/>
            <w:vAlign w:val="top"/>
          </w:tcPr>
          <w:p w14:paraId="646B2A2F">
            <w:pPr>
              <w:pStyle w:val="7"/>
              <w:rPr>
                <w:rFonts w:hint="eastAsia" w:ascii="宋体" w:hAnsi="宋体" w:eastAsia="宋体" w:cs="宋体"/>
                <w:color w:val="000000" w:themeColor="text1"/>
                <w14:textFill>
                  <w14:solidFill>
                    <w14:schemeClr w14:val="tx1"/>
                  </w14:solidFill>
                </w14:textFill>
              </w:rPr>
            </w:pPr>
          </w:p>
        </w:tc>
        <w:tc>
          <w:tcPr>
            <w:tcW w:w="955" w:type="dxa"/>
            <w:tcBorders>
              <w:bottom w:val="nil"/>
              <w:right w:val="single" w:color="auto" w:sz="4" w:space="0"/>
            </w:tcBorders>
            <w:noWrap w:val="0"/>
            <w:vAlign w:val="top"/>
          </w:tcPr>
          <w:p w14:paraId="45051B80">
            <w:pPr>
              <w:spacing w:before="154" w:line="233" w:lineRule="auto"/>
              <w:ind w:left="234"/>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生态效</w:t>
            </w:r>
          </w:p>
          <w:p w14:paraId="3043C5CA">
            <w:pPr>
              <w:spacing w:line="225" w:lineRule="auto"/>
              <w:ind w:left="232"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益指标</w:t>
            </w:r>
          </w:p>
          <w:p w14:paraId="30A54582">
            <w:pPr>
              <w:spacing w:before="127" w:line="239" w:lineRule="auto"/>
              <w:ind w:left="193" w:right="175" w:firstLine="1"/>
              <w:rPr>
                <w:rFonts w:hint="eastAsia" w:ascii="宋体" w:hAnsi="宋体" w:eastAsia="宋体" w:cs="宋体"/>
                <w:color w:val="000000" w:themeColor="text1"/>
                <w:sz w:val="19"/>
                <w:szCs w:val="19"/>
                <w14:textFill>
                  <w14:solidFill>
                    <w14:schemeClr w14:val="tx1"/>
                  </w14:solidFill>
                </w14:textFill>
              </w:rPr>
            </w:pPr>
          </w:p>
        </w:tc>
        <w:tc>
          <w:tcPr>
            <w:tcW w:w="1244" w:type="dxa"/>
            <w:tcBorders>
              <w:left w:val="single" w:color="auto" w:sz="4" w:space="0"/>
            </w:tcBorders>
            <w:noWrap w:val="0"/>
            <w:vAlign w:val="center"/>
          </w:tcPr>
          <w:p w14:paraId="280003BE">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减少餐饮油烟污染</w:t>
            </w:r>
          </w:p>
        </w:tc>
        <w:tc>
          <w:tcPr>
            <w:tcW w:w="1244" w:type="dxa"/>
            <w:noWrap w:val="0"/>
            <w:vAlign w:val="center"/>
          </w:tcPr>
          <w:p w14:paraId="1A361B53">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有效减少</w:t>
            </w:r>
          </w:p>
        </w:tc>
        <w:tc>
          <w:tcPr>
            <w:tcW w:w="1281" w:type="dxa"/>
            <w:noWrap w:val="0"/>
            <w:vAlign w:val="center"/>
          </w:tcPr>
          <w:p w14:paraId="1D0D0D45">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一般减少</w:t>
            </w:r>
          </w:p>
        </w:tc>
        <w:tc>
          <w:tcPr>
            <w:tcW w:w="673" w:type="dxa"/>
            <w:noWrap w:val="0"/>
            <w:vAlign w:val="center"/>
          </w:tcPr>
          <w:p w14:paraId="5A6C6E0C">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15</w:t>
            </w:r>
          </w:p>
        </w:tc>
        <w:tc>
          <w:tcPr>
            <w:tcW w:w="873" w:type="dxa"/>
            <w:noWrap w:val="0"/>
            <w:vAlign w:val="center"/>
          </w:tcPr>
          <w:p w14:paraId="4505000A">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1422" w:type="dxa"/>
            <w:noWrap w:val="0"/>
            <w:vAlign w:val="top"/>
          </w:tcPr>
          <w:p w14:paraId="23C11501">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0E9A6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D3ABD41">
            <w:pPr>
              <w:pStyle w:val="7"/>
              <w:rPr>
                <w:rFonts w:hint="eastAsia" w:ascii="宋体" w:hAnsi="宋体" w:eastAsia="宋体" w:cs="宋体"/>
                <w:color w:val="000000" w:themeColor="text1"/>
                <w14:textFill>
                  <w14:solidFill>
                    <w14:schemeClr w14:val="tx1"/>
                  </w14:solidFill>
                </w14:textFill>
              </w:rPr>
            </w:pPr>
          </w:p>
        </w:tc>
        <w:tc>
          <w:tcPr>
            <w:tcW w:w="1079" w:type="dxa"/>
            <w:vMerge w:val="restart"/>
            <w:tcBorders>
              <w:top w:val="single" w:color="auto" w:sz="4" w:space="0"/>
              <w:bottom w:val="single" w:color="auto" w:sz="4" w:space="0"/>
            </w:tcBorders>
            <w:noWrap w:val="0"/>
            <w:vAlign w:val="top"/>
          </w:tcPr>
          <w:p w14:paraId="56F78DC8">
            <w:pPr>
              <w:spacing w:before="33" w:line="226" w:lineRule="auto"/>
              <w:ind w:left="252"/>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满意度</w:t>
            </w:r>
          </w:p>
          <w:p w14:paraId="6E426FE0">
            <w:pPr>
              <w:spacing w:before="26" w:line="226" w:lineRule="auto"/>
              <w:ind w:left="346"/>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指标</w:t>
            </w:r>
          </w:p>
          <w:p w14:paraId="22E0B77B">
            <w:pPr>
              <w:spacing w:before="27" w:line="213" w:lineRule="auto"/>
              <w:ind w:left="115"/>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3"/>
                <w:sz w:val="19"/>
                <w:szCs w:val="19"/>
                <w14:textFill>
                  <w14:solidFill>
                    <w14:schemeClr w14:val="tx1"/>
                  </w14:solidFill>
                </w14:textFill>
              </w:rPr>
              <w:t>（10分）</w:t>
            </w:r>
          </w:p>
        </w:tc>
        <w:tc>
          <w:tcPr>
            <w:tcW w:w="955" w:type="dxa"/>
            <w:vMerge w:val="restart"/>
            <w:tcBorders>
              <w:top w:val="single" w:color="auto" w:sz="4" w:space="0"/>
              <w:bottom w:val="single" w:color="auto" w:sz="4" w:space="0"/>
            </w:tcBorders>
            <w:noWrap w:val="0"/>
            <w:vAlign w:val="top"/>
          </w:tcPr>
          <w:p w14:paraId="087FBF5B">
            <w:pPr>
              <w:spacing w:before="110" w:line="226" w:lineRule="auto"/>
              <w:ind w:left="12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7"/>
                <w:sz w:val="19"/>
                <w:szCs w:val="19"/>
                <w14:textFill>
                  <w14:solidFill>
                    <w14:schemeClr w14:val="tx1"/>
                  </w14:solidFill>
                </w14:textFill>
              </w:rPr>
              <w:t>服务对象</w:t>
            </w:r>
          </w:p>
          <w:p w14:paraId="54947C02">
            <w:pPr>
              <w:spacing w:before="7" w:line="226" w:lineRule="auto"/>
              <w:ind w:left="129"/>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5"/>
                <w:sz w:val="19"/>
                <w:szCs w:val="19"/>
                <w14:textFill>
                  <w14:solidFill>
                    <w14:schemeClr w14:val="tx1"/>
                  </w14:solidFill>
                </w14:textFill>
              </w:rPr>
              <w:t>满意度指</w:t>
            </w:r>
          </w:p>
          <w:p w14:paraId="0C364E28">
            <w:pPr>
              <w:spacing w:before="7" w:line="226" w:lineRule="auto"/>
              <w:ind w:left="419" w:leftChars="0"/>
              <w:rPr>
                <w:rFonts w:hint="eastAsia"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2"/>
                <w:sz w:val="19"/>
                <w:szCs w:val="19"/>
                <w14:textFill>
                  <w14:solidFill>
                    <w14:schemeClr w14:val="tx1"/>
                  </w14:solidFill>
                </w14:textFill>
              </w:rPr>
              <w:t>标</w:t>
            </w:r>
          </w:p>
        </w:tc>
        <w:tc>
          <w:tcPr>
            <w:tcW w:w="1244" w:type="dxa"/>
            <w:noWrap w:val="0"/>
            <w:vAlign w:val="center"/>
          </w:tcPr>
          <w:p w14:paraId="7BB0CC7E">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监管对象满意度</w:t>
            </w:r>
          </w:p>
        </w:tc>
        <w:tc>
          <w:tcPr>
            <w:tcW w:w="1244" w:type="dxa"/>
            <w:noWrap w:val="0"/>
            <w:vAlign w:val="center"/>
          </w:tcPr>
          <w:p w14:paraId="6C21BC93">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85%</w:t>
            </w:r>
          </w:p>
        </w:tc>
        <w:tc>
          <w:tcPr>
            <w:tcW w:w="1281" w:type="dxa"/>
            <w:noWrap w:val="0"/>
            <w:vAlign w:val="center"/>
          </w:tcPr>
          <w:p w14:paraId="538606CE">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80%</w:t>
            </w:r>
          </w:p>
        </w:tc>
        <w:tc>
          <w:tcPr>
            <w:tcW w:w="673" w:type="dxa"/>
            <w:noWrap w:val="0"/>
            <w:vAlign w:val="center"/>
          </w:tcPr>
          <w:p w14:paraId="7D8C0553">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5</w:t>
            </w:r>
          </w:p>
        </w:tc>
        <w:tc>
          <w:tcPr>
            <w:tcW w:w="873" w:type="dxa"/>
            <w:noWrap w:val="0"/>
            <w:vAlign w:val="center"/>
          </w:tcPr>
          <w:p w14:paraId="433363E0">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4</w:t>
            </w:r>
          </w:p>
        </w:tc>
        <w:tc>
          <w:tcPr>
            <w:tcW w:w="1422" w:type="dxa"/>
            <w:noWrap w:val="0"/>
            <w:vAlign w:val="top"/>
          </w:tcPr>
          <w:p w14:paraId="118C3836">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07859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 w:hRule="atLeast"/>
        </w:trPr>
        <w:tc>
          <w:tcPr>
            <w:tcW w:w="1084" w:type="dxa"/>
            <w:vMerge w:val="continue"/>
            <w:tcBorders>
              <w:top w:val="nil"/>
              <w:bottom w:val="nil"/>
            </w:tcBorders>
            <w:noWrap w:val="0"/>
            <w:textDirection w:val="tbRlV"/>
            <w:vAlign w:val="top"/>
          </w:tcPr>
          <w:p w14:paraId="385224D5">
            <w:pPr>
              <w:pStyle w:val="7"/>
              <w:rPr>
                <w:rFonts w:hint="eastAsia" w:ascii="宋体" w:hAnsi="宋体" w:eastAsia="宋体" w:cs="宋体"/>
                <w:color w:val="000000" w:themeColor="text1"/>
                <w14:textFill>
                  <w14:solidFill>
                    <w14:schemeClr w14:val="tx1"/>
                  </w14:solidFill>
                </w14:textFill>
              </w:rPr>
            </w:pPr>
          </w:p>
        </w:tc>
        <w:tc>
          <w:tcPr>
            <w:tcW w:w="1079" w:type="dxa"/>
            <w:vMerge w:val="continue"/>
            <w:tcBorders>
              <w:top w:val="single" w:color="auto" w:sz="4" w:space="0"/>
              <w:bottom w:val="single" w:color="auto" w:sz="4" w:space="0"/>
            </w:tcBorders>
            <w:noWrap w:val="0"/>
            <w:vAlign w:val="top"/>
          </w:tcPr>
          <w:p w14:paraId="3DDFB4B0">
            <w:pPr>
              <w:pStyle w:val="7"/>
              <w:rPr>
                <w:rFonts w:hint="eastAsia" w:ascii="宋体" w:hAnsi="宋体" w:eastAsia="宋体" w:cs="宋体"/>
                <w:color w:val="000000" w:themeColor="text1"/>
                <w14:textFill>
                  <w14:solidFill>
                    <w14:schemeClr w14:val="tx1"/>
                  </w14:solidFill>
                </w14:textFill>
              </w:rPr>
            </w:pPr>
          </w:p>
        </w:tc>
        <w:tc>
          <w:tcPr>
            <w:tcW w:w="955" w:type="dxa"/>
            <w:vMerge w:val="continue"/>
            <w:tcBorders>
              <w:top w:val="single" w:color="auto" w:sz="4" w:space="0"/>
              <w:bottom w:val="single" w:color="auto" w:sz="4" w:space="0"/>
            </w:tcBorders>
            <w:noWrap w:val="0"/>
            <w:vAlign w:val="top"/>
          </w:tcPr>
          <w:p w14:paraId="55CD1C78">
            <w:pPr>
              <w:pStyle w:val="7"/>
              <w:rPr>
                <w:rFonts w:hint="eastAsia" w:ascii="宋体" w:hAnsi="宋体" w:eastAsia="宋体" w:cs="宋体"/>
                <w:color w:val="000000" w:themeColor="text1"/>
                <w14:textFill>
                  <w14:solidFill>
                    <w14:schemeClr w14:val="tx1"/>
                  </w14:solidFill>
                </w14:textFill>
              </w:rPr>
            </w:pPr>
          </w:p>
        </w:tc>
        <w:tc>
          <w:tcPr>
            <w:tcW w:w="1244" w:type="dxa"/>
            <w:noWrap w:val="0"/>
            <w:vAlign w:val="center"/>
          </w:tcPr>
          <w:p w14:paraId="5EE86FB4">
            <w:pPr>
              <w:keepNext w:val="0"/>
              <w:keepLines w:val="0"/>
              <w:widowControl/>
              <w:suppressLineNumbers w:val="0"/>
              <w:jc w:val="left"/>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群众满意度</w:t>
            </w:r>
          </w:p>
        </w:tc>
        <w:tc>
          <w:tcPr>
            <w:tcW w:w="1244" w:type="dxa"/>
            <w:noWrap w:val="0"/>
            <w:vAlign w:val="center"/>
          </w:tcPr>
          <w:p w14:paraId="7ACD3B2D">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85%</w:t>
            </w:r>
          </w:p>
        </w:tc>
        <w:tc>
          <w:tcPr>
            <w:tcW w:w="1281" w:type="dxa"/>
            <w:noWrap w:val="0"/>
            <w:vAlign w:val="center"/>
          </w:tcPr>
          <w:p w14:paraId="186DBDC0">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80%</w:t>
            </w:r>
          </w:p>
        </w:tc>
        <w:tc>
          <w:tcPr>
            <w:tcW w:w="673" w:type="dxa"/>
            <w:noWrap w:val="0"/>
            <w:vAlign w:val="center"/>
          </w:tcPr>
          <w:p w14:paraId="34AB104A">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5</w:t>
            </w:r>
          </w:p>
        </w:tc>
        <w:tc>
          <w:tcPr>
            <w:tcW w:w="873" w:type="dxa"/>
            <w:noWrap w:val="0"/>
            <w:vAlign w:val="center"/>
          </w:tcPr>
          <w:p w14:paraId="10E6DC64">
            <w:pPr>
              <w:keepNext w:val="0"/>
              <w:keepLines w:val="0"/>
              <w:widowControl/>
              <w:suppressLineNumbers w:val="0"/>
              <w:jc w:val="center"/>
              <w:textAlignment w:val="center"/>
              <w:rPr>
                <w:rFonts w:hint="eastAsia" w:ascii="宋体" w:hAnsi="宋体" w:eastAsia="宋体" w:cs="宋体"/>
                <w:color w:val="000000" w:themeColor="text1"/>
                <w:sz w:val="19"/>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4</w:t>
            </w:r>
          </w:p>
        </w:tc>
        <w:tc>
          <w:tcPr>
            <w:tcW w:w="1422" w:type="dxa"/>
            <w:noWrap w:val="0"/>
            <w:vAlign w:val="top"/>
          </w:tcPr>
          <w:p w14:paraId="38C3D60E">
            <w:pPr>
              <w:pStyle w:val="7"/>
              <w:spacing w:line="225" w:lineRule="exact"/>
              <w:rPr>
                <w:rFonts w:hint="eastAsia" w:ascii="宋体" w:hAnsi="宋体" w:eastAsia="宋体" w:cs="宋体"/>
                <w:color w:val="000000" w:themeColor="text1"/>
                <w:sz w:val="19"/>
                <w14:textFill>
                  <w14:solidFill>
                    <w14:schemeClr w14:val="tx1"/>
                  </w14:solidFill>
                </w14:textFill>
              </w:rPr>
            </w:pPr>
          </w:p>
        </w:tc>
      </w:tr>
      <w:tr w14:paraId="19D87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7DDE4EE1">
            <w:pPr>
              <w:spacing w:before="36" w:line="216" w:lineRule="auto"/>
              <w:ind w:left="3263"/>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1"/>
                <w:sz w:val="19"/>
                <w:szCs w:val="19"/>
                <w14:textFill>
                  <w14:solidFill>
                    <w14:schemeClr w14:val="tx1"/>
                  </w14:solidFill>
                </w14:textFill>
              </w:rPr>
              <w:t>总分</w:t>
            </w:r>
          </w:p>
        </w:tc>
        <w:tc>
          <w:tcPr>
            <w:tcW w:w="673" w:type="dxa"/>
            <w:noWrap w:val="0"/>
            <w:vAlign w:val="top"/>
          </w:tcPr>
          <w:p w14:paraId="52FFC737">
            <w:pPr>
              <w:spacing w:before="67" w:line="195" w:lineRule="auto"/>
              <w:ind w:left="208"/>
              <w:rPr>
                <w:rFonts w:hint="eastAsia" w:ascii="宋体" w:hAnsi="宋体" w:eastAsia="宋体" w:cs="宋体"/>
                <w:color w:val="000000" w:themeColor="text1"/>
                <w:sz w:val="19"/>
                <w:szCs w:val="19"/>
                <w14:textFill>
                  <w14:solidFill>
                    <w14:schemeClr w14:val="tx1"/>
                  </w14:solidFill>
                </w14:textFill>
              </w:rPr>
            </w:pPr>
            <w:r>
              <w:rPr>
                <w:rFonts w:hint="eastAsia" w:ascii="宋体" w:hAnsi="宋体" w:eastAsia="宋体" w:cs="宋体"/>
                <w:color w:val="000000" w:themeColor="text1"/>
                <w:spacing w:val="-4"/>
                <w:sz w:val="19"/>
                <w:szCs w:val="19"/>
                <w14:textFill>
                  <w14:solidFill>
                    <w14:schemeClr w14:val="tx1"/>
                  </w14:solidFill>
                </w14:textFill>
              </w:rPr>
              <w:t>100</w:t>
            </w:r>
          </w:p>
        </w:tc>
        <w:tc>
          <w:tcPr>
            <w:tcW w:w="873" w:type="dxa"/>
            <w:noWrap w:val="0"/>
            <w:vAlign w:val="top"/>
          </w:tcPr>
          <w:p w14:paraId="4F074E84">
            <w:pPr>
              <w:pStyle w:val="7"/>
              <w:ind w:firstLine="453" w:firstLineChars="0"/>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87</w:t>
            </w:r>
          </w:p>
        </w:tc>
        <w:tc>
          <w:tcPr>
            <w:tcW w:w="1422" w:type="dxa"/>
            <w:noWrap w:val="0"/>
            <w:vAlign w:val="top"/>
          </w:tcPr>
          <w:p w14:paraId="0343E999">
            <w:pPr>
              <w:pStyle w:val="7"/>
              <w:rPr>
                <w:rFonts w:hint="eastAsia" w:ascii="宋体" w:hAnsi="宋体" w:eastAsia="宋体" w:cs="宋体"/>
                <w:color w:val="000000" w:themeColor="text1"/>
                <w14:textFill>
                  <w14:solidFill>
                    <w14:schemeClr w14:val="tx1"/>
                  </w14:solidFill>
                </w14:textFill>
              </w:rPr>
            </w:pPr>
          </w:p>
        </w:tc>
      </w:tr>
    </w:tbl>
    <w:p w14:paraId="3DF7216F">
      <w:pPr>
        <w:keepNext w:val="0"/>
        <w:keepLines w:val="0"/>
        <w:pageBreakBefore w:val="0"/>
        <w:widowControl w:val="0"/>
        <w:kinsoku/>
        <w:wordWrap/>
        <w:overflowPunct/>
        <w:topLinePunct w:val="0"/>
        <w:autoSpaceDE/>
        <w:autoSpaceDN/>
        <w:bidi w:val="0"/>
        <w:adjustRightInd/>
        <w:snapToGrid/>
        <w:jc w:val="left"/>
        <w:textAlignment w:val="auto"/>
        <w:rPr>
          <w:rFonts w:hint="default"/>
          <w:sz w:val="22"/>
          <w:szCs w:val="22"/>
          <w:lang w:val="en-US"/>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方赛</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13471356347</w:t>
      </w:r>
      <w:r>
        <w:rPr>
          <w:rFonts w:hint="eastAsia" w:ascii="宋体" w:hAnsi="宋体" w:eastAsia="宋体" w:cs="宋体"/>
          <w:color w:val="000000"/>
          <w:spacing w:val="0"/>
          <w:position w:val="0"/>
          <w:sz w:val="23"/>
          <w:szCs w:val="23"/>
        </w:rPr>
        <w:t xml:space="preserve">  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2025年7月14日</w:t>
      </w:r>
    </w:p>
    <w:p w14:paraId="3537AAC3">
      <w:pPr>
        <w:spacing w:line="217" w:lineRule="auto"/>
        <w:rPr>
          <w:sz w:val="22"/>
          <w:szCs w:val="22"/>
        </w:rPr>
      </w:pPr>
    </w:p>
    <w:p w14:paraId="0ABF62AC">
      <w:pPr>
        <w:spacing w:before="64" w:line="230" w:lineRule="auto"/>
        <w:rPr>
          <w:rFonts w:ascii="Times New Roman" w:hAnsi="Times New Roman" w:eastAsia="Times New Roman" w:cs="Times New Roman"/>
          <w:sz w:val="31"/>
          <w:szCs w:val="31"/>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ascii="Times New Roman" w:hAnsi="Times New Roman" w:eastAsia="Times New Roman" w:cs="Times New Roman"/>
          <w:spacing w:val="-4"/>
          <w:sz w:val="31"/>
          <w:szCs w:val="31"/>
        </w:rPr>
        <w:t>5</w:t>
      </w:r>
    </w:p>
    <w:p w14:paraId="29E87B71">
      <w:pPr>
        <w:spacing w:line="250" w:lineRule="auto"/>
        <w:rPr>
          <w:rFonts w:ascii="Arial"/>
          <w:sz w:val="21"/>
        </w:rPr>
      </w:pPr>
    </w:p>
    <w:p w14:paraId="46335722">
      <w:pPr>
        <w:spacing w:line="250" w:lineRule="auto"/>
        <w:rPr>
          <w:rFonts w:ascii="Arial"/>
          <w:sz w:val="21"/>
        </w:rPr>
      </w:pPr>
    </w:p>
    <w:p w14:paraId="3BB31871">
      <w:pPr>
        <w:spacing w:line="250" w:lineRule="auto"/>
        <w:rPr>
          <w:rFonts w:ascii="Arial"/>
          <w:sz w:val="21"/>
        </w:rPr>
      </w:pPr>
    </w:p>
    <w:p w14:paraId="6A75427A">
      <w:pPr>
        <w:spacing w:line="250" w:lineRule="auto"/>
        <w:rPr>
          <w:rFonts w:ascii="Arial"/>
          <w:sz w:val="21"/>
        </w:rPr>
      </w:pPr>
    </w:p>
    <w:p w14:paraId="2B6A5B84">
      <w:pPr>
        <w:spacing w:line="251" w:lineRule="auto"/>
        <w:rPr>
          <w:rFonts w:ascii="Arial"/>
          <w:sz w:val="21"/>
        </w:rPr>
      </w:pPr>
    </w:p>
    <w:p w14:paraId="41A3F9FA">
      <w:pPr>
        <w:spacing w:line="251" w:lineRule="auto"/>
        <w:rPr>
          <w:rFonts w:ascii="Arial"/>
          <w:sz w:val="21"/>
        </w:rPr>
      </w:pPr>
    </w:p>
    <w:p w14:paraId="5D86517B">
      <w:pPr>
        <w:spacing w:line="251" w:lineRule="auto"/>
        <w:rPr>
          <w:rFonts w:ascii="Arial"/>
          <w:sz w:val="21"/>
        </w:rPr>
      </w:pPr>
    </w:p>
    <w:p w14:paraId="33557FD2">
      <w:pPr>
        <w:spacing w:line="251" w:lineRule="auto"/>
        <w:rPr>
          <w:rFonts w:ascii="Arial"/>
          <w:sz w:val="21"/>
        </w:rPr>
      </w:pPr>
    </w:p>
    <w:p w14:paraId="1F4F9362">
      <w:pPr>
        <w:spacing w:line="251" w:lineRule="auto"/>
        <w:rPr>
          <w:rFonts w:ascii="Arial"/>
          <w:sz w:val="21"/>
        </w:rPr>
      </w:pPr>
    </w:p>
    <w:p w14:paraId="210BEF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heme="minorEastAsia" w:hAnsiTheme="minorEastAsia" w:eastAsiaTheme="minorEastAsia" w:cstheme="minorEastAsia"/>
          <w:b w:val="0"/>
          <w:bCs w:val="0"/>
          <w:color w:val="000000"/>
          <w:spacing w:val="2"/>
          <w:sz w:val="42"/>
          <w:szCs w:val="42"/>
          <w:lang w:eastAsia="zh-CN"/>
        </w:rPr>
      </w:pPr>
      <w:r>
        <w:rPr>
          <w:rFonts w:hint="eastAsia" w:asciiTheme="minorEastAsia" w:hAnsiTheme="minorEastAsia" w:eastAsiaTheme="minorEastAsia" w:cstheme="minorEastAsia"/>
          <w:b w:val="0"/>
          <w:bCs w:val="0"/>
          <w:color w:val="000000"/>
          <w:spacing w:val="2"/>
          <w:sz w:val="42"/>
          <w:szCs w:val="42"/>
          <w:lang w:eastAsia="zh-CN"/>
        </w:rPr>
        <w:t>202</w:t>
      </w:r>
      <w:r>
        <w:rPr>
          <w:rFonts w:hint="eastAsia" w:asciiTheme="minorEastAsia" w:hAnsiTheme="minorEastAsia" w:eastAsiaTheme="minorEastAsia" w:cstheme="minorEastAsia"/>
          <w:b w:val="0"/>
          <w:bCs w:val="0"/>
          <w:color w:val="000000"/>
          <w:spacing w:val="2"/>
          <w:sz w:val="42"/>
          <w:szCs w:val="42"/>
          <w:lang w:val="en-US" w:eastAsia="zh-CN"/>
        </w:rPr>
        <w:t>4</w:t>
      </w:r>
      <w:r>
        <w:rPr>
          <w:rFonts w:hint="eastAsia" w:asciiTheme="minorEastAsia" w:hAnsiTheme="minorEastAsia" w:eastAsiaTheme="minorEastAsia" w:cstheme="minorEastAsia"/>
          <w:b w:val="0"/>
          <w:bCs w:val="0"/>
          <w:color w:val="000000"/>
          <w:spacing w:val="2"/>
          <w:sz w:val="42"/>
          <w:szCs w:val="42"/>
          <w:lang w:eastAsia="zh-CN"/>
        </w:rPr>
        <w:t xml:space="preserve"> 年度</w:t>
      </w:r>
      <w:r>
        <w:rPr>
          <w:rFonts w:hint="eastAsia" w:asciiTheme="minorEastAsia" w:hAnsiTheme="minorEastAsia" w:eastAsiaTheme="minorEastAsia" w:cstheme="minorEastAsia"/>
          <w:b w:val="0"/>
          <w:bCs w:val="0"/>
          <w:color w:val="000000"/>
          <w:spacing w:val="2"/>
          <w:sz w:val="42"/>
          <w:szCs w:val="42"/>
          <w:lang w:val="en-US" w:eastAsia="zh-CN"/>
        </w:rPr>
        <w:t>岳阳市岳阳楼区城市管理和综合执法局</w:t>
      </w:r>
      <w:r>
        <w:rPr>
          <w:rFonts w:hint="eastAsia" w:asciiTheme="minorEastAsia" w:hAnsiTheme="minorEastAsia" w:eastAsiaTheme="minorEastAsia" w:cstheme="minorEastAsia"/>
          <w:b w:val="0"/>
          <w:bCs w:val="0"/>
          <w:color w:val="000000"/>
          <w:spacing w:val="2"/>
          <w:sz w:val="42"/>
          <w:szCs w:val="42"/>
          <w:lang w:eastAsia="zh-CN"/>
        </w:rPr>
        <w:t>整体支出绩效自评报告</w:t>
      </w:r>
    </w:p>
    <w:p w14:paraId="450FB9BB">
      <w:pPr>
        <w:spacing w:line="243" w:lineRule="auto"/>
        <w:rPr>
          <w:rFonts w:hint="eastAsia" w:asciiTheme="minorEastAsia" w:hAnsiTheme="minorEastAsia" w:eastAsiaTheme="minorEastAsia" w:cstheme="minorEastAsia"/>
          <w:sz w:val="21"/>
        </w:rPr>
      </w:pPr>
    </w:p>
    <w:p w14:paraId="66E298ED">
      <w:pPr>
        <w:spacing w:line="243" w:lineRule="auto"/>
        <w:rPr>
          <w:rFonts w:hint="eastAsia" w:asciiTheme="minorEastAsia" w:hAnsiTheme="minorEastAsia" w:eastAsiaTheme="minorEastAsia" w:cstheme="minorEastAsia"/>
          <w:sz w:val="21"/>
        </w:rPr>
      </w:pPr>
    </w:p>
    <w:p w14:paraId="77191D4D">
      <w:pPr>
        <w:spacing w:line="243" w:lineRule="auto"/>
        <w:rPr>
          <w:rFonts w:hint="eastAsia" w:asciiTheme="minorEastAsia" w:hAnsiTheme="minorEastAsia" w:eastAsiaTheme="minorEastAsia" w:cstheme="minorEastAsia"/>
          <w:sz w:val="21"/>
        </w:rPr>
      </w:pPr>
    </w:p>
    <w:p w14:paraId="1D3D4DBC">
      <w:pPr>
        <w:spacing w:line="243" w:lineRule="auto"/>
        <w:rPr>
          <w:rFonts w:ascii="Arial"/>
          <w:sz w:val="21"/>
        </w:rPr>
      </w:pPr>
    </w:p>
    <w:p w14:paraId="14CF7D0E">
      <w:pPr>
        <w:spacing w:line="243" w:lineRule="auto"/>
        <w:rPr>
          <w:rFonts w:ascii="Arial"/>
          <w:sz w:val="21"/>
        </w:rPr>
      </w:pPr>
    </w:p>
    <w:p w14:paraId="605E7947">
      <w:pPr>
        <w:spacing w:line="243" w:lineRule="auto"/>
        <w:rPr>
          <w:rFonts w:ascii="Arial"/>
          <w:sz w:val="21"/>
        </w:rPr>
      </w:pPr>
    </w:p>
    <w:p w14:paraId="596B49BB">
      <w:pPr>
        <w:spacing w:line="243" w:lineRule="auto"/>
        <w:rPr>
          <w:rFonts w:ascii="Arial"/>
          <w:sz w:val="21"/>
        </w:rPr>
      </w:pPr>
    </w:p>
    <w:p w14:paraId="3C77FFAC">
      <w:pPr>
        <w:spacing w:line="243" w:lineRule="auto"/>
        <w:rPr>
          <w:rFonts w:ascii="Arial"/>
          <w:sz w:val="21"/>
        </w:rPr>
      </w:pPr>
    </w:p>
    <w:p w14:paraId="4E2BF654">
      <w:pPr>
        <w:spacing w:line="243" w:lineRule="auto"/>
        <w:rPr>
          <w:rFonts w:ascii="Arial"/>
          <w:sz w:val="21"/>
        </w:rPr>
      </w:pPr>
    </w:p>
    <w:p w14:paraId="70DFF9FF">
      <w:pPr>
        <w:spacing w:line="243" w:lineRule="auto"/>
        <w:rPr>
          <w:rFonts w:ascii="Arial"/>
          <w:sz w:val="21"/>
        </w:rPr>
      </w:pPr>
    </w:p>
    <w:p w14:paraId="3C5DFF09">
      <w:pPr>
        <w:spacing w:line="243" w:lineRule="auto"/>
        <w:rPr>
          <w:rFonts w:ascii="Arial"/>
          <w:sz w:val="21"/>
        </w:rPr>
      </w:pPr>
    </w:p>
    <w:p w14:paraId="4D45EC15">
      <w:pPr>
        <w:spacing w:line="243" w:lineRule="auto"/>
        <w:rPr>
          <w:rFonts w:ascii="Arial"/>
          <w:sz w:val="21"/>
        </w:rPr>
      </w:pPr>
    </w:p>
    <w:p w14:paraId="67AECDAD">
      <w:pPr>
        <w:spacing w:line="243" w:lineRule="auto"/>
        <w:rPr>
          <w:rFonts w:ascii="Arial"/>
          <w:sz w:val="21"/>
        </w:rPr>
      </w:pPr>
    </w:p>
    <w:p w14:paraId="4077910E">
      <w:pPr>
        <w:spacing w:line="243" w:lineRule="auto"/>
        <w:rPr>
          <w:rFonts w:ascii="Arial"/>
          <w:sz w:val="21"/>
        </w:rPr>
      </w:pPr>
    </w:p>
    <w:p w14:paraId="2A42A45B">
      <w:pPr>
        <w:spacing w:line="243" w:lineRule="auto"/>
        <w:rPr>
          <w:rFonts w:ascii="Arial"/>
          <w:sz w:val="21"/>
        </w:rPr>
      </w:pPr>
    </w:p>
    <w:p w14:paraId="48CB6C51">
      <w:pPr>
        <w:spacing w:line="243" w:lineRule="auto"/>
        <w:rPr>
          <w:rFonts w:ascii="Arial"/>
          <w:sz w:val="21"/>
        </w:rPr>
      </w:pPr>
    </w:p>
    <w:p w14:paraId="2CA18D51">
      <w:pPr>
        <w:spacing w:line="243" w:lineRule="auto"/>
        <w:rPr>
          <w:rFonts w:ascii="Arial"/>
          <w:sz w:val="21"/>
        </w:rPr>
      </w:pPr>
    </w:p>
    <w:p w14:paraId="378EB286">
      <w:pPr>
        <w:spacing w:line="243" w:lineRule="auto"/>
        <w:rPr>
          <w:rFonts w:ascii="Arial"/>
          <w:sz w:val="21"/>
        </w:rPr>
      </w:pPr>
    </w:p>
    <w:p w14:paraId="0586CD24">
      <w:pPr>
        <w:spacing w:line="243" w:lineRule="auto"/>
        <w:rPr>
          <w:rFonts w:ascii="Arial"/>
          <w:sz w:val="21"/>
        </w:rPr>
      </w:pPr>
    </w:p>
    <w:p w14:paraId="61497CFD">
      <w:pPr>
        <w:spacing w:line="243" w:lineRule="auto"/>
        <w:rPr>
          <w:rFonts w:ascii="Arial"/>
          <w:sz w:val="21"/>
        </w:rPr>
      </w:pPr>
    </w:p>
    <w:p w14:paraId="192643A7">
      <w:pPr>
        <w:spacing w:line="243" w:lineRule="auto"/>
        <w:rPr>
          <w:rFonts w:ascii="Arial"/>
          <w:sz w:val="21"/>
        </w:rPr>
      </w:pPr>
    </w:p>
    <w:p w14:paraId="610AAB8D">
      <w:pPr>
        <w:spacing w:line="243" w:lineRule="auto"/>
        <w:rPr>
          <w:rFonts w:ascii="Arial"/>
          <w:sz w:val="21"/>
        </w:rPr>
      </w:pPr>
    </w:p>
    <w:p w14:paraId="08F1FABF">
      <w:pPr>
        <w:spacing w:line="243" w:lineRule="auto"/>
        <w:rPr>
          <w:rFonts w:ascii="Arial"/>
          <w:sz w:val="21"/>
        </w:rPr>
      </w:pPr>
    </w:p>
    <w:p w14:paraId="4F3665DD">
      <w:pPr>
        <w:spacing w:line="243" w:lineRule="auto"/>
        <w:rPr>
          <w:rFonts w:ascii="Arial"/>
          <w:sz w:val="21"/>
        </w:rPr>
      </w:pPr>
    </w:p>
    <w:p w14:paraId="18CDF9C1">
      <w:pPr>
        <w:spacing w:line="243" w:lineRule="auto"/>
        <w:rPr>
          <w:rFonts w:ascii="Arial"/>
          <w:sz w:val="21"/>
        </w:rPr>
      </w:pPr>
    </w:p>
    <w:p w14:paraId="649C9C7E">
      <w:pPr>
        <w:spacing w:line="244" w:lineRule="auto"/>
        <w:rPr>
          <w:rFonts w:ascii="Arial"/>
          <w:sz w:val="21"/>
        </w:rPr>
      </w:pPr>
    </w:p>
    <w:p w14:paraId="206049FA">
      <w:pPr>
        <w:spacing w:line="244" w:lineRule="auto"/>
        <w:rPr>
          <w:rFonts w:ascii="Arial"/>
          <w:sz w:val="21"/>
        </w:rPr>
      </w:pPr>
    </w:p>
    <w:p w14:paraId="7976A937">
      <w:pPr>
        <w:pStyle w:val="2"/>
        <w:spacing w:before="100" w:line="221" w:lineRule="auto"/>
        <w:ind w:firstLine="330" w:firstLineChars="100"/>
        <w:jc w:val="both"/>
      </w:pPr>
      <w:r>
        <w:rPr>
          <w:spacing w:val="-10"/>
        </w:rPr>
        <w:t>部门（单位）名称</w:t>
      </w:r>
      <w:r>
        <w:rPr>
          <w:spacing w:val="4"/>
        </w:rPr>
        <w:t>：</w:t>
      </w:r>
      <w:r>
        <w:rPr>
          <w:spacing w:val="-118"/>
        </w:rPr>
        <w:t xml:space="preserve"> </w:t>
      </w:r>
      <w:r>
        <w:rPr>
          <w:spacing w:val="-75"/>
          <w:u w:val="single" w:color="auto"/>
        </w:rPr>
        <w:t xml:space="preserve"> </w:t>
      </w:r>
      <w:r>
        <w:rPr>
          <w:rFonts w:hint="eastAsia"/>
          <w:u w:val="single" w:color="auto"/>
          <w:lang w:val="en-US" w:eastAsia="zh-CN"/>
        </w:rPr>
        <w:t>岳阳楼区城市管理和综合执法局</w:t>
      </w:r>
    </w:p>
    <w:p w14:paraId="538EE07D">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14</w:t>
      </w:r>
      <w:r>
        <w:rPr>
          <w:rFonts w:ascii="楷体" w:hAnsi="楷体" w:eastAsia="楷体" w:cs="楷体"/>
          <w:spacing w:val="43"/>
          <w:sz w:val="31"/>
          <w:szCs w:val="31"/>
        </w:rPr>
        <w:t xml:space="preserve"> </w:t>
      </w:r>
      <w:r>
        <w:rPr>
          <w:rFonts w:ascii="楷体" w:hAnsi="楷体" w:eastAsia="楷体" w:cs="楷体"/>
          <w:spacing w:val="-8"/>
          <w:sz w:val="31"/>
          <w:szCs w:val="31"/>
        </w:rPr>
        <w:t>日</w:t>
      </w:r>
    </w:p>
    <w:p w14:paraId="54789DF3">
      <w:pPr>
        <w:spacing w:line="335" w:lineRule="auto"/>
        <w:rPr>
          <w:rFonts w:ascii="Arial"/>
          <w:sz w:val="21"/>
        </w:rPr>
      </w:pPr>
    </w:p>
    <w:p w14:paraId="3BFDEB97">
      <w:pPr>
        <w:spacing w:line="224" w:lineRule="auto"/>
        <w:sectPr>
          <w:footerReference r:id="rId6" w:type="default"/>
          <w:pgSz w:w="11900" w:h="16833"/>
          <w:pgMar w:top="1401" w:right="1583" w:bottom="1445" w:left="1618" w:header="0" w:footer="1170" w:gutter="0"/>
          <w:pgNumType w:fmt="decimal"/>
          <w:cols w:space="720" w:num="1"/>
        </w:sectPr>
      </w:pPr>
    </w:p>
    <w:p w14:paraId="44837B9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宋体" w:hAnsi="宋体" w:eastAsia="宋体" w:cs="宋体"/>
          <w:sz w:val="44"/>
          <w:szCs w:val="44"/>
        </w:rPr>
      </w:pPr>
      <w:r>
        <w:rPr>
          <w:rFonts w:hint="eastAsia" w:ascii="宋体" w:hAnsi="宋体" w:eastAsia="宋体" w:cs="宋体"/>
          <w:spacing w:val="6"/>
          <w:sz w:val="44"/>
          <w:szCs w:val="44"/>
        </w:rPr>
        <w:t>202</w:t>
      </w:r>
      <w:r>
        <w:rPr>
          <w:rFonts w:hint="eastAsia" w:ascii="宋体" w:hAnsi="宋体" w:eastAsia="宋体" w:cs="宋体"/>
          <w:spacing w:val="6"/>
          <w:sz w:val="44"/>
          <w:szCs w:val="44"/>
          <w:lang w:val="en-US" w:eastAsia="zh-CN"/>
        </w:rPr>
        <w:t>4</w:t>
      </w:r>
      <w:r>
        <w:rPr>
          <w:rFonts w:hint="eastAsia" w:ascii="宋体" w:hAnsi="宋体" w:eastAsia="宋体" w:cs="宋体"/>
          <w:spacing w:val="6"/>
          <w:sz w:val="44"/>
          <w:szCs w:val="44"/>
        </w:rPr>
        <w:t>年度</w:t>
      </w:r>
      <w:r>
        <w:rPr>
          <w:rFonts w:hint="eastAsia" w:ascii="宋体" w:hAnsi="宋体" w:eastAsia="宋体" w:cs="宋体"/>
          <w:spacing w:val="6"/>
          <w:sz w:val="44"/>
          <w:szCs w:val="44"/>
          <w:lang w:val="en-US" w:eastAsia="zh-CN"/>
        </w:rPr>
        <w:t>岳阳市岳阳楼区城市管理和综合执法局</w:t>
      </w:r>
      <w:r>
        <w:rPr>
          <w:rFonts w:hint="eastAsia" w:ascii="宋体" w:hAnsi="宋体" w:eastAsia="宋体" w:cs="宋体"/>
          <w:spacing w:val="6"/>
          <w:sz w:val="44"/>
          <w:szCs w:val="44"/>
        </w:rPr>
        <w:t>整体支出</w:t>
      </w:r>
      <w:r>
        <w:rPr>
          <w:rFonts w:hint="eastAsia" w:ascii="宋体" w:hAnsi="宋体" w:eastAsia="宋体" w:cs="宋体"/>
          <w:spacing w:val="7"/>
          <w:sz w:val="44"/>
          <w:szCs w:val="44"/>
        </w:rPr>
        <w:t>绩效自评报告</w:t>
      </w:r>
    </w:p>
    <w:p w14:paraId="5429F4B4">
      <w:pPr>
        <w:spacing w:line="283" w:lineRule="auto"/>
        <w:rPr>
          <w:rFonts w:ascii="Arial"/>
          <w:sz w:val="21"/>
        </w:rPr>
      </w:pPr>
    </w:p>
    <w:p w14:paraId="551648E0">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6BD9B848">
      <w:pPr>
        <w:widowControl/>
        <w:shd w:val="clear" w:color="auto" w:fill="FFFFFF"/>
        <w:spacing w:before="0" w:beforeAutospacing="0" w:after="0" w:afterAutospacing="0" w:line="480" w:lineRule="auto"/>
        <w:ind w:firstLine="472" w:firstLineChars="147"/>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b/>
          <w:bCs/>
          <w:color w:val="333333"/>
          <w:kern w:val="0"/>
          <w:sz w:val="32"/>
          <w:szCs w:val="32"/>
          <w:lang w:val="en-US" w:eastAsia="zh-CN" w:bidi="ar-SA"/>
        </w:rPr>
        <w:t>（一）职能职责</w:t>
      </w:r>
    </w:p>
    <w:p w14:paraId="06FBE154">
      <w:pPr>
        <w:widowControl/>
        <w:shd w:val="clear" w:color="auto" w:fill="FFFFFF"/>
        <w:spacing w:before="0" w:beforeAutospacing="0" w:after="0" w:afterAutospacing="0" w:line="480" w:lineRule="auto"/>
        <w:ind w:firstLine="640" w:firstLineChars="200"/>
        <w:jc w:val="both"/>
        <w:textAlignment w:val="center"/>
        <w:rPr>
          <w:rFonts w:hint="eastAsia"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1、贯彻执行国家和地方关于城市管理和城市管理行政执法的政策、法规，拟订规范性文件、措施，拟订岳阳楼区城市管理、城市管理行政执法及发展战略和发展规划，并负责组织实施。</w:t>
      </w:r>
    </w:p>
    <w:p w14:paraId="38EF46FC">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2、负责与城市管理相关单位的工作联系；对全区相关街道（乡）城市管理工作进行业务指导；参与城市管理规划设计评审和公用基础工程设施规划设计审查及竣工验收。</w:t>
      </w:r>
    </w:p>
    <w:p w14:paraId="308E2C43">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3、负责全区市政公用事业和市政管理行业的企业、社会团体和个人的资质管理；负责全区（除市城市管理和行政执法局直管路段外）城市“两车一废”（洗车店、修车店、废品收购店）法人的市场准入审批和公用事业特许经营管理。</w:t>
      </w:r>
    </w:p>
    <w:p w14:paraId="460B45C1">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4、负责全区（除市城市管理和行政执法局直管路段外）城市规划范围内户外广告设置审批和管理，行使对违规设置户外广告行为的行政处罚权以及对破坏或残缺等影响市容的广告行为的行政处罚权；负责对庆典、促销、展览、宣传咨询、演出及门店门头、招牌的装饰装修、亮化等活动占用道路、广场等的管理工作。</w:t>
      </w:r>
    </w:p>
    <w:p w14:paraId="1EDB6094">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5、负责“12345”政府热线、“12319”城市管理热线、“市长信箱”关于全区范围内城市管理信息的通报以及市数字城管信息平台关于全区范围内城市管理信息的派单。</w:t>
      </w:r>
    </w:p>
    <w:p w14:paraId="726C7573">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6、负责全区城市管理的综合整治和行政执法，拟订有关管理制度和规定。行使全区市容环境卫生管理方面法律、法规、规章规定的行政处罚权，强制拆除不符合城市容貌标准、环境卫生标准的违法构筑物或设施；行使对出店和占道从事餐饮经营排放油烟，对附近居民的居住环境造成污染的行政处罚权。</w:t>
      </w:r>
    </w:p>
    <w:p w14:paraId="0DD55BFE">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7、负责全区临时占用道路、街道两侧和公共场地、临时挖掘城市道路（包括管线、杆线）的审批；行使对擅自占用或者挖掘城市道路等的行政处罚权。</w:t>
      </w:r>
    </w:p>
    <w:p w14:paraId="6B936549">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8、负责行使对无照商贩和不需办理执照但未进入指定地点摆卖自产蔬菜、农副产品以及虽办理执照但不按规定地点经营乱摆摊担、店外经营、店外作业的商贩的行政处罚权。</w:t>
      </w:r>
    </w:p>
    <w:p w14:paraId="275BFF80">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9、负责行使对任何单位和个人随意倾倒、抛撒、堆放建筑垃圾或者未经核准从事建筑垃圾运输、擅自处置建筑垃圾、将建筑垃圾混入生活垃圾等违规行为的行政处罚权。</w:t>
      </w:r>
    </w:p>
    <w:p w14:paraId="212ABED3">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10、负责依法对全区（除市城市管理和行政执法局直管路段外）人行道的停车进行规范化管理；行使对全区（除市城市管理和行政执法局直管路段外）乱停车辆、当路摆摊设点、堆物作业等占用城市道路行为的行政处罚权。</w:t>
      </w:r>
    </w:p>
    <w:p w14:paraId="5E1E3617">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11、负责组织、协调、监督、管理全区范围内烟花爆竹的燃放；行使对全区范围内违规燃放烟花爆竹的单位和个人行使行政处罚权。</w:t>
      </w:r>
    </w:p>
    <w:p w14:paraId="1079AB80">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12、负责全区城市管理行政执法工作的组织、指挥、检查、监督、协调、宣传以及业务培训、考核工作；负责全区城市管理工作的考评和城市管理行政执法监督协调。</w:t>
      </w:r>
    </w:p>
    <w:p w14:paraId="52315A29">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13、负责本单位、本系统党建党务、思想政治、宣传教育、纪检监察、社会治安综合治理、工会、女工、共青团以及计划生育、精神文明建设、法制建设和行业纠风工作；统一管理、审批、呈报系统内干部调配、机构设置、人员编制、政策性人员安置、人事劳资工作。</w:t>
      </w:r>
    </w:p>
    <w:p w14:paraId="4185728E">
      <w:pPr>
        <w:widowControl/>
        <w:shd w:val="clear" w:color="auto" w:fill="FFFFFF"/>
        <w:spacing w:before="0" w:beforeAutospacing="0" w:after="0" w:afterAutospacing="0" w:line="480" w:lineRule="auto"/>
        <w:ind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14、负责本单位、本系统的信访维稳和安全生产工作。承办区委、区人民政府交办的其他事项。</w:t>
      </w:r>
    </w:p>
    <w:p w14:paraId="7712F43A">
      <w:pPr>
        <w:widowControl/>
        <w:shd w:val="clear" w:color="auto" w:fill="FFFFFF"/>
        <w:spacing w:before="0" w:beforeAutospacing="0" w:after="0" w:afterAutospacing="0" w:line="480" w:lineRule="auto"/>
        <w:ind w:left="99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b/>
          <w:bCs/>
          <w:color w:val="333333"/>
          <w:kern w:val="0"/>
          <w:sz w:val="32"/>
          <w:szCs w:val="32"/>
          <w:lang w:val="en-US" w:eastAsia="zh-CN" w:bidi="ar-SA"/>
        </w:rPr>
        <w:t>(二) 机构设置</w:t>
      </w:r>
    </w:p>
    <w:p w14:paraId="46DB4BE0">
      <w:pPr>
        <w:widowControl/>
        <w:shd w:val="clear" w:color="auto" w:fill="FFFFFF"/>
        <w:spacing w:before="0" w:beforeAutospacing="0" w:after="0" w:afterAutospacing="0" w:line="480" w:lineRule="auto"/>
        <w:ind w:left="160" w:leftChars="76" w:firstLine="640" w:firstLineChars="200"/>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color w:val="333333"/>
          <w:kern w:val="0"/>
          <w:sz w:val="32"/>
          <w:szCs w:val="32"/>
          <w:lang w:val="en-US" w:eastAsia="zh-CN" w:bidi="ar-SA"/>
        </w:rPr>
        <w:t xml:space="preserve"> 我局现有编制人数493，实有人员329人，其中在编人员312人，退休人员17人。局机关内设股室：办公室、计财股、法制股、考评股、政工股、工会、共青团、妇委会、计生办、行政审批办、党建办、宣教办、督查室、停车办、油烟</w:t>
      </w:r>
      <w:r>
        <w:rPr>
          <w:rFonts w:hint="eastAsia" w:ascii="宋体" w:hAnsi="宋体" w:eastAsia="宋体" w:cs="Segoe UI"/>
          <w:color w:val="auto"/>
          <w:kern w:val="0"/>
          <w:sz w:val="32"/>
          <w:szCs w:val="32"/>
          <w:lang w:val="en-US" w:eastAsia="zh-CN" w:bidi="ar-SA"/>
        </w:rPr>
        <w:t>整治办、后勤管理办、非法小广告整治办、市容秩序管理股。我局现设有四个二级机构，均为事业单位性质。 1.岳阳楼区城市管理执法大队， 2.岳阳楼区烟花爆竹管理大队，为正股级公益一类事业单位。在当前全区禁炮工作任务相对减轻的前提下，禁炮大队在自身日常禁炮工作的同时，机动协助、配合全局执法大队进行大规模的集中执法。 3.岳阳楼区城市管理信息中心，为正股级公益一类事业单位。承担全区12345热线、12319热线等信息派单和回复工作。 4. 岳阳楼区燃气安全管理办公室，2017年11月，区交建局将燃气安全管理职能整体移交至我局。2019年3月，按照《岳阳市岳阳楼区承担行政职能事业单位改革实施方案》的要求，</w:t>
      </w:r>
      <w:r>
        <w:rPr>
          <w:rFonts w:hint="eastAsia" w:ascii="宋体" w:hAnsi="宋体" w:eastAsia="宋体" w:cs="Segoe UI"/>
          <w:color w:val="333333"/>
          <w:kern w:val="0"/>
          <w:sz w:val="32"/>
          <w:szCs w:val="32"/>
          <w:lang w:val="en-US" w:eastAsia="zh-CN" w:bidi="ar-SA"/>
        </w:rPr>
        <w:t>将岳阳楼区燃气安全管理办公室更名为岳阳楼区燃气安全服务中心，为正股级公益类事业单位。</w:t>
      </w:r>
    </w:p>
    <w:p w14:paraId="4ADB460F">
      <w:pPr>
        <w:widowControl/>
        <w:shd w:val="clear" w:color="auto" w:fill="FFFFFF"/>
        <w:spacing w:before="0" w:beforeAutospacing="0" w:after="0" w:afterAutospacing="0" w:line="480" w:lineRule="auto"/>
        <w:ind w:firstLine="472" w:firstLineChars="147"/>
        <w:jc w:val="both"/>
        <w:textAlignment w:val="center"/>
        <w:rPr>
          <w:rFonts w:ascii="Segoe UI" w:hAnsi="Segoe UI" w:eastAsia="宋体" w:cs="Segoe UI"/>
          <w:color w:val="333333"/>
          <w:kern w:val="0"/>
          <w:sz w:val="24"/>
          <w:szCs w:val="24"/>
          <w:lang w:val="en-US" w:eastAsia="zh-CN" w:bidi="ar-SA"/>
        </w:rPr>
      </w:pPr>
      <w:r>
        <w:rPr>
          <w:rFonts w:hint="eastAsia" w:ascii="宋体" w:hAnsi="宋体" w:eastAsia="宋体" w:cs="Segoe UI"/>
          <w:b/>
          <w:bCs/>
          <w:color w:val="333333"/>
          <w:kern w:val="0"/>
          <w:sz w:val="32"/>
          <w:szCs w:val="32"/>
          <w:lang w:val="en-US" w:eastAsia="zh-CN" w:bidi="ar-SA"/>
        </w:rPr>
        <w:t>（三）预算单位构成 </w:t>
      </w:r>
    </w:p>
    <w:p w14:paraId="4BBC551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黑体" w:hAnsi="黑体" w:eastAsia="黑体" w:cs="黑体"/>
          <w:spacing w:val="5"/>
          <w:sz w:val="31"/>
          <w:szCs w:val="31"/>
        </w:rPr>
      </w:pPr>
      <w:r>
        <w:rPr>
          <w:rFonts w:hint="eastAsia" w:ascii="宋体" w:hAnsi="宋体" w:eastAsia="宋体" w:cs="Segoe UI"/>
          <w:color w:val="333333"/>
          <w:kern w:val="0"/>
          <w:sz w:val="32"/>
          <w:szCs w:val="32"/>
          <w:lang w:val="en-US" w:eastAsia="zh-CN" w:bidi="ar-SA"/>
        </w:rPr>
        <w:t>本单位下属岳阳市岳阳楼区城市管理综合执法大队、岳阳市岳阳楼区城市管理信息中心、岳阳市岳阳楼区烟花爆竹管理大队、岳阳市岳阳楼区燃气安全服务中心。本次2023年部门预算公开范围为本单位本级和岳阳市岳阳楼区城市管理综合执法大队、岳阳市岳阳楼区城市管理信息中心、岳阳市岳阳楼区烟花爆竹管理大队、岳阳市岳阳楼区燃气安全服务中心。</w:t>
      </w:r>
    </w:p>
    <w:p w14:paraId="5842D42C">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2"/>
          <w:sz w:val="31"/>
          <w:szCs w:val="31"/>
        </w:rPr>
      </w:pPr>
      <w:r>
        <w:rPr>
          <w:rFonts w:ascii="黑体" w:hAnsi="黑体" w:eastAsia="黑体" w:cs="黑体"/>
          <w:spacing w:val="-2"/>
          <w:sz w:val="31"/>
          <w:szCs w:val="31"/>
        </w:rPr>
        <w:t>一般公共预算支出情况</w:t>
      </w:r>
    </w:p>
    <w:p w14:paraId="70E52A9B">
      <w:pPr>
        <w:ind w:firstLine="640" w:firstLineChars="200"/>
        <w:jc w:val="left"/>
        <w:rPr>
          <w:rFonts w:ascii="黑体" w:hAnsi="黑体" w:eastAsia="黑体" w:cs="黑体"/>
          <w:spacing w:val="-2"/>
          <w:sz w:val="31"/>
          <w:szCs w:val="31"/>
        </w:rPr>
      </w:pPr>
      <w:r>
        <w:rPr>
          <w:rFonts w:hint="eastAsia" w:ascii="Calibri" w:hAnsi="Calibri" w:eastAsia="宋体" w:cs="Times New Roman"/>
          <w:color w:val="333333"/>
          <w:sz w:val="32"/>
          <w:szCs w:val="32"/>
          <w:shd w:val="clear" w:color="auto" w:fill="FFFFFF"/>
        </w:rPr>
        <w:t>202</w:t>
      </w:r>
      <w:r>
        <w:rPr>
          <w:rFonts w:hint="eastAsia" w:ascii="Calibri" w:hAnsi="Calibri" w:eastAsia="宋体" w:cs="Times New Roman"/>
          <w:color w:val="333333"/>
          <w:sz w:val="32"/>
          <w:szCs w:val="32"/>
          <w:shd w:val="clear" w:color="auto" w:fill="FFFFFF"/>
          <w:lang w:val="en-US" w:eastAsia="zh-CN"/>
        </w:rPr>
        <w:t>4</w:t>
      </w:r>
      <w:r>
        <w:rPr>
          <w:rFonts w:hint="eastAsia" w:ascii="Calibri" w:hAnsi="Calibri" w:eastAsia="宋体" w:cs="Times New Roman"/>
          <w:color w:val="333333"/>
          <w:sz w:val="32"/>
          <w:szCs w:val="32"/>
          <w:shd w:val="clear" w:color="auto" w:fill="FFFFFF"/>
        </w:rPr>
        <w:t>年一般公共预算拨款支出预算</w:t>
      </w:r>
      <w:r>
        <w:rPr>
          <w:rFonts w:hint="eastAsia" w:ascii="Calibri" w:hAnsi="Calibri" w:eastAsia="宋体" w:cs="Times New Roman"/>
          <w:color w:val="333333"/>
          <w:sz w:val="32"/>
          <w:szCs w:val="32"/>
          <w:shd w:val="clear" w:color="auto" w:fill="FFFFFF"/>
          <w:lang w:val="en-US" w:eastAsia="zh-CN"/>
        </w:rPr>
        <w:t>4513.10</w:t>
      </w:r>
      <w:r>
        <w:rPr>
          <w:rFonts w:hint="eastAsia" w:ascii="Calibri" w:hAnsi="Calibri" w:eastAsia="宋体" w:cs="Times New Roman"/>
          <w:color w:val="333333"/>
          <w:sz w:val="32"/>
          <w:szCs w:val="32"/>
          <w:shd w:val="clear" w:color="auto" w:fill="FFFFFF"/>
        </w:rPr>
        <w:t>万元，其中，社会保障和就业支出</w:t>
      </w:r>
      <w:r>
        <w:rPr>
          <w:rFonts w:hint="eastAsia" w:ascii="Calibri" w:hAnsi="Calibri" w:eastAsia="宋体" w:cs="Times New Roman"/>
          <w:color w:val="333333"/>
          <w:sz w:val="32"/>
          <w:szCs w:val="32"/>
          <w:shd w:val="clear" w:color="auto" w:fill="FFFFFF"/>
          <w:lang w:val="en-US" w:eastAsia="zh-CN"/>
        </w:rPr>
        <w:t>467.51</w:t>
      </w:r>
      <w:r>
        <w:rPr>
          <w:rFonts w:hint="eastAsia" w:ascii="Calibri" w:hAnsi="Calibri" w:eastAsia="宋体" w:cs="Times New Roman"/>
          <w:color w:val="333333"/>
          <w:sz w:val="32"/>
          <w:szCs w:val="32"/>
          <w:shd w:val="clear" w:color="auto" w:fill="FFFFFF"/>
        </w:rPr>
        <w:t>万元，占</w:t>
      </w:r>
      <w:r>
        <w:rPr>
          <w:rFonts w:hint="eastAsia" w:ascii="Calibri" w:hAnsi="Calibri" w:eastAsia="宋体" w:cs="Times New Roman"/>
          <w:color w:val="333333"/>
          <w:sz w:val="32"/>
          <w:szCs w:val="32"/>
          <w:shd w:val="clear" w:color="auto" w:fill="FFFFFF"/>
          <w:lang w:val="en-US" w:eastAsia="zh-CN"/>
        </w:rPr>
        <w:t>10.36</w:t>
      </w:r>
      <w:r>
        <w:rPr>
          <w:rFonts w:hint="eastAsia" w:ascii="Calibri" w:hAnsi="Calibri" w:eastAsia="宋体" w:cs="Times New Roman"/>
          <w:color w:val="333333"/>
          <w:sz w:val="32"/>
          <w:szCs w:val="32"/>
          <w:shd w:val="clear" w:color="auto" w:fill="FFFFFF"/>
        </w:rPr>
        <w:t>%；卫生健康支出</w:t>
      </w:r>
      <w:r>
        <w:rPr>
          <w:rFonts w:hint="eastAsia" w:ascii="Calibri" w:hAnsi="Calibri" w:eastAsia="宋体" w:cs="Times New Roman"/>
          <w:color w:val="333333"/>
          <w:sz w:val="32"/>
          <w:szCs w:val="32"/>
          <w:shd w:val="clear" w:color="auto" w:fill="FFFFFF"/>
          <w:lang w:val="en-US" w:eastAsia="zh-CN"/>
        </w:rPr>
        <w:t>158.03</w:t>
      </w:r>
      <w:r>
        <w:rPr>
          <w:rFonts w:hint="eastAsia" w:ascii="Calibri" w:hAnsi="Calibri" w:eastAsia="宋体" w:cs="Times New Roman"/>
          <w:color w:val="333333"/>
          <w:sz w:val="32"/>
          <w:szCs w:val="32"/>
          <w:shd w:val="clear" w:color="auto" w:fill="FFFFFF"/>
        </w:rPr>
        <w:t>万元，占</w:t>
      </w:r>
      <w:r>
        <w:rPr>
          <w:rFonts w:hint="eastAsia" w:ascii="Calibri" w:hAnsi="Calibri" w:eastAsia="宋体" w:cs="Times New Roman"/>
          <w:color w:val="333333"/>
          <w:sz w:val="32"/>
          <w:szCs w:val="32"/>
          <w:shd w:val="clear" w:color="auto" w:fill="FFFFFF"/>
          <w:lang w:val="en-US" w:eastAsia="zh-CN"/>
        </w:rPr>
        <w:t>3.50</w:t>
      </w:r>
      <w:r>
        <w:rPr>
          <w:rFonts w:hint="eastAsia" w:ascii="Calibri" w:hAnsi="Calibri" w:eastAsia="宋体" w:cs="Times New Roman"/>
          <w:color w:val="333333"/>
          <w:sz w:val="32"/>
          <w:szCs w:val="32"/>
          <w:shd w:val="clear" w:color="auto" w:fill="FFFFFF"/>
        </w:rPr>
        <w:t>%；城乡社区支出</w:t>
      </w:r>
      <w:r>
        <w:rPr>
          <w:rFonts w:hint="eastAsia" w:ascii="Calibri" w:hAnsi="Calibri" w:eastAsia="宋体" w:cs="Times New Roman"/>
          <w:color w:val="333333"/>
          <w:sz w:val="32"/>
          <w:szCs w:val="32"/>
          <w:shd w:val="clear" w:color="auto" w:fill="FFFFFF"/>
          <w:lang w:val="en-US" w:eastAsia="zh-CN"/>
        </w:rPr>
        <w:t>3588.98</w:t>
      </w:r>
      <w:r>
        <w:rPr>
          <w:rFonts w:hint="eastAsia" w:ascii="Calibri" w:hAnsi="Calibri" w:eastAsia="宋体" w:cs="Times New Roman"/>
          <w:color w:val="333333"/>
          <w:sz w:val="32"/>
          <w:szCs w:val="32"/>
          <w:shd w:val="clear" w:color="auto" w:fill="FFFFFF"/>
        </w:rPr>
        <w:t>万元，占</w:t>
      </w:r>
      <w:r>
        <w:rPr>
          <w:rFonts w:hint="eastAsia" w:ascii="Calibri" w:hAnsi="Calibri" w:eastAsia="宋体" w:cs="Times New Roman"/>
          <w:color w:val="333333"/>
          <w:sz w:val="32"/>
          <w:szCs w:val="32"/>
          <w:shd w:val="clear" w:color="auto" w:fill="FFFFFF"/>
          <w:lang w:val="en-US" w:eastAsia="zh-CN"/>
        </w:rPr>
        <w:t>79.52</w:t>
      </w:r>
      <w:r>
        <w:rPr>
          <w:rFonts w:hint="eastAsia" w:ascii="Calibri" w:hAnsi="Calibri" w:eastAsia="宋体" w:cs="Times New Roman"/>
          <w:color w:val="333333"/>
          <w:sz w:val="32"/>
          <w:szCs w:val="32"/>
          <w:shd w:val="clear" w:color="auto" w:fill="FFFFFF"/>
        </w:rPr>
        <w:t>%；住房保障支出</w:t>
      </w:r>
      <w:r>
        <w:rPr>
          <w:rFonts w:hint="eastAsia" w:ascii="Calibri" w:hAnsi="Calibri" w:eastAsia="宋体" w:cs="Times New Roman"/>
          <w:color w:val="333333"/>
          <w:sz w:val="32"/>
          <w:szCs w:val="32"/>
          <w:shd w:val="clear" w:color="auto" w:fill="FFFFFF"/>
          <w:lang w:val="en-US" w:eastAsia="zh-CN"/>
        </w:rPr>
        <w:t>298.58</w:t>
      </w:r>
      <w:r>
        <w:rPr>
          <w:rFonts w:hint="eastAsia" w:ascii="Calibri" w:hAnsi="Calibri" w:eastAsia="宋体" w:cs="Times New Roman"/>
          <w:color w:val="333333"/>
          <w:sz w:val="32"/>
          <w:szCs w:val="32"/>
          <w:shd w:val="clear" w:color="auto" w:fill="FFFFFF"/>
        </w:rPr>
        <w:t>万元，占</w:t>
      </w:r>
      <w:r>
        <w:rPr>
          <w:rFonts w:hint="eastAsia" w:ascii="Calibri" w:hAnsi="Calibri" w:eastAsia="宋体" w:cs="Times New Roman"/>
          <w:color w:val="333333"/>
          <w:sz w:val="32"/>
          <w:szCs w:val="32"/>
          <w:shd w:val="clear" w:color="auto" w:fill="FFFFFF"/>
          <w:lang w:val="en-US" w:eastAsia="zh-CN"/>
        </w:rPr>
        <w:t>6.62</w:t>
      </w:r>
      <w:r>
        <w:rPr>
          <w:rFonts w:hint="eastAsia" w:ascii="Calibri" w:hAnsi="Calibri" w:eastAsia="宋体" w:cs="Times New Roman"/>
          <w:color w:val="333333"/>
          <w:sz w:val="32"/>
          <w:szCs w:val="32"/>
          <w:shd w:val="clear" w:color="auto" w:fill="FFFFFF"/>
        </w:rPr>
        <w:t>%</w:t>
      </w:r>
    </w:p>
    <w:p w14:paraId="1D68687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基本支出情况</w:t>
      </w:r>
    </w:p>
    <w:p w14:paraId="6B74528F">
      <w:pPr>
        <w:ind w:firstLine="640" w:firstLineChars="200"/>
        <w:jc w:val="left"/>
        <w:rPr>
          <w:rFonts w:ascii="楷体" w:hAnsi="楷体" w:eastAsia="楷体" w:cs="楷体"/>
          <w:spacing w:val="9"/>
          <w:position w:val="21"/>
          <w:sz w:val="31"/>
          <w:szCs w:val="31"/>
        </w:rPr>
      </w:pPr>
      <w:r>
        <w:rPr>
          <w:rFonts w:hint="eastAsia" w:ascii="Calibri" w:hAnsi="Calibri" w:eastAsia="宋体" w:cs="Times New Roman"/>
          <w:color w:val="333333"/>
          <w:sz w:val="32"/>
          <w:szCs w:val="32"/>
          <w:shd w:val="clear" w:color="auto" w:fill="FFFFFF"/>
        </w:rPr>
        <w:t>202</w:t>
      </w:r>
      <w:r>
        <w:rPr>
          <w:rFonts w:hint="eastAsia" w:ascii="Calibri" w:hAnsi="Calibri" w:eastAsia="宋体" w:cs="Times New Roman"/>
          <w:color w:val="333333"/>
          <w:sz w:val="32"/>
          <w:szCs w:val="32"/>
          <w:shd w:val="clear" w:color="auto" w:fill="FFFFFF"/>
          <w:lang w:val="en-US" w:eastAsia="zh-CN"/>
        </w:rPr>
        <w:t>4</w:t>
      </w:r>
      <w:r>
        <w:rPr>
          <w:rFonts w:hint="eastAsia" w:ascii="Calibri" w:hAnsi="Calibri" w:eastAsia="宋体" w:cs="Times New Roman"/>
          <w:color w:val="333333"/>
          <w:sz w:val="32"/>
          <w:szCs w:val="32"/>
          <w:shd w:val="clear" w:color="auto" w:fill="FFFFFF"/>
        </w:rPr>
        <w:t>年基本支出年初预算数为</w:t>
      </w:r>
      <w:r>
        <w:rPr>
          <w:rFonts w:hint="eastAsia" w:ascii="Calibri" w:hAnsi="Calibri" w:eastAsia="宋体" w:cs="Times New Roman"/>
          <w:color w:val="333333"/>
          <w:sz w:val="32"/>
          <w:szCs w:val="32"/>
          <w:shd w:val="clear" w:color="auto" w:fill="FFFFFF"/>
          <w:lang w:val="en-US" w:eastAsia="zh-CN"/>
        </w:rPr>
        <w:t>4389.10</w:t>
      </w:r>
      <w:r>
        <w:rPr>
          <w:rFonts w:hint="eastAsia" w:ascii="Calibri" w:hAnsi="Calibri" w:eastAsia="宋体" w:cs="Times New Roman"/>
          <w:color w:val="333333"/>
          <w:sz w:val="32"/>
          <w:szCs w:val="32"/>
          <w:shd w:val="clear" w:color="auto" w:fill="FFFFFF"/>
        </w:rPr>
        <w:t>万元，其中：人员经费</w:t>
      </w:r>
      <w:r>
        <w:rPr>
          <w:rFonts w:hint="eastAsia" w:ascii="Calibri" w:hAnsi="Calibri" w:eastAsia="宋体" w:cs="Times New Roman"/>
          <w:color w:val="333333"/>
          <w:sz w:val="32"/>
          <w:szCs w:val="32"/>
          <w:shd w:val="clear" w:color="auto" w:fill="FFFFFF"/>
          <w:lang w:val="en-US" w:eastAsia="zh-CN"/>
        </w:rPr>
        <w:t>3827.50</w:t>
      </w:r>
      <w:r>
        <w:rPr>
          <w:rFonts w:hint="eastAsia" w:ascii="Calibri" w:hAnsi="Calibri" w:eastAsia="宋体" w:cs="Times New Roman"/>
          <w:color w:val="333333"/>
          <w:sz w:val="32"/>
          <w:szCs w:val="32"/>
          <w:shd w:val="clear" w:color="auto" w:fill="FFFFFF"/>
        </w:rPr>
        <w:t>万元，主要包括：基本工资、津贴补贴、奖金、绩效工资、机关事业单位基本养老保险缴费、职业年金缴费、职工基本医疗保险缴费、公务员医疗补助缴费、其他社会保障缴费、住房公积金、退休费、其他对个人和家庭的补助；商品和服务支出</w:t>
      </w:r>
      <w:r>
        <w:rPr>
          <w:rFonts w:hint="eastAsia" w:ascii="Calibri" w:hAnsi="Calibri" w:eastAsia="宋体" w:cs="Times New Roman"/>
          <w:color w:val="333333"/>
          <w:sz w:val="32"/>
          <w:szCs w:val="32"/>
          <w:shd w:val="clear" w:color="auto" w:fill="FFFFFF"/>
          <w:lang w:val="en-US" w:eastAsia="zh-CN"/>
        </w:rPr>
        <w:t>561.60</w:t>
      </w:r>
      <w:r>
        <w:rPr>
          <w:rFonts w:hint="eastAsia" w:ascii="Calibri" w:hAnsi="Calibri" w:eastAsia="宋体" w:cs="Times New Roman"/>
          <w:color w:val="333333"/>
          <w:sz w:val="32"/>
          <w:szCs w:val="32"/>
          <w:shd w:val="clear" w:color="auto" w:fill="FFFFFF"/>
        </w:rPr>
        <w:t>万元，主要包括：办公费、印刷费、手续费、水费、电费、邮电费、物业管理费、差旅费、维修（护）费、租赁费、会议费、培训费、公务接待费、劳务费、工会经费、公务用车运行维护费、其他商品和服务支出。</w:t>
      </w:r>
    </w:p>
    <w:p w14:paraId="2DCF663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079FBA0D">
      <w:pPr>
        <w:ind w:firstLine="640" w:firstLineChars="200"/>
        <w:jc w:val="left"/>
        <w:rPr>
          <w:rFonts w:ascii="楷体" w:hAnsi="楷体" w:eastAsia="楷体" w:cs="楷体"/>
          <w:spacing w:val="9"/>
          <w:sz w:val="31"/>
          <w:szCs w:val="31"/>
        </w:rPr>
      </w:pPr>
      <w:r>
        <w:rPr>
          <w:rFonts w:hint="eastAsia" w:ascii="Calibri" w:hAnsi="Calibri" w:eastAsia="宋体" w:cs="Times New Roman"/>
          <w:color w:val="333333"/>
          <w:sz w:val="32"/>
          <w:szCs w:val="32"/>
          <w:shd w:val="clear" w:color="auto" w:fill="FFFFFF"/>
        </w:rPr>
        <w:t>202</w:t>
      </w:r>
      <w:r>
        <w:rPr>
          <w:rFonts w:hint="eastAsia" w:ascii="Calibri" w:hAnsi="Calibri" w:eastAsia="宋体" w:cs="Times New Roman"/>
          <w:color w:val="333333"/>
          <w:sz w:val="32"/>
          <w:szCs w:val="32"/>
          <w:shd w:val="clear" w:color="auto" w:fill="FFFFFF"/>
          <w:lang w:val="en-US" w:eastAsia="zh-CN"/>
        </w:rPr>
        <w:t>4</w:t>
      </w:r>
      <w:r>
        <w:rPr>
          <w:rFonts w:hint="eastAsia" w:ascii="Calibri" w:hAnsi="Calibri" w:eastAsia="宋体" w:cs="Times New Roman"/>
          <w:color w:val="333333"/>
          <w:sz w:val="32"/>
          <w:szCs w:val="32"/>
          <w:shd w:val="clear" w:color="auto" w:fill="FFFFFF"/>
        </w:rPr>
        <w:t>年项目支出年初预算数为</w:t>
      </w:r>
      <w:r>
        <w:rPr>
          <w:rFonts w:hint="eastAsia" w:ascii="Calibri" w:hAnsi="Calibri" w:eastAsia="宋体" w:cs="Times New Roman"/>
          <w:color w:val="333333"/>
          <w:sz w:val="32"/>
          <w:szCs w:val="32"/>
          <w:shd w:val="clear" w:color="auto" w:fill="FFFFFF"/>
          <w:lang w:val="en-US" w:eastAsia="zh-CN"/>
        </w:rPr>
        <w:t>124</w:t>
      </w:r>
      <w:r>
        <w:rPr>
          <w:rFonts w:hint="eastAsia" w:ascii="Calibri" w:hAnsi="Calibri" w:eastAsia="宋体" w:cs="Times New Roman"/>
          <w:color w:val="333333"/>
          <w:sz w:val="32"/>
          <w:szCs w:val="32"/>
          <w:shd w:val="clear" w:color="auto" w:fill="FFFFFF"/>
        </w:rPr>
        <w:t>万元，其中：业务工作经费支出</w:t>
      </w:r>
      <w:r>
        <w:rPr>
          <w:rFonts w:hint="eastAsia" w:ascii="Calibri" w:hAnsi="Calibri" w:eastAsia="宋体" w:cs="Times New Roman"/>
          <w:color w:val="333333"/>
          <w:sz w:val="32"/>
          <w:szCs w:val="32"/>
          <w:shd w:val="clear" w:color="auto" w:fill="FFFFFF"/>
          <w:lang w:val="en-US" w:eastAsia="zh-CN"/>
        </w:rPr>
        <w:t>116</w:t>
      </w:r>
      <w:r>
        <w:rPr>
          <w:rFonts w:hint="eastAsia" w:ascii="Calibri" w:hAnsi="Calibri" w:eastAsia="宋体" w:cs="Times New Roman"/>
          <w:color w:val="333333"/>
          <w:sz w:val="32"/>
          <w:szCs w:val="32"/>
          <w:shd w:val="clear" w:color="auto" w:fill="FFFFFF"/>
        </w:rPr>
        <w:t>万元，主要用于完成市容秩序监管专项整治工作等方面；</w:t>
      </w:r>
      <w:r>
        <w:rPr>
          <w:rFonts w:hint="eastAsia" w:ascii="Calibri" w:hAnsi="Calibri" w:eastAsia="宋体" w:cs="Times New Roman"/>
          <w:color w:val="333333"/>
          <w:sz w:val="32"/>
          <w:szCs w:val="32"/>
          <w:shd w:val="clear" w:color="auto" w:fill="FFFFFF"/>
          <w:lang w:val="en-US" w:eastAsia="zh-CN"/>
        </w:rPr>
        <w:t>服装费8</w:t>
      </w:r>
      <w:r>
        <w:rPr>
          <w:rFonts w:hint="eastAsia" w:ascii="Calibri" w:hAnsi="Calibri" w:eastAsia="宋体" w:cs="Times New Roman"/>
          <w:color w:val="333333"/>
          <w:sz w:val="32"/>
          <w:szCs w:val="32"/>
          <w:shd w:val="clear" w:color="auto" w:fill="FFFFFF"/>
        </w:rPr>
        <w:t>万元，主要用于</w:t>
      </w:r>
      <w:r>
        <w:rPr>
          <w:rFonts w:hint="eastAsia" w:ascii="Calibri" w:hAnsi="Calibri" w:eastAsia="宋体" w:cs="Times New Roman"/>
          <w:color w:val="333333"/>
          <w:sz w:val="32"/>
          <w:szCs w:val="32"/>
          <w:shd w:val="clear" w:color="auto" w:fill="FFFFFF"/>
          <w:lang w:val="en-US" w:eastAsia="zh-CN"/>
        </w:rPr>
        <w:t>购买制服</w:t>
      </w:r>
      <w:r>
        <w:rPr>
          <w:rFonts w:hint="eastAsia" w:ascii="Calibri" w:hAnsi="Calibri" w:eastAsia="宋体" w:cs="Times New Roman"/>
          <w:color w:val="333333"/>
          <w:sz w:val="32"/>
          <w:szCs w:val="32"/>
          <w:shd w:val="clear" w:color="auto" w:fill="FFFFFF"/>
        </w:rPr>
        <w:t>等方面。</w:t>
      </w:r>
    </w:p>
    <w:p w14:paraId="70DFB4A0">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政府性基金预算支出情况</w:t>
      </w:r>
    </w:p>
    <w:p w14:paraId="7AFB773F">
      <w:pPr>
        <w:ind w:firstLine="640" w:firstLineChars="200"/>
        <w:jc w:val="left"/>
        <w:rPr>
          <w:rFonts w:ascii="黑体" w:hAnsi="黑体" w:eastAsia="黑体" w:cs="黑体"/>
          <w:spacing w:val="8"/>
          <w:sz w:val="31"/>
          <w:szCs w:val="31"/>
        </w:rPr>
      </w:pPr>
      <w:r>
        <w:rPr>
          <w:rFonts w:hint="eastAsia" w:ascii="Calibri" w:hAnsi="Calibri" w:eastAsia="宋体" w:cs="Times New Roman"/>
          <w:color w:val="333333"/>
          <w:sz w:val="32"/>
          <w:szCs w:val="32"/>
          <w:shd w:val="clear" w:color="auto" w:fill="FFFFFF"/>
        </w:rPr>
        <w:t>202</w:t>
      </w:r>
      <w:r>
        <w:rPr>
          <w:rFonts w:hint="eastAsia" w:ascii="Calibri" w:hAnsi="Calibri" w:eastAsia="宋体" w:cs="Times New Roman"/>
          <w:color w:val="333333"/>
          <w:sz w:val="32"/>
          <w:szCs w:val="32"/>
          <w:shd w:val="clear" w:color="auto" w:fill="FFFFFF"/>
          <w:lang w:val="en-US" w:eastAsia="zh-CN"/>
        </w:rPr>
        <w:t>4</w:t>
      </w:r>
      <w:r>
        <w:rPr>
          <w:rFonts w:hint="eastAsia" w:ascii="Calibri" w:hAnsi="Calibri" w:eastAsia="宋体" w:cs="Times New Roman"/>
          <w:color w:val="333333"/>
          <w:sz w:val="32"/>
          <w:szCs w:val="32"/>
          <w:shd w:val="clear" w:color="auto" w:fill="FFFFFF"/>
        </w:rPr>
        <w:t>年度本单位无政府性基金安排的支出。</w:t>
      </w:r>
    </w:p>
    <w:p w14:paraId="52CD1B0E">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491DA3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ascii="黑体" w:hAnsi="黑体" w:eastAsia="黑体" w:cs="黑体"/>
          <w:spacing w:val="7"/>
          <w:position w:val="21"/>
          <w:sz w:val="31"/>
          <w:szCs w:val="31"/>
        </w:rPr>
      </w:pPr>
      <w:r>
        <w:rPr>
          <w:rFonts w:hint="eastAsia"/>
          <w:color w:val="333333"/>
          <w:sz w:val="32"/>
          <w:szCs w:val="32"/>
          <w:shd w:val="clear" w:color="auto" w:fill="FFFFFF"/>
        </w:rPr>
        <w:t>202</w:t>
      </w:r>
      <w:r>
        <w:rPr>
          <w:rFonts w:hint="eastAsia"/>
          <w:color w:val="333333"/>
          <w:sz w:val="32"/>
          <w:szCs w:val="32"/>
          <w:shd w:val="clear" w:color="auto" w:fill="FFFFFF"/>
          <w:lang w:val="en-US" w:eastAsia="zh-CN"/>
        </w:rPr>
        <w:t>4</w:t>
      </w:r>
      <w:r>
        <w:rPr>
          <w:rFonts w:hint="eastAsia"/>
          <w:color w:val="333333"/>
          <w:sz w:val="32"/>
          <w:szCs w:val="32"/>
          <w:shd w:val="clear" w:color="auto" w:fill="FFFFFF"/>
        </w:rPr>
        <w:t>年度本单位无国有资本经营安排的支出。</w:t>
      </w:r>
    </w:p>
    <w:p w14:paraId="1E5DEC53">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w:t>
      </w:r>
      <w:r>
        <w:rPr>
          <w:rFonts w:hint="eastAsia" w:ascii="黑体" w:hAnsi="黑体" w:eastAsia="黑体" w:cs="黑体"/>
          <w:spacing w:val="8"/>
          <w:sz w:val="31"/>
          <w:szCs w:val="31"/>
          <w:lang w:val="en-US" w:eastAsia="zh-CN"/>
        </w:rPr>
        <w:t>保障与就业</w:t>
      </w:r>
      <w:r>
        <w:rPr>
          <w:rFonts w:ascii="黑体" w:hAnsi="黑体" w:eastAsia="黑体" w:cs="黑体"/>
          <w:spacing w:val="8"/>
          <w:sz w:val="31"/>
          <w:szCs w:val="31"/>
        </w:rPr>
        <w:t>预算支出情况</w:t>
      </w:r>
    </w:p>
    <w:p w14:paraId="09F79D6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default" w:ascii="黑体" w:hAnsi="黑体" w:cs="黑体" w:eastAsiaTheme="minorEastAsia"/>
          <w:spacing w:val="8"/>
          <w:sz w:val="31"/>
          <w:szCs w:val="31"/>
          <w:lang w:val="en-US" w:eastAsia="zh-CN"/>
        </w:rPr>
      </w:pPr>
      <w:r>
        <w:rPr>
          <w:rFonts w:hint="eastAsia" w:ascii="宋体" w:hAnsi="宋体" w:cs="仿宋_GB2312"/>
          <w:color w:val="000000"/>
          <w:sz w:val="32"/>
          <w:szCs w:val="32"/>
          <w:lang w:val="en-US" w:eastAsia="zh-CN"/>
        </w:rPr>
        <w:t>2024年</w:t>
      </w:r>
      <w:r>
        <w:rPr>
          <w:rFonts w:hint="eastAsia" w:ascii="宋体" w:hAnsi="宋体" w:cs="仿宋_GB2312"/>
          <w:color w:val="000000"/>
          <w:sz w:val="32"/>
          <w:szCs w:val="32"/>
        </w:rPr>
        <w:t>社会</w:t>
      </w:r>
      <w:r>
        <w:rPr>
          <w:rFonts w:hint="eastAsia" w:ascii="宋体" w:hAnsi="宋体" w:cs="仿宋_GB2312"/>
          <w:color w:val="000000"/>
          <w:sz w:val="32"/>
          <w:szCs w:val="32"/>
          <w:lang w:val="en-US" w:eastAsia="zh-CN"/>
        </w:rPr>
        <w:t>保障与就业支出</w:t>
      </w:r>
      <w:r>
        <w:rPr>
          <w:rFonts w:hint="eastAsia" w:ascii="宋体" w:hAnsi="宋体" w:cs="仿宋_GB2312"/>
          <w:color w:val="000000"/>
          <w:sz w:val="32"/>
          <w:szCs w:val="32"/>
        </w:rPr>
        <w:t>预算</w:t>
      </w:r>
      <w:r>
        <w:rPr>
          <w:rFonts w:hint="eastAsia" w:ascii="宋体" w:hAnsi="宋体" w:cs="仿宋_GB2312"/>
          <w:color w:val="000000"/>
          <w:sz w:val="32"/>
          <w:szCs w:val="32"/>
          <w:lang w:val="en-US" w:eastAsia="zh-CN"/>
        </w:rPr>
        <w:t>467.51</w:t>
      </w:r>
      <w:r>
        <w:rPr>
          <w:rFonts w:hint="eastAsia" w:ascii="宋体" w:hAnsi="宋体" w:cs="仿宋_GB2312"/>
          <w:color w:val="000000"/>
          <w:sz w:val="32"/>
          <w:szCs w:val="32"/>
        </w:rPr>
        <w:t>万元，其中：机关事业单位养老保险为</w:t>
      </w:r>
      <w:r>
        <w:rPr>
          <w:rFonts w:hint="eastAsia" w:ascii="宋体" w:hAnsi="宋体" w:cs="仿宋_GB2312"/>
          <w:color w:val="000000"/>
          <w:sz w:val="32"/>
          <w:szCs w:val="32"/>
          <w:lang w:val="en-US" w:eastAsia="zh-CN"/>
        </w:rPr>
        <w:t>398.11</w:t>
      </w:r>
      <w:r>
        <w:rPr>
          <w:rFonts w:hint="eastAsia" w:ascii="宋体" w:hAnsi="宋体" w:cs="仿宋_GB2312"/>
          <w:color w:val="000000"/>
          <w:sz w:val="32"/>
          <w:szCs w:val="32"/>
        </w:rPr>
        <w:t>万元、</w:t>
      </w:r>
      <w:r>
        <w:rPr>
          <w:rFonts w:hint="eastAsia" w:ascii="宋体" w:hAnsi="宋体" w:cs="仿宋_GB2312"/>
          <w:color w:val="000000"/>
          <w:sz w:val="32"/>
          <w:szCs w:val="32"/>
          <w:lang w:val="en-US" w:eastAsia="zh-CN"/>
        </w:rPr>
        <w:t>行政单位离退休为41.44万元、其他残疾人事业支出为16.77万元、财政对工伤保险基金的补助为11.18万元。</w:t>
      </w:r>
    </w:p>
    <w:p w14:paraId="4C37A4E6">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2F997B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spacing w:val="8"/>
          <w:sz w:val="31"/>
          <w:szCs w:val="31"/>
          <w:lang w:eastAsia="zh-CN"/>
        </w:rPr>
      </w:pPr>
      <w:r>
        <w:rPr>
          <w:rFonts w:hint="eastAsia" w:ascii="宋体" w:hAnsi="宋体" w:cs="仿宋_GB2312"/>
          <w:color w:val="000000"/>
          <w:sz w:val="32"/>
          <w:szCs w:val="32"/>
          <w:lang w:val="en-US" w:eastAsia="zh-CN"/>
        </w:rPr>
        <w:t xml:space="preserve">    通</w:t>
      </w:r>
      <w:r>
        <w:rPr>
          <w:rFonts w:hint="eastAsia" w:ascii="宋体" w:hAnsi="宋体" w:cs="仿宋_GB2312"/>
          <w:color w:val="000000"/>
          <w:sz w:val="32"/>
          <w:szCs w:val="32"/>
        </w:rPr>
        <w:t>过开展城市建设和管理相关工作，如</w:t>
      </w:r>
      <w:r>
        <w:rPr>
          <w:rFonts w:hint="eastAsia" w:ascii="宋体" w:hAnsi="宋体" w:cs="仿宋_GB2312"/>
          <w:color w:val="auto"/>
          <w:sz w:val="32"/>
          <w:szCs w:val="32"/>
        </w:rPr>
        <w:t>城镇排水与污水处理、生活垃圾分类处理与管理、</w:t>
      </w:r>
      <w:r>
        <w:rPr>
          <w:rFonts w:hint="eastAsia" w:ascii="宋体" w:hAnsi="宋体" w:cs="仿宋_GB2312"/>
          <w:color w:val="000000"/>
          <w:sz w:val="32"/>
          <w:szCs w:val="32"/>
        </w:rPr>
        <w:t>规范城市管理执法和制式服装试穿、优化街区路网结构等工作，提高城市建设管理和服务水平，改善城市人居生活环境质量，提升居民生活便利，保障人民生命和财产安全，同时降低环境污染、实现节能减排，以促进城市健康、可持续发展。以助推核心引领区发展，巩固文明创建和区“大城管”运行成果为内在压力，以标准更高，制度更严，措施更力，保障更全，效果更佳为动态目标，加强和优化全局各项工作，稳步提升我局整体形象，提升我区城市管理水平，为楼区经济社会发展创造更优质的市容秩序环境。</w:t>
      </w:r>
    </w:p>
    <w:p w14:paraId="3944576F">
      <w:pPr>
        <w:keepNext w:val="0"/>
        <w:keepLines w:val="0"/>
        <w:pageBreakBefore w:val="0"/>
        <w:widowControl w:val="0"/>
        <w:numPr>
          <w:ilvl w:val="0"/>
          <w:numId w:val="1"/>
        </w:numPr>
        <w:tabs>
          <w:tab w:val="center" w:pos="4252"/>
        </w:tabs>
        <w:kinsoku/>
        <w:wordWrap/>
        <w:overflowPunct/>
        <w:topLinePunct w:val="0"/>
        <w:autoSpaceDE/>
        <w:autoSpaceDN/>
        <w:bidi w:val="0"/>
        <w:adjustRightInd/>
        <w:snapToGrid/>
        <w:spacing w:line="240" w:lineRule="auto"/>
        <w:ind w:left="0" w:leftChars="0" w:firstLine="0" w:firstLineChars="0"/>
        <w:textAlignment w:val="auto"/>
        <w:rPr>
          <w:rFonts w:hint="eastAsia" w:ascii="黑体" w:hAnsi="黑体" w:eastAsia="黑体" w:cs="黑体"/>
          <w:spacing w:val="9"/>
          <w:position w:val="21"/>
          <w:sz w:val="31"/>
          <w:szCs w:val="31"/>
          <w:lang w:eastAsia="zh-CN"/>
        </w:rPr>
      </w:pPr>
      <w:r>
        <w:rPr>
          <w:rFonts w:ascii="黑体" w:hAnsi="黑体" w:eastAsia="黑体" w:cs="黑体"/>
          <w:spacing w:val="9"/>
          <w:position w:val="21"/>
          <w:sz w:val="31"/>
          <w:szCs w:val="31"/>
        </w:rPr>
        <w:t>存在的问题及原因分析</w:t>
      </w:r>
      <w:r>
        <w:rPr>
          <w:rFonts w:hint="eastAsia" w:ascii="黑体" w:hAnsi="黑体" w:eastAsia="黑体" w:cs="黑体"/>
          <w:spacing w:val="9"/>
          <w:position w:val="21"/>
          <w:sz w:val="31"/>
          <w:szCs w:val="31"/>
          <w:lang w:eastAsia="zh-CN"/>
        </w:rPr>
        <w:tab/>
      </w:r>
    </w:p>
    <w:p w14:paraId="0CE88DE3">
      <w:pPr>
        <w:jc w:val="left"/>
        <w:rPr>
          <w:rFonts w:hint="eastAsia" w:ascii="仿宋_GB2312" w:hAnsi="仿宋_GB2312" w:eastAsia="仿宋_GB2312" w:cs="仿宋_GB2312"/>
          <w:color w:val="000000"/>
          <w:sz w:val="32"/>
          <w:szCs w:val="32"/>
        </w:rPr>
      </w:pPr>
      <w:r>
        <w:rPr>
          <w:rFonts w:hint="eastAsia" w:ascii="黑体" w:hAnsi="黑体" w:eastAsia="黑体" w:cs="黑体"/>
          <w:spacing w:val="9"/>
          <w:position w:val="21"/>
          <w:sz w:val="31"/>
          <w:szCs w:val="31"/>
          <w:lang w:val="en-US" w:eastAsia="zh-CN"/>
        </w:rPr>
        <w:t xml:space="preserve"> </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1．基本支出经费保障水平偏低。</w:t>
      </w:r>
    </w:p>
    <w:p w14:paraId="5D608D31">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2．预算编制仍需进一步精确细化。随着财务工作日益精细化，各项资金需要完全按照所下指标用途分类来使用，我单位目前还需要进一步对预算编制进行细化，加强对资金使用的前瞻性预估。</w:t>
      </w:r>
    </w:p>
    <w:p w14:paraId="10CF53CB">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3.资产管理资料更新速度较慢。我单位虽然按照财政对资产管理的要求，对单位内各项资产都进行了登记记建立台账，但仍财政更新滞后的情况。</w:t>
      </w:r>
    </w:p>
    <w:p w14:paraId="7E50FF4C">
      <w:pPr>
        <w:ind w:firstLine="640" w:firstLineChars="200"/>
        <w:jc w:val="left"/>
        <w:rPr>
          <w:rFonts w:hint="default" w:ascii="黑体" w:hAnsi="黑体" w:eastAsia="黑体" w:cs="黑体"/>
          <w:spacing w:val="9"/>
          <w:position w:val="21"/>
          <w:sz w:val="31"/>
          <w:szCs w:val="31"/>
          <w:lang w:val="en-US" w:eastAsia="zh-CN"/>
        </w:rPr>
      </w:pPr>
      <w:r>
        <w:rPr>
          <w:rFonts w:hint="eastAsia" w:ascii="仿宋_GB2312" w:hAnsi="仿宋_GB2312" w:eastAsia="仿宋_GB2312" w:cs="仿宋_GB2312"/>
          <w:color w:val="000000"/>
          <w:sz w:val="32"/>
          <w:szCs w:val="32"/>
        </w:rPr>
        <w:t>4.财务人员业务水平仍需提高，需加强对财务业务知识的培训</w:t>
      </w:r>
    </w:p>
    <w:p w14:paraId="2DE77E5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54C8D37A">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1．细化预算编制工作，认真做好预算的编制，进一步提升内部机构各股室的预算管理意识，严格按照预算编制的相关制度和要求进行预算编制。</w:t>
      </w:r>
    </w:p>
    <w:p w14:paraId="14A0A6DD">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2.加强财务管理，严格财务审核。健全单位财务管理制度体系，规范单位财务行为，在费用报账支付是按照预算规定的费用项目和用途进行资金使用审核、财务核算。杜绝超支现象的发生。</w:t>
      </w:r>
    </w:p>
    <w:p w14:paraId="138B9DEE">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3．完善资产管理，抓好“三公”经费控制。严格编制政府采购年初预算和计划，规范各类资产的购置审批制度。</w:t>
      </w:r>
    </w:p>
    <w:p w14:paraId="45F0779D">
      <w:pPr>
        <w:ind w:firstLine="640" w:firstLineChars="200"/>
        <w:jc w:val="left"/>
        <w:rPr>
          <w:rFonts w:ascii="黑体" w:hAnsi="黑体" w:eastAsia="黑体" w:cs="黑体"/>
          <w:spacing w:val="8"/>
          <w:sz w:val="31"/>
          <w:szCs w:val="31"/>
        </w:rPr>
      </w:pPr>
      <w:r>
        <w:rPr>
          <w:rFonts w:hint="eastAsia" w:ascii="仿宋_GB2312" w:hAnsi="仿宋_GB2312" w:eastAsia="仿宋_GB2312" w:cs="仿宋_GB2312"/>
          <w:color w:val="000000"/>
          <w:sz w:val="32"/>
          <w:szCs w:val="32"/>
        </w:rPr>
        <w:t>4.对相关人员加强培训，特别是针对《预算法》《行政事业单位会计制度》《内部财务人员审核》等学习培训，规范部门预算收支核算，切实提高部门预算收支管理水平。</w:t>
      </w:r>
    </w:p>
    <w:p w14:paraId="3FFD3A0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4CB3AEC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default" w:ascii="黑体" w:hAnsi="黑体" w:eastAsia="黑体" w:cs="黑体"/>
          <w:spacing w:val="8"/>
          <w:position w:val="21"/>
          <w:sz w:val="31"/>
          <w:szCs w:val="31"/>
          <w:lang w:val="en-US" w:eastAsia="zh-CN"/>
        </w:rPr>
      </w:pPr>
    </w:p>
    <w:p w14:paraId="6FB79A5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0FBEE13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rPr>
      </w:pPr>
    </w:p>
    <w:p w14:paraId="51E9648E">
      <w:pPr>
        <w:pStyle w:val="2"/>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4D0AE694">
      <w:pPr>
        <w:pStyle w:val="2"/>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3F79D28A">
      <w:pPr>
        <w:pStyle w:val="2"/>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pPr>
      <w:r>
        <w:rPr>
          <w:rFonts w:ascii="Times New Roman" w:hAnsi="Times New Roman" w:eastAsia="Times New Roman" w:cs="Times New Roman"/>
          <w:spacing w:val="9"/>
          <w:position w:val="21"/>
        </w:rPr>
        <w:t>3</w:t>
      </w:r>
      <w:r>
        <w:rPr>
          <w:spacing w:val="9"/>
          <w:position w:val="21"/>
        </w:rPr>
        <w:t>、项目支出绩效自评表（每个一级项目一张</w:t>
      </w:r>
      <w:r>
        <w:rPr>
          <w:spacing w:val="8"/>
          <w:position w:val="21"/>
        </w:rPr>
        <w:t>表）</w:t>
      </w:r>
    </w:p>
    <w:p w14:paraId="2AA206AF">
      <w:pPr>
        <w:pStyle w:val="2"/>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rPr>
        <w:t>4</w:t>
      </w:r>
      <w:r>
        <w:rPr>
          <w:spacing w:val="7"/>
        </w:rPr>
        <w:t>、政府性基金预算支出情况表</w:t>
      </w:r>
    </w:p>
    <w:p w14:paraId="6BFE6F3C">
      <w:pPr>
        <w:pStyle w:val="2"/>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position w:val="21"/>
        </w:rPr>
        <w:t>5</w:t>
      </w:r>
      <w:r>
        <w:rPr>
          <w:spacing w:val="7"/>
          <w:position w:val="21"/>
        </w:rPr>
        <w:t>、国有资本经营预算支出情况表</w:t>
      </w:r>
    </w:p>
    <w:p w14:paraId="03BA6B32">
      <w:pPr>
        <w:pStyle w:val="2"/>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ascii="仿宋_GB2312" w:hAnsi="仿宋_GB2312" w:eastAsia="仿宋_GB2312" w:cs="仿宋_GB2312"/>
          <w:sz w:val="32"/>
          <w:szCs w:val="32"/>
        </w:rPr>
      </w:pPr>
      <w:r>
        <w:rPr>
          <w:rFonts w:ascii="Times New Roman" w:hAnsi="Times New Roman" w:eastAsia="Times New Roman" w:cs="Times New Roman"/>
          <w:spacing w:val="7"/>
        </w:rPr>
        <w:t>6</w:t>
      </w:r>
      <w:r>
        <w:rPr>
          <w:spacing w:val="7"/>
        </w:rPr>
        <w:t>、社会</w:t>
      </w:r>
      <w:r>
        <w:rPr>
          <w:rFonts w:hint="eastAsia"/>
          <w:spacing w:val="7"/>
          <w:lang w:val="en-US" w:eastAsia="zh-CN"/>
        </w:rPr>
        <w:t>保障和就业支出</w:t>
      </w:r>
      <w:r>
        <w:rPr>
          <w:spacing w:val="7"/>
        </w:rPr>
        <w:t>预算支出情况</w:t>
      </w:r>
    </w:p>
    <w:p w14:paraId="03876AA0"/>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B96A9">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C0D73D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5C0D73D7">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77048">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C1DEAE8">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C1DEAE8">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E6DBD">
    <w:pPr>
      <w:pStyle w:val="2"/>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F79C4">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F7F79C4">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9B60E">
    <w:pPr>
      <w:pStyle w:val="2"/>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F9A83">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F7F9A83">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F6903">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24C42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824C42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D52286"/>
    <w:multiLevelType w:val="singleLevel"/>
    <w:tmpl w:val="92D52286"/>
    <w:lvl w:ilvl="0" w:tentative="0">
      <w:start w:val="1"/>
      <w:numFmt w:val="chineseCounting"/>
      <w:suff w:val="nothing"/>
      <w:lvlText w:val="%1、"/>
      <w:lvlJc w:val="left"/>
      <w:rPr>
        <w:rFonts w:hint="eastAsia"/>
      </w:rPr>
    </w:lvl>
  </w:abstractNum>
  <w:abstractNum w:abstractNumId="1">
    <w:nsid w:val="BE429338"/>
    <w:multiLevelType w:val="singleLevel"/>
    <w:tmpl w:val="BE42933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8341DE"/>
    <w:rsid w:val="37F863E1"/>
    <w:rsid w:val="79F005EB"/>
    <w:rsid w:val="7D834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table" w:customStyle="1" w:styleId="6">
    <w:name w:val="Table Normal"/>
    <w:autoRedefine/>
    <w:unhideWhenUsed/>
    <w:qFormat/>
    <w:uiPriority w:val="0"/>
    <w:tblPr>
      <w:tblCellMar>
        <w:top w:w="0" w:type="dxa"/>
        <w:left w:w="0" w:type="dxa"/>
        <w:bottom w:w="0" w:type="dxa"/>
        <w:right w:w="0" w:type="dxa"/>
      </w:tblCellMar>
    </w:tblPr>
  </w:style>
  <w:style w:type="paragraph" w:customStyle="1" w:styleId="7">
    <w:name w:val="Table Text"/>
    <w:autoRedefine/>
    <w:semiHidden/>
    <w:qFormat/>
    <w:uiPriority w:val="0"/>
    <w:pPr>
      <w:widowControl w:val="0"/>
      <w:jc w:val="both"/>
    </w:pPr>
    <w:rPr>
      <w:rFonts w:ascii="Arial" w:hAnsi="Arial" w:eastAsia="Arial" w:cs="Arial"/>
      <w:kern w:val="2"/>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5901</Words>
  <Characters>6424</Characters>
  <Lines>0</Lines>
  <Paragraphs>0</Paragraphs>
  <TotalTime>1</TotalTime>
  <ScaleCrop>false</ScaleCrop>
  <LinksUpToDate>false</LinksUpToDate>
  <CharactersWithSpaces>6571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2025-07-12T02:53:00Z</dcterms:created>
  <dc:creator>番薯</dc:creator>
  <cp:lastModifiedBy>番薯</cp:lastModifiedBy>
  <dcterms:modified xsi:type="dcterms:W3CDTF">2025-07-14T03:38:19Z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8C77D229F43C4BB6953A619B4D5A3DE2_11</vt:lpwstr>
  </property>
  <property fmtid="{D5CDD505-2E9C-101B-9397-08002B2CF9AE}" pid="4" name="KSOTemplateDocerSaveRecord">
    <vt:lpwstr>eyJoZGlkIjoiZjIyNDQ5MWI2NzIzYmFiNTMzZTg2MjdiYjMzZmJjZTEiLCJ1c2VySWQiOiIxMTc5NDYxNzQxIn0=</vt:lpwstr>
  </property>
</Properties>
</file>