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1413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 xml:space="preserve"> 年度</w:t>
      </w:r>
      <w:r>
        <w:rPr>
          <w:rFonts w:hint="eastAsia" w:ascii="方正小标宋简体" w:hAnsi="方正小标宋简体" w:eastAsia="方正小标宋简体" w:cs="方正小标宋简体"/>
          <w:b w:val="0"/>
          <w:bCs w:val="0"/>
          <w:color w:val="000000"/>
          <w:spacing w:val="2"/>
          <w:sz w:val="42"/>
          <w:szCs w:val="42"/>
          <w:lang w:eastAsia="zh-CN"/>
        </w:rPr>
        <w:t>岳阳楼区</w:t>
      </w:r>
      <w:r>
        <w:rPr>
          <w:rFonts w:hint="eastAsia" w:ascii="方正小标宋简体" w:hAnsi="方正小标宋简体" w:eastAsia="方正小标宋简体" w:cs="方正小标宋简体"/>
          <w:b w:val="0"/>
          <w:bCs w:val="0"/>
          <w:color w:val="000000"/>
          <w:spacing w:val="2"/>
          <w:sz w:val="42"/>
          <w:szCs w:val="42"/>
          <w:lang w:val="en-US" w:eastAsia="zh-CN"/>
        </w:rPr>
        <w:t>劳动人事争议仲裁院</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3F7B895B">
      <w:pPr>
        <w:spacing w:line="283" w:lineRule="auto"/>
        <w:rPr>
          <w:rFonts w:ascii="Arial"/>
          <w:sz w:val="21"/>
        </w:rPr>
      </w:pPr>
    </w:p>
    <w:p w14:paraId="50A7501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4CA6057">
      <w:pPr>
        <w:pStyle w:val="6"/>
        <w:spacing w:before="0" w:beforeAutospacing="0" w:after="2" w:afterAutospacing="0"/>
        <w:ind w:left="0" w:firstLine="641"/>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 xml:space="preserve">1、贯彻落实劳动人事争议法律、法规、规章和政策。 </w:t>
      </w:r>
    </w:p>
    <w:p w14:paraId="430EA34E">
      <w:pPr>
        <w:pStyle w:val="6"/>
        <w:spacing w:before="0" w:beforeAutospacing="0" w:after="2" w:afterAutospacing="0"/>
        <w:ind w:left="0" w:firstLine="641"/>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 xml:space="preserve">2、负责处理本区劳动人事争议仲裁委员会管辖的劳动人事争议案件。 </w:t>
      </w:r>
    </w:p>
    <w:p w14:paraId="6F2761D2">
      <w:pPr>
        <w:pStyle w:val="6"/>
        <w:spacing w:before="0" w:beforeAutospacing="0" w:after="2" w:afterAutospacing="0"/>
        <w:ind w:left="0" w:firstLine="641"/>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 xml:space="preserve">3、负责全区劳动人事争议仲裁员队伍建设工作，专、兼职劳动人事争议仲裁员和调解员的培训聘用管理。 </w:t>
      </w:r>
    </w:p>
    <w:p w14:paraId="06908E3E">
      <w:pPr>
        <w:pStyle w:val="6"/>
        <w:spacing w:before="0" w:beforeAutospacing="0" w:after="2" w:afterAutospacing="0"/>
        <w:ind w:left="0" w:firstLine="641"/>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 xml:space="preserve">4、承担区劳动人事争议仲裁委员会日常工作。 </w:t>
      </w:r>
    </w:p>
    <w:p w14:paraId="5B4B748C">
      <w:pPr>
        <w:numPr>
          <w:ilvl w:val="0"/>
          <w:numId w:val="0"/>
        </w:numPr>
        <w:spacing w:line="600" w:lineRule="exact"/>
        <w:ind w:firstLine="640" w:firstLineChars="200"/>
        <w:rPr>
          <w:rFonts w:ascii="黑体" w:hAnsi="黑体" w:eastAsia="黑体" w:cs="黑体"/>
          <w:spacing w:val="5"/>
          <w:sz w:val="31"/>
          <w:szCs w:val="31"/>
        </w:rPr>
      </w:pPr>
      <w:r>
        <w:rPr>
          <w:rFonts w:hint="eastAsia" w:ascii="仿宋" w:hAnsi="仿宋" w:eastAsia="仿宋" w:cs="Times New Roman"/>
          <w:kern w:val="2"/>
          <w:sz w:val="32"/>
          <w:szCs w:val="32"/>
          <w:highlight w:val="none"/>
          <w:lang w:val="en-US" w:eastAsia="zh-CN" w:bidi="ar-SA"/>
        </w:rPr>
        <w:t>5、承办区人力资源和社会保障局交办的其他事项。</w:t>
      </w:r>
    </w:p>
    <w:p w14:paraId="3066C96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7452A6A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sz w:val="31"/>
          <w:szCs w:val="31"/>
          <w:lang w:val="en-US" w:eastAsia="zh-CN"/>
        </w:rPr>
      </w:pPr>
      <w:r>
        <w:rPr>
          <w:rFonts w:ascii="楷体" w:hAnsi="楷体" w:eastAsia="楷体" w:cs="楷体"/>
          <w:spacing w:val="9"/>
          <w:sz w:val="31"/>
          <w:szCs w:val="31"/>
        </w:rPr>
        <w:t>（一）基本支出情况</w:t>
      </w:r>
      <w:r>
        <w:rPr>
          <w:rFonts w:hint="eastAsia" w:ascii="楷体" w:hAnsi="楷体" w:eastAsia="楷体" w:cs="楷体"/>
          <w:spacing w:val="9"/>
          <w:sz w:val="31"/>
          <w:szCs w:val="31"/>
          <w:lang w:val="en-US" w:eastAsia="zh-CN"/>
        </w:rPr>
        <w:t xml:space="preserve">  </w:t>
      </w:r>
    </w:p>
    <w:p w14:paraId="3E69C419">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楷体" w:hAnsi="楷体" w:eastAsia="楷体" w:cs="楷体"/>
          <w:sz w:val="31"/>
          <w:szCs w:val="31"/>
        </w:rPr>
      </w:pPr>
      <w:r>
        <w:rPr>
          <w:rFonts w:hint="eastAsia" w:ascii="Calibri" w:hAnsi="Calibri" w:eastAsia="仿宋_GB2312" w:cs="Times New Roman"/>
          <w:kern w:val="0"/>
          <w:sz w:val="32"/>
          <w:szCs w:val="32"/>
          <w:lang w:eastAsia="zh-CN"/>
        </w:rPr>
        <w:t>工资福利支出</w:t>
      </w:r>
      <w:r>
        <w:rPr>
          <w:rFonts w:hint="eastAsia" w:ascii="Calibri" w:hAnsi="Calibri" w:eastAsia="仿宋_GB2312" w:cs="Times New Roman"/>
          <w:kern w:val="0"/>
          <w:sz w:val="32"/>
          <w:szCs w:val="32"/>
          <w:lang w:val="en-US" w:eastAsia="zh-CN"/>
        </w:rPr>
        <w:t>282.3</w:t>
      </w:r>
      <w:r>
        <w:rPr>
          <w:rFonts w:hint="eastAsia" w:ascii="Calibri" w:hAnsi="Calibri" w:eastAsia="仿宋_GB2312" w:cs="Times New Roman"/>
          <w:kern w:val="0"/>
          <w:sz w:val="32"/>
          <w:szCs w:val="32"/>
        </w:rPr>
        <w:t>万元，</w:t>
      </w:r>
      <w:r>
        <w:rPr>
          <w:rFonts w:hint="eastAsia" w:ascii="Calibri" w:hAnsi="Calibri" w:eastAsia="仿宋_GB2312" w:cs="Times New Roman"/>
          <w:kern w:val="0"/>
          <w:sz w:val="32"/>
          <w:szCs w:val="32"/>
          <w:lang w:eastAsia="zh-CN"/>
        </w:rPr>
        <w:t>商品和服务支出</w:t>
      </w:r>
      <w:r>
        <w:rPr>
          <w:rFonts w:hint="eastAsia" w:ascii="Calibri" w:hAnsi="Calibri" w:eastAsia="仿宋_GB2312" w:cs="Times New Roman"/>
          <w:kern w:val="0"/>
          <w:sz w:val="32"/>
          <w:szCs w:val="32"/>
          <w:lang w:val="en-US" w:eastAsia="zh-CN"/>
        </w:rPr>
        <w:t>56.55</w:t>
      </w:r>
      <w:r>
        <w:rPr>
          <w:rFonts w:hint="eastAsia" w:ascii="Calibri" w:hAnsi="Calibri" w:eastAsia="仿宋_GB2312" w:cs="Times New Roman"/>
          <w:kern w:val="0"/>
          <w:sz w:val="32"/>
          <w:szCs w:val="32"/>
        </w:rPr>
        <w:t>万元； 对个人和家庭的补助</w:t>
      </w:r>
      <w:r>
        <w:rPr>
          <w:rFonts w:hint="eastAsia" w:ascii="Calibri" w:hAnsi="Calibri" w:eastAsia="仿宋_GB2312" w:cs="Times New Roman"/>
          <w:kern w:val="0"/>
          <w:sz w:val="32"/>
          <w:szCs w:val="32"/>
          <w:lang w:val="en-US" w:eastAsia="zh-CN"/>
        </w:rPr>
        <w:t>0.95</w:t>
      </w:r>
      <w:bookmarkStart w:id="0" w:name="_GoBack"/>
      <w:bookmarkEnd w:id="0"/>
      <w:r>
        <w:rPr>
          <w:rFonts w:hint="eastAsia" w:ascii="Calibri" w:hAnsi="Calibri" w:eastAsia="仿宋_GB2312" w:cs="Times New Roman"/>
          <w:kern w:val="0"/>
          <w:sz w:val="32"/>
          <w:szCs w:val="32"/>
          <w:lang w:val="en-US" w:eastAsia="zh-CN"/>
        </w:rPr>
        <w:t>万元</w:t>
      </w:r>
      <w:r>
        <w:rPr>
          <w:rFonts w:hint="eastAsia" w:ascii="Calibri" w:hAnsi="Calibri" w:eastAsia="仿宋_GB2312" w:cs="Times New Roman"/>
          <w:kern w:val="0"/>
          <w:sz w:val="32"/>
          <w:szCs w:val="32"/>
        </w:rPr>
        <w:t>。</w:t>
      </w:r>
    </w:p>
    <w:p w14:paraId="4C127A0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6B40C545">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ascii="Calibri" w:hAnsi="Calibri" w:eastAsia="仿宋_GB2312" w:cs="Times New Roman"/>
          <w:kern w:val="0"/>
          <w:sz w:val="32"/>
          <w:szCs w:val="32"/>
          <w:lang w:eastAsia="zh-CN"/>
        </w:rPr>
      </w:pPr>
      <w:r>
        <w:rPr>
          <w:rFonts w:hint="eastAsia"/>
          <w:lang w:val="en-US" w:eastAsia="zh-CN"/>
        </w:rPr>
        <w:t xml:space="preserve">       </w:t>
      </w:r>
      <w:r>
        <w:rPr>
          <w:rFonts w:hint="eastAsia" w:ascii="Calibri" w:hAnsi="Calibri" w:eastAsia="仿宋_GB2312" w:cs="Times New Roman"/>
          <w:kern w:val="0"/>
          <w:sz w:val="32"/>
          <w:szCs w:val="32"/>
          <w:lang w:val="en-US" w:eastAsia="zh-CN"/>
        </w:rPr>
        <w:t>2024</w:t>
      </w:r>
      <w:r>
        <w:rPr>
          <w:rFonts w:hint="eastAsia" w:ascii="Calibri" w:hAnsi="Calibri" w:eastAsia="仿宋_GB2312" w:cs="Times New Roman"/>
          <w:kern w:val="0"/>
          <w:sz w:val="32"/>
          <w:szCs w:val="32"/>
          <w:lang w:eastAsia="zh-CN"/>
        </w:rPr>
        <w:t>年年初预算数为</w:t>
      </w:r>
      <w:r>
        <w:rPr>
          <w:rFonts w:hint="eastAsia" w:ascii="Calibri" w:hAnsi="Calibri" w:eastAsia="仿宋_GB2312" w:cs="Times New Roman"/>
          <w:kern w:val="0"/>
          <w:sz w:val="32"/>
          <w:szCs w:val="32"/>
          <w:lang w:val="en-US" w:eastAsia="zh-CN"/>
        </w:rPr>
        <w:t>316.37</w:t>
      </w:r>
      <w:r>
        <w:rPr>
          <w:rFonts w:hint="eastAsia" w:ascii="Calibri" w:hAnsi="Calibri" w:eastAsia="仿宋_GB2312" w:cs="Times New Roman"/>
          <w:kern w:val="0"/>
          <w:sz w:val="32"/>
          <w:szCs w:val="32"/>
          <w:lang w:eastAsia="zh-CN"/>
        </w:rPr>
        <w:t>万元，是指单位为完成特定行政工作任务或事业发展目标而发生的支出，包括：办案经费支出</w:t>
      </w:r>
      <w:r>
        <w:rPr>
          <w:rFonts w:hint="eastAsia" w:ascii="Calibri" w:hAnsi="Calibri" w:eastAsia="仿宋_GB2312" w:cs="Times New Roman"/>
          <w:kern w:val="0"/>
          <w:sz w:val="32"/>
          <w:szCs w:val="32"/>
          <w:lang w:val="en-US" w:eastAsia="zh-CN"/>
        </w:rPr>
        <w:t xml:space="preserve"> 16</w:t>
      </w:r>
      <w:r>
        <w:rPr>
          <w:rFonts w:hint="eastAsia" w:ascii="Calibri" w:hAnsi="Calibri" w:eastAsia="仿宋_GB2312" w:cs="Times New Roman"/>
          <w:kern w:val="0"/>
          <w:sz w:val="32"/>
          <w:szCs w:val="32"/>
          <w:lang w:eastAsia="zh-CN"/>
        </w:rPr>
        <w:t>万元，用于劳动人事争议仲裁办案，普法宣传，劳动法律、法规宣传。</w:t>
      </w:r>
    </w:p>
    <w:p w14:paraId="19E1E03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Calibri" w:hAnsi="Calibri" w:eastAsia="仿宋_GB2312" w:cs="Times New Roman"/>
          <w:kern w:val="0"/>
          <w:sz w:val="32"/>
          <w:szCs w:val="32"/>
          <w:lang w:val="en-US" w:eastAsia="zh-CN"/>
        </w:rPr>
      </w:pPr>
    </w:p>
    <w:p w14:paraId="46C2E369">
      <w:pPr>
        <w:widowControl/>
        <w:spacing w:line="600" w:lineRule="exact"/>
        <w:ind w:firstLine="652" w:firstLineChars="200"/>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297D67F8">
      <w:pPr>
        <w:widowControl/>
        <w:spacing w:line="600" w:lineRule="exact"/>
        <w:ind w:firstLine="640" w:firstLineChars="200"/>
        <w:rPr>
          <w:rFonts w:ascii="黑体" w:hAnsi="黑体" w:eastAsia="黑体" w:cs="黑体"/>
          <w:spacing w:val="8"/>
          <w:sz w:val="31"/>
          <w:szCs w:val="31"/>
        </w:rPr>
      </w:pP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年政府性基金预算拨款支出为0万元，</w:t>
      </w:r>
      <w:r>
        <w:rPr>
          <w:rFonts w:hint="eastAsia" w:ascii="仿宋" w:hAnsi="仿宋" w:eastAsia="仿宋" w:cs="仿宋_GB2312"/>
          <w:bCs/>
          <w:kern w:val="0"/>
          <w:sz w:val="32"/>
          <w:szCs w:val="32"/>
        </w:rPr>
        <w:t xml:space="preserve"> 202</w:t>
      </w:r>
      <w:r>
        <w:rPr>
          <w:rFonts w:hint="eastAsia" w:ascii="仿宋" w:hAnsi="仿宋" w:eastAsia="仿宋" w:cs="仿宋_GB2312"/>
          <w:bCs/>
          <w:kern w:val="0"/>
          <w:sz w:val="32"/>
          <w:szCs w:val="32"/>
          <w:lang w:val="en-US" w:eastAsia="zh-CN"/>
        </w:rPr>
        <w:t>4</w:t>
      </w:r>
      <w:r>
        <w:rPr>
          <w:rFonts w:hint="eastAsia" w:ascii="仿宋" w:hAnsi="仿宋" w:eastAsia="仿宋" w:cs="仿宋_GB2312"/>
          <w:bCs/>
          <w:kern w:val="0"/>
          <w:sz w:val="32"/>
          <w:szCs w:val="32"/>
        </w:rPr>
        <w:t>年度本单位无政府性基金安排的支出。</w:t>
      </w:r>
    </w:p>
    <w:p w14:paraId="1FC469D9">
      <w:pPr>
        <w:numPr>
          <w:ilvl w:val="0"/>
          <w:numId w:val="3"/>
        </w:numPr>
        <w:ind w:firstLine="648" w:firstLineChars="200"/>
        <w:jc w:val="left"/>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4C94F343">
      <w:pPr>
        <w:numPr>
          <w:ilvl w:val="0"/>
          <w:numId w:val="0"/>
        </w:numPr>
        <w:ind w:firstLine="640" w:firstLineChars="200"/>
        <w:jc w:val="left"/>
        <w:rPr>
          <w:rFonts w:ascii="黑体" w:hAnsi="黑体" w:eastAsia="黑体" w:cs="黑体"/>
          <w:sz w:val="31"/>
          <w:szCs w:val="31"/>
        </w:rPr>
      </w:pPr>
      <w:r>
        <w:rPr>
          <w:rFonts w:hint="eastAsia" w:ascii="仿宋" w:hAnsi="仿宋" w:eastAsia="仿宋" w:cs="黑体"/>
          <w:color w:val="000000" w:themeColor="text1"/>
          <w:sz w:val="32"/>
          <w:szCs w:val="32"/>
          <w14:textFill>
            <w14:solidFill>
              <w14:schemeClr w14:val="tx1"/>
            </w14:solidFill>
          </w14:textFill>
        </w:rPr>
        <w:t>202</w:t>
      </w:r>
      <w:r>
        <w:rPr>
          <w:rFonts w:hint="eastAsia" w:ascii="仿宋" w:hAnsi="仿宋" w:eastAsia="仿宋" w:cs="黑体"/>
          <w:color w:val="000000" w:themeColor="text1"/>
          <w:sz w:val="32"/>
          <w:szCs w:val="32"/>
          <w:lang w:val="en-US" w:eastAsia="zh-CN"/>
          <w14:textFill>
            <w14:solidFill>
              <w14:schemeClr w14:val="tx1"/>
            </w14:solidFill>
          </w14:textFill>
        </w:rPr>
        <w:t>4</w:t>
      </w:r>
      <w:r>
        <w:rPr>
          <w:rFonts w:hint="eastAsia" w:ascii="仿宋" w:hAnsi="仿宋" w:eastAsia="仿宋" w:cs="黑体"/>
          <w:color w:val="000000" w:themeColor="text1"/>
          <w:sz w:val="32"/>
          <w:szCs w:val="32"/>
          <w14:textFill>
            <w14:solidFill>
              <w14:schemeClr w14:val="tx1"/>
            </w14:solidFill>
          </w14:textFill>
        </w:rPr>
        <w:t>年国有资本经营预算支出为0万元，202</w:t>
      </w:r>
      <w:r>
        <w:rPr>
          <w:rFonts w:hint="eastAsia" w:ascii="仿宋" w:hAnsi="仿宋" w:eastAsia="仿宋" w:cs="黑体"/>
          <w:color w:val="000000" w:themeColor="text1"/>
          <w:sz w:val="32"/>
          <w:szCs w:val="32"/>
          <w:lang w:val="en-US" w:eastAsia="zh-CN"/>
          <w14:textFill>
            <w14:solidFill>
              <w14:schemeClr w14:val="tx1"/>
            </w14:solidFill>
          </w14:textFill>
        </w:rPr>
        <w:t>4</w:t>
      </w:r>
      <w:r>
        <w:rPr>
          <w:rFonts w:hint="eastAsia" w:ascii="仿宋" w:hAnsi="仿宋" w:eastAsia="仿宋" w:cs="黑体"/>
          <w:color w:val="000000" w:themeColor="text1"/>
          <w:sz w:val="32"/>
          <w:szCs w:val="32"/>
          <w14:textFill>
            <w14:solidFill>
              <w14:schemeClr w14:val="tx1"/>
            </w14:solidFill>
          </w14:textFill>
        </w:rPr>
        <w:t>年度本单位无国有资本经营安排的支出。</w:t>
      </w:r>
    </w:p>
    <w:p w14:paraId="4018ADD8">
      <w:pPr>
        <w:numPr>
          <w:ilvl w:val="0"/>
          <w:numId w:val="4"/>
        </w:numPr>
        <w:ind w:firstLine="652" w:firstLineChars="200"/>
        <w:jc w:val="left"/>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ascii="黑体" w:hAnsi="黑体" w:eastAsia="黑体" w:cs="黑体"/>
          <w:spacing w:val="8"/>
          <w:sz w:val="31"/>
          <w:szCs w:val="31"/>
        </w:rPr>
        <w:t>社会保险基金预算支出情况</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 xml:space="preserve"> </w:t>
      </w:r>
    </w:p>
    <w:p w14:paraId="71D33B62">
      <w:pPr>
        <w:numPr>
          <w:ilvl w:val="0"/>
          <w:numId w:val="0"/>
        </w:numPr>
        <w:ind w:firstLine="640" w:firstLineChars="200"/>
        <w:jc w:val="left"/>
        <w:rPr>
          <w:rFonts w:ascii="黑体" w:hAnsi="黑体" w:eastAsia="黑体" w:cs="黑体"/>
          <w:sz w:val="31"/>
          <w:szCs w:val="31"/>
        </w:rPr>
      </w:pPr>
      <w:r>
        <w:rPr>
          <w:rFonts w:hint="eastAsia" w:ascii="仿宋" w:hAnsi="仿宋" w:eastAsia="仿宋" w:cs="黑体"/>
          <w:color w:val="000000" w:themeColor="text1"/>
          <w:sz w:val="32"/>
          <w:szCs w:val="32"/>
          <w14:textFill>
            <w14:solidFill>
              <w14:schemeClr w14:val="tx1"/>
            </w14:solidFill>
          </w14:textFill>
        </w:rPr>
        <w:t>202</w:t>
      </w:r>
      <w:r>
        <w:rPr>
          <w:rFonts w:hint="eastAsia" w:ascii="仿宋" w:hAnsi="仿宋" w:eastAsia="仿宋" w:cs="黑体"/>
          <w:color w:val="000000" w:themeColor="text1"/>
          <w:sz w:val="32"/>
          <w:szCs w:val="32"/>
          <w:lang w:val="en-US" w:eastAsia="zh-CN"/>
          <w14:textFill>
            <w14:solidFill>
              <w14:schemeClr w14:val="tx1"/>
            </w14:solidFill>
          </w14:textFill>
        </w:rPr>
        <w:t>4</w:t>
      </w:r>
      <w:r>
        <w:rPr>
          <w:rFonts w:hint="eastAsia" w:ascii="仿宋" w:hAnsi="仿宋" w:eastAsia="仿宋" w:cs="黑体"/>
          <w:color w:val="000000" w:themeColor="text1"/>
          <w:sz w:val="32"/>
          <w:szCs w:val="32"/>
          <w14:textFill>
            <w14:solidFill>
              <w14:schemeClr w14:val="tx1"/>
            </w14:solidFill>
          </w14:textFill>
        </w:rPr>
        <w:t>年社会保险基金预算支出为0万元，202</w:t>
      </w:r>
      <w:r>
        <w:rPr>
          <w:rFonts w:hint="eastAsia" w:ascii="仿宋" w:hAnsi="仿宋" w:eastAsia="仿宋" w:cs="黑体"/>
          <w:color w:val="000000" w:themeColor="text1"/>
          <w:sz w:val="32"/>
          <w:szCs w:val="32"/>
          <w:lang w:val="en-US" w:eastAsia="zh-CN"/>
          <w14:textFill>
            <w14:solidFill>
              <w14:schemeClr w14:val="tx1"/>
            </w14:solidFill>
          </w14:textFill>
        </w:rPr>
        <w:t>4</w:t>
      </w:r>
      <w:r>
        <w:rPr>
          <w:rFonts w:hint="eastAsia" w:ascii="仿宋" w:hAnsi="仿宋" w:eastAsia="仿宋" w:cs="黑体"/>
          <w:color w:val="000000" w:themeColor="text1"/>
          <w:sz w:val="32"/>
          <w:szCs w:val="32"/>
          <w14:textFill>
            <w14:solidFill>
              <w14:schemeClr w14:val="tx1"/>
            </w14:solidFill>
          </w14:textFill>
        </w:rPr>
        <w:t>年度本单位无社会保险基金安排的支出。</w:t>
      </w:r>
    </w:p>
    <w:p w14:paraId="344E530D">
      <w:pPr>
        <w:keepNext w:val="0"/>
        <w:keepLines w:val="0"/>
        <w:pageBreakBefore w:val="0"/>
        <w:widowControl w:val="0"/>
        <w:numPr>
          <w:ilvl w:val="0"/>
          <w:numId w:val="5"/>
        </w:numPr>
        <w:kinsoku/>
        <w:wordWrap/>
        <w:overflowPunct/>
        <w:topLinePunct w:val="0"/>
        <w:autoSpaceDE/>
        <w:autoSpaceDN/>
        <w:bidi w:val="0"/>
        <w:adjustRightInd/>
        <w:snapToGrid/>
        <w:ind w:left="0" w:firstLine="652" w:firstLineChars="200"/>
        <w:jc w:val="left"/>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7AA84FB5">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sz w:val="31"/>
          <w:szCs w:val="31"/>
          <w:lang w:eastAsia="zh-CN"/>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严格落实《预算法》及区绩效管理工作的有关规定,进一步规范财政资金的管理,建立和完善科学、合理的项目资金绩效评价管理体系,促进公共财政阳光化,提高财政资金使用效益。</w:t>
      </w:r>
    </w:p>
    <w:p w14:paraId="2893B79A">
      <w:pPr>
        <w:keepNext w:val="0"/>
        <w:keepLines w:val="0"/>
        <w:pageBreakBefore w:val="0"/>
        <w:widowControl w:val="0"/>
        <w:numPr>
          <w:ilvl w:val="0"/>
          <w:numId w:val="6"/>
        </w:numPr>
        <w:kinsoku/>
        <w:wordWrap/>
        <w:overflowPunct/>
        <w:topLinePunct w:val="0"/>
        <w:autoSpaceDE/>
        <w:autoSpaceDN/>
        <w:bidi w:val="0"/>
        <w:adjustRightInd/>
        <w:snapToGrid/>
        <w:ind w:left="0" w:firstLine="656" w:firstLineChars="200"/>
        <w:jc w:val="left"/>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6EF5E199">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仲裁办案经费依然存在一定不足，随着我国法律、法规的逐步完善，劳动者依法维权的意识越来越强，劳动争议案件越来越多。近年来，我区劳动人事争议案件一直居高不下,年接待受理劳动人事仲裁案件500起，特别是仲裁零成本受理规定直接导致了案件受理量剧增，且争议案件趋向新领域和复杂性、群体性、社会影响性发展，财政预算安排的仲裁办案专项经费无法保障案件办理所需的调查勘验、取证、文书印制送达、证人误工补助和交通等费用</w:t>
      </w:r>
      <w:r>
        <w:rPr>
          <w:rFonts w:hint="eastAsia" w:eastAsia="仿宋_GB2312"/>
          <w:kern w:val="0"/>
          <w:sz w:val="32"/>
          <w:szCs w:val="32"/>
        </w:rPr>
        <w:t>。</w:t>
      </w:r>
    </w:p>
    <w:p w14:paraId="3D099E77">
      <w:pPr>
        <w:numPr>
          <w:ilvl w:val="0"/>
          <w:numId w:val="0"/>
        </w:numPr>
        <w:spacing w:line="600" w:lineRule="exact"/>
        <w:ind w:firstLine="643" w:firstLineChars="200"/>
        <w:rPr>
          <w:rFonts w:eastAsia="仿宋_GB2312"/>
          <w:kern w:val="0"/>
          <w:sz w:val="32"/>
          <w:szCs w:val="32"/>
        </w:rPr>
      </w:pPr>
      <w:r>
        <w:rPr>
          <w:rFonts w:hint="eastAsia" w:ascii="仿宋" w:hAnsi="仿宋" w:eastAsia="仿宋" w:cs="Times New Roman"/>
          <w:b/>
          <w:bCs/>
          <w:kern w:val="0"/>
          <w:sz w:val="32"/>
          <w:szCs w:val="32"/>
          <w:highlight w:val="none"/>
          <w:lang w:val="en-US" w:eastAsia="zh-CN"/>
        </w:rPr>
        <w:t>八</w:t>
      </w:r>
      <w:r>
        <w:rPr>
          <w:rFonts w:hint="eastAsia" w:ascii="仿宋" w:hAnsi="仿宋" w:eastAsia="仿宋" w:cs="Times New Roman"/>
          <w:b/>
          <w:bCs/>
          <w:kern w:val="0"/>
          <w:sz w:val="32"/>
          <w:szCs w:val="32"/>
          <w:highlight w:val="none"/>
          <w:lang w:eastAsia="zh-CN"/>
        </w:rPr>
        <w:t>、</w:t>
      </w:r>
      <w:r>
        <w:rPr>
          <w:rFonts w:ascii="黑体" w:hAnsi="黑体" w:eastAsia="黑体" w:cs="黑体"/>
          <w:spacing w:val="8"/>
          <w:sz w:val="31"/>
          <w:szCs w:val="31"/>
        </w:rPr>
        <w:t>下一步改进措施</w:t>
      </w:r>
    </w:p>
    <w:p w14:paraId="6715A547">
      <w:pPr>
        <w:spacing w:line="600" w:lineRule="exact"/>
        <w:ind w:firstLine="640" w:firstLineChars="200"/>
        <w:rPr>
          <w:rFonts w:ascii="黑体" w:hAnsi="黑体" w:eastAsia="黑体" w:cs="黑体"/>
          <w:sz w:val="31"/>
          <w:szCs w:val="31"/>
        </w:rPr>
      </w:pPr>
      <w:r>
        <w:rPr>
          <w:rFonts w:hint="eastAsia" w:eastAsia="仿宋_GB2312"/>
          <w:kern w:val="0"/>
          <w:sz w:val="32"/>
          <w:szCs w:val="32"/>
        </w:rPr>
        <w:t>严格遵守资金使用流程。</w:t>
      </w:r>
    </w:p>
    <w:p w14:paraId="6FAB17A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val="en-US" w:eastAsia="zh-CN"/>
        </w:rPr>
        <w:t xml:space="preserve">    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1F835A09">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无</w:t>
      </w:r>
    </w:p>
    <w:p w14:paraId="2A169CC8">
      <w:pPr>
        <w:keepNext w:val="0"/>
        <w:keepLines w:val="0"/>
        <w:pageBreakBefore w:val="0"/>
        <w:widowControl w:val="0"/>
        <w:kinsoku/>
        <w:wordWrap/>
        <w:overflowPunct/>
        <w:topLinePunct w:val="0"/>
        <w:autoSpaceDE/>
        <w:autoSpaceDN/>
        <w:bidi w:val="0"/>
        <w:adjustRightInd/>
        <w:snapToGrid/>
        <w:spacing w:line="240" w:lineRule="auto"/>
        <w:ind w:firstLine="756" w:firstLineChars="300"/>
        <w:textAlignment w:val="auto"/>
        <w:rPr>
          <w:rFonts w:ascii="黑体" w:hAnsi="黑体" w:eastAsia="黑体" w:cs="黑体"/>
          <w:sz w:val="31"/>
          <w:szCs w:val="31"/>
        </w:rPr>
      </w:pPr>
      <w:r>
        <w:rPr>
          <w:rFonts w:hint="eastAsia" w:ascii="黑体" w:hAnsi="黑体" w:eastAsia="黑体" w:cs="黑体"/>
          <w:spacing w:val="-29"/>
          <w:sz w:val="31"/>
          <w:szCs w:val="31"/>
          <w:lang w:val="en-US" w:eastAsia="zh-CN"/>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432C99B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0A0F62A0">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48705002">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4E0B8817">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2D605BF9">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2EBBF87A">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56CD94CC">
      <w:r>
        <w:rPr>
          <w:rFonts w:ascii="Times New Roman" w:hAnsi="Times New Roman" w:eastAsia="Times New Roman" w:cs="Times New Roman"/>
          <w:spacing w:val="7"/>
        </w:rPr>
        <w:t>6</w:t>
      </w:r>
      <w:r>
        <w:rPr>
          <w:spacing w:val="7"/>
        </w:rPr>
        <w:t>、社会保险基金预算支出情况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ECDA0"/>
    <w:multiLevelType w:val="singleLevel"/>
    <w:tmpl w:val="D4FECDA0"/>
    <w:lvl w:ilvl="0" w:tentative="0">
      <w:start w:val="4"/>
      <w:numFmt w:val="chineseCounting"/>
      <w:suff w:val="nothing"/>
      <w:lvlText w:val="%1、"/>
      <w:lvlJc w:val="left"/>
      <w:rPr>
        <w:rFonts w:hint="eastAsia"/>
      </w:rPr>
    </w:lvl>
  </w:abstractNum>
  <w:abstractNum w:abstractNumId="1">
    <w:nsid w:val="DAECF51E"/>
    <w:multiLevelType w:val="singleLevel"/>
    <w:tmpl w:val="DAECF51E"/>
    <w:lvl w:ilvl="0" w:tentative="0">
      <w:start w:val="1"/>
      <w:numFmt w:val="chineseCounting"/>
      <w:suff w:val="nothing"/>
      <w:lvlText w:val="%1、"/>
      <w:lvlJc w:val="left"/>
      <w:rPr>
        <w:rFonts w:hint="eastAsia"/>
      </w:rPr>
    </w:lvl>
  </w:abstractNum>
  <w:abstractNum w:abstractNumId="2">
    <w:nsid w:val="E8240D14"/>
    <w:multiLevelType w:val="singleLevel"/>
    <w:tmpl w:val="E8240D14"/>
    <w:lvl w:ilvl="0" w:tentative="0">
      <w:start w:val="6"/>
      <w:numFmt w:val="chineseCounting"/>
      <w:suff w:val="nothing"/>
      <w:lvlText w:val="%1、"/>
      <w:lvlJc w:val="left"/>
      <w:rPr>
        <w:rFonts w:hint="eastAsia"/>
      </w:rPr>
    </w:lvl>
  </w:abstractNum>
  <w:abstractNum w:abstractNumId="3">
    <w:nsid w:val="1C8B35A9"/>
    <w:multiLevelType w:val="singleLevel"/>
    <w:tmpl w:val="1C8B35A9"/>
    <w:lvl w:ilvl="0" w:tentative="0">
      <w:start w:val="7"/>
      <w:numFmt w:val="chineseCounting"/>
      <w:suff w:val="nothing"/>
      <w:lvlText w:val="%1、"/>
      <w:lvlJc w:val="left"/>
      <w:rPr>
        <w:rFonts w:hint="eastAsia"/>
      </w:rPr>
    </w:lvl>
  </w:abstractNum>
  <w:abstractNum w:abstractNumId="4">
    <w:nsid w:val="49327AE4"/>
    <w:multiLevelType w:val="singleLevel"/>
    <w:tmpl w:val="49327AE4"/>
    <w:lvl w:ilvl="0" w:tentative="0">
      <w:start w:val="2"/>
      <w:numFmt w:val="chineseCounting"/>
      <w:suff w:val="nothing"/>
      <w:lvlText w:val="（%1）"/>
      <w:lvlJc w:val="left"/>
      <w:rPr>
        <w:rFonts w:hint="eastAsia"/>
      </w:rPr>
    </w:lvl>
  </w:abstractNum>
  <w:abstractNum w:abstractNumId="5">
    <w:nsid w:val="77F87FA1"/>
    <w:multiLevelType w:val="singleLevel"/>
    <w:tmpl w:val="77F87FA1"/>
    <w:lvl w:ilvl="0" w:tentative="0">
      <w:start w:val="5"/>
      <w:numFmt w:val="chineseCounting"/>
      <w:suff w:val="nothing"/>
      <w:lvlText w:val="%1、"/>
      <w:lvlJc w:val="left"/>
      <w:rPr>
        <w:rFonts w:hint="eastAsia"/>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F0A3F"/>
    <w:rsid w:val="19612FB6"/>
    <w:rsid w:val="4EC32B5C"/>
    <w:rsid w:val="5FF05A38"/>
    <w:rsid w:val="620820CD"/>
    <w:rsid w:val="689B3BCA"/>
    <w:rsid w:val="77885291"/>
    <w:rsid w:val="7D557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940</Words>
  <Characters>984</Characters>
  <Lines>0</Lines>
  <Paragraphs>0</Paragraphs>
  <TotalTime>1142</TotalTime>
  <ScaleCrop>false</ScaleCrop>
  <LinksUpToDate>false</LinksUpToDate>
  <CharactersWithSpaces>1010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2024-06-20T08:01:00Z</dcterms:created>
  <dc:creator>lenovo</dc:creator>
  <cp:lastModifiedBy>WPS_1582203017</cp:lastModifiedBy>
  <dcterms:modified xsi:type="dcterms:W3CDTF">2025-07-30T01:39:25Z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eyJoZGlkIjoiMmYxOWUwYmU5MWE0MDNiNGQzMDc4OGI0NDgzMmE3MWIiLCJ1c2VySWQiOiI4NTMzNzA4OTMifQ==</vt:lpwstr>
  </property>
  <property fmtid="{D5CDD505-2E9C-101B-9397-08002B2CF9AE}" pid="4" name="ICV">
    <vt:lpwstr>EE1DBB1805A64682AB397B651661D728_12</vt:lpwstr>
  </property>
</Properties>
</file>