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3E1E" w14:textId="77777777" w:rsidR="000F5EF5" w:rsidRDefault="00000000">
      <w:pPr>
        <w:spacing w:afterLines="50" w:after="156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6C8EB71" w14:textId="77777777" w:rsidR="000F5EF5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  <w:t>2023年度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2"/>
          <w:kern w:val="2"/>
          <w:sz w:val="42"/>
          <w:szCs w:val="42"/>
        </w:rPr>
        <w:t>部门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  <w:t>整体支出绩效评价基础数据表</w:t>
      </w:r>
    </w:p>
    <w:tbl>
      <w:tblPr>
        <w:tblW w:w="9673" w:type="dxa"/>
        <w:jc w:val="center"/>
        <w:tblLayout w:type="fixed"/>
        <w:tblLook w:val="04A0" w:firstRow="1" w:lastRow="0" w:firstColumn="1" w:lastColumn="0" w:noHBand="0" w:noVBand="1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0F5EF5" w14:paraId="3716E781" w14:textId="77777777">
        <w:trPr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F198" w14:textId="77777777" w:rsidR="000F5EF5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6DFE" w14:textId="77777777" w:rsidR="000F5EF5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pacing w:val="2"/>
                <w:kern w:val="2"/>
                <w:sz w:val="18"/>
                <w:szCs w:val="18"/>
              </w:rPr>
              <w:t>岳阳市岳阳楼区公共服务和网格化中心</w:t>
            </w:r>
          </w:p>
        </w:tc>
      </w:tr>
      <w:tr w:rsidR="000F5EF5" w14:paraId="5564F7D6" w14:textId="77777777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5904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E2D9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50FD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CD2C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控制率</w:t>
            </w:r>
          </w:p>
        </w:tc>
      </w:tr>
      <w:tr w:rsidR="000F5EF5" w14:paraId="122F6E64" w14:textId="77777777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16DD" w14:textId="77777777" w:rsidR="000F5EF5" w:rsidRDefault="000F5EF5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C0D4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B6CD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E421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100%</w:t>
            </w:r>
          </w:p>
        </w:tc>
      </w:tr>
      <w:tr w:rsidR="000F5EF5" w14:paraId="3289D3E8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48D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80CFF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4D122B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ADC813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2023年决算数</w:t>
            </w:r>
          </w:p>
        </w:tc>
      </w:tr>
      <w:tr w:rsidR="000F5EF5" w14:paraId="5DBA7EC1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4E72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74ED4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3.08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AAFDC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F3C348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0.61</w:t>
            </w:r>
          </w:p>
        </w:tc>
      </w:tr>
      <w:tr w:rsidR="000F5EF5" w14:paraId="797F1057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8F5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6EE68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2CEBD3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01305F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</w:tr>
      <w:tr w:rsidR="000F5EF5" w14:paraId="385A8E44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307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4A5B7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4446C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54499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</w:tr>
      <w:tr w:rsidR="000F5EF5" w14:paraId="045FD600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4EB2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39D665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A5206F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D1C3D9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</w:tr>
      <w:tr w:rsidR="000F5EF5" w14:paraId="5F234A42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3C3D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6B216E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53EA3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569B9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</w:tr>
      <w:tr w:rsidR="000F5EF5" w14:paraId="6784ECB6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484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E9DE22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3.08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62701C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AC050E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0.61</w:t>
            </w:r>
          </w:p>
        </w:tc>
      </w:tr>
      <w:tr w:rsidR="000F5EF5" w14:paraId="1DDB223B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99DE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F9A98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169.38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A5CEF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111.00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A30BF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112.26</w:t>
            </w:r>
          </w:p>
        </w:tc>
      </w:tr>
      <w:tr w:rsidR="000F5EF5" w14:paraId="3E383C7A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FFCB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DE0F1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169.38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8F9B20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111.00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14610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112.26</w:t>
            </w:r>
          </w:p>
        </w:tc>
      </w:tr>
      <w:tr w:rsidR="000F5EF5" w14:paraId="5E9A24BE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F9A5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7559D6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1F32C6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DECC8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</w:tr>
      <w:tr w:rsidR="000F5EF5" w14:paraId="41AE961E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3AD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00AA99" w14:textId="77777777" w:rsidR="000F5EF5" w:rsidRDefault="000F5EF5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EE006" w14:textId="77777777" w:rsidR="000F5EF5" w:rsidRDefault="000F5EF5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04BCD4" w14:textId="77777777" w:rsidR="000F5EF5" w:rsidRDefault="000F5EF5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  <w:tr w:rsidR="000F5EF5" w14:paraId="78636EC8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107D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89CDD3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FABFF2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53B6C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</w:tr>
      <w:tr w:rsidR="000F5EF5" w14:paraId="7F9E82CA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6D37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CD3BC0" w14:textId="77777777" w:rsidR="000F5EF5" w:rsidRDefault="000F5EF5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6C6CA" w14:textId="77777777" w:rsidR="000F5EF5" w:rsidRDefault="000F5EF5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84DB9" w14:textId="77777777" w:rsidR="000F5EF5" w:rsidRDefault="000F5EF5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  <w:tr w:rsidR="000F5EF5" w14:paraId="60219452" w14:textId="77777777">
        <w:trPr>
          <w:trHeight w:val="39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41A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AF2A73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20.55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7801E5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19.80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01E64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19.78</w:t>
            </w:r>
          </w:p>
        </w:tc>
      </w:tr>
      <w:tr w:rsidR="000F5EF5" w14:paraId="5AB0DE69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9A8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B700DA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2.43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4B1BD8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18.00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0800FC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10.14</w:t>
            </w:r>
          </w:p>
        </w:tc>
      </w:tr>
      <w:tr w:rsidR="000F5EF5" w14:paraId="1D552939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C84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6E56BE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5A5977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76AA65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</w:tr>
      <w:tr w:rsidR="000F5EF5" w14:paraId="1AA1A044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3586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F8FD80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1.42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23948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6458F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0.48</w:t>
            </w:r>
          </w:p>
        </w:tc>
      </w:tr>
      <w:tr w:rsidR="000F5EF5" w14:paraId="0B186034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0723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444B11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168CE3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125.43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21827E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114.23</w:t>
            </w:r>
          </w:p>
        </w:tc>
      </w:tr>
      <w:tr w:rsidR="000F5EF5" w14:paraId="198946EF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3A4" w14:textId="77777777" w:rsidR="000F5EF5" w:rsidRDefault="00000000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230EEA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BDE69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153.07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217DC3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159.66</w:t>
            </w:r>
          </w:p>
        </w:tc>
      </w:tr>
      <w:tr w:rsidR="000F5EF5" w14:paraId="465136E6" w14:textId="77777777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EFA7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楼堂馆所控制情况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C171" w14:textId="77777777" w:rsidR="000F5EF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  <w:t>批复规模</w:t>
            </w:r>
            <w:r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F1E9" w14:textId="77777777" w:rsidR="000F5EF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C84A" w14:textId="77777777" w:rsidR="000F5EF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E7BA" w14:textId="77777777" w:rsidR="000F5EF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7E46" w14:textId="77777777" w:rsidR="000F5EF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F375" w14:textId="77777777" w:rsidR="000F5EF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0"/>
                <w:szCs w:val="20"/>
              </w:rPr>
              <w:t>投资概算控制率</w:t>
            </w:r>
          </w:p>
        </w:tc>
      </w:tr>
      <w:tr w:rsidR="000F5EF5" w14:paraId="2823E63C" w14:textId="77777777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4E51" w14:textId="77777777" w:rsidR="000F5EF5" w:rsidRDefault="000F5EF5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2F21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B6E5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3E6F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C6E2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056C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F2CC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</w:t>
            </w:r>
          </w:p>
        </w:tc>
      </w:tr>
      <w:tr w:rsidR="000F5EF5" w14:paraId="1CFBE38B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6FDA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6375C" w14:textId="77777777" w:rsidR="000F5EF5" w:rsidRDefault="00000000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　</w:t>
            </w:r>
          </w:p>
        </w:tc>
      </w:tr>
    </w:tbl>
    <w:p w14:paraId="4C150D19" w14:textId="77777777" w:rsidR="000F5EF5" w:rsidRDefault="00000000">
      <w:pPr>
        <w:spacing w:line="410" w:lineRule="exact"/>
        <w:rPr>
          <w:rFonts w:ascii="宋体" w:hAnsi="宋体" w:cs="宋体" w:hint="eastAsia"/>
          <w:color w:val="000000"/>
          <w:kern w:val="2"/>
          <w:sz w:val="23"/>
          <w:szCs w:val="23"/>
        </w:rPr>
      </w:pPr>
      <w:r>
        <w:rPr>
          <w:rFonts w:ascii="宋体" w:hAnsi="宋体" w:cs="宋体"/>
          <w:color w:val="000000"/>
          <w:kern w:val="2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196C493C" w14:textId="77777777" w:rsidR="000F5EF5" w:rsidRDefault="00000000">
      <w:pPr>
        <w:widowControl/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23"/>
          <w:szCs w:val="23"/>
        </w:rPr>
        <w:t>填表人：        填报日期：          联系电话：            单位负责人签字：</w:t>
      </w:r>
      <w:r>
        <w:rPr>
          <w:rFonts w:asciiTheme="majorEastAsia" w:eastAsiaTheme="majorEastAsia" w:hAnsiTheme="majorEastAsia" w:cstheme="majorEastAsia" w:hint="eastAsia"/>
          <w:sz w:val="23"/>
          <w:szCs w:val="23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307DA5D2" w14:textId="77777777" w:rsidR="000F5EF5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  <w:t>2023年度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2"/>
          <w:kern w:val="2"/>
          <w:sz w:val="42"/>
          <w:szCs w:val="42"/>
        </w:rPr>
        <w:t>部门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  <w:t>整体支出绩效自评表</w:t>
      </w:r>
    </w:p>
    <w:tbl>
      <w:tblPr>
        <w:tblW w:w="10079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:rsidR="000F5EF5" w14:paraId="5C7FE1CB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C5EF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400E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岳阳市岳阳楼区公共服务和网格化中心</w:t>
            </w:r>
          </w:p>
        </w:tc>
      </w:tr>
      <w:tr w:rsidR="000F5EF5" w14:paraId="4CF18653" w14:textId="7777777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0D3B77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年度预</w:t>
            </w:r>
          </w:p>
          <w:p w14:paraId="19380256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算申请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AB83" w14:textId="77777777" w:rsidR="000F5EF5" w:rsidRDefault="000F5EF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9BC6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C0FA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C696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5D07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AD77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F1CE6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得分</w:t>
            </w:r>
          </w:p>
        </w:tc>
      </w:tr>
      <w:tr w:rsidR="000F5EF5" w14:paraId="0AEC47E4" w14:textId="7777777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764138" w14:textId="77777777" w:rsidR="000F5EF5" w:rsidRDefault="000F5E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B4BF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2C16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264.07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F4C4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271.92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1F887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271.92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984E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D10F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802B" w14:textId="77777777" w:rsidR="000F5EF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10</w:t>
            </w:r>
          </w:p>
        </w:tc>
      </w:tr>
      <w:tr w:rsidR="000F5EF5" w14:paraId="348D472B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B3AB0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F4CF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EC38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0F5EF5" w14:paraId="604F713B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8381F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B0A6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271.92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4C6F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其中：基本支出：159.66</w:t>
            </w:r>
          </w:p>
        </w:tc>
      </w:tr>
      <w:tr w:rsidR="000F5EF5" w14:paraId="2E6E63ED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8F1C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B9D5E" w14:textId="77777777" w:rsidR="000F5EF5" w:rsidRDefault="00000000">
            <w:pPr>
              <w:widowControl/>
              <w:spacing w:line="240" w:lineRule="exact"/>
              <w:ind w:firstLineChars="400" w:firstLine="80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3A0E" w14:textId="77777777" w:rsidR="000F5EF5" w:rsidRDefault="00000000">
            <w:pPr>
              <w:widowControl/>
              <w:spacing w:line="240" w:lineRule="exact"/>
              <w:ind w:firstLineChars="300" w:firstLine="60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项目支出：112.26</w:t>
            </w:r>
          </w:p>
        </w:tc>
      </w:tr>
      <w:tr w:rsidR="000F5EF5" w14:paraId="3804E049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0FE1F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E5E5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C613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</w:tr>
      <w:tr w:rsidR="000F5EF5" w14:paraId="49AEED51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4835F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68DD" w14:textId="77777777" w:rsidR="000F5EF5" w:rsidRDefault="00000000">
            <w:pPr>
              <w:widowControl/>
              <w:spacing w:line="240" w:lineRule="exact"/>
              <w:ind w:firstLineChars="700" w:firstLine="140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D477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</w:tr>
      <w:tr w:rsidR="000F5EF5" w14:paraId="677E5D79" w14:textId="7777777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B5C9E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BA16F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C5FE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实际完成情况</w:t>
            </w:r>
          </w:p>
        </w:tc>
      </w:tr>
      <w:tr w:rsidR="000F5EF5" w14:paraId="07DAA777" w14:textId="7777777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4A7B7" w14:textId="77777777" w:rsidR="000F5EF5" w:rsidRDefault="000F5EF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F6AAC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紧紧围绕“党建+网格化微治理”“群英断是非”工作品牌，依托“精细化督查、智慧化发展、差异化推进”三条路径，重点实施“固本强基”“协同共治”“数字赋能”“治理提升”“窗口提质”五项工程，对标对表、抓纲带目，全力推进“党建+网格化微治理”、社区（村）综合绩效考评、智慧社区试点建设等工作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4C3D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已完成100%</w:t>
            </w:r>
          </w:p>
        </w:tc>
      </w:tr>
      <w:tr w:rsidR="000F5EF5" w14:paraId="3BD39611" w14:textId="7777777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ACE2DA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绩</w:t>
            </w:r>
          </w:p>
          <w:p w14:paraId="65D1BCF8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效</w:t>
            </w:r>
          </w:p>
          <w:p w14:paraId="6410AAE6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指</w:t>
            </w:r>
          </w:p>
          <w:p w14:paraId="5431F074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标</w:t>
            </w:r>
          </w:p>
          <w:p w14:paraId="5B6DB8BB" w14:textId="77777777" w:rsidR="000F5EF5" w:rsidRDefault="000F5EF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CF8E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236F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A785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DFE1" w14:textId="77777777" w:rsidR="000F5EF5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CD49" w14:textId="77777777" w:rsidR="000F5EF5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1991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7135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FADC" w14:textId="77777777" w:rsidR="000F5EF5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0F5EF5" w14:paraId="6C03A440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BCE32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CBC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产出指标</w:t>
            </w:r>
          </w:p>
          <w:p w14:paraId="3B8362DC" w14:textId="77777777" w:rsidR="000F5EF5" w:rsidRDefault="000F5E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  <w:p w14:paraId="6ADC5EEA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7BA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9CEC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全区网格员开展上门走访次数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4289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F073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187253次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2D71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91E0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5CD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3E3ACF35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B2C0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60D" w14:textId="77777777" w:rsidR="000F5EF5" w:rsidRDefault="000F5EF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8B4" w14:textId="77777777" w:rsidR="000F5EF5" w:rsidRDefault="000F5EF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971F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持续夯实数据底座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D08E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25EF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290636条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765A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D685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8CFA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33F1476F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DD6C6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199C" w14:textId="77777777" w:rsidR="000F5EF5" w:rsidRDefault="000F5EF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F60C" w14:textId="77777777" w:rsidR="000F5EF5" w:rsidRDefault="000F5E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192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深入调研推动实施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B5AA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组织召开20次调度会、30余次现场协调会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FC49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组织召开20次调度会、30余次现场协调会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431F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1CEE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B9F38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37FFAE14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A175C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79DC" w14:textId="77777777" w:rsidR="000F5EF5" w:rsidRDefault="000F5EF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B02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20C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坚持精细化管理，网格工作基础不断夯实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90BC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细化深化“党建+网格化微治理”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5A97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细化深化“党建+网格化微治理”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F219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90A2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7223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619122C1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46956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BEF6" w14:textId="77777777" w:rsidR="000F5EF5" w:rsidRDefault="000F5EF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A57" w14:textId="77777777" w:rsidR="000F5EF5" w:rsidRDefault="000F5EF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51AF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坚持规范化建设，基层治理水平提档升级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2847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1E04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D12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01B1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316E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03F4951D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87EB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EB16" w14:textId="77777777" w:rsidR="000F5EF5" w:rsidRDefault="000F5EF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7D62" w14:textId="77777777" w:rsidR="000F5EF5" w:rsidRDefault="000F5E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5270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坚持高质量发展，智慧社区试点建设加速推进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D876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工作落地落细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4C7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工作落地落细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B0CA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0A52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759FC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6279B410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813EB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19D" w14:textId="77777777" w:rsidR="000F5EF5" w:rsidRDefault="000F5EF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2A6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7193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履职工作任务完成时间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BCBE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2023年度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F418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2023年度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388C0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1EA5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7AE3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7F8F07DB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0E6E0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5FB9" w14:textId="77777777" w:rsidR="000F5EF5" w:rsidRDefault="000F5EF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A14E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178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完成履职工作任务所需经费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35946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271.92万元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DD35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271.92万元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B2C1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D3D31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2592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5A1E8F4C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E9027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53BE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效益指标</w:t>
            </w:r>
          </w:p>
          <w:p w14:paraId="50277A39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  <w:p w14:paraId="3F4B4435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（30分）</w:t>
            </w:r>
          </w:p>
          <w:p w14:paraId="379B9931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BA3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经济效</w:t>
            </w:r>
          </w:p>
          <w:p w14:paraId="1732A18C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6062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87E0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F621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34B4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FAE7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8199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0F5EF5" w14:paraId="71338EF4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3A9F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0F59" w14:textId="77777777" w:rsidR="000F5EF5" w:rsidRDefault="000F5EF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8E2D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社会效</w:t>
            </w:r>
          </w:p>
          <w:p w14:paraId="2B6EEEAC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B71A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党建+网格化微治理考评；保障一网统管系统的正常建设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98BD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正常运转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2C34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正常运转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A24E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231F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0066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7E37475E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BF00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FF11" w14:textId="77777777" w:rsidR="000F5EF5" w:rsidRDefault="000F5EF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1E9F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生态效</w:t>
            </w:r>
          </w:p>
          <w:p w14:paraId="5B72F63C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860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5D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52C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B21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47E2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E638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0F5EF5" w14:paraId="4C0AEA00" w14:textId="77777777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4870" w14:textId="77777777" w:rsidR="000F5EF5" w:rsidRDefault="000F5EF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F28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DF3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3947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坚持以群众满意度为标尺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CC59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03E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D0F5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C90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36A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43CDF193" w14:textId="77777777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47038" w14:textId="77777777" w:rsidR="000F5EF5" w:rsidRDefault="000F5EF5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53C0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满意度</w:t>
            </w:r>
          </w:p>
          <w:p w14:paraId="1D8A9BBB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指标</w:t>
            </w:r>
          </w:p>
          <w:p w14:paraId="4EA1C088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27E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6E1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社会公众满意度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4981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16E2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9E32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D48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563C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77C810E5" w14:textId="77777777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7427DE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2F24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68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D2C9" w14:textId="77777777" w:rsidR="000F5EF5" w:rsidRDefault="000F5EF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</w:tr>
    </w:tbl>
    <w:p w14:paraId="6D8D383D" w14:textId="77777777" w:rsidR="000F5EF5" w:rsidRDefault="00000000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23"/>
          <w:szCs w:val="23"/>
        </w:rPr>
        <w:t>填表人：      填报日期：         联系电话：                单位负责人签字：</w:t>
      </w:r>
      <w:r>
        <w:rPr>
          <w:rFonts w:asciiTheme="minorEastAsia" w:eastAsiaTheme="minorEastAsia" w:hAnsiTheme="minorEastAsia" w:cstheme="minorEastAsia" w:hint="eastAsia"/>
          <w:sz w:val="23"/>
          <w:szCs w:val="23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7ED7A204" w14:textId="77777777" w:rsidR="000F5EF5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  <w:t>2023年度项目支出绩效自评表</w:t>
      </w:r>
    </w:p>
    <w:tbl>
      <w:tblPr>
        <w:tblW w:w="9851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0F5EF5" w14:paraId="5671BB26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653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项目支</w:t>
            </w:r>
          </w:p>
          <w:p w14:paraId="2FB88A6E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5FA99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运行维护费</w:t>
            </w:r>
          </w:p>
        </w:tc>
      </w:tr>
      <w:tr w:rsidR="000F5EF5" w14:paraId="6BD79895" w14:textId="77777777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6319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4300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岳阳市岳阳楼区人民政府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E915A8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459F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岳阳市岳阳楼区公共服务和网格化中心</w:t>
            </w:r>
          </w:p>
        </w:tc>
      </w:tr>
      <w:tr w:rsidR="000F5EF5" w14:paraId="14740FF1" w14:textId="7777777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36C85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33CD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10BD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年初</w:t>
            </w:r>
          </w:p>
          <w:p w14:paraId="4A1E7D44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65A2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全年</w:t>
            </w:r>
          </w:p>
          <w:p w14:paraId="15BA502F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F9D3" w14:textId="77777777" w:rsidR="000F5EF5" w:rsidRDefault="00000000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全年</w:t>
            </w:r>
          </w:p>
          <w:p w14:paraId="26D74A4A" w14:textId="77777777" w:rsidR="000F5EF5" w:rsidRDefault="00000000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18F0" w14:textId="77777777" w:rsidR="000F5EF5" w:rsidRDefault="00000000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4288" w14:textId="77777777" w:rsidR="000F5EF5" w:rsidRDefault="00000000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636B" w14:textId="77777777" w:rsidR="000F5EF5" w:rsidRDefault="00000000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得分</w:t>
            </w:r>
          </w:p>
        </w:tc>
      </w:tr>
      <w:tr w:rsidR="000F5EF5" w14:paraId="1B22D505" w14:textId="7777777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A3BA2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CBAA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A070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81.00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2D96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66.79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F5D5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66.79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745C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EFB8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AB93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</w:tr>
      <w:tr w:rsidR="000F5EF5" w14:paraId="06FCE18F" w14:textId="7777777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A2E4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B375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BA3E9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7488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66.79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9D7B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66.79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D2CD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1326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05E5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5EF5" w14:paraId="2708C97F" w14:textId="7777777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9C4F1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BF21" w14:textId="77777777" w:rsidR="000F5EF5" w:rsidRDefault="00000000">
            <w:pPr>
              <w:widowControl/>
              <w:spacing w:line="260" w:lineRule="exact"/>
              <w:ind w:firstLineChars="300" w:firstLine="60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6E2EF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ECB2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77D5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CEF9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FFBD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513E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5EF5" w14:paraId="05DD85F8" w14:textId="7777777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B635B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6821" w14:textId="77777777" w:rsidR="000F5EF5" w:rsidRDefault="00000000">
            <w:pPr>
              <w:widowControl/>
              <w:spacing w:line="260" w:lineRule="exact"/>
              <w:ind w:firstLineChars="300" w:firstLine="60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CB54A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2393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2254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7B53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EA616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EC1B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5EF5" w14:paraId="7AB4FA98" w14:textId="7777777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2D303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2EB7EA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5F3E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实际完成情况</w:t>
            </w:r>
          </w:p>
        </w:tc>
      </w:tr>
      <w:tr w:rsidR="000F5EF5" w14:paraId="4365419A" w14:textId="7777777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892EB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4CEF16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1.三合一系统运行维护2.信息网络运行维护。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71C2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已完成预期目标</w:t>
            </w:r>
          </w:p>
        </w:tc>
      </w:tr>
      <w:tr w:rsidR="000F5EF5" w14:paraId="2CF3262F" w14:textId="7777777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1673AF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绩</w:t>
            </w:r>
          </w:p>
          <w:p w14:paraId="5FF0B95A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效</w:t>
            </w:r>
          </w:p>
          <w:p w14:paraId="77AB3BC7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指</w:t>
            </w:r>
          </w:p>
          <w:p w14:paraId="0E479D4C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34A7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EE50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2337F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CEBBA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年度</w:t>
            </w:r>
          </w:p>
          <w:p w14:paraId="6D2B7C35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4B49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实际</w:t>
            </w:r>
          </w:p>
          <w:p w14:paraId="0FAA9178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3670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D42F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A526" w14:textId="77777777" w:rsidR="000F5EF5" w:rsidRDefault="00000000">
            <w:pPr>
              <w:widowControl/>
              <w:spacing w:line="260" w:lineRule="exac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0F5EF5" w14:paraId="2784A048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571D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2498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产出指标</w:t>
            </w:r>
          </w:p>
          <w:p w14:paraId="1A5B54FD" w14:textId="77777777" w:rsidR="000F5EF5" w:rsidRDefault="000F5EF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  <w:p w14:paraId="2C7A6C8B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6BBE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136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三合一系统运行维护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1F7D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31BC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2322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D88C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AEA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734DAD93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1B98F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2F1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A03E" w14:textId="77777777" w:rsidR="000F5EF5" w:rsidRDefault="000F5EF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D670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信息网络运行维护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0A8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5D6A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683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E59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8756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79B6788B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14F6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BC68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88A2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688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工作完成率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6744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DC66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81F4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C682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BA6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66B2200B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CE676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9DC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6E4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DC4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在规定时间内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71ED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2023年度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058C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2023年度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F11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869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A08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402829DF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D941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82B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EE4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7909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在预算内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174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66.79万元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8274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66.79万元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12C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D50F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17B2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2AD0676B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9ACC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AC40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效益指标</w:t>
            </w:r>
          </w:p>
          <w:p w14:paraId="0ADF9C1D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  <w:p w14:paraId="7B5E3AC0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（30分）</w:t>
            </w:r>
          </w:p>
          <w:p w14:paraId="6E45823E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0430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经济效</w:t>
            </w:r>
          </w:p>
          <w:p w14:paraId="30F78EAB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F1F5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489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8775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E4D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D428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FE07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0F5EF5" w14:paraId="53428639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ECEAF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8122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6FA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社会效</w:t>
            </w:r>
          </w:p>
          <w:p w14:paraId="1C56EF81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54E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坚持高质量发展，智慧社区试点建设加速推进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C34B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提高效率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7259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提高效率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E6EB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A46C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F0DE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1A31501A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3222B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584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D4F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生态效</w:t>
            </w:r>
          </w:p>
          <w:p w14:paraId="76AB80A9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0CB6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126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612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574E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B49B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24C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/</w:t>
            </w:r>
          </w:p>
        </w:tc>
      </w:tr>
      <w:tr w:rsidR="000F5EF5" w14:paraId="35DB1CCC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C11AC" w14:textId="77777777" w:rsidR="000F5EF5" w:rsidRDefault="000F5EF5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B4D4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A241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231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坚持以群众满意度为标尺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DC5E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547E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71CF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F287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9215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4CE97F5A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A4FE" w14:textId="77777777" w:rsidR="000F5EF5" w:rsidRDefault="000F5EF5">
            <w:pPr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5488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满意度</w:t>
            </w:r>
          </w:p>
          <w:p w14:paraId="6CFDC968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指标</w:t>
            </w:r>
          </w:p>
          <w:p w14:paraId="07A2FE82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0725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2CA5" w14:textId="77777777" w:rsidR="000F5EF5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238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B5AC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6C86" w14:textId="77777777" w:rsidR="000F5EF5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E537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61A7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F5EF5" w14:paraId="6FDD3878" w14:textId="77777777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1A6F5" w14:textId="77777777" w:rsidR="000F5EF5" w:rsidRDefault="0000000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7B4A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CB71" w14:textId="77777777" w:rsidR="000F5EF5" w:rsidRDefault="0000000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65D3" w14:textId="77777777" w:rsidR="000F5EF5" w:rsidRDefault="000F5EF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</w:pPr>
          </w:p>
        </w:tc>
      </w:tr>
    </w:tbl>
    <w:p w14:paraId="7BBD0328" w14:textId="77777777" w:rsidR="000F5EF5" w:rsidRDefault="000F5EF5">
      <w:pPr>
        <w:rPr>
          <w:rFonts w:asciiTheme="minorEastAsia" w:eastAsiaTheme="minorEastAsia" w:hAnsiTheme="minorEastAsia" w:cstheme="minorEastAsia" w:hint="eastAsia"/>
          <w:sz w:val="20"/>
          <w:szCs w:val="20"/>
        </w:rPr>
      </w:pPr>
    </w:p>
    <w:p w14:paraId="78AD29F8" w14:textId="77777777" w:rsidR="000F5EF5" w:rsidRDefault="000F5EF5">
      <w:pPr>
        <w:rPr>
          <w:rFonts w:asciiTheme="minorEastAsia" w:eastAsiaTheme="minorEastAsia" w:hAnsiTheme="minorEastAsia" w:cstheme="minorEastAsia" w:hint="eastAsia"/>
          <w:sz w:val="23"/>
          <w:szCs w:val="23"/>
        </w:rPr>
      </w:pPr>
    </w:p>
    <w:p w14:paraId="2B1D9DDA" w14:textId="77777777" w:rsidR="000F5EF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23"/>
          <w:szCs w:val="23"/>
        </w:rPr>
        <w:t>填表人：        填报日期：           联系电话：           单位负责人签字：</w:t>
      </w:r>
      <w:r>
        <w:rPr>
          <w:rFonts w:asciiTheme="minorEastAsia" w:eastAsiaTheme="minorEastAsia" w:hAnsiTheme="minorEastAsia" w:cstheme="minorEastAsia" w:hint="eastAsia"/>
          <w:sz w:val="23"/>
          <w:szCs w:val="23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14:paraId="18D8DBCE" w14:textId="77777777" w:rsidR="000F5EF5" w:rsidRDefault="000F5EF5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14:paraId="4B56EB63" w14:textId="77777777" w:rsidR="000F5EF5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  <w:t>2023年度岳阳市岳阳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2"/>
          <w:kern w:val="2"/>
          <w:sz w:val="42"/>
          <w:szCs w:val="42"/>
        </w:rPr>
        <w:t>楼区公共服务和网格化中心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kern w:val="2"/>
          <w:sz w:val="42"/>
          <w:szCs w:val="42"/>
        </w:rPr>
        <w:t>整体支出绩效自评报告</w:t>
      </w:r>
    </w:p>
    <w:p w14:paraId="24473770" w14:textId="77777777" w:rsidR="000F5EF5" w:rsidRDefault="000F5EF5">
      <w:pPr>
        <w:jc w:val="center"/>
        <w:rPr>
          <w:rFonts w:ascii="Times New Roman" w:eastAsia="方正小标宋_GBK" w:hAnsi="Times New Roman"/>
          <w:b/>
          <w:sz w:val="52"/>
          <w:szCs w:val="52"/>
        </w:rPr>
      </w:pPr>
    </w:p>
    <w:p w14:paraId="6F0D4DAD" w14:textId="77777777" w:rsidR="000F5EF5" w:rsidRDefault="000F5EF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5D13BB9E" w14:textId="77777777" w:rsidR="000F5EF5" w:rsidRDefault="000F5EF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34F480AA" w14:textId="77777777" w:rsidR="000F5EF5" w:rsidRDefault="000F5EF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7025E81A" w14:textId="77777777" w:rsidR="000F5EF5" w:rsidRDefault="000F5EF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4ED40253" w14:textId="77777777" w:rsidR="000F5EF5" w:rsidRDefault="000F5EF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498741C7" w14:textId="77777777" w:rsidR="000F5EF5" w:rsidRDefault="000F5EF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55CCF7CE" w14:textId="77777777" w:rsidR="000F5EF5" w:rsidRDefault="000F5EF5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501CD638" w14:textId="77777777" w:rsidR="000F5EF5" w:rsidRDefault="000F5EF5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05C030FE" w14:textId="77777777" w:rsidR="000F5EF5" w:rsidRDefault="000F5EF5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12028DD1" w14:textId="77777777" w:rsidR="000F5EF5" w:rsidRDefault="000F5EF5">
      <w:pPr>
        <w:rPr>
          <w:rFonts w:ascii="Times New Roman" w:eastAsia="黑体" w:hAnsi="Times New Roman"/>
          <w:sz w:val="32"/>
          <w:szCs w:val="32"/>
        </w:rPr>
      </w:pPr>
    </w:p>
    <w:p w14:paraId="473E51B6" w14:textId="77777777" w:rsidR="000F5EF5" w:rsidRDefault="000F5EF5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2EB49AE6" w14:textId="77777777" w:rsidR="000F5EF5" w:rsidRDefault="000F5EF5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2C2C5DDD" w14:textId="77777777" w:rsidR="000F5EF5" w:rsidRDefault="000F5EF5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70D6FBF5" w14:textId="77777777" w:rsidR="000F5EF5" w:rsidRDefault="00000000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部门（单位）名称：</w:t>
      </w:r>
      <w:r>
        <w:rPr>
          <w:rFonts w:ascii="Times New Roman" w:eastAsia="仿宋_GB2312" w:hAnsi="Times New Roman"/>
          <w:sz w:val="32"/>
          <w:szCs w:val="32"/>
          <w:u w:val="single"/>
        </w:rPr>
        <w:t>（盖章）</w:t>
      </w:r>
    </w:p>
    <w:p w14:paraId="46E7DF5E" w14:textId="77777777" w:rsidR="000F5EF5" w:rsidRDefault="00000000">
      <w:pPr>
        <w:spacing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/>
          <w:sz w:val="32"/>
          <w:szCs w:val="32"/>
        </w:rPr>
        <w:t>月</w:t>
      </w:r>
      <w:r>
        <w:rPr>
          <w:rFonts w:ascii="Times New Roman" w:eastAsia="楷体_GB2312" w:hAnsi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/>
          <w:sz w:val="32"/>
          <w:szCs w:val="32"/>
        </w:rPr>
        <w:t>日</w:t>
      </w:r>
    </w:p>
    <w:p w14:paraId="20719067" w14:textId="77777777" w:rsidR="000F5EF5" w:rsidRDefault="0000000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（此页为封面）</w:t>
      </w:r>
    </w:p>
    <w:p w14:paraId="3AC9F670" w14:textId="77777777" w:rsidR="000F5EF5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kern w:val="2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pacing w:val="6"/>
          <w:kern w:val="2"/>
          <w:sz w:val="44"/>
          <w:szCs w:val="44"/>
        </w:rPr>
        <w:lastRenderedPageBreak/>
        <w:t>2023年度岳阳市岳阳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kern w:val="2"/>
          <w:sz w:val="44"/>
          <w:szCs w:val="44"/>
        </w:rPr>
        <w:t>楼区公共服务和网格化中心</w:t>
      </w:r>
      <w:r>
        <w:rPr>
          <w:rFonts w:ascii="方正小标宋简体" w:eastAsia="方正小标宋简体" w:hAnsi="方正小标宋简体" w:cs="方正小标宋简体" w:hint="eastAsia"/>
          <w:spacing w:val="6"/>
          <w:kern w:val="2"/>
          <w:sz w:val="44"/>
          <w:szCs w:val="44"/>
        </w:rPr>
        <w:t>整体支出绩效自评报告</w:t>
      </w:r>
    </w:p>
    <w:p w14:paraId="0B23BF80" w14:textId="77777777" w:rsidR="000F5EF5" w:rsidRDefault="000F5EF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7DFA10B" w14:textId="77777777" w:rsidR="000F5EF5" w:rsidRDefault="00000000">
      <w:pPr>
        <w:rPr>
          <w:rFonts w:ascii="黑体" w:eastAsia="黑体" w:hAnsi="黑体" w:cs="黑体" w:hint="eastAsia"/>
          <w:spacing w:val="-2"/>
          <w:kern w:val="2"/>
          <w:sz w:val="31"/>
          <w:szCs w:val="31"/>
        </w:rPr>
      </w:pPr>
      <w:r>
        <w:rPr>
          <w:rFonts w:ascii="黑体" w:eastAsia="黑体" w:hAnsi="黑体" w:cs="黑体"/>
          <w:spacing w:val="-2"/>
          <w:kern w:val="2"/>
          <w:sz w:val="31"/>
          <w:szCs w:val="31"/>
        </w:rPr>
        <w:t>一、部门基本情况</w:t>
      </w:r>
    </w:p>
    <w:p w14:paraId="06CF4FE8" w14:textId="77777777" w:rsidR="000F5EF5" w:rsidRDefault="00000000">
      <w:pPr>
        <w:pStyle w:val="a4"/>
        <w:widowControl/>
        <w:shd w:val="clear" w:color="auto" w:fill="FFFFFF"/>
        <w:spacing w:beforeAutospacing="0" w:afterAutospacing="0" w:line="33" w:lineRule="atLeast"/>
        <w:ind w:firstLineChars="200" w:firstLine="643"/>
        <w:jc w:val="both"/>
        <w:textAlignment w:val="center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（一）职能职责</w:t>
      </w:r>
    </w:p>
    <w:p w14:paraId="3E94C79C" w14:textId="77777777" w:rsidR="000F5EF5" w:rsidRDefault="00000000">
      <w:pPr>
        <w:pStyle w:val="a4"/>
        <w:widowControl/>
        <w:shd w:val="clear" w:color="auto" w:fill="FFFFFF"/>
        <w:spacing w:beforeAutospacing="0" w:afterAutospacing="0" w:line="0" w:lineRule="atLeast"/>
        <w:ind w:firstLine="640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1、贯彻落实中央、省、市关于社会治理创新的方针政策和法律法规；拟定全区社区治理和服务创新的发展战略、发展规划，全面推进公共服务、网格管理和居民自治“三合一”工作。</w:t>
      </w:r>
    </w:p>
    <w:p w14:paraId="16ECD0CF" w14:textId="77777777" w:rsidR="000F5EF5" w:rsidRDefault="00000000">
      <w:pPr>
        <w:pStyle w:val="a4"/>
        <w:widowControl/>
        <w:shd w:val="clear" w:color="auto" w:fill="FFFFFF"/>
        <w:spacing w:beforeAutospacing="0" w:afterAutospacing="0" w:line="0" w:lineRule="atLeast"/>
        <w:ind w:firstLine="640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2、负责“岳阳楼区社区治理和服务创新工作平台”的管理。</w:t>
      </w:r>
    </w:p>
    <w:p w14:paraId="46BE0983" w14:textId="77777777" w:rsidR="000F5EF5" w:rsidRDefault="00000000">
      <w:pPr>
        <w:pStyle w:val="a4"/>
        <w:widowControl/>
        <w:shd w:val="clear" w:color="auto" w:fill="FFFFFF"/>
        <w:spacing w:beforeAutospacing="0" w:afterAutospacing="0" w:line="0" w:lineRule="atLeast"/>
        <w:ind w:firstLine="640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3、会同有关部门整合信息资源，对接部门数据和平台，推进“岳阳楼区社区治理和服务创新工作平台”与各部门间信息互通共享。</w:t>
      </w:r>
    </w:p>
    <w:p w14:paraId="2D410E82" w14:textId="77777777" w:rsidR="000F5EF5" w:rsidRDefault="00000000">
      <w:pPr>
        <w:pStyle w:val="a4"/>
        <w:widowControl/>
        <w:shd w:val="clear" w:color="auto" w:fill="FFFFFF"/>
        <w:spacing w:beforeAutospacing="0" w:afterAutospacing="0" w:line="0" w:lineRule="atLeast"/>
        <w:ind w:firstLine="640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4、会同有关部门推进公共服务事项网上办理，深化“一窗式”服务模式。</w:t>
      </w:r>
    </w:p>
    <w:p w14:paraId="64AAEDFB" w14:textId="77777777" w:rsidR="000F5EF5" w:rsidRDefault="00000000">
      <w:pPr>
        <w:pStyle w:val="a4"/>
        <w:widowControl/>
        <w:shd w:val="clear" w:color="auto" w:fill="FFFFFF"/>
        <w:spacing w:beforeAutospacing="0" w:afterAutospacing="0" w:line="0" w:lineRule="atLeast"/>
        <w:ind w:firstLine="640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5、负责建立、完善考核机制，对街道（乡）、相关区直部门开展社区治理和服务创新工作进行考核。</w:t>
      </w:r>
    </w:p>
    <w:p w14:paraId="7F6D6AD0" w14:textId="77777777" w:rsidR="000F5EF5" w:rsidRDefault="00000000">
      <w:pPr>
        <w:pStyle w:val="a4"/>
        <w:widowControl/>
        <w:shd w:val="clear" w:color="auto" w:fill="FFFFFF"/>
        <w:spacing w:beforeAutospacing="0" w:afterAutospacing="0" w:line="0" w:lineRule="atLeast"/>
        <w:ind w:firstLine="640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6、组织领导全区网格化管理工作，制定网格员主要职责和工作要求标准，指导街道（乡）、社区（村）抓好网格员曰常管理，对下达给网格员的任务指令进行督办、考核。</w:t>
      </w:r>
    </w:p>
    <w:p w14:paraId="159AD5FF" w14:textId="77777777" w:rsidR="000F5EF5" w:rsidRDefault="00000000">
      <w:pPr>
        <w:pStyle w:val="a4"/>
        <w:widowControl/>
        <w:shd w:val="clear" w:color="auto" w:fill="FFFFFF"/>
        <w:spacing w:beforeAutospacing="0" w:afterAutospacing="0" w:line="0" w:lineRule="atLeast"/>
        <w:ind w:firstLine="640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7、牵头组织街道（乡）和协调相关区直部门对网格员开展业务培训和思想教育。</w:t>
      </w:r>
    </w:p>
    <w:p w14:paraId="4CFDD659" w14:textId="77777777" w:rsidR="000F5EF5" w:rsidRDefault="00000000">
      <w:pPr>
        <w:pStyle w:val="a4"/>
        <w:widowControl/>
        <w:shd w:val="clear" w:color="auto" w:fill="FFFFFF"/>
        <w:spacing w:beforeAutospacing="0" w:afterAutospacing="0" w:line="0" w:lineRule="atLeast"/>
        <w:ind w:firstLine="640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8、负责本单位的信访维稳和安全生产工作。承办区委、区人民政府交办的其他事项。</w:t>
      </w:r>
    </w:p>
    <w:p w14:paraId="7F1E92D2" w14:textId="77777777" w:rsidR="000F5EF5" w:rsidRDefault="00000000">
      <w:pPr>
        <w:pStyle w:val="a4"/>
        <w:widowControl/>
        <w:shd w:val="clear" w:color="auto" w:fill="FFFFFF"/>
        <w:spacing w:beforeAutospacing="0" w:afterAutospacing="0" w:line="33" w:lineRule="atLeast"/>
        <w:ind w:firstLineChars="200" w:firstLine="643"/>
        <w:jc w:val="both"/>
        <w:textAlignment w:val="center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（二）机构设置</w:t>
      </w:r>
    </w:p>
    <w:p w14:paraId="22158270" w14:textId="77777777" w:rsidR="000F5EF5" w:rsidRDefault="00000000">
      <w:pPr>
        <w:pStyle w:val="a4"/>
        <w:widowControl/>
        <w:shd w:val="clear" w:color="auto" w:fill="FFFFFF"/>
        <w:spacing w:beforeAutospacing="0" w:afterAutospacing="0" w:line="0" w:lineRule="atLeast"/>
        <w:ind w:firstLine="640"/>
        <w:jc w:val="both"/>
        <w:textAlignment w:val="center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岳阳市岳阳楼区公共服务和网格化中心内设机构包括：本部门共有编制人数12人，年末在职人数10人。本部门</w:t>
      </w: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lastRenderedPageBreak/>
        <w:t>内设：综合办公室、网格管理股、政务服务股、信息调度室，共计4个股室。</w:t>
      </w:r>
    </w:p>
    <w:p w14:paraId="13CE6921" w14:textId="77777777" w:rsidR="000F5EF5" w:rsidRDefault="00000000">
      <w:pPr>
        <w:pStyle w:val="a5"/>
        <w:widowControl/>
        <w:spacing w:line="640" w:lineRule="exact"/>
        <w:ind w:firstLine="612"/>
        <w:rPr>
          <w:rFonts w:ascii="黑体" w:eastAsia="黑体" w:hAnsi="黑体" w:cs="黑体" w:hint="eastAsia"/>
          <w:spacing w:val="-2"/>
          <w:kern w:val="2"/>
          <w:sz w:val="31"/>
          <w:szCs w:val="31"/>
        </w:rPr>
      </w:pPr>
      <w:r>
        <w:rPr>
          <w:rFonts w:ascii="黑体" w:eastAsia="黑体" w:hAnsi="黑体" w:cs="黑体"/>
          <w:spacing w:val="-2"/>
          <w:kern w:val="2"/>
          <w:sz w:val="31"/>
          <w:szCs w:val="31"/>
        </w:rPr>
        <w:t>二、一般公共预算支出情况</w:t>
      </w:r>
    </w:p>
    <w:p w14:paraId="13D9DEE4" w14:textId="77777777" w:rsidR="000F5EF5" w:rsidRDefault="00000000">
      <w:pPr>
        <w:rPr>
          <w:rFonts w:ascii="楷体" w:eastAsia="楷体" w:hAnsi="楷体" w:cs="楷体" w:hint="eastAsia"/>
          <w:b/>
          <w:bCs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/>
          <w:b/>
          <w:bCs/>
          <w:spacing w:val="9"/>
          <w:kern w:val="2"/>
          <w:position w:val="21"/>
          <w:sz w:val="31"/>
          <w:szCs w:val="31"/>
        </w:rPr>
        <w:t>（一）基本支出情况</w:t>
      </w:r>
    </w:p>
    <w:p w14:paraId="7E823885" w14:textId="77777777" w:rsidR="000F5EF5" w:rsidRDefault="00000000">
      <w:pPr>
        <w:pStyle w:val="a5"/>
        <w:widowControl/>
        <w:spacing w:line="640" w:lineRule="exact"/>
        <w:ind w:firstLine="656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2023年基本支出预算数</w:t>
      </w: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153.07</w:t>
      </w: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万元，实际支出决算数</w:t>
      </w: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159.67</w:t>
      </w: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万元。其中：人员经费139.88万元，主要包括：基本工资、津贴补贴、奖金、绩效工资</w:t>
      </w: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、</w:t>
      </w: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机关事业单位基本养老保险缴费、职工基本医疗保险缴费、其他社会保障缴费、住房公积金等、生活补助；公用经费</w:t>
      </w: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19.79</w:t>
      </w: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万元，主要包括：维修（护）费</w:t>
      </w: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、租赁费、</w:t>
      </w: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培训费、劳务费、工会经费、其他交通费用。</w:t>
      </w:r>
    </w:p>
    <w:p w14:paraId="75EC851E" w14:textId="77777777" w:rsidR="000F5EF5" w:rsidRDefault="00000000">
      <w:pPr>
        <w:pStyle w:val="a5"/>
        <w:widowControl/>
        <w:spacing w:line="640" w:lineRule="exact"/>
        <w:ind w:firstLine="658"/>
        <w:rPr>
          <w:rFonts w:ascii="楷体" w:eastAsia="楷体" w:hAnsi="楷体" w:cs="楷体" w:hint="eastAsia"/>
          <w:b/>
          <w:bCs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/>
          <w:b/>
          <w:bCs/>
          <w:spacing w:val="9"/>
          <w:kern w:val="2"/>
          <w:position w:val="21"/>
          <w:sz w:val="31"/>
          <w:szCs w:val="31"/>
        </w:rPr>
        <w:t>（二）项目支出情况</w:t>
      </w:r>
    </w:p>
    <w:p w14:paraId="011F006C" w14:textId="77777777" w:rsidR="000F5EF5" w:rsidRDefault="00000000">
      <w:pPr>
        <w:pStyle w:val="a5"/>
        <w:widowControl/>
        <w:spacing w:line="640" w:lineRule="exact"/>
        <w:ind w:leftChars="220" w:left="616" w:firstLineChars="0" w:firstLine="0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2023年项目支出预算数</w:t>
      </w: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111</w:t>
      </w: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万元，实际支出决算数</w:t>
      </w: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112.25</w:t>
      </w: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万元，用于业务工作经费支出。</w:t>
      </w:r>
    </w:p>
    <w:p w14:paraId="306966B2" w14:textId="77777777" w:rsidR="000F5EF5" w:rsidRDefault="00000000">
      <w:pPr>
        <w:pStyle w:val="a5"/>
        <w:widowControl/>
        <w:spacing w:line="640" w:lineRule="exact"/>
        <w:ind w:firstLine="612"/>
        <w:rPr>
          <w:rFonts w:ascii="黑体" w:eastAsia="黑体" w:hAnsi="黑体" w:cs="黑体" w:hint="eastAsia"/>
          <w:spacing w:val="-2"/>
          <w:kern w:val="2"/>
          <w:sz w:val="31"/>
          <w:szCs w:val="31"/>
        </w:rPr>
      </w:pPr>
      <w:r>
        <w:rPr>
          <w:rFonts w:ascii="黑体" w:eastAsia="黑体" w:hAnsi="黑体" w:cs="黑体"/>
          <w:spacing w:val="-2"/>
          <w:kern w:val="2"/>
          <w:sz w:val="31"/>
          <w:szCs w:val="31"/>
        </w:rPr>
        <w:t>三、政府性基金预算支出情况</w:t>
      </w:r>
    </w:p>
    <w:p w14:paraId="3B88E1B7" w14:textId="77777777" w:rsidR="000F5EF5" w:rsidRDefault="00000000">
      <w:pPr>
        <w:ind w:firstLineChars="200" w:firstLine="656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2023年度本单位无政府性基金预算支出。</w:t>
      </w:r>
    </w:p>
    <w:p w14:paraId="663917F4" w14:textId="77777777" w:rsidR="000F5EF5" w:rsidRDefault="00000000">
      <w:pPr>
        <w:pStyle w:val="a5"/>
        <w:widowControl/>
        <w:spacing w:line="640" w:lineRule="exact"/>
        <w:ind w:firstLine="612"/>
        <w:rPr>
          <w:rFonts w:ascii="黑体" w:eastAsia="黑体" w:hAnsi="黑体" w:cs="黑体" w:hint="eastAsia"/>
          <w:spacing w:val="-2"/>
          <w:kern w:val="2"/>
          <w:sz w:val="31"/>
          <w:szCs w:val="31"/>
        </w:rPr>
      </w:pPr>
      <w:r>
        <w:rPr>
          <w:rFonts w:ascii="黑体" w:eastAsia="黑体" w:hAnsi="黑体" w:cs="黑体"/>
          <w:spacing w:val="-2"/>
          <w:kern w:val="2"/>
          <w:sz w:val="31"/>
          <w:szCs w:val="31"/>
        </w:rPr>
        <w:t>四、国有资本经营预算支出情况</w:t>
      </w:r>
    </w:p>
    <w:p w14:paraId="402EF262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2023年度本单位无国有资本经营预算支出。</w:t>
      </w:r>
    </w:p>
    <w:p w14:paraId="72F0E323" w14:textId="77777777" w:rsidR="000F5EF5" w:rsidRDefault="00000000">
      <w:pPr>
        <w:pStyle w:val="a5"/>
        <w:widowControl/>
        <w:spacing w:line="640" w:lineRule="exact"/>
        <w:ind w:firstLine="612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/>
          <w:spacing w:val="-2"/>
          <w:kern w:val="2"/>
          <w:sz w:val="31"/>
          <w:szCs w:val="31"/>
        </w:rPr>
        <w:t>五、社会保险基金预算支出情</w:t>
      </w:r>
      <w:r>
        <w:rPr>
          <w:rFonts w:ascii="Times New Roman" w:eastAsia="黑体" w:hAnsi="Times New Roman"/>
          <w:sz w:val="32"/>
          <w:szCs w:val="32"/>
        </w:rPr>
        <w:t>况</w:t>
      </w:r>
    </w:p>
    <w:p w14:paraId="016DBC40" w14:textId="77777777" w:rsidR="000F5EF5" w:rsidRDefault="00000000">
      <w:pPr>
        <w:ind w:firstLineChars="200" w:firstLine="656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2023年度本单位无社会保险基金预算支出。</w:t>
      </w:r>
    </w:p>
    <w:p w14:paraId="18740314" w14:textId="77777777" w:rsidR="000F5EF5" w:rsidRDefault="00000000">
      <w:pPr>
        <w:ind w:firstLineChars="200" w:firstLine="612"/>
        <w:rPr>
          <w:rFonts w:ascii="黑体" w:eastAsia="黑体" w:hAnsi="黑体" w:cs="黑体" w:hint="eastAsia"/>
          <w:spacing w:val="-2"/>
          <w:kern w:val="2"/>
          <w:sz w:val="31"/>
          <w:szCs w:val="31"/>
        </w:rPr>
      </w:pPr>
      <w:r>
        <w:rPr>
          <w:rFonts w:ascii="黑体" w:eastAsia="黑体" w:hAnsi="黑体" w:cs="黑体"/>
          <w:spacing w:val="-2"/>
          <w:kern w:val="2"/>
          <w:sz w:val="31"/>
          <w:szCs w:val="31"/>
        </w:rPr>
        <w:t>六、部门整体支出绩效情况</w:t>
      </w:r>
    </w:p>
    <w:p w14:paraId="4D5DF590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2023年，在区委、区政府的坚强领导下，区公网中心</w:t>
      </w: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lastRenderedPageBreak/>
        <w:t>主动担当作为、履职尽责，全力推进“党建+网格化微治理”等工作，较好完成了各项工作任务。</w:t>
      </w:r>
    </w:p>
    <w:p w14:paraId="2F2B7DE2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</w:t>
      </w:r>
    </w:p>
    <w:p w14:paraId="2F8FE3E7" w14:textId="77777777" w:rsidR="000F5EF5" w:rsidRDefault="00000000">
      <w:pPr>
        <w:rPr>
          <w:rFonts w:ascii="黑体" w:eastAsia="黑体" w:hAnsi="黑体" w:cs="黑体" w:hint="eastAsia"/>
          <w:spacing w:val="-2"/>
          <w:kern w:val="2"/>
          <w:sz w:val="31"/>
          <w:szCs w:val="31"/>
        </w:rPr>
      </w:pPr>
      <w:r>
        <w:rPr>
          <w:rFonts w:ascii="黑体" w:eastAsia="黑体" w:hAnsi="黑体" w:cs="黑体"/>
          <w:spacing w:val="-2"/>
          <w:kern w:val="2"/>
          <w:sz w:val="31"/>
          <w:szCs w:val="31"/>
        </w:rPr>
        <w:t>七、存在的问题及原因分析</w:t>
      </w:r>
    </w:p>
    <w:p w14:paraId="28C13C1A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1.网格业务能力有待提升。网格员业务能力有待进一步提升，在数据更新操作、事件处置跟踪、居民服务等方面要持续加强集中培训与常态化指导。</w:t>
      </w:r>
    </w:p>
    <w:p w14:paraId="473B4E03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2.网格事件处置有待优化。个别部门签收、处置网格事件不及时；个别街道签收、分流、处置网格事件不及时；个别社区网格事件跟踪核实不及时。</w:t>
      </w:r>
    </w:p>
    <w:p w14:paraId="5F2019D9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3.微网格员、志愿者作用发挥有待加强。网格党支部、微网格党小组的战斗堡垒作用发挥不够充分，微网格员由于工作、生活压力，时间精力有限，网格员在网格内的知晓率低、网格员未上门走访、网格员办事不到位等，部分网格员还是存在工作责任心不强、工作缺少主动性问题，开展网格巡察走访工作时与居民的见面率不高、沟通较少。</w:t>
      </w:r>
    </w:p>
    <w:p w14:paraId="1D83071A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4.智慧社区试点建设工作涉及面广难协调、应用场景不丰富、特色亮点不明显。智慧社区试点建设是一个复杂、</w:t>
      </w: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lastRenderedPageBreak/>
        <w:t>系统的综合性工程，涉及到政府、物业、业主委员会等多个部门、机构和社区居民的沟通协调，涉及到物联网、云计算、大数据等先进的技术支持和设备兼容性、数据安全的困难问题，涉及到部分居民对智慧社区新技术和新事物的接受理解，这些情况都可能影响到建设推广和实施效果。</w:t>
      </w:r>
    </w:p>
    <w:p w14:paraId="3F13AF18" w14:textId="77777777" w:rsidR="000F5EF5" w:rsidRDefault="00000000">
      <w:pPr>
        <w:rPr>
          <w:rFonts w:ascii="黑体" w:eastAsia="黑体" w:hAnsi="黑体" w:cs="黑体" w:hint="eastAsia"/>
          <w:spacing w:val="-2"/>
          <w:kern w:val="2"/>
          <w:sz w:val="31"/>
          <w:szCs w:val="31"/>
        </w:rPr>
      </w:pPr>
      <w:r>
        <w:rPr>
          <w:rFonts w:ascii="黑体" w:eastAsia="黑体" w:hAnsi="黑体" w:cs="黑体"/>
          <w:spacing w:val="-2"/>
          <w:kern w:val="2"/>
          <w:sz w:val="31"/>
          <w:szCs w:val="31"/>
        </w:rPr>
        <w:t>八、下一步改进措施</w:t>
      </w:r>
    </w:p>
    <w:p w14:paraId="00B1493F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中心将全面聚焦基层社会治理中的瓶颈障碍，大力实施“三抓三提升”行动，坚持打基础、抓重点，重实效、强落实，求发展、谋突破，主动发力，努力促进楼区基层治理工作取得新进展。进一步完善财务制度，规范财经纪律，严格控制非生产性开支，进一步提高项目支出水平。</w:t>
      </w:r>
    </w:p>
    <w:p w14:paraId="385684EB" w14:textId="77777777" w:rsidR="000F5EF5" w:rsidRDefault="00000000">
      <w:pPr>
        <w:rPr>
          <w:rFonts w:ascii="黑体" w:eastAsia="黑体" w:hAnsi="黑体" w:cs="黑体" w:hint="eastAsia"/>
          <w:spacing w:val="-2"/>
          <w:kern w:val="2"/>
          <w:sz w:val="31"/>
          <w:szCs w:val="31"/>
        </w:rPr>
      </w:pPr>
      <w:r>
        <w:rPr>
          <w:rFonts w:ascii="黑体" w:eastAsia="黑体" w:hAnsi="黑体" w:cs="黑体"/>
          <w:spacing w:val="-2"/>
          <w:kern w:val="2"/>
          <w:sz w:val="31"/>
          <w:szCs w:val="31"/>
        </w:rPr>
        <w:t>九、部门整体支出绩效自评结果拟应用和公开情况</w:t>
      </w:r>
    </w:p>
    <w:p w14:paraId="5C2C5C44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/>
          <w:spacing w:val="9"/>
          <w:kern w:val="2"/>
          <w:position w:val="21"/>
          <w:sz w:val="31"/>
          <w:szCs w:val="31"/>
        </w:rPr>
        <w:t>绩效自评结果可以进一步规范财政资金管理，强化部门绩效和责任意识，切实提高财政资金使用效益，同时编制下一年的部门预算可以参考绩效自评结果，以提高预算编制的精准性。已按相关要求及时进行预决算公开及整体支出绩效自评的公开</w:t>
      </w:r>
    </w:p>
    <w:p w14:paraId="67412B96" w14:textId="77777777" w:rsidR="000F5EF5" w:rsidRDefault="000F5EF5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</w:p>
    <w:p w14:paraId="44B2208F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报告需要以下附件：</w:t>
      </w:r>
    </w:p>
    <w:p w14:paraId="7ED5F187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1.部门整体支出绩效评价基础数据表</w:t>
      </w:r>
    </w:p>
    <w:p w14:paraId="7E04A6A1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2.部门整体支出绩效自评表</w:t>
      </w:r>
    </w:p>
    <w:p w14:paraId="4C49C92C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3.项目支出绩效自评表（一个一级项目支出一张表）</w:t>
      </w:r>
    </w:p>
    <w:p w14:paraId="6122F7ED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lastRenderedPageBreak/>
        <w:t>4.政府性基金预算支出情况表</w:t>
      </w:r>
    </w:p>
    <w:p w14:paraId="260EF24B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5.国有资本经营预算支出情况表</w:t>
      </w:r>
    </w:p>
    <w:p w14:paraId="22730D44" w14:textId="77777777" w:rsidR="000F5EF5" w:rsidRDefault="00000000">
      <w:pPr>
        <w:ind w:firstLineChars="200" w:firstLine="656"/>
        <w:jc w:val="left"/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t>6.社会保险基金预算支出情况表</w:t>
      </w:r>
    </w:p>
    <w:p w14:paraId="32057969" w14:textId="77777777" w:rsidR="000F5EF5" w:rsidRDefault="00000000">
      <w:pPr>
        <w:ind w:firstLineChars="200" w:firstLine="656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楷体" w:eastAsia="楷体" w:hAnsi="楷体" w:cs="楷体" w:hint="eastAsia"/>
          <w:spacing w:val="9"/>
          <w:kern w:val="2"/>
          <w:position w:val="21"/>
          <w:sz w:val="31"/>
          <w:szCs w:val="31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14:paraId="76A55229" w14:textId="77777777" w:rsidR="000F5EF5" w:rsidRDefault="0000000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绩效自评工作考核评分表</w:t>
      </w:r>
    </w:p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1174"/>
        <w:gridCol w:w="5000"/>
        <w:gridCol w:w="3022"/>
      </w:tblGrid>
      <w:tr w:rsidR="000F5EF5" w14:paraId="11BA4A3A" w14:textId="77777777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EDE1" w14:textId="77777777" w:rsidR="000F5EF5" w:rsidRDefault="00000000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3BBC" w14:textId="77777777" w:rsidR="000F5EF5" w:rsidRDefault="00000000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3E1C" w14:textId="77777777" w:rsidR="000F5EF5" w:rsidRDefault="00000000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55EB" w14:textId="77777777" w:rsidR="000F5EF5" w:rsidRDefault="00000000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0F5EF5" w14:paraId="64BC6DB7" w14:textId="77777777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CF4BF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14:paraId="20300859" w14:textId="77777777" w:rsidR="000F5EF5" w:rsidRDefault="000F5EF5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14:paraId="5E45FEBE" w14:textId="77777777" w:rsidR="000F5EF5" w:rsidRDefault="00000000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124032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14:paraId="4C6820FD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9D4C" w14:textId="77777777" w:rsidR="000F5EF5" w:rsidRDefault="00000000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14:paraId="6DB6F7E5" w14:textId="77777777" w:rsidR="000F5EF5" w:rsidRDefault="00000000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F090" w14:textId="77777777" w:rsidR="000F5EF5" w:rsidRDefault="00000000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0F5EF5" w14:paraId="4DACFBEC" w14:textId="77777777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8314" w14:textId="77777777" w:rsidR="000F5EF5" w:rsidRDefault="000F5EF5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5A0F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14:paraId="258D9913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195E" w14:textId="77777777" w:rsidR="000F5EF5" w:rsidRDefault="00000000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B594" w14:textId="77777777" w:rsidR="000F5EF5" w:rsidRDefault="00000000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0F5EF5" w14:paraId="73FBEA79" w14:textId="77777777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19BF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14:paraId="1D1879A8" w14:textId="77777777" w:rsidR="000F5EF5" w:rsidRDefault="000F5EF5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14:paraId="7F5A694B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67BE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14:paraId="1126E171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FB69" w14:textId="77777777" w:rsidR="000F5EF5" w:rsidRDefault="00000000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级主管部门都要汇总本区域转移支付情况；以上各项每发现一个单位没有做相应工作的，扣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4F7E" w14:textId="77777777" w:rsidR="000F5EF5" w:rsidRDefault="00000000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14:paraId="127C096C" w14:textId="77777777" w:rsidR="000F5EF5" w:rsidRDefault="00000000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0F5EF5" w14:paraId="10DE7856" w14:textId="77777777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5B8E" w14:textId="77777777" w:rsidR="000F5EF5" w:rsidRDefault="000F5EF5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52541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14:paraId="406CFF4B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8278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0F5EF5" w14:paraId="6E47D6B0" w14:textId="77777777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EACC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14:paraId="39149BFB" w14:textId="77777777" w:rsidR="000F5EF5" w:rsidRDefault="000F5EF5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14:paraId="1492A9FD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41B9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14:paraId="48B5A658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C913" w14:textId="77777777" w:rsidR="000F5EF5" w:rsidRDefault="00000000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14:paraId="458B6D4C" w14:textId="77777777" w:rsidR="000F5EF5" w:rsidRDefault="00000000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0F5EF5" w14:paraId="47C6516A" w14:textId="77777777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2E92" w14:textId="77777777" w:rsidR="000F5EF5" w:rsidRDefault="000F5EF5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E44F81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14:paraId="4EABA669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14:paraId="4ED96369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471D" w14:textId="77777777" w:rsidR="000F5EF5" w:rsidRDefault="00000000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14:paraId="7725EC9F" w14:textId="77777777" w:rsidR="000F5EF5" w:rsidRDefault="00000000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14:paraId="406E8BF9" w14:textId="77777777" w:rsidR="000F5EF5" w:rsidRDefault="00000000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0F5EF5" w14:paraId="277C0839" w14:textId="77777777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E600" w14:textId="77777777" w:rsidR="000F5EF5" w:rsidRDefault="000F5EF5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079C" w14:textId="77777777" w:rsidR="000F5EF5" w:rsidRDefault="000F5EF5">
            <w:pPr>
              <w:jc w:val="center"/>
              <w:rPr>
                <w:rFonts w:ascii="Times New Roman" w:hAnsi="Times New Roman"/>
              </w:rPr>
            </w:pPr>
          </w:p>
          <w:p w14:paraId="4F0F9782" w14:textId="77777777" w:rsidR="000F5EF5" w:rsidRDefault="00000000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14:paraId="5E98ED7F" w14:textId="77777777" w:rsidR="000F5EF5" w:rsidRDefault="00000000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14:paraId="494389E2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3FD9" w14:textId="77777777" w:rsidR="000F5EF5" w:rsidRDefault="00000000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0F5EF5" w14:paraId="5F54F9BD" w14:textId="77777777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641" w14:textId="77777777" w:rsidR="000F5EF5" w:rsidRDefault="000F5EF5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20E6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14:paraId="216AD36E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9995C" w14:textId="77777777" w:rsidR="000F5EF5" w:rsidRDefault="00000000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0F5EF5" w14:paraId="29F5CD5F" w14:textId="77777777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687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F84A" w14:textId="77777777" w:rsidR="000F5EF5" w:rsidRDefault="00000000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397D" w14:textId="77777777" w:rsidR="000F5EF5" w:rsidRDefault="00000000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　</w:t>
            </w:r>
          </w:p>
        </w:tc>
      </w:tr>
    </w:tbl>
    <w:p w14:paraId="1FCDEA3A" w14:textId="77777777" w:rsidR="000F5EF5" w:rsidRDefault="000F5EF5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F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CC8C" w14:textId="77777777" w:rsidR="00BF69ED" w:rsidRDefault="00BF69ED" w:rsidP="00452AA9">
      <w:pPr>
        <w:rPr>
          <w:rFonts w:hint="eastAsia"/>
        </w:rPr>
      </w:pPr>
      <w:r>
        <w:separator/>
      </w:r>
    </w:p>
  </w:endnote>
  <w:endnote w:type="continuationSeparator" w:id="0">
    <w:p w14:paraId="1EF647D1" w14:textId="77777777" w:rsidR="00BF69ED" w:rsidRDefault="00BF69ED" w:rsidP="00452A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6C57" w14:textId="77777777" w:rsidR="00BF69ED" w:rsidRDefault="00BF69ED" w:rsidP="00452AA9">
      <w:pPr>
        <w:rPr>
          <w:rFonts w:hint="eastAsia"/>
        </w:rPr>
      </w:pPr>
      <w:r>
        <w:separator/>
      </w:r>
    </w:p>
  </w:footnote>
  <w:footnote w:type="continuationSeparator" w:id="0">
    <w:p w14:paraId="105ACCB1" w14:textId="77777777" w:rsidR="00BF69ED" w:rsidRDefault="00BF69ED" w:rsidP="00452A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num w:numId="1" w16cid:durableId="9486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hM2RiODNhYzYwODk5ZTg2MTVmODIyMGIzNjA1OGYifQ=="/>
  </w:docVars>
  <w:rsids>
    <w:rsidRoot w:val="59886344"/>
    <w:rsid w:val="DFEF884A"/>
    <w:rsid w:val="00074971"/>
    <w:rsid w:val="000F5EF5"/>
    <w:rsid w:val="00452AA9"/>
    <w:rsid w:val="005657FD"/>
    <w:rsid w:val="00BF69ED"/>
    <w:rsid w:val="019B53E2"/>
    <w:rsid w:val="05BB6053"/>
    <w:rsid w:val="099355C2"/>
    <w:rsid w:val="0E160FDF"/>
    <w:rsid w:val="1032723A"/>
    <w:rsid w:val="149F3FC7"/>
    <w:rsid w:val="15BB3E4D"/>
    <w:rsid w:val="16C83F29"/>
    <w:rsid w:val="17EA0A1A"/>
    <w:rsid w:val="197653DC"/>
    <w:rsid w:val="1A7171D0"/>
    <w:rsid w:val="1B084946"/>
    <w:rsid w:val="1C5306F5"/>
    <w:rsid w:val="25222025"/>
    <w:rsid w:val="25590781"/>
    <w:rsid w:val="2C5D75B5"/>
    <w:rsid w:val="2E966501"/>
    <w:rsid w:val="357720A8"/>
    <w:rsid w:val="44F4529E"/>
    <w:rsid w:val="54C415C8"/>
    <w:rsid w:val="59886344"/>
    <w:rsid w:val="5A964F8E"/>
    <w:rsid w:val="5C167132"/>
    <w:rsid w:val="5C3E1FD9"/>
    <w:rsid w:val="5CDC14DC"/>
    <w:rsid w:val="63613B5C"/>
    <w:rsid w:val="644547F1"/>
    <w:rsid w:val="68EA5751"/>
    <w:rsid w:val="6A0845B1"/>
    <w:rsid w:val="6B4751B5"/>
    <w:rsid w:val="6CAC3966"/>
    <w:rsid w:val="7182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B0CE249-11FF-4EA6-8DAD-6C2EE83F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eastAsia="仿宋" w:cs="仿宋"/>
      <w:sz w:val="31"/>
      <w:szCs w:val="31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452A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52AA9"/>
    <w:rPr>
      <w:rFonts w:ascii="仿宋" w:hAnsi="仿宋"/>
      <w:sz w:val="18"/>
      <w:szCs w:val="18"/>
    </w:rPr>
  </w:style>
  <w:style w:type="paragraph" w:styleId="a8">
    <w:name w:val="footer"/>
    <w:basedOn w:val="a"/>
    <w:link w:val="a9"/>
    <w:rsid w:val="00452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52AA9"/>
    <w:rPr>
      <w:rFonts w:ascii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11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奉</cp:lastModifiedBy>
  <cp:revision>2</cp:revision>
  <dcterms:created xsi:type="dcterms:W3CDTF">2024-03-18T08:36:00Z</dcterms:created>
  <dcterms:modified xsi:type="dcterms:W3CDTF">2025-11-06T09:01:00Z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eyJoZGlkIjoiNDYxOTI0NDY2MDI5NjA3MzY3ZGI1NjA0YjgyNzUyM2UiLCJ1c2VySWQiOiI0MTQ2OTI3NDEifQ==</vt:lpwstr>
  </property>
</Properties>
</file>