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9F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D62F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7CA1F011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0356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857FDA6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3359312D">
            <w:pPr>
              <w:spacing w:before="103" w:line="219" w:lineRule="auto"/>
              <w:ind w:left="70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岳阳市岳阳楼区供销合作联社</w:t>
            </w:r>
          </w:p>
        </w:tc>
      </w:tr>
      <w:tr w14:paraId="78955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DF15EFA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C592C30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2E06598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6F5D342"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4F3CD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D23BF20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6DD8CBF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ADA7C8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DFB465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46D14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954BD47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4FC42F0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53217E7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2F93D88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2ECC0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65194E0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FC9019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67DDF9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531D5A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46B9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5B1E204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8A625C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6F7016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097788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BF2F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06CC41B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E09145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CE2C54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C0F7C7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AFB0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935CE38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973F62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BE06BF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8FEEB5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7BD2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21367625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CF8126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2D89DF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155125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E998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AF9D4E2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DCCE9D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2502EA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8FF44D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C566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BB3D878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60A8F6B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504.58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A8AC47E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3B75959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3524.56</w:t>
            </w:r>
          </w:p>
        </w:tc>
      </w:tr>
      <w:tr w14:paraId="308C6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087C5D9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49222B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504.58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270D71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BBCA41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3524.56</w:t>
            </w:r>
          </w:p>
        </w:tc>
      </w:tr>
      <w:tr w14:paraId="7EF03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1E82EA9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AE83A1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64F152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0D73C5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8EF6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BEB4D40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549C6B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6BA9E5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FC3B63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E9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BD8AE84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7B1B1B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70F37C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F481E2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4487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26509E0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41B0875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C6A3B1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9B317F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98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5C6F903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DEB378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0233E7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B57B66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42BE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51EBF47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D0C89B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83.14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C609FB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4220C3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80.03</w:t>
            </w:r>
          </w:p>
        </w:tc>
      </w:tr>
      <w:tr w14:paraId="23091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277454B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2A3EA6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E6E441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C4DDEC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6.40</w:t>
            </w:r>
          </w:p>
        </w:tc>
      </w:tr>
      <w:tr w14:paraId="45999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6037C2F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8E8D4D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65455D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EF49B2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</w:tr>
      <w:tr w14:paraId="1035C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782EF61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CB7E2B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B71111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D460FA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0.69</w:t>
            </w:r>
          </w:p>
        </w:tc>
      </w:tr>
      <w:tr w14:paraId="2F1A7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5575BE5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8111B5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84.85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1AD3F1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198.15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A4B365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80.09</w:t>
            </w:r>
          </w:p>
        </w:tc>
      </w:tr>
      <w:tr w14:paraId="2CC08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A5FB7BC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750B5F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80D889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DC5FB0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6E27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68BE3874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3C37746D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3610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78DA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58C99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2E0DE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963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783C8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322E3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E5F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71456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5668F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2562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6215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0C08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1A35F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AC830B9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3433724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center"/>
          </w:tcPr>
          <w:p w14:paraId="4A5DBE4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B0EB2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center"/>
          </w:tcPr>
          <w:p w14:paraId="733EA7C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center"/>
          </w:tcPr>
          <w:p w14:paraId="439919E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center"/>
          </w:tcPr>
          <w:p w14:paraId="563472D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D7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center"/>
          </w:tcPr>
          <w:p w14:paraId="1A809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5DAD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42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00A89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default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喻敏</w:t>
      </w:r>
      <w:r>
        <w:rPr>
          <w:rFonts w:hint="default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联系电话：</w:t>
      </w:r>
      <w:r>
        <w:rPr>
          <w:rFonts w:hint="default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17707404669</w:t>
      </w:r>
      <w:r>
        <w:rPr>
          <w:rFonts w:hint="default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单位负责人签字：</w:t>
      </w:r>
      <w:r>
        <w:rPr>
          <w:rFonts w:hint="default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default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31</w:t>
      </w:r>
    </w:p>
    <w:p w14:paraId="20FB0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7EFFB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B045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54EE2C99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519"/>
        <w:gridCol w:w="1078"/>
        <w:gridCol w:w="1252"/>
        <w:gridCol w:w="1267"/>
        <w:gridCol w:w="1093"/>
        <w:gridCol w:w="669"/>
        <w:gridCol w:w="670"/>
        <w:gridCol w:w="2203"/>
      </w:tblGrid>
      <w:tr w14:paraId="6608A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681" w:type="dxa"/>
            <w:gridSpan w:val="3"/>
            <w:noWrap w:val="0"/>
            <w:vAlign w:val="center"/>
          </w:tcPr>
          <w:p w14:paraId="4E4F14D6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154" w:type="dxa"/>
            <w:gridSpan w:val="6"/>
            <w:noWrap w:val="0"/>
            <w:vAlign w:val="center"/>
          </w:tcPr>
          <w:p w14:paraId="2DA5DAF5">
            <w:pPr>
              <w:spacing w:before="103" w:line="219" w:lineRule="auto"/>
              <w:ind w:left="708" w:lef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岳阳市岳阳楼区供销合作联社</w:t>
            </w:r>
          </w:p>
        </w:tc>
      </w:tr>
      <w:tr w14:paraId="463E3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02DB0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position w:val="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6770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663A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4A985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  <w:tc>
          <w:tcPr>
            <w:tcW w:w="1252" w:type="dxa"/>
            <w:noWrap w:val="0"/>
            <w:vAlign w:val="center"/>
          </w:tcPr>
          <w:p w14:paraId="04E5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267" w:type="dxa"/>
            <w:noWrap w:val="0"/>
            <w:vAlign w:val="center"/>
          </w:tcPr>
          <w:p w14:paraId="12375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093" w:type="dxa"/>
            <w:noWrap w:val="0"/>
            <w:vAlign w:val="center"/>
          </w:tcPr>
          <w:p w14:paraId="06C4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669" w:type="dxa"/>
            <w:noWrap w:val="0"/>
            <w:vAlign w:val="center"/>
          </w:tcPr>
          <w:p w14:paraId="499B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70" w:type="dxa"/>
            <w:noWrap w:val="0"/>
            <w:vAlign w:val="center"/>
          </w:tcPr>
          <w:p w14:paraId="0586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2203" w:type="dxa"/>
            <w:noWrap w:val="0"/>
            <w:vAlign w:val="center"/>
          </w:tcPr>
          <w:p w14:paraId="2B9C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自评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1B1F2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15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6D7B6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52" w:type="dxa"/>
            <w:noWrap w:val="0"/>
            <w:vAlign w:val="center"/>
          </w:tcPr>
          <w:p w14:paraId="4FFD4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1031.39</w:t>
            </w:r>
          </w:p>
        </w:tc>
        <w:tc>
          <w:tcPr>
            <w:tcW w:w="1267" w:type="dxa"/>
            <w:noWrap w:val="0"/>
            <w:vAlign w:val="center"/>
          </w:tcPr>
          <w:p w14:paraId="6459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4267.58</w:t>
            </w:r>
          </w:p>
        </w:tc>
        <w:tc>
          <w:tcPr>
            <w:tcW w:w="1093" w:type="dxa"/>
            <w:noWrap w:val="0"/>
            <w:vAlign w:val="center"/>
          </w:tcPr>
          <w:p w14:paraId="2315C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4267.58</w:t>
            </w:r>
          </w:p>
        </w:tc>
        <w:tc>
          <w:tcPr>
            <w:tcW w:w="669" w:type="dxa"/>
            <w:noWrap w:val="0"/>
            <w:vAlign w:val="center"/>
          </w:tcPr>
          <w:p w14:paraId="1E84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0" w:type="dxa"/>
            <w:noWrap w:val="0"/>
            <w:vAlign w:val="center"/>
          </w:tcPr>
          <w:p w14:paraId="768C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2203" w:type="dxa"/>
            <w:noWrap w:val="0"/>
            <w:vAlign w:val="center"/>
          </w:tcPr>
          <w:p w14:paraId="38BCA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FE83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10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6" w:type="dxa"/>
            <w:gridSpan w:val="4"/>
            <w:noWrap w:val="0"/>
            <w:vAlign w:val="center"/>
          </w:tcPr>
          <w:p w14:paraId="035D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0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3BCA8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0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7EB29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CE0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6" w:type="dxa"/>
            <w:gridSpan w:val="4"/>
            <w:noWrap w:val="0"/>
            <w:vAlign w:val="center"/>
          </w:tcPr>
          <w:p w14:paraId="7513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0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1918.64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2BB71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0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743.02</w:t>
            </w:r>
          </w:p>
        </w:tc>
      </w:tr>
      <w:tr w14:paraId="5F52C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2D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6" w:type="dxa"/>
            <w:gridSpan w:val="4"/>
            <w:noWrap w:val="0"/>
            <w:vAlign w:val="center"/>
          </w:tcPr>
          <w:p w14:paraId="68D35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00" w:firstLineChars="5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410D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00" w:firstLineChars="4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3524.56</w:t>
            </w:r>
          </w:p>
        </w:tc>
      </w:tr>
      <w:tr w14:paraId="24762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05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6" w:type="dxa"/>
            <w:gridSpan w:val="4"/>
            <w:noWrap w:val="0"/>
            <w:vAlign w:val="center"/>
          </w:tcPr>
          <w:p w14:paraId="39AC9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00" w:firstLineChars="5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7AD9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4AC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center"/>
          </w:tcPr>
          <w:p w14:paraId="18CDB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6" w:type="dxa"/>
            <w:gridSpan w:val="4"/>
            <w:noWrap w:val="0"/>
            <w:vAlign w:val="center"/>
          </w:tcPr>
          <w:p w14:paraId="2A1F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00" w:firstLineChars="5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2348.94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5BB1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70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567A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7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9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9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116" w:type="dxa"/>
            <w:gridSpan w:val="4"/>
            <w:noWrap w:val="0"/>
            <w:vAlign w:val="center"/>
          </w:tcPr>
          <w:p w14:paraId="1E9E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5842A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6584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center"/>
          </w:tcPr>
          <w:p w14:paraId="2B8F0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6" w:type="dxa"/>
            <w:gridSpan w:val="4"/>
            <w:noWrap w:val="0"/>
            <w:vAlign w:val="center"/>
          </w:tcPr>
          <w:p w14:paraId="5352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一、对区属市场（网点）发展规划和布局规范，并组织实施。</w:t>
            </w:r>
          </w:p>
          <w:p w14:paraId="142B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二、依照国家和省、市制定的市场规划与政策，对区属办公市场进行全面管理。</w:t>
            </w:r>
          </w:p>
          <w:p w14:paraId="1558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三、组织和引导市场开展信息交流和形式多样的创建活动，改善经营环境，提升市场档次。</w:t>
            </w:r>
          </w:p>
          <w:p w14:paraId="4259E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四、经常性地开展市场调研活动，为区政府制定市场建设管理政策提供意见和建议。</w:t>
            </w:r>
          </w:p>
          <w:p w14:paraId="19417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五、负责本单位的信访维稳和安全生产工作；完成区委、区人民政府交办的其他任务。</w:t>
            </w:r>
          </w:p>
        </w:tc>
        <w:tc>
          <w:tcPr>
            <w:tcW w:w="4635" w:type="dxa"/>
            <w:gridSpan w:val="4"/>
            <w:noWrap w:val="0"/>
            <w:vAlign w:val="center"/>
          </w:tcPr>
          <w:p w14:paraId="6626A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重点任务：严格落实市、区两级指令，加强对市场人员密集场所开展消杀毒及环境清洁，守护居民食品健康的铜墙铁壁，多次受到市、区级领导的高度肯定。</w:t>
            </w:r>
          </w:p>
          <w:p w14:paraId="779C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关键目标：2023年度把安全隐患问题作为重中之重，做好了中心所属城陵矶农贸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市场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屋面屋顶破损修复及下水道梳理工程；五里牌市场屋面屋顶破损修复、下水道梳理及市场防蝇罩安置工程；骆家坡市场围墙筑牢工程，杜绝安全隐患产生。</w:t>
            </w:r>
          </w:p>
        </w:tc>
      </w:tr>
      <w:tr w14:paraId="3C1DA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3A26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7CE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绩效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519" w:type="dxa"/>
            <w:noWrap w:val="0"/>
            <w:vAlign w:val="center"/>
          </w:tcPr>
          <w:p w14:paraId="4115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78" w:type="dxa"/>
            <w:noWrap w:val="0"/>
            <w:vAlign w:val="center"/>
          </w:tcPr>
          <w:p w14:paraId="1A3D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52" w:type="dxa"/>
            <w:noWrap w:val="0"/>
            <w:vAlign w:val="center"/>
          </w:tcPr>
          <w:p w14:paraId="5E78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267" w:type="dxa"/>
            <w:noWrap w:val="0"/>
            <w:vAlign w:val="center"/>
          </w:tcPr>
          <w:p w14:paraId="5EA7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093" w:type="dxa"/>
            <w:noWrap w:val="0"/>
            <w:vAlign w:val="center"/>
          </w:tcPr>
          <w:p w14:paraId="7A9E4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669" w:type="dxa"/>
            <w:noWrap w:val="0"/>
            <w:vAlign w:val="center"/>
          </w:tcPr>
          <w:p w14:paraId="7E20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70" w:type="dxa"/>
            <w:noWrap w:val="0"/>
            <w:vAlign w:val="center"/>
          </w:tcPr>
          <w:p w14:paraId="48FB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自评</w:t>
            </w:r>
          </w:p>
          <w:p w14:paraId="0525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2203" w:type="dxa"/>
            <w:noWrap w:val="0"/>
            <w:vAlign w:val="center"/>
          </w:tcPr>
          <w:p w14:paraId="5BBF6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2BD0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76620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7D6F43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noWrap w:val="0"/>
            <w:vAlign w:val="center"/>
          </w:tcPr>
          <w:p w14:paraId="0E513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88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65626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bottom w:val="nil"/>
            </w:tcBorders>
            <w:noWrap w:val="0"/>
            <w:vAlign w:val="center"/>
          </w:tcPr>
          <w:p w14:paraId="36B2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52" w:type="dxa"/>
            <w:noWrap w:val="0"/>
            <w:vAlign w:val="center"/>
          </w:tcPr>
          <w:p w14:paraId="4A98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市场监管专项整治次数</w:t>
            </w:r>
          </w:p>
        </w:tc>
        <w:tc>
          <w:tcPr>
            <w:tcW w:w="1267" w:type="dxa"/>
            <w:noWrap w:val="0"/>
            <w:vAlign w:val="center"/>
          </w:tcPr>
          <w:p w14:paraId="7948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&gt;=24次</w:t>
            </w:r>
          </w:p>
        </w:tc>
        <w:tc>
          <w:tcPr>
            <w:tcW w:w="1093" w:type="dxa"/>
            <w:noWrap w:val="0"/>
            <w:vAlign w:val="center"/>
          </w:tcPr>
          <w:p w14:paraId="04DE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69" w:type="dxa"/>
            <w:noWrap w:val="0"/>
            <w:vAlign w:val="center"/>
          </w:tcPr>
          <w:p w14:paraId="50EC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noWrap w:val="0"/>
            <w:vAlign w:val="center"/>
          </w:tcPr>
          <w:p w14:paraId="08F3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3" w:type="dxa"/>
            <w:noWrap w:val="0"/>
            <w:vAlign w:val="center"/>
          </w:tcPr>
          <w:p w14:paraId="7368B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E4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362269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16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noWrap w:val="0"/>
            <w:vAlign w:val="center"/>
          </w:tcPr>
          <w:p w14:paraId="0958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52" w:type="dxa"/>
            <w:noWrap w:val="0"/>
            <w:vAlign w:val="center"/>
          </w:tcPr>
          <w:p w14:paraId="6B48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  <w:p w14:paraId="040C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监督抽检批次</w:t>
            </w:r>
          </w:p>
        </w:tc>
        <w:tc>
          <w:tcPr>
            <w:tcW w:w="1267" w:type="dxa"/>
            <w:noWrap w:val="0"/>
            <w:vAlign w:val="center"/>
          </w:tcPr>
          <w:p w14:paraId="3D5D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整治次数 </w:t>
            </w:r>
          </w:p>
          <w:p w14:paraId="5B6D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&gt;=324次</w:t>
            </w:r>
          </w:p>
        </w:tc>
        <w:tc>
          <w:tcPr>
            <w:tcW w:w="1093" w:type="dxa"/>
            <w:noWrap w:val="0"/>
            <w:vAlign w:val="center"/>
          </w:tcPr>
          <w:p w14:paraId="1EA9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669" w:type="dxa"/>
            <w:noWrap w:val="0"/>
            <w:vAlign w:val="center"/>
          </w:tcPr>
          <w:p w14:paraId="6EFE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noWrap w:val="0"/>
            <w:vAlign w:val="center"/>
          </w:tcPr>
          <w:p w14:paraId="2EC9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3" w:type="dxa"/>
            <w:noWrap w:val="0"/>
            <w:vAlign w:val="center"/>
          </w:tcPr>
          <w:p w14:paraId="4B324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60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775892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11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bottom w:val="nil"/>
            </w:tcBorders>
            <w:noWrap w:val="0"/>
            <w:vAlign w:val="center"/>
          </w:tcPr>
          <w:p w14:paraId="0E65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52" w:type="dxa"/>
            <w:noWrap w:val="0"/>
            <w:vAlign w:val="center"/>
          </w:tcPr>
          <w:p w14:paraId="78AD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重点工作任务完成时间</w:t>
            </w:r>
          </w:p>
        </w:tc>
        <w:tc>
          <w:tcPr>
            <w:tcW w:w="1267" w:type="dxa"/>
            <w:noWrap w:val="0"/>
            <w:vAlign w:val="center"/>
          </w:tcPr>
          <w:p w14:paraId="6819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&gt;=100%</w:t>
            </w:r>
          </w:p>
        </w:tc>
        <w:tc>
          <w:tcPr>
            <w:tcW w:w="1093" w:type="dxa"/>
            <w:noWrap w:val="0"/>
            <w:vAlign w:val="center"/>
          </w:tcPr>
          <w:p w14:paraId="57C1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9" w:type="dxa"/>
            <w:noWrap w:val="0"/>
            <w:vAlign w:val="center"/>
          </w:tcPr>
          <w:p w14:paraId="7D95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noWrap w:val="0"/>
            <w:vAlign w:val="center"/>
          </w:tcPr>
          <w:p w14:paraId="4413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3" w:type="dxa"/>
            <w:noWrap w:val="0"/>
            <w:vAlign w:val="center"/>
          </w:tcPr>
          <w:p w14:paraId="14706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27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AD0B02A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C32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bottom w:val="nil"/>
            </w:tcBorders>
            <w:noWrap w:val="0"/>
            <w:vAlign w:val="center"/>
          </w:tcPr>
          <w:p w14:paraId="1A09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52" w:type="dxa"/>
            <w:noWrap w:val="0"/>
            <w:vAlign w:val="center"/>
          </w:tcPr>
          <w:p w14:paraId="2C5A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市场监管专项整治次数</w:t>
            </w:r>
          </w:p>
        </w:tc>
        <w:tc>
          <w:tcPr>
            <w:tcW w:w="1267" w:type="dxa"/>
            <w:noWrap w:val="0"/>
            <w:vAlign w:val="center"/>
          </w:tcPr>
          <w:p w14:paraId="35BB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&gt;=24次</w:t>
            </w:r>
          </w:p>
        </w:tc>
        <w:tc>
          <w:tcPr>
            <w:tcW w:w="1093" w:type="dxa"/>
            <w:noWrap w:val="0"/>
            <w:vAlign w:val="center"/>
          </w:tcPr>
          <w:p w14:paraId="1D83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69" w:type="dxa"/>
            <w:noWrap w:val="0"/>
            <w:vAlign w:val="center"/>
          </w:tcPr>
          <w:p w14:paraId="7259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noWrap w:val="0"/>
            <w:vAlign w:val="center"/>
          </w:tcPr>
          <w:p w14:paraId="1C5B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3" w:type="dxa"/>
            <w:noWrap w:val="0"/>
            <w:vAlign w:val="center"/>
          </w:tcPr>
          <w:p w14:paraId="09E95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28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58F940E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restart"/>
            <w:tcBorders>
              <w:bottom w:val="nil"/>
            </w:tcBorders>
            <w:noWrap w:val="0"/>
            <w:vAlign w:val="center"/>
          </w:tcPr>
          <w:p w14:paraId="3B72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E5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06C14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bottom w:val="nil"/>
            </w:tcBorders>
            <w:noWrap w:val="0"/>
            <w:vAlign w:val="center"/>
          </w:tcPr>
          <w:p w14:paraId="3586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</w:t>
            </w:r>
          </w:p>
          <w:p w14:paraId="0558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252" w:type="dxa"/>
            <w:noWrap w:val="0"/>
            <w:vAlign w:val="center"/>
          </w:tcPr>
          <w:p w14:paraId="2F0A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全年非税收入完成情况</w:t>
            </w:r>
          </w:p>
        </w:tc>
        <w:tc>
          <w:tcPr>
            <w:tcW w:w="1267" w:type="dxa"/>
            <w:noWrap w:val="0"/>
            <w:vAlign w:val="center"/>
          </w:tcPr>
          <w:p w14:paraId="39C3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&gt;=460万元</w:t>
            </w:r>
          </w:p>
        </w:tc>
        <w:tc>
          <w:tcPr>
            <w:tcW w:w="1093" w:type="dxa"/>
            <w:noWrap w:val="0"/>
            <w:vAlign w:val="center"/>
          </w:tcPr>
          <w:p w14:paraId="29FD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278.88</w:t>
            </w:r>
          </w:p>
        </w:tc>
        <w:tc>
          <w:tcPr>
            <w:tcW w:w="669" w:type="dxa"/>
            <w:noWrap w:val="0"/>
            <w:vAlign w:val="center"/>
          </w:tcPr>
          <w:p w14:paraId="5364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noWrap w:val="0"/>
            <w:vAlign w:val="center"/>
          </w:tcPr>
          <w:p w14:paraId="40D0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03" w:type="dxa"/>
            <w:noWrap w:val="0"/>
            <w:vAlign w:val="center"/>
          </w:tcPr>
          <w:p w14:paraId="158BA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1.开源大厦及龙源大厦两处资产移交至城建投，移交资产部分非税收入核减；2.实际完成值为决算数，与财务账套数据核算周期一致，实际2023年12月份收款于2024年1月完成，属于正常滞后。</w:t>
            </w:r>
          </w:p>
        </w:tc>
      </w:tr>
      <w:tr w14:paraId="49DDC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7B6420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BC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bottom w:val="nil"/>
            </w:tcBorders>
            <w:noWrap w:val="0"/>
            <w:vAlign w:val="center"/>
          </w:tcPr>
          <w:p w14:paraId="7F79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52" w:type="dxa"/>
            <w:noWrap w:val="0"/>
            <w:vAlign w:val="center"/>
          </w:tcPr>
          <w:p w14:paraId="5729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老旧市场改造行动部署情况</w:t>
            </w:r>
          </w:p>
        </w:tc>
        <w:tc>
          <w:tcPr>
            <w:tcW w:w="1267" w:type="dxa"/>
            <w:noWrap w:val="0"/>
            <w:vAlign w:val="center"/>
          </w:tcPr>
          <w:p w14:paraId="4163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完成改造</w:t>
            </w:r>
          </w:p>
        </w:tc>
        <w:tc>
          <w:tcPr>
            <w:tcW w:w="1093" w:type="dxa"/>
            <w:noWrap w:val="0"/>
            <w:vAlign w:val="center"/>
          </w:tcPr>
          <w:p w14:paraId="1EF9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完成改造</w:t>
            </w:r>
          </w:p>
        </w:tc>
        <w:tc>
          <w:tcPr>
            <w:tcW w:w="669" w:type="dxa"/>
            <w:noWrap w:val="0"/>
            <w:vAlign w:val="center"/>
          </w:tcPr>
          <w:p w14:paraId="1A63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noWrap w:val="0"/>
            <w:vAlign w:val="center"/>
          </w:tcPr>
          <w:p w14:paraId="47C8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3" w:type="dxa"/>
            <w:noWrap w:val="0"/>
            <w:vAlign w:val="center"/>
          </w:tcPr>
          <w:p w14:paraId="32301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39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19035F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95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bottom w:val="nil"/>
            </w:tcBorders>
            <w:noWrap w:val="0"/>
            <w:vAlign w:val="center"/>
          </w:tcPr>
          <w:p w14:paraId="59CD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252" w:type="dxa"/>
            <w:noWrap w:val="0"/>
            <w:vAlign w:val="center"/>
          </w:tcPr>
          <w:p w14:paraId="4206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农贸市场内外部经营环境改善情况</w:t>
            </w:r>
          </w:p>
        </w:tc>
        <w:tc>
          <w:tcPr>
            <w:tcW w:w="1267" w:type="dxa"/>
            <w:noWrap w:val="0"/>
            <w:vAlign w:val="center"/>
          </w:tcPr>
          <w:p w14:paraId="10B2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1093" w:type="dxa"/>
            <w:noWrap w:val="0"/>
            <w:vAlign w:val="center"/>
          </w:tcPr>
          <w:p w14:paraId="4C8B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有所改善</w:t>
            </w:r>
          </w:p>
        </w:tc>
        <w:tc>
          <w:tcPr>
            <w:tcW w:w="669" w:type="dxa"/>
            <w:noWrap w:val="0"/>
            <w:vAlign w:val="center"/>
          </w:tcPr>
          <w:p w14:paraId="591B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noWrap w:val="0"/>
            <w:vAlign w:val="center"/>
          </w:tcPr>
          <w:p w14:paraId="0373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3" w:type="dxa"/>
            <w:noWrap w:val="0"/>
            <w:vAlign w:val="center"/>
          </w:tcPr>
          <w:p w14:paraId="21D73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E9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DF1CF0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EAB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bottom w:val="nil"/>
            </w:tcBorders>
            <w:noWrap w:val="0"/>
            <w:vAlign w:val="center"/>
          </w:tcPr>
          <w:p w14:paraId="1517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252" w:type="dxa"/>
            <w:noWrap w:val="0"/>
            <w:vAlign w:val="center"/>
          </w:tcPr>
          <w:p w14:paraId="1ACD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对农贸市场管理及贸易正向促进情况</w:t>
            </w:r>
          </w:p>
        </w:tc>
        <w:tc>
          <w:tcPr>
            <w:tcW w:w="1267" w:type="dxa"/>
            <w:noWrap w:val="0"/>
            <w:vAlign w:val="center"/>
          </w:tcPr>
          <w:p w14:paraId="2137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正向促进</w:t>
            </w:r>
          </w:p>
        </w:tc>
        <w:tc>
          <w:tcPr>
            <w:tcW w:w="1093" w:type="dxa"/>
            <w:noWrap w:val="0"/>
            <w:vAlign w:val="center"/>
          </w:tcPr>
          <w:p w14:paraId="21D7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正向促进</w:t>
            </w:r>
          </w:p>
        </w:tc>
        <w:tc>
          <w:tcPr>
            <w:tcW w:w="669" w:type="dxa"/>
            <w:noWrap w:val="0"/>
            <w:vAlign w:val="center"/>
          </w:tcPr>
          <w:p w14:paraId="7A5D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noWrap w:val="0"/>
            <w:vAlign w:val="center"/>
          </w:tcPr>
          <w:p w14:paraId="633B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3" w:type="dxa"/>
            <w:noWrap w:val="0"/>
            <w:vAlign w:val="center"/>
          </w:tcPr>
          <w:p w14:paraId="30CAC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95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58745A8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tcBorders>
              <w:bottom w:val="nil"/>
            </w:tcBorders>
            <w:noWrap w:val="0"/>
            <w:vAlign w:val="center"/>
          </w:tcPr>
          <w:p w14:paraId="4F4C9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5A3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078" w:type="dxa"/>
            <w:tcBorders>
              <w:bottom w:val="nil"/>
            </w:tcBorders>
            <w:noWrap w:val="0"/>
            <w:vAlign w:val="center"/>
          </w:tcPr>
          <w:p w14:paraId="0C3D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52" w:type="dxa"/>
            <w:noWrap w:val="0"/>
            <w:vAlign w:val="center"/>
          </w:tcPr>
          <w:p w14:paraId="57DB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267" w:type="dxa"/>
            <w:noWrap w:val="0"/>
            <w:vAlign w:val="center"/>
          </w:tcPr>
          <w:p w14:paraId="0591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&gt;=95%</w:t>
            </w:r>
          </w:p>
        </w:tc>
        <w:tc>
          <w:tcPr>
            <w:tcW w:w="1093" w:type="dxa"/>
            <w:noWrap w:val="0"/>
            <w:vAlign w:val="center"/>
          </w:tcPr>
          <w:p w14:paraId="5365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669" w:type="dxa"/>
            <w:noWrap w:val="0"/>
            <w:vAlign w:val="center"/>
          </w:tcPr>
          <w:p w14:paraId="3D2C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noWrap w:val="0"/>
            <w:vAlign w:val="center"/>
          </w:tcPr>
          <w:p w14:paraId="5E92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3" w:type="dxa"/>
            <w:noWrap w:val="0"/>
            <w:vAlign w:val="center"/>
          </w:tcPr>
          <w:p w14:paraId="4AA2E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B9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84" w:type="dxa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86C905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" w:type="dxa"/>
            <w:tcBorders>
              <w:bottom w:val="nil"/>
            </w:tcBorders>
            <w:noWrap w:val="0"/>
            <w:vAlign w:val="center"/>
          </w:tcPr>
          <w:p w14:paraId="478B7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078" w:type="dxa"/>
            <w:tcBorders>
              <w:bottom w:val="nil"/>
            </w:tcBorders>
            <w:noWrap w:val="0"/>
            <w:vAlign w:val="center"/>
          </w:tcPr>
          <w:p w14:paraId="2490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52" w:type="dxa"/>
            <w:noWrap w:val="0"/>
            <w:vAlign w:val="center"/>
          </w:tcPr>
          <w:p w14:paraId="5975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预算支出控制情况</w:t>
            </w:r>
          </w:p>
        </w:tc>
        <w:tc>
          <w:tcPr>
            <w:tcW w:w="1267" w:type="dxa"/>
            <w:noWrap w:val="0"/>
            <w:vAlign w:val="center"/>
          </w:tcPr>
          <w:p w14:paraId="66CE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&lt;=100%</w:t>
            </w:r>
          </w:p>
        </w:tc>
        <w:tc>
          <w:tcPr>
            <w:tcW w:w="1093" w:type="dxa"/>
            <w:noWrap w:val="0"/>
            <w:vAlign w:val="center"/>
          </w:tcPr>
          <w:p w14:paraId="4BB9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9" w:type="dxa"/>
            <w:noWrap w:val="0"/>
            <w:vAlign w:val="center"/>
          </w:tcPr>
          <w:p w14:paraId="00B7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noWrap w:val="0"/>
            <w:vAlign w:val="center"/>
          </w:tcPr>
          <w:p w14:paraId="3007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3" w:type="dxa"/>
            <w:noWrap w:val="0"/>
            <w:vAlign w:val="center"/>
          </w:tcPr>
          <w:p w14:paraId="4E0A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F3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93" w:type="dxa"/>
            <w:gridSpan w:val="6"/>
            <w:noWrap w:val="0"/>
            <w:vAlign w:val="center"/>
          </w:tcPr>
          <w:p w14:paraId="0432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69" w:type="dxa"/>
            <w:noWrap w:val="0"/>
            <w:vAlign w:val="center"/>
          </w:tcPr>
          <w:p w14:paraId="08C7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70" w:type="dxa"/>
            <w:noWrap w:val="0"/>
            <w:vAlign w:val="center"/>
          </w:tcPr>
          <w:p w14:paraId="47FA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203" w:type="dxa"/>
            <w:noWrap w:val="0"/>
            <w:vAlign w:val="center"/>
          </w:tcPr>
          <w:p w14:paraId="5D11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24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default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喻敏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17707404669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2024-5-31</w:t>
      </w:r>
    </w:p>
    <w:p w14:paraId="5FF21BB1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58D8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pacing w:val="2"/>
          <w:sz w:val="42"/>
          <w:szCs w:val="4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2"/>
          <w:sz w:val="42"/>
          <w:szCs w:val="42"/>
          <w:lang w:eastAsia="zh-CN"/>
        </w:rPr>
        <w:t>2023年度项目支出绩效自评表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E7F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118" w:type="dxa"/>
            <w:gridSpan w:val="3"/>
            <w:noWrap w:val="0"/>
            <w:vAlign w:val="center"/>
          </w:tcPr>
          <w:p w14:paraId="466A0DE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center"/>
          </w:tcPr>
          <w:p w14:paraId="2F42C4E2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1CC0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center"/>
          </w:tcPr>
          <w:p w14:paraId="45C04FDA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center"/>
          </w:tcPr>
          <w:p w14:paraId="004F2F21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27E6D68D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 w14:paraId="3CFC48C2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071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32A65E6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 w14:paraId="0DE7983D">
            <w:pPr>
              <w:pStyle w:val="1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资金来源</w:t>
            </w:r>
          </w:p>
        </w:tc>
        <w:tc>
          <w:tcPr>
            <w:tcW w:w="1244" w:type="dxa"/>
            <w:noWrap w:val="0"/>
            <w:vAlign w:val="center"/>
          </w:tcPr>
          <w:p w14:paraId="0A83629F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center"/>
          </w:tcPr>
          <w:p w14:paraId="7789D6F6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center"/>
          </w:tcPr>
          <w:p w14:paraId="23631310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center"/>
          </w:tcPr>
          <w:p w14:paraId="7FC953F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2EFDB5B5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center"/>
          </w:tcPr>
          <w:p w14:paraId="72E5D18F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9"/>
                <w:szCs w:val="19"/>
              </w:rPr>
              <w:t>自评得分</w:t>
            </w:r>
          </w:p>
        </w:tc>
      </w:tr>
      <w:tr w14:paraId="5635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7EB72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 w14:paraId="0D0961A2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center"/>
          </w:tcPr>
          <w:p w14:paraId="14F2497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center"/>
          </w:tcPr>
          <w:p w14:paraId="1299276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center"/>
          </w:tcPr>
          <w:p w14:paraId="17E19B6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center"/>
          </w:tcPr>
          <w:p w14:paraId="7EFA91D8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25A7B43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center"/>
          </w:tcPr>
          <w:p w14:paraId="34EDD813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CDB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B8F974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 w14:paraId="00CCCE23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center"/>
          </w:tcPr>
          <w:p w14:paraId="5C0F650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BF04F8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CED765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center"/>
          </w:tcPr>
          <w:p w14:paraId="6446FF0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2F72F1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E8E7A2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2C3EA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DC00B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 w14:paraId="786D2C65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center"/>
          </w:tcPr>
          <w:p w14:paraId="3FD48FB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59524F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033329F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center"/>
          </w:tcPr>
          <w:p w14:paraId="665E7B0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A215B6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B47EAD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5F81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center"/>
          </w:tcPr>
          <w:p w14:paraId="2C9DCD5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 w14:paraId="37EACD0B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center"/>
          </w:tcPr>
          <w:p w14:paraId="04A4C73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3F0206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0D34FA0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center"/>
          </w:tcPr>
          <w:p w14:paraId="7755C6B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F1660B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2CFFC9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49678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center"/>
          </w:tcPr>
          <w:p w14:paraId="0880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2F3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A09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center"/>
          </w:tcPr>
          <w:p w14:paraId="461C0186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center"/>
          </w:tcPr>
          <w:p w14:paraId="2093191A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19"/>
                <w:szCs w:val="19"/>
              </w:rPr>
              <w:t>实际完成情况</w:t>
            </w:r>
          </w:p>
        </w:tc>
      </w:tr>
      <w:tr w14:paraId="0BAE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center"/>
          </w:tcPr>
          <w:p w14:paraId="3EDB88F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center"/>
          </w:tcPr>
          <w:p w14:paraId="486271D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center"/>
          </w:tcPr>
          <w:p w14:paraId="26856AE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68785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BA2322D">
            <w:pPr>
              <w:pStyle w:val="10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36B9B03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center"/>
          </w:tcPr>
          <w:p w14:paraId="7B6E8F6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b/>
                <w:bCs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center"/>
          </w:tcPr>
          <w:p w14:paraId="0B590F1C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b/>
                <w:bCs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center"/>
          </w:tcPr>
          <w:p w14:paraId="447C3C2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b/>
                <w:bCs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center"/>
          </w:tcPr>
          <w:p w14:paraId="234E8114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19"/>
                <w:szCs w:val="19"/>
              </w:rPr>
              <w:t>年度</w:t>
            </w:r>
          </w:p>
          <w:p w14:paraId="764A3CC2">
            <w:pPr>
              <w:spacing w:line="205" w:lineRule="auto"/>
              <w:ind w:left="330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center"/>
          </w:tcPr>
          <w:p w14:paraId="18990C56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  <w:t>实际</w:t>
            </w:r>
          </w:p>
          <w:p w14:paraId="3E042398">
            <w:pPr>
              <w:spacing w:line="205" w:lineRule="auto"/>
              <w:ind w:left="357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center"/>
          </w:tcPr>
          <w:p w14:paraId="3A46CC1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 w14:paraId="343B55C9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center"/>
          </w:tcPr>
          <w:p w14:paraId="045AFF64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1B312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D7F12D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458C438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C7167C1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2C93383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2F224CF">
            <w:pPr>
              <w:pStyle w:val="10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1EBC03C9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587A817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center"/>
          </w:tcPr>
          <w:p w14:paraId="3B05BF27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9B55388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F149B7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384232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40DFF3E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3AB6931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0C3C9B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523118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41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F3B758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F37D4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CBFE12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B7E105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0DB92C4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C6E7C2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6D921B8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5ABDBD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B64536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E49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DADE41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FA83AE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center"/>
          </w:tcPr>
          <w:p w14:paraId="1925A94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D95516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center"/>
          </w:tcPr>
          <w:p w14:paraId="4695C4E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0890A71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5C02DBA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D31BD0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924415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24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BF8257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83B51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center"/>
          </w:tcPr>
          <w:p w14:paraId="27110C36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6D3C1E80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C0DA63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D3828E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5ABD396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4262DA7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045AEF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5FADAE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D3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0EA916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1E449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E035A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259962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C0B9C7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B55CEB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4EE272C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9CA2DB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F74C70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00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91AC3F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E60CE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center"/>
          </w:tcPr>
          <w:p w14:paraId="3E0B9B3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0239DEF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center"/>
          </w:tcPr>
          <w:p w14:paraId="13A592A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6A3F8AE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4E73059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C6FF5A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C3DDEA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D0F1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88A0F1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E43BA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center"/>
          </w:tcPr>
          <w:p w14:paraId="4AE1E836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5D14A516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4BEC712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4172FE9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36A44A8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6463F786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49FD46A0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BDD5ED8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18E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6E8DFB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D47CB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A74C1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087D136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08E57CE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672C3A2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505E4BB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5821B95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E3F845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B6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873020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0F1AC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center"/>
          </w:tcPr>
          <w:p w14:paraId="79362A0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19E138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center"/>
          </w:tcPr>
          <w:p w14:paraId="28C7F51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E94AD9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02F41F7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9BCA0C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D796BC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A4D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D8FA52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6646E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center"/>
          </w:tcPr>
          <w:p w14:paraId="13831691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30DEE54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87E34A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37CC9C5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506E975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45C4D81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320DB3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25BFB7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73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30A262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871D9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3A126A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324FBAF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12EAF1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42D43ED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471F517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FE4FB1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2A09AF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9B4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81B359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288133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257538E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D38FD3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center"/>
          </w:tcPr>
          <w:p w14:paraId="57A5189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86E844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35BB626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20A853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175D08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783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6DF240E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 w14:paraId="349CB450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AA22BD3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1FF022B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9A0CD0A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71412F4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09CB1F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9ED223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5640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3C99589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790F7B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6D5319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61F55CA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30EBFA8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8BE9D3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9FF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30F7979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045EA24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6D64F5D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24000DE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FA037D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C18664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64B81F3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4F646FA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A71291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702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2759CB5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3AAD183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33CBE1E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10C17B2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center"/>
          </w:tcPr>
          <w:p w14:paraId="5828B01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5C2D040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19F4728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6F520F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752986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FB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053D0B7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6C446B5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795F74F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CABB2E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69A012D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55385C6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214C43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5381D3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2C3EEEE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EF3C90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122906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A6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2405427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459D404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4161464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0480E51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1A82E7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7BAD4C3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3563688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51F5F5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EF7214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BB1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2D82A6D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3519B59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6156D53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0D5A528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center"/>
          </w:tcPr>
          <w:p w14:paraId="6380C32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571262C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7F5A82C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C9071E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625C1C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4F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55A44D5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17BDC4B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3C11424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EC78FD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A824EDC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1458E74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DDB58D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2DDB1D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7A87487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71E99E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9D033B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11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46F27C6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7E97D9C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center"/>
          </w:tcPr>
          <w:p w14:paraId="577DA8F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5A67070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737031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55A562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0A52426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28A7460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185076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457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4A38381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4EE0AB8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35AF33B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6FE6D4F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center"/>
          </w:tcPr>
          <w:p w14:paraId="6FA4D6B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E779BB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4C909AA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31C114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37E96F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6E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2467EBF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center"/>
          </w:tcPr>
          <w:p w14:paraId="3A1878F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3825844D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4A2A718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7B3440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3A1AD98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1B07A53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37EACEF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F5D3E2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DA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1801E4E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E6163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C9CE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4B36EFC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7AC5486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27FC10D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72D7B47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2505A0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F0F78A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02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center"/>
          </w:tcPr>
          <w:p w14:paraId="67CDE58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CAE99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01C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0C8124E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center"/>
          </w:tcPr>
          <w:p w14:paraId="6E1E126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7E4D2E7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02D6BD4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1FD8C4D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2DA8EE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67C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C01A65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6BFDFB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50E9C86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C8C1DCF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3E97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87F0963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B3BBF72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center"/>
          </w:tcPr>
          <w:p w14:paraId="169FC53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BA5652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477EFFE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1C37E36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730DE0D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8D310B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9B1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061B8C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47850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78F22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01AB01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766B46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14370FA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center"/>
          </w:tcPr>
          <w:p w14:paraId="42FAB72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5A8C2F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B7EE09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32D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30712F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02FF6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BB4BC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3DDC7926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center"/>
          </w:tcPr>
          <w:p w14:paraId="11ACDA7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4821A04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center"/>
          </w:tcPr>
          <w:p w14:paraId="66B26C8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236E61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1C6E4E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45105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center"/>
          </w:tcPr>
          <w:p w14:paraId="0532465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center"/>
          </w:tcPr>
          <w:p w14:paraId="1B721C86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b/>
                <w:bCs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1DE05F52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center"/>
          </w:tcPr>
          <w:p w14:paraId="0AD19740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bookmarkEnd w:id="0"/>
    </w:tbl>
    <w:p w14:paraId="30F77A95">
      <w:pPr>
        <w:spacing w:line="217" w:lineRule="auto"/>
        <w:rPr>
          <w:sz w:val="22"/>
          <w:szCs w:val="22"/>
        </w:rPr>
      </w:pPr>
    </w:p>
    <w:p w14:paraId="1AB46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default" w:ascii="Times New Roman" w:hAnsi="Times New Roman" w:cs="Times New Roman" w:eastAsia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喻敏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17707404669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2024-5-31</w:t>
      </w:r>
    </w:p>
    <w:p w14:paraId="2552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4AED9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3E3BA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0D1F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2023年度</w:t>
      </w:r>
    </w:p>
    <w:p w14:paraId="71C9A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岳阳市岳阳楼区供销合作联社整体支出</w:t>
      </w:r>
    </w:p>
    <w:p w14:paraId="552C6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3D98F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71D2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B3B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792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4A7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0486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10ED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ABB7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702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68A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9DA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00CB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3EFF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DA7F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5105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13F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604F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1E8F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F98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933C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EC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7BFF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D78A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DD7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6AF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0071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2C00C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 年 5 月 31 日</w:t>
      </w:r>
    </w:p>
    <w:p w14:paraId="4A598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2023年度岳阳市岳阳楼区供销合作联社</w:t>
      </w:r>
    </w:p>
    <w:p w14:paraId="51AA4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31112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0ABE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33D6C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53D553F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（一）职能职责</w:t>
      </w:r>
    </w:p>
    <w:p w14:paraId="3AFD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1、协同区商务粮食局编制全区市场（网点）发展规划和布局规范，并组织实施。</w:t>
      </w:r>
    </w:p>
    <w:p w14:paraId="5A19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2、依照国家和省、市制定的市场规划与政策，对区属公办市场进行全面管理。</w:t>
      </w:r>
    </w:p>
    <w:p w14:paraId="33D14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3、组织和引导市场开展信息交流和形式多样的创建活动，改善经营环境，提升市场档次。</w:t>
      </w:r>
    </w:p>
    <w:p w14:paraId="05A46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4、经常性地开展市场调研活动，为区政府制定市场建设管理政策提供意见和建议。</w:t>
      </w:r>
    </w:p>
    <w:p w14:paraId="155C7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5、负责本单位的信访维稳和安全生产工作，完成区委、区人民政府交办的其他任务。</w:t>
      </w:r>
    </w:p>
    <w:p w14:paraId="2D8DD14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（二）机构设置</w:t>
      </w:r>
    </w:p>
    <w:p w14:paraId="3FBF2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前我中心内设5个科室，下辖5个市场中心。内设科室分别是综合办公室、物业科、人事科、财计科、维稳保安科。农贸市场中心分别是开源物业服务中心、巴陵大桥市场服务中心、五里牌市场服务中心、庙前街古玩市场服务中心、城陵矶市场服务中心。</w:t>
      </w:r>
    </w:p>
    <w:p w14:paraId="0D6DA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591D3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7F70E3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年度财政拨款基本支出743.02万元，其中：人员经费662.99万元，占基本支出的89.23%,主要包括基本工资、奖金、绩效工资、机关事业单位基本养老保险缴费、职业年金缴费、职工基本医疗保险缴费、其他社会保障缴费、住房公积金、退休费、抚恤金、生活补助、其他对个人和家庭的补助；公用经费80.03万元，占基本支出的10.77%，主要包括办公费、印刷费、水费、电费、维修费、培训费、专用材料费、工会经费、福利费、其他交通费用、税金及附加费用、其他商品和服务支出。</w:t>
      </w:r>
    </w:p>
    <w:p w14:paraId="633501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2023年度“三公”经费财政拨款支出预算为2.00万元，支出决算为0.00万元，完成预算的00.00%，其中：</w:t>
      </w:r>
    </w:p>
    <w:p w14:paraId="5E63EF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因公出国（境）费支出预算为0.00万元，支出决算为0.00万元，完成预算的0.00%，决算数与预算数一致，我单位无公出国（境）费支出；公务接待费支出预算为2.00万元，支出决算为0.00万元，完成预算的00.00%，决算数与预算数一致，我单位无公务接待费支出；公务用车购置费支出预算为0.00万元，支出决算为0.00万元，完成预算的0.00%，决算数与预算数一致，我单位无公务用车购置费支出；公务用车运行维护费支出预算为0.00万元，支出决算为0.00万元，完成预算的0.00%，决算数与预算数一致，我单位无公务用车运行维护费支出。</w:t>
      </w:r>
    </w:p>
    <w:p w14:paraId="1AD8F1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 w14:paraId="508762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年度项目支出3524.56万元，主要包括庙前街市场转让税金支出、城陵矶市场转让税金支出、洪家洲市场转让税金支出、农贸市场的物业管理支出、市场经营税金及市场零星维修支出。2023年初项目支出预算169.00万元，实际支出3524.56万元，主要为庙前街、城陵矶及洪家洲三大市场转让税金支出，农贸市场的物业管理支出、市场经营税金及市场零星维修支出未超标。</w:t>
      </w:r>
    </w:p>
    <w:p w14:paraId="1A642BD3">
      <w:pPr>
        <w:rPr>
          <w:rFonts w:hint="eastAsia"/>
          <w:lang w:val="en-US" w:eastAsia="zh-CN"/>
        </w:rPr>
      </w:pPr>
    </w:p>
    <w:p w14:paraId="5542A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0E0498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本单位无政府性基金收支。 </w:t>
      </w:r>
    </w:p>
    <w:p w14:paraId="0046DF2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2DC1A2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本单位无国有资本经营预算财政拨款支出。</w:t>
      </w:r>
    </w:p>
    <w:p w14:paraId="740BB1F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367EE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00" w:line="276" w:lineRule="auto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本单位无社会保险基金预算财政拨款支出。</w:t>
      </w:r>
    </w:p>
    <w:p w14:paraId="12E95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六、单位整体支出绩效情况</w:t>
      </w:r>
    </w:p>
    <w:p w14:paraId="33562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年，我中心认真学习贯彻市、区三级负责干部会议和区委经济工作会议精神，大力打造领导带头，党员示范，赛马比拼的干事创业氛围，针对如何坚持奋进“十律”、助推高质量发展，组织专题研讨，认真寻求工作破局的方法路径，出台相应工作方案和考核办法，为全年工作绘就蓝图、吹响号角；针对楼区农集贸市场管理痛点难点，深入开展走访调研，通过访样板、找差距、促提升；推动重建楼区供销合作联社，实现中心更名加挂牌，为进一步实现新的跨越式发展打好基础。</w:t>
      </w:r>
    </w:p>
    <w:p w14:paraId="0F2F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1、强化政治引领，突出“稳”字统筹全局。一是将党的二十大精神和习近平总书记的重要讲话精神纳入中心组2023年理论学习重点，持续深入开展学习贯彻习近平新时代中国特色社会主义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思想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主题教育，引领党员干部统一思想、坚定立场。二是严格落实全面从严治党主体责任，召开全面从严治党专题会商会，扎实推进省委巡察发现党建共性问题、党组书记述职评议查找问题的整改。三是切实把意识形态工作作为党的建设重要内容，加强组织领导，定期召开分析研判会，重点分析当前意识形态工作形势存在的舆情、问题及对策，并定期通报，通过遏制苗头性问题把握意识形态领域主动权。</w:t>
      </w:r>
    </w:p>
    <w:p w14:paraId="6A742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强化作风建设，突出“严”字整风肃纪。一是开展“两带头五整治”纠风防腐专项行动,强化学习相关法律法规、党纪条规，党员干部结合实际撰写心得体会，对照“五整治”行动内容进行全面自查。二是组织广大干部职工观看专题片《永远吹冲锋号》、开展“忆初心、感党恩、颂清廉”廉洁文艺作品观展活动，党组书记《关于加强新时代廉洁文化建设的若干措施》主题党课活动，督促大家严格清廉自守，展现新时代新担当新风尚。三是深化整治利用领导干部职权或影响力“打牌子”“提篮子”谋取利益工作，抗牢专项整治主体责任，加强对领导干部和关键人员的教育、管理和监督。</w:t>
      </w:r>
    </w:p>
    <w:p w14:paraId="424B1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强化市场管理，突出“实”字巩固爱卫。一是积极响应，明职明责。将爱卫工作内容逐条分解，层层落实到岗位、到地段、到门面（摊位），明确具体责任人，做到爱卫工作任务、责任、人员、进度、时限“五落实”。二是务实行动，强化标准。根据《国家卫生城市评审与管理办法》和《岳阳市2023年迎接国家卫生城市复审工作方案》（岳爱卫发〔2023〕4号）要求，逐条对照落实，做到卫生环境、商品陈列、通道畅通、车辆管理、软件建设“五到位”。三是持之以恒，立足长效。通过健全的组织体系、完善的工作机制和规范的管理办法，让广大干部职工和经营户自觉遵从，一以贯之，做到精神状态、履职尽责、常态管理、考核督查、良性互动“五持久”。 四是开展生活垃圾分类引导及“迎中秋、庆国庆”爱国卫生大扫除，由主要负责人带头，全员参与，重点清理办公区、走廊、公厕蛛网灰尘、污垢污迹，市场卫生死角、杂物、杂草、牛皮癣，疏通排水沟渠，确保辖区环境量化、净化、美化。</w:t>
      </w:r>
    </w:p>
    <w:p w14:paraId="14A14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强化安全维稳，突出“责”字守好底线。一是认真调研推进五里牌天祥电脑城消防安全隐患、建筑安全隐患整治、庙前街古玩市场旧改配套设施改造、各市场水电设施升级节能提质工作；二是督促洪家洲菜市场开展二、三楼消防安全隐患整治工作；三是坚持每两周最少一次安全隐患排查，列出整改清单，督促整改到位。四是制定企业人员群体信访问题的“五包一”稳控方案，成立稳控工作组，做好信息动态跟踪，发现问题及时反馈，积极做好信访人的思想疏导和稳控工作，确保将问题解决在基层、人员稳控在当地。</w:t>
      </w:r>
    </w:p>
    <w:p w14:paraId="64306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强化职能职责，突出“闯”字赋能转型。中心下沉楼区后，部分资产划转至区汇城集团，单位后续发展面临瓶颈，为此，我们深入调研，从现实需求、重建模式、前景优势等方面，全面论证由我中心牵头负责重建岳阳楼区供销联社的可行性，并提交区委编委审议，2023年12月1日，区委编办《关于区市场建设服务中心更名的批复》（岳楼编办发〔2023〕40号）同意我中心更名为岳阳楼区供销合作联社，同时加挂岳阳市岳阳楼区市场建设服务中心牌子，核准相关编制，有力推动了中心赋能转型和楼区供销合作联社重建。</w:t>
      </w:r>
    </w:p>
    <w:p w14:paraId="460F1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强化经济工作，突出“创”发展提升。一是进一步加强财务内控、资金统筹管理，与时俱进完善“三重一大”等管理制度，并严格遵循落实；二是严把政策法规关，规范物业租赁合同文本，依法依规依程序开展招商招租；三是开展“走找想促”， 组织相关负责同志分赴邵阳、邵东、平江三地开展学习交流调研，在智慧市场建设、农残终端检测、市场规划布局、精细化便民化服务、市场租赁经营管理新模式等方面取真经、找经验，形成专题报告向区委、区政府汇报，为推进城区农集贸市场事权改革工作提供参考意见。四是优化闲置资产管理，制定闲置资产动态情况表，跟踪问效；五是积极参加省供销系统的培训以及市供销系统农资工作会议，积极推动社有资产管理有限公司的成立，为来年实施“优销优供”平价超市、农资仓储等项目搭好平台。五是分解全年招商任务，每个分中心和科室全年招商任务完成情况进入2023年度目标管理考核，实行奖惩兑现；六是确保经济目标任务完成，截至目前已全额完成了本年度目标收入。</w:t>
      </w:r>
    </w:p>
    <w:p w14:paraId="1B77E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56E1E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通过绩效自评，发现我单位绩效管理存在的主要问题为:</w:t>
      </w:r>
    </w:p>
    <w:p w14:paraId="1BE19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一是绩效目标设置科学性有待提高。部分绩效指标存在评价标准难以量化、指标值难以获取，指标设置不够全面、代表性不足等问题。</w:t>
      </w:r>
    </w:p>
    <w:p w14:paraId="54EB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二是绩效目标运行监控力度有待加强。绩效自评时发现部分指标由于政策性原因存在无法完成的情况，但绩效指标未能随之调整。</w:t>
      </w:r>
    </w:p>
    <w:p w14:paraId="54AED1D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21D9F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针对自评发现问题，我单位积极采取措施，分别从以下几个方面改进绩效管理工作:</w:t>
      </w:r>
    </w:p>
    <w:p w14:paraId="1AA0D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聚焦区委、区政府重大决策部署，加大调研督查力度，对重要领域和关键环节坚持案头调研和实地调研相结合，深入一线开展机构职能优化、机构设置研究，为科学决策提供有力支撑，针对影响和制约发展的体制机制问题，提出贯彻落实措施，强化机构资源服务支撑作用，助推各项事业发展。</w:t>
      </w:r>
    </w:p>
    <w:p w14:paraId="45E25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二是加大机构业务培训力度组织开展多层次、多形式的培训教育和实践锻炼，促进提升系统干部业务水平，努力打造高素质专业化的干部队伍。</w:t>
      </w:r>
    </w:p>
    <w:p w14:paraId="741BD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三是科学编制产出目标，产出目标既要参考历史标准，又要考虑环境因素，做到科学、合理编制绩效指标。</w:t>
      </w:r>
    </w:p>
    <w:p w14:paraId="0085F42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单位整体支出绩效自评结果拟应用和公开情况</w:t>
      </w:r>
    </w:p>
    <w:p w14:paraId="5EDBB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此次绩效自评结果主要以《2023年度预算单位整体支出绩效评价基础数据表》《2023年度预算单位整体支出绩效自评表》《2023年度单位整体支出绩效自评报告》的形式体现，自评表及自评报告内容完整、权重合理、数据真实、结果客观。我单位将绩效自评结果作为完善政策和改进管理的重要依据，同时加强评价结果的应用，对有效支出安排预算、低效支出压减预算、无效支出进行问责，切实提高单位预算绩效管理水平。自评结果按照要求依法予以公开。</w:t>
      </w:r>
    </w:p>
    <w:p w14:paraId="57090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3E515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无其他需要说明的问题。</w:t>
      </w:r>
    </w:p>
    <w:p w14:paraId="00F23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933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CCC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F18E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6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64023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BC540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BC540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384B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E849F3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E849F3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8D85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4488D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C4488D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83BB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5306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5306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14323"/>
    <w:multiLevelType w:val="singleLevel"/>
    <w:tmpl w:val="9231432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8E140C"/>
    <w:multiLevelType w:val="singleLevel"/>
    <w:tmpl w:val="B78E140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41050D8"/>
    <w:multiLevelType w:val="singleLevel"/>
    <w:tmpl w:val="041050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4CF47B5"/>
    <w:multiLevelType w:val="singleLevel"/>
    <w:tmpl w:val="34CF47B5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MTBlYTQxYjNkZjg2OGRlYzFjYzkwMWQwYWY5NWM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54D2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286D"/>
    <w:rsid w:val="01806F8C"/>
    <w:rsid w:val="0182483A"/>
    <w:rsid w:val="01863406"/>
    <w:rsid w:val="018D011E"/>
    <w:rsid w:val="019614B0"/>
    <w:rsid w:val="019C71AC"/>
    <w:rsid w:val="01BF03AA"/>
    <w:rsid w:val="01C33E74"/>
    <w:rsid w:val="01C7267B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84D91"/>
    <w:rsid w:val="02595CF1"/>
    <w:rsid w:val="025C47D6"/>
    <w:rsid w:val="0263675C"/>
    <w:rsid w:val="02656E75"/>
    <w:rsid w:val="027431E5"/>
    <w:rsid w:val="02AF7A07"/>
    <w:rsid w:val="02B544DB"/>
    <w:rsid w:val="02B85E09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37F3E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7333D2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A8641E"/>
    <w:rsid w:val="05B525CA"/>
    <w:rsid w:val="05C4448F"/>
    <w:rsid w:val="05C80770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CB30C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110E55"/>
    <w:rsid w:val="082A5F7E"/>
    <w:rsid w:val="08391F38"/>
    <w:rsid w:val="083A18D9"/>
    <w:rsid w:val="0848472A"/>
    <w:rsid w:val="084D20E7"/>
    <w:rsid w:val="08512865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778EA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621A4"/>
    <w:rsid w:val="0B9C3CD1"/>
    <w:rsid w:val="0BB324D8"/>
    <w:rsid w:val="0BB672C7"/>
    <w:rsid w:val="0BC07BBF"/>
    <w:rsid w:val="0BC429EF"/>
    <w:rsid w:val="0BCE65D1"/>
    <w:rsid w:val="0BD30E0A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4B5C57"/>
    <w:rsid w:val="0C55038F"/>
    <w:rsid w:val="0C6B7DF9"/>
    <w:rsid w:val="0C6E2A56"/>
    <w:rsid w:val="0C7A708D"/>
    <w:rsid w:val="0C7F5FDB"/>
    <w:rsid w:val="0CCA7495"/>
    <w:rsid w:val="0CD16BA2"/>
    <w:rsid w:val="0CD745A0"/>
    <w:rsid w:val="0CDE4E30"/>
    <w:rsid w:val="0D012A51"/>
    <w:rsid w:val="0D094F84"/>
    <w:rsid w:val="0D240982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951880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1F1149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44A2C"/>
    <w:rsid w:val="0F0D525E"/>
    <w:rsid w:val="0F2A2A37"/>
    <w:rsid w:val="0F2E6C95"/>
    <w:rsid w:val="0F3E06C6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0E0482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87568"/>
    <w:rsid w:val="109E2943"/>
    <w:rsid w:val="10C8346E"/>
    <w:rsid w:val="10D562A1"/>
    <w:rsid w:val="10DE3DE3"/>
    <w:rsid w:val="10FE6AB1"/>
    <w:rsid w:val="1112624E"/>
    <w:rsid w:val="11153798"/>
    <w:rsid w:val="11297158"/>
    <w:rsid w:val="114B2C9B"/>
    <w:rsid w:val="115D78BB"/>
    <w:rsid w:val="116001E2"/>
    <w:rsid w:val="116E7634"/>
    <w:rsid w:val="11793618"/>
    <w:rsid w:val="11813452"/>
    <w:rsid w:val="11913DD4"/>
    <w:rsid w:val="11961E43"/>
    <w:rsid w:val="11987ED2"/>
    <w:rsid w:val="119969A0"/>
    <w:rsid w:val="11A91B68"/>
    <w:rsid w:val="11B76464"/>
    <w:rsid w:val="11BC2861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8F5D37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9247B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90233E"/>
    <w:rsid w:val="14A04833"/>
    <w:rsid w:val="14B12779"/>
    <w:rsid w:val="14B37576"/>
    <w:rsid w:val="14F4219E"/>
    <w:rsid w:val="150135C1"/>
    <w:rsid w:val="151C632A"/>
    <w:rsid w:val="152E4EB1"/>
    <w:rsid w:val="15323E58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48DC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C50FB3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C620FF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BF291F"/>
    <w:rsid w:val="19C90EE9"/>
    <w:rsid w:val="19D37D58"/>
    <w:rsid w:val="19DD0438"/>
    <w:rsid w:val="1A0A04E6"/>
    <w:rsid w:val="1A187AC0"/>
    <w:rsid w:val="1A213466"/>
    <w:rsid w:val="1A3F3F76"/>
    <w:rsid w:val="1A4B4BAE"/>
    <w:rsid w:val="1A5F35C0"/>
    <w:rsid w:val="1A7A7E33"/>
    <w:rsid w:val="1A8006B2"/>
    <w:rsid w:val="1A8864BF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6E6F1A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1548F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42C15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C35107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32304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2122BA"/>
    <w:rsid w:val="22383B4D"/>
    <w:rsid w:val="22466CD3"/>
    <w:rsid w:val="225D1D49"/>
    <w:rsid w:val="225D33C8"/>
    <w:rsid w:val="226239FE"/>
    <w:rsid w:val="22626562"/>
    <w:rsid w:val="226A76AE"/>
    <w:rsid w:val="22733EB6"/>
    <w:rsid w:val="22851A6B"/>
    <w:rsid w:val="22906578"/>
    <w:rsid w:val="22973E77"/>
    <w:rsid w:val="22AB58F3"/>
    <w:rsid w:val="22C13FD4"/>
    <w:rsid w:val="22C24771"/>
    <w:rsid w:val="22CB0895"/>
    <w:rsid w:val="22DB78DD"/>
    <w:rsid w:val="231527D7"/>
    <w:rsid w:val="23185AD8"/>
    <w:rsid w:val="23336451"/>
    <w:rsid w:val="23474320"/>
    <w:rsid w:val="23492735"/>
    <w:rsid w:val="234B4B5A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E20CE6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E64E60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AE48F3"/>
    <w:rsid w:val="26C30557"/>
    <w:rsid w:val="26CB2EBC"/>
    <w:rsid w:val="26CB4B73"/>
    <w:rsid w:val="26E34A7B"/>
    <w:rsid w:val="26E9756C"/>
    <w:rsid w:val="26F0367E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66CC5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820C0"/>
    <w:rsid w:val="28CC6ED5"/>
    <w:rsid w:val="28CF7131"/>
    <w:rsid w:val="28F010D9"/>
    <w:rsid w:val="28F05C88"/>
    <w:rsid w:val="29082E70"/>
    <w:rsid w:val="290E7000"/>
    <w:rsid w:val="291343EF"/>
    <w:rsid w:val="29166F16"/>
    <w:rsid w:val="293B23A1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4B241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6175C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2589D"/>
    <w:rsid w:val="2C391765"/>
    <w:rsid w:val="2C3D18DD"/>
    <w:rsid w:val="2C3D5EB9"/>
    <w:rsid w:val="2C4C0F0A"/>
    <w:rsid w:val="2C5254C3"/>
    <w:rsid w:val="2C532EF2"/>
    <w:rsid w:val="2C5C500F"/>
    <w:rsid w:val="2C6C5774"/>
    <w:rsid w:val="2C6E3526"/>
    <w:rsid w:val="2C6F1E54"/>
    <w:rsid w:val="2C8908DD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217DC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426DA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87CE2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DE6A1B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DC0A92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7F2142"/>
    <w:rsid w:val="338C01FF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0A6274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E3B56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AD5AB5"/>
    <w:rsid w:val="37C244FC"/>
    <w:rsid w:val="37D95C79"/>
    <w:rsid w:val="37E81F7B"/>
    <w:rsid w:val="37EB3CC7"/>
    <w:rsid w:val="38026A1B"/>
    <w:rsid w:val="38197832"/>
    <w:rsid w:val="38303DA7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3F059E"/>
    <w:rsid w:val="3A4109A1"/>
    <w:rsid w:val="3A742C8C"/>
    <w:rsid w:val="3A7B2702"/>
    <w:rsid w:val="3A896EEE"/>
    <w:rsid w:val="3A9D32B3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4D6CFE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1C4922"/>
    <w:rsid w:val="3D294B1B"/>
    <w:rsid w:val="3D2B034D"/>
    <w:rsid w:val="3D5A60CA"/>
    <w:rsid w:val="3D9D25BE"/>
    <w:rsid w:val="3D9F4364"/>
    <w:rsid w:val="3DA702BF"/>
    <w:rsid w:val="3DB92106"/>
    <w:rsid w:val="3DCF457D"/>
    <w:rsid w:val="3DDE2232"/>
    <w:rsid w:val="3DF169A7"/>
    <w:rsid w:val="3DF2399F"/>
    <w:rsid w:val="3DF40FE4"/>
    <w:rsid w:val="3E0519AD"/>
    <w:rsid w:val="3E2A2F2A"/>
    <w:rsid w:val="3E497637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D823F9"/>
    <w:rsid w:val="3EE34DD3"/>
    <w:rsid w:val="3EF434CC"/>
    <w:rsid w:val="3EFB6FF7"/>
    <w:rsid w:val="3EFF0A75"/>
    <w:rsid w:val="3F013719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A42DC1"/>
    <w:rsid w:val="40B16CC2"/>
    <w:rsid w:val="40B81BAD"/>
    <w:rsid w:val="40BB2365"/>
    <w:rsid w:val="40D23962"/>
    <w:rsid w:val="40D61BC8"/>
    <w:rsid w:val="40DC4F1D"/>
    <w:rsid w:val="40DF2097"/>
    <w:rsid w:val="40E340D5"/>
    <w:rsid w:val="40E71ABD"/>
    <w:rsid w:val="412D19A2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562684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525AA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4C5E18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41AE4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662A88"/>
    <w:rsid w:val="497B341F"/>
    <w:rsid w:val="49B415EE"/>
    <w:rsid w:val="49B63FD6"/>
    <w:rsid w:val="49BF4D00"/>
    <w:rsid w:val="49D1562B"/>
    <w:rsid w:val="49D61A36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1B3BD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EC0C42"/>
    <w:rsid w:val="4CF439F9"/>
    <w:rsid w:val="4CFE069C"/>
    <w:rsid w:val="4CFE63D3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30C4D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8A43A8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840C5E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DE62D7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0E52F8"/>
    <w:rsid w:val="56133E90"/>
    <w:rsid w:val="56474D43"/>
    <w:rsid w:val="564C1D1D"/>
    <w:rsid w:val="565F1E2E"/>
    <w:rsid w:val="56662FBA"/>
    <w:rsid w:val="56670F45"/>
    <w:rsid w:val="566F1BE2"/>
    <w:rsid w:val="567020EE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C637C9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721AF7"/>
    <w:rsid w:val="58C07CA9"/>
    <w:rsid w:val="58C3686E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9A54E4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AFB404D"/>
    <w:rsid w:val="5B0B5334"/>
    <w:rsid w:val="5B133C39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467C0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4170AB"/>
    <w:rsid w:val="5D566DF5"/>
    <w:rsid w:val="5D5736EC"/>
    <w:rsid w:val="5D592213"/>
    <w:rsid w:val="5D6677C8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6135B"/>
    <w:rsid w:val="5F0F5BF5"/>
    <w:rsid w:val="5F1070E5"/>
    <w:rsid w:val="5F137093"/>
    <w:rsid w:val="5F475DFB"/>
    <w:rsid w:val="5F4A6912"/>
    <w:rsid w:val="5F8B0417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B0559C"/>
    <w:rsid w:val="60C76F62"/>
    <w:rsid w:val="60CE1254"/>
    <w:rsid w:val="60D321CB"/>
    <w:rsid w:val="60D467A9"/>
    <w:rsid w:val="60E20333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3F749B"/>
    <w:rsid w:val="61535DEE"/>
    <w:rsid w:val="6166167A"/>
    <w:rsid w:val="617020C2"/>
    <w:rsid w:val="61755B39"/>
    <w:rsid w:val="617A0C46"/>
    <w:rsid w:val="618B1EF3"/>
    <w:rsid w:val="61A33787"/>
    <w:rsid w:val="61A66AB4"/>
    <w:rsid w:val="61A82AA5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97447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0265D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A046DC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001C5"/>
    <w:rsid w:val="64864D44"/>
    <w:rsid w:val="64A01013"/>
    <w:rsid w:val="64C76164"/>
    <w:rsid w:val="64D3186F"/>
    <w:rsid w:val="64D57D88"/>
    <w:rsid w:val="64EF2266"/>
    <w:rsid w:val="64F33559"/>
    <w:rsid w:val="64FD2EEA"/>
    <w:rsid w:val="64FF1ABC"/>
    <w:rsid w:val="6504627F"/>
    <w:rsid w:val="650E3520"/>
    <w:rsid w:val="654069DE"/>
    <w:rsid w:val="65413B3E"/>
    <w:rsid w:val="654B3E81"/>
    <w:rsid w:val="655555A6"/>
    <w:rsid w:val="655F14F0"/>
    <w:rsid w:val="65660277"/>
    <w:rsid w:val="656E6D13"/>
    <w:rsid w:val="658E5B0E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986ED7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46644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84C10"/>
    <w:rsid w:val="6AB909BB"/>
    <w:rsid w:val="6ABA0C51"/>
    <w:rsid w:val="6ABD020C"/>
    <w:rsid w:val="6ADD6D64"/>
    <w:rsid w:val="6B0F06C2"/>
    <w:rsid w:val="6B2B6878"/>
    <w:rsid w:val="6B633F4F"/>
    <w:rsid w:val="6B655563"/>
    <w:rsid w:val="6B70680D"/>
    <w:rsid w:val="6B816F14"/>
    <w:rsid w:val="6B8A298B"/>
    <w:rsid w:val="6B8A779B"/>
    <w:rsid w:val="6BAD6C20"/>
    <w:rsid w:val="6BB456BB"/>
    <w:rsid w:val="6BB62A44"/>
    <w:rsid w:val="6BC009EB"/>
    <w:rsid w:val="6BD81D0A"/>
    <w:rsid w:val="6BE052CE"/>
    <w:rsid w:val="6BF2692A"/>
    <w:rsid w:val="6BF358A4"/>
    <w:rsid w:val="6BFD6C57"/>
    <w:rsid w:val="6C051F4E"/>
    <w:rsid w:val="6C096C12"/>
    <w:rsid w:val="6C1A5960"/>
    <w:rsid w:val="6C1C7E83"/>
    <w:rsid w:val="6C3F1900"/>
    <w:rsid w:val="6C417EB8"/>
    <w:rsid w:val="6C5B7090"/>
    <w:rsid w:val="6C613F45"/>
    <w:rsid w:val="6C756221"/>
    <w:rsid w:val="6C7B08BB"/>
    <w:rsid w:val="6C816AF9"/>
    <w:rsid w:val="6C846694"/>
    <w:rsid w:val="6C922E5E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3556C0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7F4CA0"/>
    <w:rsid w:val="70954F53"/>
    <w:rsid w:val="70A94A40"/>
    <w:rsid w:val="70D80F32"/>
    <w:rsid w:val="70D97C76"/>
    <w:rsid w:val="70F76E40"/>
    <w:rsid w:val="711337D0"/>
    <w:rsid w:val="711B23B5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015EC"/>
    <w:rsid w:val="723B04C8"/>
    <w:rsid w:val="724E6817"/>
    <w:rsid w:val="725E4ABA"/>
    <w:rsid w:val="72600D68"/>
    <w:rsid w:val="72604620"/>
    <w:rsid w:val="726B02C1"/>
    <w:rsid w:val="726D2C67"/>
    <w:rsid w:val="729A0F74"/>
    <w:rsid w:val="72F03574"/>
    <w:rsid w:val="72F77CB6"/>
    <w:rsid w:val="731438BD"/>
    <w:rsid w:val="732B09BE"/>
    <w:rsid w:val="733155C8"/>
    <w:rsid w:val="73422D3C"/>
    <w:rsid w:val="73625723"/>
    <w:rsid w:val="737007D9"/>
    <w:rsid w:val="73702CF6"/>
    <w:rsid w:val="738B5B50"/>
    <w:rsid w:val="73AA53A0"/>
    <w:rsid w:val="73B04F6B"/>
    <w:rsid w:val="73C27A1F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D90EDA"/>
    <w:rsid w:val="76E2215D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DC6BAC"/>
    <w:rsid w:val="77F06231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BA3FF5"/>
    <w:rsid w:val="78C21620"/>
    <w:rsid w:val="78CE2D76"/>
    <w:rsid w:val="78EE2375"/>
    <w:rsid w:val="78FA244C"/>
    <w:rsid w:val="78FE1B78"/>
    <w:rsid w:val="79024116"/>
    <w:rsid w:val="790B5E4F"/>
    <w:rsid w:val="790D572F"/>
    <w:rsid w:val="7923254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BF51F4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627E5"/>
    <w:rsid w:val="7B783675"/>
    <w:rsid w:val="7B796807"/>
    <w:rsid w:val="7BAC2D3A"/>
    <w:rsid w:val="7BAE3C97"/>
    <w:rsid w:val="7BB16076"/>
    <w:rsid w:val="7BB46DB9"/>
    <w:rsid w:val="7BC02341"/>
    <w:rsid w:val="7BCF1E62"/>
    <w:rsid w:val="7BD74454"/>
    <w:rsid w:val="7BE96DEC"/>
    <w:rsid w:val="7C021A51"/>
    <w:rsid w:val="7C033C13"/>
    <w:rsid w:val="7C041A0F"/>
    <w:rsid w:val="7C110306"/>
    <w:rsid w:val="7C212B8A"/>
    <w:rsid w:val="7C705B15"/>
    <w:rsid w:val="7C8464A1"/>
    <w:rsid w:val="7C9D2D7B"/>
    <w:rsid w:val="7CA26867"/>
    <w:rsid w:val="7CB43A8E"/>
    <w:rsid w:val="7CC106AB"/>
    <w:rsid w:val="7CCD740C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747887"/>
    <w:rsid w:val="7D771D38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123B46"/>
    <w:rsid w:val="7E202441"/>
    <w:rsid w:val="7E4B691E"/>
    <w:rsid w:val="7E616C7B"/>
    <w:rsid w:val="7E733A70"/>
    <w:rsid w:val="7E8A0780"/>
    <w:rsid w:val="7EA40B37"/>
    <w:rsid w:val="7EA574A2"/>
    <w:rsid w:val="7EBB0DC0"/>
    <w:rsid w:val="7EBF7C28"/>
    <w:rsid w:val="7EC42E15"/>
    <w:rsid w:val="7EC50C54"/>
    <w:rsid w:val="7ED11A3C"/>
    <w:rsid w:val="7ED91C72"/>
    <w:rsid w:val="7EEB5BB3"/>
    <w:rsid w:val="7EFE0786"/>
    <w:rsid w:val="7F1568D7"/>
    <w:rsid w:val="7F2E0D24"/>
    <w:rsid w:val="7F312E91"/>
    <w:rsid w:val="7F33645C"/>
    <w:rsid w:val="7F4E4DC2"/>
    <w:rsid w:val="7F66205C"/>
    <w:rsid w:val="7F8C0EB8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autoRedefine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5458</Words>
  <Characters>6008</Characters>
  <Lines>0</Lines>
  <Paragraphs>0</Paragraphs>
  <TotalTime>7</TotalTime>
  <ScaleCrop>false</ScaleCrop>
  <LinksUpToDate>false</LinksUpToDate>
  <CharactersWithSpaces>6080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蓝雨</cp:lastModifiedBy>
  <cp:lastPrinted>2024-06-07T09:58:00Z</cp:lastPrinted>
  <dcterms:modified xsi:type="dcterms:W3CDTF">2025-06-25T03:04:06Z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801BED8F9B014707A7F35F3AE4077954_13</vt:lpwstr>
  </property>
  <property fmtid="{D5CDD505-2E9C-101B-9397-08002B2CF9AE}" pid="4" name="KSOTemplateDocerSaveRecord">
    <vt:lpwstr>eyJoZGlkIjoiMDljYzUzMWQ4OWI0YzBkYjYzMDRhZTY5ZjZkYmFmYTgiLCJ1c2VySWQiOiI0MzY0MDg0MzUifQ==</vt:lpwstr>
  </property>
</Properties>
</file>