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5"/>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default"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岳阳楼区发展和改革局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39</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39</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3</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w:t>
            </w: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303.4</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259</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264.05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81</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64.8</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3850" w:type="dxa"/>
            <w:noWrap w:val="0"/>
            <w:vAlign w:val="top"/>
          </w:tcPr>
          <w:p>
            <w:pPr>
              <w:spacing w:before="85" w:line="219" w:lineRule="auto"/>
              <w:ind w:left="384"/>
              <w:jc w:val="lef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r>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维修（护）费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6.8</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公务接待费</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、差旅费</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工会经费、其他交通费、其他商品和服务支出</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73.2</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44.8</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226.44</w:t>
            </w: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343.8</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491.13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w:t>
            </w: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2023</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headerReference r:id="rId3" w:type="default"/>
          <w:footerReference r:id="rId4" w:type="default"/>
          <w:pgSz w:w="11906" w:h="16838"/>
          <w:pgMar w:top="1020" w:right="1417" w:bottom="1020"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hint="eastAsia" w:ascii="仿宋" w:hAnsi="仿宋" w:eastAsia="仿宋" w:cs="仿宋"/>
          <w:color w:val="000000" w:themeColor="text1"/>
          <w:spacing w:val="15"/>
          <w:sz w:val="23"/>
          <w:szCs w:val="23"/>
          <w:lang w:val="en-US" w:eastAsia="zh-CN"/>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5"/>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center"/>
          </w:tcPr>
          <w:p>
            <w:pPr>
              <w:jc w:val="center"/>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岳阳楼区发展和改革局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918.55</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1181.42</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1181.42</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1181.42</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718.46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462.96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autoSpaceDN w:val="0"/>
              <w:spacing w:line="400" w:lineRule="exact"/>
              <w:ind w:firstLine="420" w:firstLineChars="200"/>
              <w:jc w:val="left"/>
              <w:textAlignment w:val="center"/>
              <w:rPr>
                <w:rFonts w:hint="eastAsia"/>
              </w:rPr>
            </w:pPr>
            <w:r>
              <w:rPr>
                <w:rFonts w:hint="eastAsia"/>
                <w:lang w:val="en-US" w:eastAsia="zh-CN"/>
              </w:rPr>
              <w:t>目标</w:t>
            </w:r>
            <w:r>
              <w:rPr>
                <w:rFonts w:hint="eastAsia"/>
              </w:rPr>
              <w:t>1：发改部门承担的项目前期工作主要分为八个方面，包括政府投资项目审批、企业投资项目核准或备案、项目资本金制度、招标事项核准、节能审查、听取利害关系人意见、重大项目公示、委托投资咨询评估论证等。做好项目前期工作，对于加大争项争资力度、加快项目建设进度、推动经济发展。</w:t>
            </w:r>
          </w:p>
          <w:p>
            <w:pPr>
              <w:autoSpaceDN w:val="0"/>
              <w:spacing w:line="400" w:lineRule="exact"/>
              <w:ind w:firstLine="420" w:firstLineChars="200"/>
              <w:jc w:val="left"/>
              <w:textAlignment w:val="center"/>
              <w:rPr>
                <w:rFonts w:hint="eastAsia"/>
              </w:rPr>
            </w:pPr>
            <w:r>
              <w:rPr>
                <w:rFonts w:hint="eastAsia"/>
                <w:lang w:val="en-US" w:eastAsia="zh-CN"/>
              </w:rPr>
              <w:t>目标</w:t>
            </w:r>
            <w:r>
              <w:rPr>
                <w:rFonts w:hint="eastAsia"/>
              </w:rPr>
              <w:t>2：加大调研力度，加强经济运行的预测和分析，做好区域经济发展等重大问题的调研，以市场运行为基础，加强服务能力建设，切实提高服务质量，做好国民经济和社会发展计划执行情况的分析，为区委、区政府决策提供参谋服务。</w:t>
            </w:r>
          </w:p>
          <w:p>
            <w:pPr>
              <w:autoSpaceDN w:val="0"/>
              <w:spacing w:line="400" w:lineRule="exact"/>
              <w:ind w:firstLine="420" w:firstLineChars="200"/>
              <w:jc w:val="left"/>
              <w:textAlignment w:val="center"/>
              <w:rPr>
                <w:rFonts w:hint="eastAsia"/>
                <w:lang w:eastAsia="zh-CN"/>
              </w:rPr>
            </w:pPr>
            <w:r>
              <w:rPr>
                <w:rFonts w:hint="eastAsia"/>
                <w:lang w:val="en-US" w:eastAsia="zh-CN"/>
              </w:rPr>
              <w:t>目标</w:t>
            </w:r>
            <w:r>
              <w:rPr>
                <w:rFonts w:hint="eastAsia"/>
              </w:rPr>
              <w:t>3：发改部门承担政府投资项目的概算编制审核，做好此项工作对防范项目投资超预算，压缩投资金额，化解政府性债务风险，具有十分重大而深远的意义</w:t>
            </w:r>
            <w:r>
              <w:rPr>
                <w:rFonts w:hint="eastAsia"/>
                <w:lang w:eastAsia="zh-CN"/>
              </w:rPr>
              <w:t>。</w:t>
            </w:r>
          </w:p>
          <w:p>
            <w:pPr>
              <w:autoSpaceDN w:val="0"/>
              <w:spacing w:line="400" w:lineRule="exact"/>
              <w:ind w:firstLine="420" w:firstLineChars="200"/>
              <w:jc w:val="left"/>
              <w:textAlignment w:val="center"/>
              <w:rPr>
                <w:rFonts w:hint="eastAsia"/>
                <w:lang w:val="en-US" w:eastAsia="zh-CN"/>
              </w:rPr>
            </w:pPr>
            <w:r>
              <w:rPr>
                <w:rFonts w:hint="eastAsia"/>
                <w:lang w:val="en-US" w:eastAsia="zh-CN"/>
              </w:rPr>
              <w:t>目标4：积极对接省、市相关部门，全力推进4个市级重点项目（2个在建项目、2个前期项目）。定期对建设项目开展走访，核对项目投资情况，指导企业线上直报数据，督促落实安全生产和常态化疫情防控责任，切实提升项目单位的业务能力和责任意识。</w:t>
            </w:r>
          </w:p>
          <w:p>
            <w:pPr>
              <w:autoSpaceDN w:val="0"/>
              <w:spacing w:line="400" w:lineRule="exact"/>
              <w:ind w:firstLine="420" w:firstLineChars="200"/>
              <w:jc w:val="left"/>
              <w:textAlignment w:val="center"/>
              <w:rPr>
                <w:rFonts w:hint="eastAsia"/>
                <w:lang w:val="en-US" w:eastAsia="zh-CN"/>
              </w:rPr>
            </w:pPr>
            <w:r>
              <w:rPr>
                <w:rFonts w:hint="eastAsia"/>
                <w:lang w:val="en-US" w:eastAsia="zh-CN"/>
              </w:rPr>
              <w:t>目标5：按照中央“放、管、服”的工作要求，针对我区在招投标工作中存在的职能不全的状况，寻找法律及政策依据。</w:t>
            </w:r>
          </w:p>
          <w:p>
            <w:pPr>
              <w:autoSpaceDN w:val="0"/>
              <w:spacing w:line="400" w:lineRule="exact"/>
              <w:ind w:firstLine="420" w:firstLineChars="200"/>
              <w:jc w:val="left"/>
              <w:textAlignment w:val="center"/>
              <w:rPr>
                <w:rFonts w:hint="eastAsia"/>
                <w:lang w:val="en-US" w:eastAsia="zh-CN"/>
              </w:rPr>
            </w:pPr>
            <w:r>
              <w:rPr>
                <w:rFonts w:hint="eastAsia"/>
                <w:lang w:val="en-US" w:eastAsia="zh-CN"/>
              </w:rPr>
              <w:t>目标6：加快现代物流业发展。</w:t>
            </w:r>
          </w:p>
          <w:p>
            <w:pPr>
              <w:autoSpaceDN w:val="0"/>
              <w:spacing w:line="400" w:lineRule="exact"/>
              <w:ind w:firstLine="420" w:firstLineChars="200"/>
              <w:jc w:val="left"/>
              <w:textAlignment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目标7：根据上级文件精神，对公寓收费情况进行现场查看及审核，要求各个学校按审核价格执行，将收费项目和收费标准进行公示，接收社会监督</w:t>
            </w:r>
            <w:r>
              <w:rPr>
                <w:rFonts w:hint="eastAsia" w:cstheme="minorBidi"/>
                <w:kern w:val="2"/>
                <w:sz w:val="21"/>
                <w:szCs w:val="24"/>
                <w:lang w:val="en-US" w:eastAsia="zh-CN" w:bidi="ar-SA"/>
              </w:rPr>
              <w:t>。</w:t>
            </w:r>
          </w:p>
        </w:tc>
        <w:tc>
          <w:tcPr>
            <w:tcW w:w="4055" w:type="dxa"/>
            <w:gridSpan w:val="4"/>
            <w:noWrap w:val="0"/>
            <w:vAlign w:val="center"/>
          </w:tcPr>
          <w:p>
            <w:pPr>
              <w:autoSpaceDN w:val="0"/>
              <w:spacing w:line="400" w:lineRule="exact"/>
              <w:ind w:firstLine="420" w:firstLineChars="200"/>
              <w:jc w:val="left"/>
              <w:textAlignment w:val="center"/>
              <w:rPr>
                <w:rFonts w:hint="default"/>
                <w:lang w:val="en-US" w:eastAsia="zh-CN"/>
              </w:rPr>
            </w:pPr>
            <w:r>
              <w:rPr>
                <w:rFonts w:hint="eastAsia"/>
                <w:lang w:val="en-US" w:eastAsia="zh-CN"/>
              </w:rPr>
              <w:t xml:space="preserve"> 2023年全区预计实现地区生产总值800亿元，社会固定资产投资212.9亿元，社会消费品零售总额575亿元，地方一般公共预算收入12.3亿元，城镇居民人均可支配收入50848元，新增“四上”服务业企业57家，各项指标均排名全市前列。获评第一批“湖南省现代服务业创新发展区”，市专班第4期专报对我区“打好经济增长主动仗”的经验做法和成效进行了专题推介，《湖南日报》11月30日特稿大篇幅报道我区“打好经济增长主动仗”工作成效。</w:t>
            </w:r>
          </w:p>
          <w:p>
            <w:pPr>
              <w:autoSpaceDN w:val="0"/>
              <w:spacing w:line="400" w:lineRule="exact"/>
              <w:ind w:firstLine="420" w:firstLineChars="200"/>
              <w:jc w:val="left"/>
              <w:textAlignment w:val="center"/>
              <w:rPr>
                <w:rFonts w:hint="eastAsia"/>
                <w:lang w:val="en-US" w:eastAsia="zh-CN"/>
              </w:rPr>
            </w:pPr>
            <w:r>
              <w:rPr>
                <w:rFonts w:hint="eastAsia"/>
                <w:lang w:val="en-US" w:eastAsia="zh-CN"/>
              </w:rPr>
              <w:t>全年共完成争资争项19.91亿元（剔除市级部分），占市定18亿元年度任务的110.62%。储备项目348个，总投资127.2亿元，拟争资64.89亿元，亿元以上32个。目前，根据中央和省、市陆续下达的文件精神，已申报项目121个，拟争资32.66亿元。</w:t>
            </w:r>
          </w:p>
          <w:p>
            <w:pPr>
              <w:autoSpaceDN w:val="0"/>
              <w:spacing w:line="400" w:lineRule="exact"/>
              <w:ind w:firstLine="420" w:firstLineChars="200"/>
              <w:jc w:val="left"/>
              <w:textAlignment w:val="center"/>
              <w:rPr>
                <w:rFonts w:hint="eastAsia"/>
                <w:lang w:val="en-US" w:eastAsia="zh-CN"/>
              </w:rPr>
            </w:pPr>
            <w:r>
              <w:rPr>
                <w:rFonts w:hint="eastAsia"/>
                <w:lang w:val="en-US" w:eastAsia="zh-CN"/>
              </w:rPr>
              <w:t>全面实施“项目建设年”行动，加快推进11个市级重点在建项目、4个重点前期项目，全年完成年度投资计划的120%。</w:t>
            </w:r>
          </w:p>
          <w:p>
            <w:pPr>
              <w:autoSpaceDN w:val="0"/>
              <w:spacing w:line="400" w:lineRule="exact"/>
              <w:ind w:firstLine="420" w:firstLineChars="200"/>
              <w:jc w:val="left"/>
              <w:textAlignment w:val="center"/>
              <w:rPr>
                <w:rFonts w:hint="eastAsia"/>
                <w:lang w:val="en-US" w:eastAsia="zh-CN"/>
              </w:rPr>
            </w:pPr>
            <w:r>
              <w:rPr>
                <w:rFonts w:hint="eastAsia"/>
                <w:rtl w:val="0"/>
                <w:lang w:val="en-US" w:eastAsia="zh-CN"/>
              </w:rPr>
              <w:t>我局全力支持配合胥家桥综合物流园、中交智慧物流园区的</w:t>
            </w:r>
            <w:r>
              <w:rPr>
                <w:rFonts w:hint="eastAsia"/>
                <w:lang w:val="en-US" w:eastAsia="zh-CN"/>
              </w:rPr>
              <w:t>招商引资工作。目前全区拥有国家A级物流企业9家，其中国家4A级企业7家，国家3A级企业2家，规上物流企业18家。</w:t>
            </w:r>
          </w:p>
          <w:p>
            <w:pPr>
              <w:autoSpaceDN w:val="0"/>
              <w:spacing w:line="400" w:lineRule="exact"/>
              <w:ind w:firstLine="420" w:firstLineChars="200"/>
              <w:jc w:val="left"/>
              <w:textAlignment w:val="center"/>
              <w:rPr>
                <w:rFonts w:hint="eastAsia"/>
                <w:rtl w:val="0"/>
                <w:lang w:val="en-US" w:eastAsia="zh-CN"/>
              </w:rPr>
            </w:pPr>
            <w:r>
              <w:rPr>
                <w:rFonts w:hint="eastAsia"/>
                <w:rtl w:val="0"/>
                <w:lang w:val="en-US" w:eastAsia="zh-CN"/>
              </w:rPr>
              <w:t>梳理近三年投资、社会、环资口中央预算内资金项目76个，发现问题20个，及时下发整改清单，全面督导整改，确保中央资金项目规范、有序快速推进。</w:t>
            </w:r>
          </w:p>
          <w:p>
            <w:pPr>
              <w:autoSpaceDN w:val="0"/>
              <w:spacing w:line="400" w:lineRule="exact"/>
              <w:ind w:firstLine="420" w:firstLineChars="200"/>
              <w:jc w:val="left"/>
              <w:textAlignment w:val="center"/>
              <w:rPr>
                <w:rFonts w:hint="eastAsia"/>
                <w:rtl w:val="0"/>
                <w:lang w:val="en-US" w:eastAsia="zh-CN"/>
              </w:rPr>
            </w:pPr>
            <w:r>
              <w:rPr>
                <w:rFonts w:hint="eastAsia"/>
                <w:rtl w:val="0"/>
                <w:lang w:val="en-US" w:eastAsia="zh-CN"/>
              </w:rPr>
              <w:t>扎实推进信用体系建设，累计收集相关数据26.7万条，“信易贷”平台入驻企业5.93万家。</w:t>
            </w:r>
          </w:p>
          <w:p>
            <w:pPr>
              <w:autoSpaceDN w:val="0"/>
              <w:spacing w:line="400" w:lineRule="exact"/>
              <w:ind w:firstLine="420" w:firstLineChars="200"/>
              <w:jc w:val="left"/>
              <w:textAlignment w:val="center"/>
              <w:rPr>
                <w:rFonts w:ascii="Arial"/>
                <w:color w:val="000000" w:themeColor="text1"/>
                <w:spacing w:val="0"/>
                <w:sz w:val="20"/>
                <w14:textFill>
                  <w14:solidFill>
                    <w14:schemeClr w14:val="tx1"/>
                  </w14:solidFill>
                </w14:textFill>
              </w:rPr>
            </w:pPr>
            <w:r>
              <w:rPr>
                <w:rFonts w:hint="eastAsia"/>
                <w:rtl w:val="0"/>
                <w:lang w:val="en-US" w:eastAsia="zh-CN"/>
              </w:rPr>
              <w:t>积极落实价格临时补贴发放工作，认真梳理价格临时补贴范围和对象，做到“按月测算，按月发放”动态管理，有效降低价格上涨对困难群体生活的影响。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全区争取中央、省、市预算内资金</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争取18亿元</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19.91亿元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项目概算审核</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项目概算</w:t>
            </w:r>
            <w:r>
              <w:rPr>
                <w:rFonts w:hint="eastAsia" w:ascii="Arial"/>
                <w:color w:val="000000" w:themeColor="text1"/>
                <w:sz w:val="20"/>
                <w:lang w:val="en-US" w:eastAsia="zh-CN"/>
                <w14:textFill>
                  <w14:solidFill>
                    <w14:schemeClr w14:val="tx1"/>
                  </w14:solidFill>
                </w14:textFill>
              </w:rPr>
              <w:t>156</w:t>
            </w:r>
            <w:r>
              <w:rPr>
                <w:rFonts w:hint="default" w:ascii="Arial"/>
                <w:color w:val="000000" w:themeColor="text1"/>
                <w:sz w:val="20"/>
                <w:lang w:val="en-US" w:eastAsia="zh-CN"/>
                <w14:textFill>
                  <w14:solidFill>
                    <w14:schemeClr w14:val="tx1"/>
                  </w14:solidFill>
                </w14:textFill>
              </w:rPr>
              <w:t>个</w:t>
            </w:r>
          </w:p>
        </w:tc>
        <w:tc>
          <w:tcPr>
            <w:tcW w:w="1259" w:type="dxa"/>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核减投资</w:t>
            </w:r>
            <w:r>
              <w:rPr>
                <w:rFonts w:hint="eastAsia" w:ascii="Arial"/>
                <w:color w:val="000000" w:themeColor="text1"/>
                <w:sz w:val="20"/>
                <w:lang w:val="en-US" w:eastAsia="zh-CN"/>
                <w14:textFill>
                  <w14:solidFill>
                    <w14:schemeClr w14:val="tx1"/>
                  </w14:solidFill>
                </w14:textFill>
              </w:rPr>
              <w:t>3.37</w:t>
            </w:r>
          </w:p>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亿</w:t>
            </w:r>
            <w:r>
              <w:rPr>
                <w:rFonts w:hint="default" w:ascii="Arial"/>
                <w:color w:val="000000" w:themeColor="text1"/>
                <w:sz w:val="20"/>
                <w:lang w:val="en-US" w:eastAsia="zh-CN"/>
                <w14:textFill>
                  <w14:solidFill>
                    <w14:schemeClr w14:val="tx1"/>
                  </w14:solidFill>
                </w14:textFill>
              </w:rPr>
              <w:t>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项目审批</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198个</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总投资</w:t>
            </w:r>
            <w:r>
              <w:rPr>
                <w:rFonts w:hint="eastAsia" w:ascii="Arial"/>
                <w:color w:val="000000" w:themeColor="text1"/>
                <w:sz w:val="20"/>
                <w:lang w:val="en-US" w:eastAsia="zh-CN"/>
                <w14:textFill>
                  <w14:solidFill>
                    <w14:schemeClr w14:val="tx1"/>
                  </w14:solidFill>
                </w14:textFill>
              </w:rPr>
              <w:t>58.03</w:t>
            </w:r>
            <w:r>
              <w:rPr>
                <w:rFonts w:hint="default" w:ascii="Arial"/>
                <w:color w:val="000000" w:themeColor="text1"/>
                <w:sz w:val="20"/>
                <w:lang w:val="en-US" w:eastAsia="zh-CN"/>
                <w14:textFill>
                  <w14:solidFill>
                    <w14:schemeClr w14:val="tx1"/>
                  </w14:solidFill>
                </w14:textFill>
              </w:rPr>
              <w:t>亿元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重点项目</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4个</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完成年度投资计划120%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全区地区生产总值</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同比</w:t>
            </w:r>
            <w:r>
              <w:rPr>
                <w:rFonts w:hint="default" w:ascii="Arial"/>
                <w:color w:val="000000" w:themeColor="text1"/>
                <w:sz w:val="20"/>
                <w:lang w:val="en-US" w:eastAsia="zh-CN"/>
                <w14:textFill>
                  <w14:solidFill>
                    <w14:schemeClr w14:val="tx1"/>
                  </w14:solidFill>
                </w14:textFill>
              </w:rPr>
              <w:t>增长8%左右</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800亿元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8</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地方一般公共预算收入</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12.3亿元</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20"/>
                <w:lang w:val="en-US"/>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2023年底</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年底完成</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按年初预算控制成本</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预算内完成</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社会消费品零售总额</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575亿元</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固定资产投资</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212.9</w:t>
            </w:r>
            <w:r>
              <w:rPr>
                <w:rFonts w:hint="default" w:ascii="Arial"/>
                <w:color w:val="000000" w:themeColor="text1"/>
                <w:sz w:val="20"/>
                <w:lang w:val="en-US" w:eastAsia="zh-CN"/>
                <w14:textFill>
                  <w14:solidFill>
                    <w14:schemeClr w14:val="tx1"/>
                  </w14:solidFill>
                </w14:textFill>
              </w:rPr>
              <w:t>亿</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经济社会保持平稳健康发展</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新增“四上”服务业企业57家，“信易贷”平台入驻企业5.93万家。</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各项指标均排名全市前列</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提高群众获得感、幸福感</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城镇居民人均可支配收入50848元</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获评第一批“湖南省现代服务业创新发展区</w:t>
            </w:r>
            <w:r>
              <w:rPr>
                <w:rFonts w:hint="eastAsia" w:ascii="仿宋_GB2312" w:hAnsi="仿宋_GB2312" w:eastAsia="仿宋_GB2312" w:cs="仿宋_GB2312"/>
                <w:b w:val="0"/>
                <w:bCs w:val="0"/>
                <w:i w:val="0"/>
                <w:iCs w:val="0"/>
                <w:caps w:val="0"/>
                <w:snapToGrid/>
                <w:color w:val="auto"/>
                <w:spacing w:val="0"/>
                <w:kern w:val="0"/>
                <w:sz w:val="32"/>
                <w:szCs w:val="32"/>
                <w:shd w:val="clear" w:color="auto" w:fill="FFFFFF"/>
                <w:lang w:val="en-US" w:eastAsia="zh-CN" w:bidi="ar"/>
              </w:rPr>
              <w:t>”</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宋体" w:hAnsi="宋体" w:eastAsia="宋体" w:cs="宋体"/>
                <w:color w:val="000000" w:themeColor="text1"/>
                <w:spacing w:val="-2"/>
                <w:sz w:val="21"/>
                <w:szCs w:val="21"/>
                <w:lang w:val="en-US" w:eastAsia="zh-CN"/>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益指标</w:t>
            </w:r>
          </w:p>
        </w:tc>
        <w:tc>
          <w:tcPr>
            <w:tcW w:w="1269" w:type="dxa"/>
            <w:noWrap w:val="0"/>
            <w:vAlign w:val="center"/>
          </w:tcPr>
          <w:p>
            <w:pPr>
              <w:keepNext w:val="0"/>
              <w:keepLines w:val="0"/>
              <w:widowControl/>
              <w:suppressLineNumbers w:val="0"/>
              <w:jc w:val="left"/>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rtl w:val="0"/>
                <w:lang w:val="en-US" w:eastAsia="zh-CN"/>
                <w14:textFill>
                  <w14:solidFill>
                    <w14:schemeClr w14:val="tx1"/>
                  </w14:solidFill>
                </w14:textFill>
              </w:rPr>
              <w:t>“绿水青山就是金山银山”主题宣传活动</w:t>
            </w:r>
          </w:p>
        </w:tc>
        <w:tc>
          <w:tcPr>
            <w:tcW w:w="1319" w:type="dxa"/>
            <w:noWrap w:val="0"/>
            <w:vAlign w:val="center"/>
          </w:tcPr>
          <w:p>
            <w:pPr>
              <w:keepNext w:val="0"/>
              <w:keepLines w:val="0"/>
              <w:widowControl/>
              <w:suppressLineNumbers w:val="0"/>
              <w:jc w:val="left"/>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rtl w:val="0"/>
                <w:lang w:val="en-US" w:eastAsia="zh-CN"/>
                <w14:textFill>
                  <w14:solidFill>
                    <w14:schemeClr w14:val="tx1"/>
                  </w14:solidFill>
                </w14:textFill>
              </w:rPr>
              <w:t>开展“减塑禁塑 你我共行”</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rtl w:val="0"/>
                <w:lang w:val="en-US" w:eastAsia="zh-CN"/>
                <w14:textFill>
                  <w14:solidFill>
                    <w14:schemeClr w14:val="tx1"/>
                  </w14:solidFill>
                </w14:textFill>
              </w:rPr>
              <w:t>进一步提升全区群众节能意识</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3"/>
                <w:sz w:val="21"/>
                <w:szCs w:val="21"/>
                <w14:textFill>
                  <w14:solidFill>
                    <w14:schemeClr w14:val="tx1"/>
                  </w14:solidFill>
                </w14:textFill>
              </w:rPr>
            </w:pPr>
          </w:p>
        </w:tc>
        <w:tc>
          <w:tcPr>
            <w:tcW w:w="1269" w:type="dxa"/>
            <w:noWrap w:val="0"/>
            <w:vAlign w:val="center"/>
          </w:tcPr>
          <w:p>
            <w:pPr>
              <w:keepNext w:val="0"/>
              <w:keepLines w:val="0"/>
              <w:widowControl/>
              <w:suppressLineNumbers w:val="0"/>
              <w:jc w:val="left"/>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水污染治理</w:t>
            </w:r>
          </w:p>
        </w:tc>
        <w:tc>
          <w:tcPr>
            <w:tcW w:w="1319" w:type="dxa"/>
            <w:noWrap w:val="0"/>
            <w:vAlign w:val="center"/>
          </w:tcPr>
          <w:p>
            <w:pPr>
              <w:keepNext w:val="0"/>
              <w:keepLines w:val="0"/>
              <w:widowControl/>
              <w:suppressLineNumbers w:val="0"/>
              <w:jc w:val="left"/>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12个</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Style w:val="21"/>
                <w:rFonts w:hint="eastAsia"/>
                <w:lang w:val="en-US" w:eastAsia="zh-CN" w:bidi="ar"/>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着力推动经济良好运行</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经济社会平稳发展</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widowControl/>
              <w:suppressLineNumbers w:val="0"/>
              <w:jc w:val="left"/>
              <w:textAlignment w:val="center"/>
              <w:rPr>
                <w:rFonts w:hint="eastAsia" w:ascii="Arial"/>
                <w:color w:val="000000" w:themeColor="text1"/>
                <w:sz w:val="20"/>
                <w:lang w:val="en-US" w:eastAsia="zh-CN"/>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项目立项审批</w:t>
            </w:r>
          </w:p>
        </w:tc>
        <w:tc>
          <w:tcPr>
            <w:tcW w:w="1319" w:type="dxa"/>
            <w:noWrap w:val="0"/>
            <w:vAlign w:val="center"/>
          </w:tcPr>
          <w:p>
            <w:pPr>
              <w:keepNext w:val="0"/>
              <w:keepLines w:val="0"/>
              <w:widowControl/>
              <w:suppressLineNumbers w:val="0"/>
              <w:jc w:val="left"/>
              <w:textAlignment w:val="center"/>
              <w:rPr>
                <w:rFonts w:hint="eastAsia" w:ascii="Arial"/>
                <w:color w:val="000000" w:themeColor="text1"/>
                <w:sz w:val="20"/>
                <w:lang w:val="en-US" w:eastAsia="zh-CN"/>
                <w14:textFill>
                  <w14:solidFill>
                    <w14:schemeClr w14:val="tx1"/>
                  </w14:solidFill>
                </w14:textFill>
              </w:rPr>
            </w:pPr>
            <w:r>
              <w:rPr>
                <w:rFonts w:hint="default" w:ascii="Arial"/>
                <w:color w:val="000000" w:themeColor="text1"/>
                <w:sz w:val="20"/>
                <w:lang w:val="en-US" w:eastAsia="zh-CN"/>
                <w14:textFill>
                  <w14:solidFill>
                    <w14:schemeClr w14:val="tx1"/>
                  </w14:solidFill>
                </w14:textFill>
              </w:rPr>
              <w:t>公众满意度达100%。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noWrap w:val="0"/>
            <w:vAlign w:val="center"/>
          </w:tcPr>
          <w:p>
            <w:pPr>
              <w:keepNext w:val="0"/>
              <w:keepLines w:val="0"/>
              <w:widowControl/>
              <w:suppressLineNumbers w:val="0"/>
              <w:jc w:val="left"/>
              <w:textAlignment w:val="center"/>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提升公共服务保障水平</w:t>
            </w:r>
          </w:p>
        </w:tc>
        <w:tc>
          <w:tcPr>
            <w:tcW w:w="1319" w:type="dxa"/>
            <w:noWrap w:val="0"/>
            <w:vAlign w:val="center"/>
          </w:tcPr>
          <w:p>
            <w:pPr>
              <w:keepNext w:val="0"/>
              <w:keepLines w:val="0"/>
              <w:widowControl/>
              <w:suppressLineNumbers w:val="0"/>
              <w:jc w:val="left"/>
              <w:textAlignment w:val="center"/>
              <w:rPr>
                <w:rFonts w:hint="default" w:ascii="Arial"/>
                <w:color w:val="000000" w:themeColor="text1"/>
                <w:sz w:val="20"/>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科学配置公共服务资源</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推进基础教育优质均衡发展</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footerReference r:id="rId5" w:type="default"/>
          <w:pgSz w:w="11906" w:h="16838"/>
          <w:pgMar w:top="1020" w:right="1417" w:bottom="1020"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hint="eastAsia" w:ascii="仿宋" w:hAnsi="仿宋" w:eastAsia="仿宋" w:cs="仿宋"/>
          <w:color w:val="000000" w:themeColor="text1"/>
          <w:spacing w:val="15"/>
          <w:sz w:val="23"/>
          <w:szCs w:val="23"/>
          <w:lang w:val="en-US" w:eastAsia="zh-CN"/>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3"/>
          <w:sz w:val="22"/>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附件3-1</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2023年度项目支出绩效自评表</w:t>
      </w:r>
    </w:p>
    <w:tbl>
      <w:tblPr>
        <w:tblStyle w:val="15"/>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widowControl/>
              <w:suppressLineNumbers w:val="0"/>
              <w:jc w:val="center"/>
              <w:textAlignment w:val="center"/>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项目前期工作经费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198</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198.9</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198.9</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198</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198.9</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198.9</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做好项目前期工作，对于加大争项争资力度、加快项目建设进度、推动经济发展。</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全年共完成争资争项19.91亿元（剔除市级部分），占市定18亿元年度任务的110.62%。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全区争取中央、省、市预算内资金</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争项争资18亿</w:t>
            </w:r>
            <w:r>
              <w:rPr>
                <w:rFonts w:hint="eastAsia" w:ascii="宋体" w:hAnsi="宋体" w:eastAsia="宋体" w:cs="宋体"/>
                <w:color w:val="000000" w:themeColor="text1"/>
                <w:spacing w:val="0"/>
                <w:sz w:val="21"/>
                <w:szCs w:val="21"/>
                <w:lang w:val="en-US" w:eastAsia="zh-CN"/>
                <w14:textFill>
                  <w14:solidFill>
                    <w14:schemeClr w14:val="tx1"/>
                  </w14:solidFill>
                </w14:textFill>
              </w:rPr>
              <w:t>元</w:t>
            </w:r>
          </w:p>
        </w:tc>
        <w:tc>
          <w:tcPr>
            <w:tcW w:w="1140" w:type="dxa"/>
            <w:noWrap w:val="0"/>
            <w:vAlign w:val="center"/>
          </w:tcPr>
          <w:p>
            <w:pPr>
              <w:keepNext w:val="0"/>
              <w:keepLines w:val="0"/>
              <w:widowControl/>
              <w:suppressLineNumbers w:val="0"/>
              <w:jc w:val="left"/>
              <w:textAlignment w:val="center"/>
              <w:rPr>
                <w:rFonts w:ascii="Arial"/>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完成19.91亿元，占全年任务的110.62%</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储备项目</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348个</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下达中央预算内投资</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19.91亿元</w:t>
            </w:r>
          </w:p>
        </w:tc>
        <w:tc>
          <w:tcPr>
            <w:tcW w:w="1140" w:type="dxa"/>
            <w:noWrap w:val="0"/>
            <w:vAlign w:val="center"/>
          </w:tcPr>
          <w:p>
            <w:pPr>
              <w:keepNext w:val="0"/>
              <w:keepLines w:val="0"/>
              <w:widowControl/>
              <w:suppressLineNumbers w:val="0"/>
              <w:jc w:val="both"/>
              <w:textAlignment w:val="center"/>
              <w:rPr>
                <w:rFonts w:ascii="Arial"/>
                <w:color w:val="000000" w:themeColor="text1"/>
                <w:spacing w:val="0"/>
                <w:sz w:val="21"/>
                <w:szCs w:val="21"/>
                <w14:textFill>
                  <w14:solidFill>
                    <w14:schemeClr w14:val="tx1"/>
                  </w14:solidFill>
                </w14:textFill>
              </w:rPr>
            </w:pPr>
            <w:r>
              <w:rPr>
                <w:rFonts w:hint="default" w:ascii="Times New Roman" w:hAnsi="Times New Roman" w:eastAsia="宋体" w:cs="Times New Roman"/>
                <w:i w:val="0"/>
                <w:color w:val="000000"/>
                <w:kern w:val="0"/>
                <w:sz w:val="24"/>
                <w:szCs w:val="24"/>
                <w:u w:val="none"/>
                <w:lang w:val="en-US" w:eastAsia="zh-CN" w:bidi="ar"/>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资金拨付及时率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及时</w:t>
            </w:r>
          </w:p>
        </w:tc>
        <w:tc>
          <w:tcPr>
            <w:tcW w:w="1140" w:type="dxa"/>
            <w:noWrap w:val="0"/>
            <w:vAlign w:val="center"/>
          </w:tcPr>
          <w:p>
            <w:pPr>
              <w:keepNext w:val="0"/>
              <w:keepLines w:val="0"/>
              <w:widowControl/>
              <w:suppressLineNumbers w:val="0"/>
              <w:jc w:val="both"/>
              <w:textAlignment w:val="center"/>
              <w:rPr>
                <w:rFonts w:ascii="Arial"/>
                <w:color w:val="000000" w:themeColor="text1"/>
                <w:spacing w:val="0"/>
                <w:sz w:val="21"/>
                <w:szCs w:val="21"/>
                <w14:textFill>
                  <w14:solidFill>
                    <w14:schemeClr w14:val="tx1"/>
                  </w14:solidFill>
                </w14:textFill>
              </w:rPr>
            </w:pPr>
            <w:r>
              <w:rPr>
                <w:rFonts w:hint="default" w:ascii="Times New Roman" w:hAnsi="Times New Roman" w:eastAsia="宋体" w:cs="Times New Roman"/>
                <w:i w:val="0"/>
                <w:color w:val="000000"/>
                <w:kern w:val="0"/>
                <w:sz w:val="24"/>
                <w:szCs w:val="24"/>
                <w:u w:val="none"/>
                <w:lang w:val="en-US" w:eastAsia="zh-CN" w:bidi="ar"/>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198</w:t>
            </w:r>
            <w:r>
              <w:rPr>
                <w:rFonts w:hint="default" w:ascii="宋体" w:hAnsi="宋体" w:eastAsia="宋体" w:cs="宋体"/>
                <w:color w:val="000000" w:themeColor="text1"/>
                <w:spacing w:val="0"/>
                <w:sz w:val="21"/>
                <w:szCs w:val="21"/>
                <w:lang w:val="en-US" w:eastAsia="zh-CN"/>
                <w14:textFill>
                  <w14:solidFill>
                    <w14:schemeClr w14:val="tx1"/>
                  </w14:solidFill>
                </w14:textFill>
              </w:rPr>
              <w:t>万元</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资金到位</w:t>
            </w:r>
          </w:p>
        </w:tc>
        <w:tc>
          <w:tcPr>
            <w:tcW w:w="1140" w:type="dxa"/>
            <w:noWrap w:val="0"/>
            <w:vAlign w:val="center"/>
          </w:tcPr>
          <w:p>
            <w:pPr>
              <w:keepNext w:val="0"/>
              <w:keepLines w:val="0"/>
              <w:widowControl/>
              <w:suppressLineNumbers w:val="0"/>
              <w:jc w:val="center"/>
              <w:textAlignment w:val="center"/>
              <w:rPr>
                <w:rFonts w:ascii="Arial"/>
                <w:color w:val="000000" w:themeColor="text1"/>
                <w:spacing w:val="0"/>
                <w:sz w:val="21"/>
                <w:szCs w:val="21"/>
                <w14:textFill>
                  <w14:solidFill>
                    <w14:schemeClr w14:val="tx1"/>
                  </w14:solidFill>
                </w14:textFill>
              </w:rPr>
            </w:pPr>
            <w:r>
              <w:rPr>
                <w:rFonts w:hint="default" w:ascii="仿宋_GB2312" w:hAnsi="宋体" w:eastAsia="仿宋_GB2312" w:cs="仿宋_GB2312"/>
                <w:i w:val="0"/>
                <w:color w:val="000000"/>
                <w:kern w:val="0"/>
                <w:sz w:val="22"/>
                <w:szCs w:val="22"/>
                <w:u w:val="none"/>
                <w:lang w:val="en-US" w:eastAsia="zh-CN" w:bidi="ar"/>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争取中央、省、市预算内资金</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争项争资</w:t>
            </w:r>
          </w:p>
        </w:tc>
        <w:tc>
          <w:tcPr>
            <w:tcW w:w="1140" w:type="dxa"/>
            <w:noWrap w:val="0"/>
            <w:vAlign w:val="center"/>
          </w:tcPr>
          <w:p>
            <w:pPr>
              <w:keepNext w:val="0"/>
              <w:keepLines w:val="0"/>
              <w:widowControl/>
              <w:suppressLineNumbers w:val="0"/>
              <w:jc w:val="center"/>
              <w:textAlignment w:val="center"/>
              <w:rPr>
                <w:rFonts w:hint="default" w:ascii="Arial" w:eastAsiaTheme="minorEastAsia"/>
                <w:color w:val="000000" w:themeColor="text1"/>
                <w:spacing w:val="0"/>
                <w:sz w:val="21"/>
                <w:szCs w:val="21"/>
                <w:lang w:val="en-US" w:eastAsia="zh-CN"/>
                <w14:textFill>
                  <w14:solidFill>
                    <w14:schemeClr w14:val="tx1"/>
                  </w14:solidFill>
                </w14:textFill>
              </w:rPr>
            </w:pPr>
            <w:r>
              <w:rPr>
                <w:rFonts w:hint="default" w:ascii="Arial" w:hAnsi="Arial" w:eastAsia="宋体" w:cs="Arial"/>
                <w:i w:val="0"/>
                <w:color w:val="000000"/>
                <w:kern w:val="0"/>
                <w:sz w:val="21"/>
                <w:szCs w:val="21"/>
                <w:u w:val="none"/>
                <w:lang w:val="en-US" w:eastAsia="zh-CN" w:bidi="ar"/>
              </w:rPr>
              <w:t>完成</w:t>
            </w:r>
            <w:r>
              <w:rPr>
                <w:rFonts w:hint="eastAsia" w:ascii="Arial" w:hAnsi="Arial" w:eastAsia="宋体" w:cs="Arial"/>
                <w:i w:val="0"/>
                <w:color w:val="000000"/>
                <w:kern w:val="0"/>
                <w:sz w:val="21"/>
                <w:szCs w:val="21"/>
                <w:u w:val="none"/>
                <w:lang w:val="en-US" w:eastAsia="zh-CN" w:bidi="ar"/>
              </w:rPr>
              <w:t>19.91</w:t>
            </w:r>
            <w:r>
              <w:rPr>
                <w:rFonts w:hint="default" w:ascii="Arial" w:hAnsi="Arial" w:eastAsia="宋体" w:cs="Arial"/>
                <w:i w:val="0"/>
                <w:color w:val="000000"/>
                <w:kern w:val="0"/>
                <w:sz w:val="21"/>
                <w:szCs w:val="21"/>
                <w:u w:val="none"/>
                <w:lang w:val="en-US" w:eastAsia="zh-CN" w:bidi="ar"/>
              </w:rPr>
              <w:t>亿元</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全区经济和各项社会事业稳步发展</w:t>
            </w:r>
          </w:p>
        </w:tc>
        <w:tc>
          <w:tcPr>
            <w:tcW w:w="1131" w:type="dxa"/>
            <w:noWrap w:val="0"/>
            <w:vAlign w:val="center"/>
          </w:tcPr>
          <w:p>
            <w:pPr>
              <w:keepNext w:val="0"/>
              <w:keepLines w:val="0"/>
              <w:widowControl/>
              <w:suppressLineNumbers w:val="0"/>
              <w:jc w:val="center"/>
              <w:textAlignment w:val="center"/>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地区生产总值800亿元</w:t>
            </w:r>
          </w:p>
        </w:tc>
        <w:tc>
          <w:tcPr>
            <w:tcW w:w="1140" w:type="dxa"/>
            <w:noWrap w:val="0"/>
            <w:vAlign w:val="center"/>
          </w:tcPr>
          <w:p>
            <w:pPr>
              <w:keepNext w:val="0"/>
              <w:keepLines w:val="0"/>
              <w:widowControl/>
              <w:suppressLineNumbers w:val="0"/>
              <w:jc w:val="center"/>
              <w:textAlignment w:val="center"/>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both"/>
              <w:textAlignment w:val="auto"/>
              <w:rPr>
                <w:rFonts w:hint="default" w:ascii="Arial" w:eastAsiaTheme="minorEastAsia"/>
                <w:color w:val="auto"/>
                <w:spacing w:val="0"/>
                <w:sz w:val="21"/>
                <w:szCs w:val="21"/>
                <w:lang w:val="en-US" w:eastAsia="zh-CN"/>
              </w:rPr>
            </w:pPr>
            <w:r>
              <w:rPr>
                <w:rFonts w:hint="eastAsia" w:ascii="Arial"/>
                <w:color w:val="auto"/>
                <w:spacing w:val="0"/>
                <w:sz w:val="21"/>
                <w:szCs w:val="21"/>
                <w:lang w:val="en-US" w:eastAsia="zh-CN"/>
              </w:rPr>
              <w:t>增加人民生活幸福感</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auto"/>
                <w:spacing w:val="0"/>
                <w:sz w:val="21"/>
                <w:szCs w:val="21"/>
                <w:lang w:val="en-US" w:eastAsia="zh-CN"/>
              </w:rPr>
            </w:pPr>
            <w:r>
              <w:rPr>
                <w:rFonts w:hint="eastAsia" w:ascii="Arial"/>
                <w:color w:val="auto"/>
                <w:spacing w:val="0"/>
                <w:sz w:val="21"/>
                <w:szCs w:val="21"/>
                <w:lang w:val="en-US" w:eastAsia="zh-CN"/>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auto"/>
                <w:spacing w:val="0"/>
                <w:sz w:val="21"/>
                <w:szCs w:val="21"/>
                <w:lang w:val="en-US" w:eastAsia="zh-CN"/>
              </w:rPr>
            </w:pPr>
            <w:r>
              <w:rPr>
                <w:rFonts w:hint="eastAsia" w:ascii="Arial"/>
                <w:color w:val="auto"/>
                <w:spacing w:val="0"/>
                <w:sz w:val="21"/>
                <w:szCs w:val="21"/>
                <w:lang w:val="en-US" w:eastAsia="zh-CN"/>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widowControl/>
              <w:suppressLineNumbers w:val="0"/>
              <w:jc w:val="both"/>
              <w:textAlignment w:val="center"/>
              <w:rPr>
                <w:rFonts w:ascii="Arial"/>
                <w:color w:val="000000" w:themeColor="text1"/>
                <w:spacing w:val="0"/>
                <w:sz w:val="21"/>
                <w:szCs w:val="21"/>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项目立项审批</w:t>
            </w:r>
          </w:p>
        </w:tc>
        <w:tc>
          <w:tcPr>
            <w:tcW w:w="1131" w:type="dxa"/>
            <w:noWrap w:val="0"/>
            <w:vAlign w:val="center"/>
          </w:tcPr>
          <w:p>
            <w:pPr>
              <w:keepNext w:val="0"/>
              <w:keepLines w:val="0"/>
              <w:widowControl/>
              <w:suppressLineNumbers w:val="0"/>
              <w:jc w:val="both"/>
              <w:textAlignment w:val="center"/>
              <w:rPr>
                <w:rFonts w:ascii="Arial"/>
                <w:color w:val="000000" w:themeColor="text1"/>
                <w:spacing w:val="0"/>
                <w:sz w:val="21"/>
                <w:szCs w:val="21"/>
                <w14:textFill>
                  <w14:solidFill>
                    <w14:schemeClr w14:val="tx1"/>
                  </w14:solidFill>
                </w14:textFill>
              </w:rPr>
            </w:pPr>
            <w:r>
              <w:rPr>
                <w:rFonts w:hint="default" w:ascii="Times New Roman" w:hAnsi="Times New Roman" w:eastAsia="宋体" w:cs="Times New Roman"/>
                <w:i w:val="0"/>
                <w:color w:val="000000"/>
                <w:kern w:val="0"/>
                <w:sz w:val="24"/>
                <w:szCs w:val="24"/>
                <w:u w:val="none"/>
                <w:lang w:val="en-US" w:eastAsia="zh-CN" w:bidi="ar"/>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default" w:ascii="Arial" w:hAnsi="Arial" w:cs="Arial"/>
                <w:color w:val="000000" w:themeColor="text1"/>
                <w:spacing w:val="0"/>
                <w:sz w:val="21"/>
                <w:szCs w:val="21"/>
                <w:lang w:val="en-US" w:eastAsia="zh-CN"/>
                <w14:textFill>
                  <w14:solidFill>
                    <w14:schemeClr w14:val="tx1"/>
                  </w14:solidFill>
                </w14:textFill>
              </w:rPr>
              <w:t>≥</w:t>
            </w:r>
            <w:r>
              <w:rPr>
                <w:rFonts w:hint="eastAsia" w:ascii="Arial"/>
                <w:color w:val="000000" w:themeColor="text1"/>
                <w:spacing w:val="0"/>
                <w:sz w:val="21"/>
                <w:szCs w:val="21"/>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eastAsiaTheme="minor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020" w:right="1417" w:bottom="1020"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hint="eastAsia" w:ascii="仿宋" w:hAnsi="仿宋" w:eastAsia="仿宋" w:cs="仿宋"/>
          <w:color w:val="000000" w:themeColor="text1"/>
          <w:spacing w:val="15"/>
          <w:sz w:val="23"/>
          <w:szCs w:val="23"/>
          <w:lang w:val="en-US" w:eastAsia="zh-CN"/>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附件3-2</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2023年度项目支出绩效自评表</w:t>
      </w:r>
    </w:p>
    <w:tbl>
      <w:tblPr>
        <w:tblStyle w:val="15"/>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项目概算管理及审核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91.26</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91.26</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91.26</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91.26</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发改部门承担政府投资项目的概算编制审核，做好此项工作对防范项目投资超预算，压缩投资金额，化解政府性债务风险，具有十分重大而深远的意义。</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 xml:space="preserve"> 完成概算审核1</w:t>
            </w:r>
            <w:r>
              <w:rPr>
                <w:rFonts w:hint="eastAsia" w:ascii="Arial"/>
                <w:color w:val="000000" w:themeColor="text1"/>
                <w:spacing w:val="0"/>
                <w:sz w:val="21"/>
                <w:szCs w:val="21"/>
                <w:lang w:val="en-US" w:eastAsia="zh-CN"/>
                <w14:textFill>
                  <w14:solidFill>
                    <w14:schemeClr w14:val="tx1"/>
                  </w14:solidFill>
                </w14:textFill>
              </w:rPr>
              <w:t>56</w:t>
            </w:r>
            <w:r>
              <w:rPr>
                <w:rFonts w:hint="eastAsia" w:ascii="Arial"/>
                <w:color w:val="000000" w:themeColor="text1"/>
                <w:spacing w:val="0"/>
                <w:sz w:val="21"/>
                <w:szCs w:val="21"/>
                <w14:textFill>
                  <w14:solidFill>
                    <w14:schemeClr w14:val="tx1"/>
                  </w14:solidFill>
                </w14:textFill>
              </w:rPr>
              <w:t>个，共核减投资1.67亿元。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项目概算审核</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color w:val="000000" w:themeColor="text1"/>
                <w:spacing w:val="0"/>
                <w:sz w:val="21"/>
                <w:szCs w:val="21"/>
                <w14:textFill>
                  <w14:solidFill>
                    <w14:schemeClr w14:val="tx1"/>
                  </w14:solidFill>
                </w14:textFill>
              </w:rPr>
            </w:pPr>
            <w:r>
              <w:rPr>
                <w:rFonts w:hint="default" w:ascii="Arial"/>
                <w:color w:val="000000" w:themeColor="text1"/>
                <w:spacing w:val="0"/>
                <w:sz w:val="21"/>
                <w:szCs w:val="21"/>
                <w:lang w:val="en-US" w:eastAsia="zh-CN"/>
                <w14:textFill>
                  <w14:solidFill>
                    <w14:schemeClr w14:val="tx1"/>
                  </w14:solidFill>
                </w14:textFill>
              </w:rPr>
              <w:t>完成</w:t>
            </w:r>
            <w:r>
              <w:rPr>
                <w:rFonts w:hint="eastAsia" w:ascii="Arial"/>
                <w:color w:val="000000" w:themeColor="text1"/>
                <w:spacing w:val="0"/>
                <w:sz w:val="21"/>
                <w:szCs w:val="21"/>
                <w:lang w:val="en-US" w:eastAsia="zh-CN"/>
                <w14:textFill>
                  <w14:solidFill>
                    <w14:schemeClr w14:val="tx1"/>
                  </w14:solidFill>
                </w14:textFill>
              </w:rPr>
              <w:t>156</w:t>
            </w:r>
            <w:r>
              <w:rPr>
                <w:rFonts w:hint="default" w:ascii="Arial"/>
                <w:color w:val="000000" w:themeColor="text1"/>
                <w:spacing w:val="0"/>
                <w:sz w:val="21"/>
                <w:szCs w:val="21"/>
                <w:lang w:val="en-US" w:eastAsia="zh-CN"/>
                <w14:textFill>
                  <w14:solidFill>
                    <w14:schemeClr w14:val="tx1"/>
                  </w14:solidFill>
                </w14:textFill>
              </w:rPr>
              <w:t xml:space="preserve"> </w:t>
            </w:r>
            <w:r>
              <w:rPr>
                <w:rFonts w:hint="eastAsia" w:ascii="Arial"/>
                <w:color w:val="000000" w:themeColor="text1"/>
                <w:spacing w:val="0"/>
                <w:sz w:val="21"/>
                <w:szCs w:val="21"/>
                <w:lang w:val="en-US" w:eastAsia="zh-CN"/>
                <w14:textFill>
                  <w14:solidFill>
                    <w14:schemeClr w14:val="tx1"/>
                  </w14:solidFill>
                </w14:textFill>
              </w:rPr>
              <w:t>个</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概算审核咨询费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核减项目投资资金</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color w:val="000000" w:themeColor="text1"/>
                <w:spacing w:val="0"/>
                <w:sz w:val="21"/>
                <w:szCs w:val="21"/>
                <w14:textFill>
                  <w14:solidFill>
                    <w14:schemeClr w14:val="tx1"/>
                  </w14:solidFill>
                </w14:textFill>
              </w:rPr>
            </w:pPr>
            <w:r>
              <w:rPr>
                <w:rFonts w:hint="default" w:ascii="Arial"/>
                <w:color w:val="000000" w:themeColor="text1"/>
                <w:spacing w:val="0"/>
                <w:sz w:val="21"/>
                <w:szCs w:val="21"/>
                <w:lang w:val="en-US" w:eastAsia="zh-CN"/>
                <w14:textFill>
                  <w14:solidFill>
                    <w14:schemeClr w14:val="tx1"/>
                  </w14:solidFill>
                </w14:textFill>
              </w:rPr>
              <w:t>核减投资</w:t>
            </w:r>
            <w:r>
              <w:rPr>
                <w:rFonts w:hint="eastAsia" w:ascii="Arial"/>
                <w:color w:val="000000" w:themeColor="text1"/>
                <w:spacing w:val="0"/>
                <w:sz w:val="21"/>
                <w:szCs w:val="21"/>
                <w:lang w:val="en-US" w:eastAsia="zh-CN"/>
                <w14:textFill>
                  <w14:solidFill>
                    <w14:schemeClr w14:val="tx1"/>
                  </w14:solidFill>
                </w14:textFill>
              </w:rPr>
              <w:t>3.37亿</w:t>
            </w:r>
            <w:r>
              <w:rPr>
                <w:rFonts w:hint="default" w:ascii="Arial"/>
                <w:color w:val="000000" w:themeColor="text1"/>
                <w:spacing w:val="0"/>
                <w:sz w:val="21"/>
                <w:szCs w:val="21"/>
                <w:lang w:val="en-US" w:eastAsia="zh-CN"/>
                <w14:textFill>
                  <w14:solidFill>
                    <w14:schemeClr w14:val="tx1"/>
                  </w14:solidFill>
                </w14:textFill>
              </w:rPr>
              <w:t>元</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资金拨付及时率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及时</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90万元</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资金到位</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减少政府债务风险</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3.37亿元</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化解政府债务风险</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减轻政府经济压力</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3.37亿元</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防范政府债务风</w:t>
            </w:r>
            <w:r>
              <w:rPr>
                <w:rFonts w:hint="eastAsia" w:ascii="宋体" w:hAnsi="宋体" w:eastAsia="宋体" w:cs="宋体"/>
                <w:color w:val="000000" w:themeColor="text1"/>
                <w:spacing w:val="0"/>
                <w:sz w:val="21"/>
                <w:szCs w:val="21"/>
                <w:lang w:val="en-US" w:eastAsia="zh-CN"/>
                <w14:textFill>
                  <w14:solidFill>
                    <w14:schemeClr w14:val="tx1"/>
                  </w14:solidFill>
                </w14:textFill>
              </w:rPr>
              <w:t>险</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default" w:ascii="Arial" w:hAnsi="Arial" w:cs="Arial"/>
                <w:color w:val="000000" w:themeColor="text1"/>
                <w:spacing w:val="0"/>
                <w:sz w:val="21"/>
                <w:szCs w:val="21"/>
                <w:lang w:val="en-US" w:eastAsia="zh-CN"/>
                <w14:textFill>
                  <w14:solidFill>
                    <w14:schemeClr w14:val="tx1"/>
                  </w14:solidFill>
                </w14:textFill>
              </w:rPr>
              <w:t>≥</w:t>
            </w:r>
            <w:r>
              <w:rPr>
                <w:rFonts w:hint="eastAsia" w:ascii="Arial"/>
                <w:color w:val="000000" w:themeColor="text1"/>
                <w:spacing w:val="0"/>
                <w:sz w:val="21"/>
                <w:szCs w:val="21"/>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eastAsiaTheme="minor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99.5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020" w:right="1417" w:bottom="1020"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hint="eastAsia" w:ascii="仿宋" w:hAnsi="仿宋" w:eastAsia="仿宋" w:cs="仿宋"/>
          <w:color w:val="000000" w:themeColor="text1"/>
          <w:spacing w:val="15"/>
          <w:sz w:val="23"/>
          <w:szCs w:val="23"/>
          <w:lang w:val="en-US" w:eastAsia="zh-CN"/>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附件3-3</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2023年度项目支出绩效自评表</w:t>
      </w:r>
    </w:p>
    <w:tbl>
      <w:tblPr>
        <w:tblStyle w:val="15"/>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“十四五”规划纲要年度执行情况评估及年度发展计划编制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27</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32</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32</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27</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32</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32</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聚焦实施“三高四新”战略、建设“三区一中心”的目标要求，坚持稳中求进工作总基调，紧扣高质量发展主题，统筹发展和安全，深入推进科教立区、开放兴区、产业强区、改革活区、依法治区“五大战略”，经济社会保持平稳健康发展</w:t>
            </w:r>
            <w:r>
              <w:rPr>
                <w:rFonts w:hint="eastAsia" w:ascii="Arial"/>
                <w:color w:val="000000" w:themeColor="text1"/>
                <w:spacing w:val="0"/>
                <w:sz w:val="21"/>
                <w:szCs w:val="21"/>
                <w:lang w:eastAsia="zh-CN"/>
                <w14:textFill>
                  <w14:solidFill>
                    <w14:schemeClr w14:val="tx1"/>
                  </w14:solidFill>
                </w14:textFill>
              </w:rPr>
              <w:t>。</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2023年全区预计实现</w:t>
            </w:r>
            <w:r>
              <w:rPr>
                <w:rFonts w:hint="eastAsia" w:ascii="Arial"/>
                <w:color w:val="000000" w:themeColor="text1"/>
                <w:spacing w:val="0"/>
                <w:sz w:val="21"/>
                <w:szCs w:val="21"/>
                <w14:textFill>
                  <w14:solidFill>
                    <w14:schemeClr w14:val="tx1"/>
                  </w14:solidFill>
                </w14:textFill>
              </w:rPr>
              <w:t>地区生产总值800亿元，社会固定资产投资212.9亿元，社会消费品零售总额575亿元，地方一般公共预算收入12.3亿元，城镇居民人均可支配收入50848元</w:t>
            </w:r>
            <w:r>
              <w:rPr>
                <w:rFonts w:hint="eastAsia" w:ascii="Arial"/>
                <w:color w:val="000000" w:themeColor="text1"/>
                <w:spacing w:val="0"/>
                <w:sz w:val="21"/>
                <w:szCs w:val="21"/>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地区生产总值</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800亿</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城镇居民人均可支配收入</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50848元</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新增规上服务业企业</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30家</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57家</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default" w:ascii="宋体" w:hAnsi="宋体" w:eastAsia="宋体" w:cs="宋体"/>
                <w:color w:val="000000" w:themeColor="text1"/>
                <w:spacing w:val="0"/>
                <w:sz w:val="21"/>
                <w:szCs w:val="21"/>
                <w:lang w:val="en-US" w:eastAsia="zh-CN"/>
                <w14:textFill>
                  <w14:solidFill>
                    <w14:schemeClr w14:val="tx1"/>
                  </w14:solidFill>
                </w14:textFill>
              </w:rPr>
              <w:t>资金拨付及时率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及时</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27万元</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资金到位</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社会消费品零售总额</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同比增长11.5%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575亿</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经济社会保持平稳健康发展</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不适用</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高新技术企业成长加速机制</w:t>
            </w:r>
          </w:p>
        </w:tc>
        <w:tc>
          <w:tcPr>
            <w:tcW w:w="1131" w:type="dxa"/>
            <w:noWrap w:val="0"/>
            <w:vAlign w:val="center"/>
          </w:tcPr>
          <w:p>
            <w:pPr>
              <w:keepNext w:val="0"/>
              <w:keepLines w:val="0"/>
              <w:widowControl/>
              <w:suppressLineNumbers w:val="0"/>
              <w:jc w:val="center"/>
              <w:textAlignment w:val="center"/>
              <w:rPr>
                <w:rFonts w:ascii="Arial"/>
                <w:color w:val="000000" w:themeColor="text1"/>
                <w:spacing w:val="0"/>
                <w:sz w:val="21"/>
                <w:szCs w:val="21"/>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新增高新技术企业</w:t>
            </w:r>
          </w:p>
        </w:tc>
        <w:tc>
          <w:tcPr>
            <w:tcW w:w="1140" w:type="dxa"/>
            <w:noWrap w:val="0"/>
            <w:vAlign w:val="center"/>
          </w:tcPr>
          <w:p>
            <w:pPr>
              <w:keepNext w:val="0"/>
              <w:keepLines w:val="0"/>
              <w:widowControl/>
              <w:suppressLineNumbers w:val="0"/>
              <w:jc w:val="center"/>
              <w:textAlignment w:val="center"/>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hAnsi="Arial" w:eastAsia="宋体" w:cs="Arial"/>
                <w:i w:val="0"/>
                <w:color w:val="000000"/>
                <w:kern w:val="0"/>
                <w:sz w:val="21"/>
                <w:szCs w:val="21"/>
                <w:u w:val="none"/>
                <w:lang w:val="en-US" w:eastAsia="zh-CN" w:bidi="ar"/>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提高群众获得感、幸福感</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有效提高</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default" w:ascii="Arial" w:hAnsi="Arial" w:cs="Arial"/>
                <w:color w:val="000000" w:themeColor="text1"/>
                <w:spacing w:val="0"/>
                <w:sz w:val="21"/>
                <w:szCs w:val="21"/>
                <w:lang w:val="en-US" w:eastAsia="zh-CN"/>
                <w14:textFill>
                  <w14:solidFill>
                    <w14:schemeClr w14:val="tx1"/>
                  </w14:solidFill>
                </w14:textFill>
              </w:rPr>
              <w:t>≥</w:t>
            </w:r>
            <w:r>
              <w:rPr>
                <w:rFonts w:hint="eastAsia" w:ascii="Arial"/>
                <w:color w:val="000000" w:themeColor="text1"/>
                <w:spacing w:val="0"/>
                <w:sz w:val="21"/>
                <w:szCs w:val="21"/>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eastAsiaTheme="minor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98.5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020" w:right="1417" w:bottom="1020"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hint="eastAsia" w:ascii="仿宋" w:hAnsi="仿宋" w:eastAsia="仿宋" w:cs="仿宋"/>
          <w:color w:val="000000" w:themeColor="text1"/>
          <w:spacing w:val="15"/>
          <w:sz w:val="23"/>
          <w:szCs w:val="23"/>
          <w:lang w:val="en-US" w:eastAsia="zh-CN"/>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附件3-4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2023年度项目支出绩效自评表</w:t>
      </w:r>
    </w:p>
    <w:tbl>
      <w:tblPr>
        <w:tblStyle w:val="15"/>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编制“十四五”时期专项规划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36</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38</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38</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36</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38</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38</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聚焦实施“三高四新”战略、建设“三区一中心”的目标要求，坚持稳中求进工作总基调，紧扣高质量发展主题，统筹发展和安全，深入推进科教立区、开放兴区、产业强区、改革活区、依法治区“五大战略”，经济社会保持平稳健康发展</w:t>
            </w:r>
            <w:r>
              <w:rPr>
                <w:rFonts w:hint="eastAsia" w:ascii="Arial"/>
                <w:color w:val="000000" w:themeColor="text1"/>
                <w:spacing w:val="0"/>
                <w:sz w:val="21"/>
                <w:szCs w:val="21"/>
                <w:lang w:eastAsia="zh-CN"/>
                <w14:textFill>
                  <w14:solidFill>
                    <w14:schemeClr w14:val="tx1"/>
                  </w14:solidFill>
                </w14:textFill>
              </w:rPr>
              <w:t>。</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2023年全区预计实现</w:t>
            </w:r>
            <w:r>
              <w:rPr>
                <w:rFonts w:hint="eastAsia" w:ascii="Arial"/>
                <w:color w:val="000000" w:themeColor="text1"/>
                <w:spacing w:val="0"/>
                <w:sz w:val="21"/>
                <w:szCs w:val="21"/>
                <w14:textFill>
                  <w14:solidFill>
                    <w14:schemeClr w14:val="tx1"/>
                  </w14:solidFill>
                </w14:textFill>
              </w:rPr>
              <w:t>地区生产总值800亿元，社会固定资产投资212.9亿元，社会消费品零售总额575亿元，地方一般公共预算收入12.3亿元，城镇居民人均可支配收入50848元，</w:t>
            </w:r>
            <w:r>
              <w:rPr>
                <w:rFonts w:hint="eastAsia" w:ascii="Arial"/>
                <w:color w:val="000000" w:themeColor="text1"/>
                <w:spacing w:val="0"/>
                <w:sz w:val="21"/>
                <w:szCs w:val="21"/>
                <w:lang w:val="en-US" w:eastAsia="zh-CN"/>
                <w14:textFill>
                  <w14:solidFill>
                    <w14:schemeClr w14:val="tx1"/>
                  </w14:solidFill>
                </w14:textFill>
              </w:rPr>
              <w:t>新增“四上”服务业企业57家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全区全年净增市场主体</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8500多家</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城乡居民最低生活保障标准提高</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650元/月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城镇新增就业14807人</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“十四五”总体规划，深入调研</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完成《岳阳楼区“十四五”期间推进“新技术、新产业、新业态、新模式”</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资金拨付及时率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及时</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36万元</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资金到位</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岳阳楼区高质量发展指标体系</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推动经济社会更好更快的发展</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提高群众获得感、幸福感</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城镇居民人均可支配收入50848元</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增长8.5%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构建岳阳楼区统一规划体系</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default" w:ascii="Arial" w:hAnsi="Arial" w:cs="Arial"/>
                <w:color w:val="000000" w:themeColor="text1"/>
                <w:spacing w:val="0"/>
                <w:sz w:val="21"/>
                <w:szCs w:val="21"/>
                <w:lang w:val="en-US" w:eastAsia="zh-CN"/>
                <w14:textFill>
                  <w14:solidFill>
                    <w14:schemeClr w14:val="tx1"/>
                  </w14:solidFill>
                </w14:textFill>
              </w:rPr>
              <w:t>≥</w:t>
            </w:r>
            <w:r>
              <w:rPr>
                <w:rFonts w:hint="eastAsia" w:ascii="Arial"/>
                <w:color w:val="000000" w:themeColor="text1"/>
                <w:spacing w:val="0"/>
                <w:sz w:val="21"/>
                <w:szCs w:val="21"/>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eastAsiaTheme="minor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98.5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020" w:right="1417" w:bottom="1020"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hint="eastAsia" w:ascii="仿宋" w:hAnsi="仿宋" w:eastAsia="仿宋" w:cs="仿宋"/>
          <w:color w:val="000000" w:themeColor="text1"/>
          <w:spacing w:val="15"/>
          <w:sz w:val="23"/>
          <w:szCs w:val="23"/>
          <w:lang w:val="en-US" w:eastAsia="zh-CN"/>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附件3-5</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2023年度项目支出绩效自评表</w:t>
      </w:r>
    </w:p>
    <w:tbl>
      <w:tblPr>
        <w:tblStyle w:val="15"/>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固定资产投资管理及审核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45</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45</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固定资产投资项目入库第三方购买服务经费。</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固定资产投资预计完成275.5亿元，增速10.2%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固定资产投资预计完成212.9亿元</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both"/>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完成212.9亿元</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固定资产投资项目入库第三方购买咨询</w:t>
            </w:r>
          </w:p>
        </w:tc>
        <w:tc>
          <w:tcPr>
            <w:tcW w:w="1131"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2023年12月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资金拨付及时</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及时</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45万元</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资金到位</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color w:val="000000" w:themeColor="text1"/>
                <w:spacing w:val="0"/>
                <w:sz w:val="21"/>
                <w:szCs w:val="21"/>
                <w:lang w:val="en-US"/>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45万</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社会效益评价与经济效益评价相结合</w:t>
            </w:r>
          </w:p>
        </w:tc>
        <w:tc>
          <w:tcPr>
            <w:tcW w:w="1131" w:type="dxa"/>
            <w:noWrap w:val="0"/>
            <w:vAlign w:val="center"/>
          </w:tcPr>
          <w:p>
            <w:pPr>
              <w:keepNext w:val="0"/>
              <w:keepLines w:val="0"/>
              <w:widowControl/>
              <w:suppressLineNumbers w:val="0"/>
              <w:jc w:val="center"/>
              <w:textAlignment w:val="center"/>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固定资产投资212.9亿元</w:t>
            </w:r>
          </w:p>
        </w:tc>
        <w:tc>
          <w:tcPr>
            <w:tcW w:w="1140" w:type="dxa"/>
            <w:noWrap w:val="0"/>
            <w:vAlign w:val="center"/>
          </w:tcPr>
          <w:p>
            <w:pPr>
              <w:keepNext w:val="0"/>
              <w:keepLines w:val="0"/>
              <w:widowControl/>
              <w:suppressLineNumbers w:val="0"/>
              <w:jc w:val="both"/>
              <w:textAlignment w:val="center"/>
              <w:rPr>
                <w:rFonts w:ascii="Arial"/>
                <w:color w:val="000000" w:themeColor="text1"/>
                <w:spacing w:val="0"/>
                <w:sz w:val="21"/>
                <w:szCs w:val="21"/>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推广和规范了政府购买服务</w:t>
            </w:r>
          </w:p>
        </w:tc>
        <w:tc>
          <w:tcPr>
            <w:tcW w:w="1131" w:type="dxa"/>
            <w:noWrap w:val="0"/>
            <w:vAlign w:val="center"/>
          </w:tcPr>
          <w:p>
            <w:pPr>
              <w:keepNext w:val="0"/>
              <w:keepLines w:val="0"/>
              <w:widowControl/>
              <w:suppressLineNumbers w:val="0"/>
              <w:jc w:val="center"/>
              <w:textAlignment w:val="center"/>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第三方购买服务</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加快工作效率</w:t>
            </w:r>
          </w:p>
        </w:tc>
        <w:tc>
          <w:tcPr>
            <w:tcW w:w="1131" w:type="dxa"/>
            <w:noWrap w:val="0"/>
            <w:vAlign w:val="center"/>
          </w:tcPr>
          <w:p>
            <w:pPr>
              <w:keepNext w:val="0"/>
              <w:keepLines w:val="0"/>
              <w:widowControl/>
              <w:suppressLineNumbers w:val="0"/>
              <w:jc w:val="center"/>
              <w:textAlignment w:val="center"/>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按要求完成</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发挥市场在资源配置中的决定性作用</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default" w:ascii="Arial" w:hAnsi="Arial" w:cs="Arial"/>
                <w:color w:val="000000" w:themeColor="text1"/>
                <w:spacing w:val="0"/>
                <w:sz w:val="21"/>
                <w:szCs w:val="21"/>
                <w:lang w:val="en-US" w:eastAsia="zh-CN"/>
                <w14:textFill>
                  <w14:solidFill>
                    <w14:schemeClr w14:val="tx1"/>
                  </w14:solidFill>
                </w14:textFill>
              </w:rPr>
              <w:t>≥</w:t>
            </w:r>
            <w:r>
              <w:rPr>
                <w:rFonts w:hint="eastAsia" w:ascii="Arial"/>
                <w:color w:val="000000" w:themeColor="text1"/>
                <w:spacing w:val="0"/>
                <w:sz w:val="21"/>
                <w:szCs w:val="21"/>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eastAsiaTheme="minor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020" w:right="1417" w:bottom="1020"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hint="eastAsia" w:ascii="仿宋" w:hAnsi="仿宋" w:eastAsia="仿宋" w:cs="仿宋"/>
          <w:color w:val="000000" w:themeColor="text1"/>
          <w:spacing w:val="15"/>
          <w:sz w:val="23"/>
          <w:szCs w:val="23"/>
          <w:lang w:val="en-US" w:eastAsia="zh-CN"/>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3</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岳阳楼区发展和改革局</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pStyle w:val="2"/>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2024年6月15日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2023年度岳阳楼区发展和改革局</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单位基本情况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（一）部门（单位）基本情况</w:t>
      </w:r>
    </w:p>
    <w:p>
      <w:pPr>
        <w:pStyle w:val="2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firstLineChars="200"/>
        <w:jc w:val="left"/>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1、职能职责</w:t>
      </w:r>
    </w:p>
    <w:p>
      <w:pPr>
        <w:pStyle w:val="2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主要负责全区宏观经济调控、项目申报、价格监督工作。</w:t>
      </w:r>
    </w:p>
    <w:p>
      <w:pPr>
        <w:pStyle w:val="2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2、机构设置</w:t>
      </w:r>
    </w:p>
    <w:p>
      <w:pPr>
        <w:pStyle w:val="2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局机关现有人数67人，其中：在职编制41人；离退休26人。机关设置10个股室：办公室、政工人事股、财务管理股、国民经济综合和规划股、社会发展股、固定资产投资管理股、法规股、项目审批股、产业发展股、成本调查及价格管理股，以及两个内设二级机构：信息中心和重点办。下设独立核算二级机构2个，分别是岳阳楼区价格认证鉴定中心，现有人数10人，其中：在职编制6人；离退休4人；岳阳楼区生态能源服务中心，现有人数8人，其中：在职编制8人。</w:t>
      </w:r>
    </w:p>
    <w:p>
      <w:pPr>
        <w:pStyle w:val="20"/>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部门（单位）整体支出规模、使用方向和主要内容、涉及范围</w:t>
      </w:r>
    </w:p>
    <w:p>
      <w:pPr>
        <w:pStyle w:val="2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2023年部门预算收入既包括一般公共预算收入、政府性基金收入和国有资本经营预算收入，又包括事业单位经营服务等收入；支出既包括保障局机关及局属事业单位基本运行的经费，也包括发改局归口管理、面向全区分配的专项经费。</w:t>
      </w:r>
    </w:p>
    <w:p>
      <w:pPr>
        <w:pStyle w:val="2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1、收入预算，2023年年初预算数918.55万元，其中，一般公共预算拨款918.55万元。</w:t>
      </w:r>
    </w:p>
    <w:p>
      <w:pPr>
        <w:pStyle w:val="2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2、支出预算，2023年年初预算数918.55万元，其中，一般公共服务支出918.55万元。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(一)基本支出情况</w:t>
      </w:r>
      <w:r>
        <w:rPr>
          <w:rFonts w:hint="eastAsia" w:ascii="仿宋" w:hAnsi="仿宋" w:eastAsia="仿宋" w:cs="仿宋"/>
          <w:bCs/>
          <w:kern w:val="2"/>
          <w:sz w:val="28"/>
          <w:szCs w:val="28"/>
          <w:lang w:val="en-US" w:eastAsia="zh-CN" w:bidi="ar-SA"/>
        </w:rPr>
        <w:t>：</w:t>
      </w:r>
      <w:r>
        <w:rPr>
          <w:rFonts w:hint="eastAsia" w:ascii="仿宋" w:hAnsi="仿宋" w:eastAsia="仿宋" w:cs="仿宋"/>
          <w:kern w:val="0"/>
          <w:sz w:val="32"/>
          <w:szCs w:val="32"/>
          <w:lang w:val="en-US" w:eastAsia="zh-CN"/>
        </w:rPr>
        <w:t>2023年年初预算数为639.55万元，是指为保障单位机构正常运转、完成日常工作任务而发生的各项支出，包括用于基本工资、津贴补贴等人员经费以及办公费、印刷费、水电费、办公设备购置等日常公用经费。</w:t>
      </w:r>
    </w:p>
    <w:p>
      <w:pPr>
        <w:widowControl/>
        <w:spacing w:line="600" w:lineRule="exact"/>
        <w:ind w:firstLine="660"/>
        <w:jc w:val="left"/>
        <w:rPr>
          <w:rFonts w:hint="eastAsia" w:ascii="仿宋" w:hAnsi="仿宋" w:eastAsia="仿宋" w:cs="仿宋"/>
          <w:kern w:val="0"/>
          <w:sz w:val="32"/>
          <w:szCs w:val="32"/>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(二)项目支出情况：</w:t>
      </w:r>
      <w:r>
        <w:rPr>
          <w:rFonts w:hint="eastAsia" w:ascii="仿宋" w:hAnsi="仿宋" w:eastAsia="仿宋" w:cs="仿宋"/>
          <w:kern w:val="0"/>
          <w:sz w:val="32"/>
          <w:szCs w:val="32"/>
          <w:lang w:val="en-US" w:eastAsia="zh-CN"/>
        </w:rPr>
        <w:t>2023年年初预算数为259万元，是指单位为完成特定行政工作任务或事业发展目标而发生的支出，包括有关事业发展专项、专项业务费。其中：</w:t>
      </w:r>
      <w:r>
        <w:rPr>
          <w:rFonts w:hint="eastAsia" w:ascii="仿宋" w:hAnsi="仿宋" w:eastAsia="仿宋" w:cs="仿宋"/>
          <w:kern w:val="0"/>
          <w:sz w:val="32"/>
          <w:szCs w:val="32"/>
        </w:rPr>
        <w:t>其中：1、项目概算经费支出</w:t>
      </w:r>
      <w:r>
        <w:rPr>
          <w:rFonts w:hint="eastAsia" w:ascii="仿宋" w:hAnsi="仿宋" w:eastAsia="仿宋" w:cs="仿宋"/>
          <w:kern w:val="0"/>
          <w:sz w:val="32"/>
          <w:szCs w:val="32"/>
          <w:lang w:val="en-US" w:eastAsia="zh-CN"/>
        </w:rPr>
        <w:t>90</w:t>
      </w:r>
      <w:r>
        <w:rPr>
          <w:rFonts w:hint="eastAsia" w:ascii="仿宋" w:hAnsi="仿宋" w:eastAsia="仿宋" w:cs="仿宋"/>
          <w:kern w:val="0"/>
          <w:sz w:val="32"/>
          <w:szCs w:val="32"/>
        </w:rPr>
        <w:t>万元，主要用于政府投资项目前期概算编制工作，提高资金效益以及项目入库建设经费支出。2、“十四五”规划纲要年度执行情况评估及年度发展计划编制</w:t>
      </w:r>
      <w:r>
        <w:rPr>
          <w:rFonts w:hint="eastAsia" w:ascii="仿宋" w:hAnsi="仿宋" w:eastAsia="仿宋" w:cs="仿宋"/>
          <w:kern w:val="0"/>
          <w:sz w:val="32"/>
          <w:szCs w:val="32"/>
          <w:lang w:val="en-US" w:eastAsia="zh-CN"/>
        </w:rPr>
        <w:t>27</w:t>
      </w:r>
      <w:r>
        <w:rPr>
          <w:rFonts w:hint="eastAsia" w:ascii="仿宋" w:hAnsi="仿宋" w:eastAsia="仿宋" w:cs="仿宋"/>
          <w:kern w:val="0"/>
          <w:sz w:val="32"/>
          <w:szCs w:val="32"/>
        </w:rPr>
        <w:t>万元，主要用于编制我区国民经济和社会发展“十四五”规划纲要；3、编制“十四五”时期专项规划</w:t>
      </w:r>
      <w:r>
        <w:rPr>
          <w:rFonts w:hint="eastAsia" w:ascii="仿宋" w:hAnsi="仿宋" w:eastAsia="仿宋" w:cs="仿宋"/>
          <w:kern w:val="0"/>
          <w:sz w:val="32"/>
          <w:szCs w:val="32"/>
          <w:lang w:val="en-US" w:eastAsia="zh-CN"/>
        </w:rPr>
        <w:t>36</w:t>
      </w:r>
      <w:r>
        <w:rPr>
          <w:rFonts w:hint="eastAsia" w:ascii="仿宋" w:hAnsi="仿宋" w:eastAsia="仿宋" w:cs="仿宋"/>
          <w:kern w:val="0"/>
          <w:sz w:val="32"/>
          <w:szCs w:val="32"/>
        </w:rPr>
        <w:t>万元，主要用于综合管理全区建设项目；贯彻执行国家和省、市价格方针、政策以及相关法律、法规；协调推进经济发展环境的优化；组织实施国民经济动员和装备动员相关工作等方面；4、信用体系建设</w:t>
      </w:r>
      <w:r>
        <w:rPr>
          <w:rFonts w:hint="eastAsia" w:ascii="仿宋" w:hAnsi="仿宋" w:eastAsia="仿宋" w:cs="仿宋"/>
          <w:kern w:val="0"/>
          <w:sz w:val="32"/>
          <w:szCs w:val="32"/>
          <w:lang w:val="en-US" w:eastAsia="zh-CN"/>
        </w:rPr>
        <w:t>13.5</w:t>
      </w:r>
      <w:r>
        <w:rPr>
          <w:rFonts w:hint="eastAsia" w:ascii="仿宋" w:hAnsi="仿宋" w:eastAsia="仿宋" w:cs="仿宋"/>
          <w:kern w:val="0"/>
          <w:sz w:val="32"/>
          <w:szCs w:val="32"/>
        </w:rPr>
        <w:t>万元，用于社会信用体系平台管理、数据维护等工作；5、物流业发展调度管理</w:t>
      </w:r>
      <w:r>
        <w:rPr>
          <w:rFonts w:hint="eastAsia" w:ascii="仿宋" w:hAnsi="仿宋" w:eastAsia="仿宋" w:cs="仿宋"/>
          <w:kern w:val="0"/>
          <w:sz w:val="32"/>
          <w:szCs w:val="32"/>
          <w:lang w:val="en-US" w:eastAsia="zh-CN"/>
        </w:rPr>
        <w:t>0.5</w:t>
      </w:r>
      <w:r>
        <w:rPr>
          <w:rFonts w:hint="eastAsia" w:ascii="仿宋" w:hAnsi="仿宋" w:eastAsia="仿宋" w:cs="仿宋"/>
          <w:kern w:val="0"/>
          <w:sz w:val="32"/>
          <w:szCs w:val="32"/>
        </w:rPr>
        <w:t>万元，用于我区物流业日常工作调度、管理、协调及复工复产日常防疫；6、四上</w:t>
      </w:r>
      <w:r>
        <w:rPr>
          <w:rFonts w:hint="eastAsia" w:ascii="仿宋" w:hAnsi="仿宋" w:eastAsia="仿宋" w:cs="仿宋"/>
          <w:kern w:val="0"/>
          <w:sz w:val="32"/>
          <w:szCs w:val="32"/>
          <w:lang w:val="en-US" w:eastAsia="zh-CN"/>
        </w:rPr>
        <w:t>统计员</w:t>
      </w:r>
      <w:r>
        <w:rPr>
          <w:rFonts w:hint="eastAsia" w:ascii="仿宋" w:hAnsi="仿宋" w:eastAsia="仿宋" w:cs="仿宋"/>
          <w:kern w:val="0"/>
          <w:sz w:val="32"/>
          <w:szCs w:val="32"/>
        </w:rPr>
        <w:t>补贴</w:t>
      </w:r>
      <w:r>
        <w:rPr>
          <w:rFonts w:hint="eastAsia" w:ascii="仿宋" w:hAnsi="仿宋" w:eastAsia="仿宋" w:cs="仿宋"/>
          <w:kern w:val="0"/>
          <w:sz w:val="32"/>
          <w:szCs w:val="32"/>
          <w:lang w:val="en-US" w:eastAsia="zh-CN"/>
        </w:rPr>
        <w:t>18</w:t>
      </w:r>
      <w:r>
        <w:rPr>
          <w:rFonts w:hint="eastAsia" w:ascii="仿宋" w:hAnsi="仿宋" w:eastAsia="仿宋" w:cs="仿宋"/>
          <w:kern w:val="0"/>
          <w:sz w:val="32"/>
          <w:szCs w:val="32"/>
        </w:rPr>
        <w:t>万元，用于加强当前统计基层基础工作；7、固定资产投资管理</w:t>
      </w:r>
      <w:r>
        <w:rPr>
          <w:rFonts w:hint="eastAsia" w:ascii="仿宋" w:hAnsi="仿宋" w:eastAsia="仿宋" w:cs="仿宋"/>
          <w:kern w:val="0"/>
          <w:sz w:val="32"/>
          <w:szCs w:val="32"/>
          <w:lang w:val="en-US" w:eastAsia="zh-CN"/>
        </w:rPr>
        <w:t>45</w:t>
      </w:r>
      <w:r>
        <w:rPr>
          <w:rFonts w:hint="eastAsia" w:ascii="仿宋" w:hAnsi="仿宋" w:eastAsia="仿宋" w:cs="仿宋"/>
          <w:kern w:val="0"/>
          <w:sz w:val="32"/>
          <w:szCs w:val="32"/>
        </w:rPr>
        <w:t>万元，用于通过发挥市场机制作用，把政府直接提供的一部分公共服务事项以及政府履职所需服务事项，按照一定的方式和程序，交由具备条件的社会力量和事业单位承担，并由政府根据合同约定向其支付费用等方面。</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三、政府性基金预算支出情况</w:t>
      </w:r>
    </w:p>
    <w:p>
      <w:pPr>
        <w:pStyle w:val="3"/>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本单位无政府性基金预算支出</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国有资本经营预算支出情况</w:t>
      </w:r>
    </w:p>
    <w:p>
      <w:pPr>
        <w:pStyle w:val="3"/>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本单位国有资本经营预算支出</w:t>
      </w:r>
    </w:p>
    <w:p>
      <w:pPr>
        <w:ind w:firstLine="640" w:firstLineChars="200"/>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五、社会保险基金预算支出情况</w:t>
      </w:r>
    </w:p>
    <w:p>
      <w:pPr>
        <w:pStyle w:val="9"/>
        <w:numPr>
          <w:ilvl w:val="0"/>
          <w:numId w:val="0"/>
        </w:numPr>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2023年社会保险缴费预算81.48万元，其中机关事业单位基本养老保险缴费54.46万元，职工基本医疗保险21.4万元，其他社会保障缴费5.62万元。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2023年，我局各项工作扎实，成效显著</w:t>
      </w:r>
    </w:p>
    <w:p>
      <w:pPr>
        <w:keepNext w:val="0"/>
        <w:keepLines w:val="0"/>
        <w:pageBreakBefore w:val="0"/>
        <w:widowControl w:val="0"/>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b/>
          <w:bCs/>
          <w:i w:val="0"/>
          <w:iCs w:val="0"/>
          <w:caps w:val="0"/>
          <w:snapToGrid/>
          <w:color w:val="auto"/>
          <w:spacing w:val="0"/>
          <w:kern w:val="0"/>
          <w:sz w:val="32"/>
          <w:szCs w:val="32"/>
          <w:shd w:val="clear" w:color="auto" w:fill="FFFFFF"/>
          <w:lang w:val="en-US" w:eastAsia="zh-CN" w:bidi="ar"/>
        </w:rPr>
      </w:pPr>
      <w:r>
        <w:rPr>
          <w:rFonts w:hint="eastAsia" w:ascii="仿宋" w:hAnsi="仿宋" w:eastAsia="仿宋" w:cs="仿宋"/>
          <w:b/>
          <w:bCs/>
          <w:i w:val="0"/>
          <w:iCs w:val="0"/>
          <w:caps w:val="0"/>
          <w:snapToGrid/>
          <w:color w:val="auto"/>
          <w:spacing w:val="0"/>
          <w:kern w:val="0"/>
          <w:sz w:val="32"/>
          <w:szCs w:val="32"/>
          <w:shd w:val="clear" w:color="auto" w:fill="FFFFFF"/>
          <w:lang w:val="en-US" w:eastAsia="zh-CN" w:bidi="ar"/>
        </w:rPr>
        <w:t>1．牵头“打好经济增长主动仗”方面。</w:t>
      </w:r>
      <w:r>
        <w:rPr>
          <w:rFonts w:hint="eastAsia" w:ascii="仿宋" w:hAnsi="仿宋" w:eastAsia="仿宋" w:cs="仿宋"/>
          <w:b w:val="0"/>
          <w:bCs w:val="0"/>
          <w:i w:val="0"/>
          <w:iCs w:val="0"/>
          <w:caps w:val="0"/>
          <w:snapToGrid/>
          <w:color w:val="auto"/>
          <w:spacing w:val="0"/>
          <w:kern w:val="0"/>
          <w:sz w:val="32"/>
          <w:szCs w:val="32"/>
          <w:shd w:val="clear" w:color="auto" w:fill="FFFFFF"/>
          <w:lang w:val="en-US" w:eastAsia="zh-CN" w:bidi="ar"/>
        </w:rPr>
        <w:t>制定全区方案，明确总体目标，部署“八大举措”，出台28条实施细则，着力推动经济运行好转。2023年全区预计实现</w:t>
      </w:r>
      <w:r>
        <w:rPr>
          <w:rFonts w:hint="eastAsia" w:ascii="仿宋" w:hAnsi="仿宋" w:eastAsia="仿宋" w:cs="仿宋"/>
          <w:snapToGrid/>
          <w:color w:val="000000"/>
          <w:kern w:val="2"/>
          <w:sz w:val="32"/>
          <w:szCs w:val="32"/>
        </w:rPr>
        <w:t>地区生产总值800亿元，社会固定资产投资212.9亿元，社会消费品零售总额575亿元，地方一般公共预算收入12.3亿元，城镇居民人均可支配收入50848元，</w:t>
      </w:r>
      <w:r>
        <w:rPr>
          <w:rFonts w:hint="eastAsia" w:ascii="仿宋" w:hAnsi="仿宋" w:eastAsia="仿宋" w:cs="仿宋"/>
          <w:snapToGrid/>
          <w:color w:val="000000"/>
          <w:kern w:val="2"/>
          <w:sz w:val="32"/>
          <w:szCs w:val="32"/>
          <w:lang w:val="en-US" w:eastAsia="zh-CN"/>
        </w:rPr>
        <w:t>新增“四上”服务业企业57家，各项指标均排名全市前列</w:t>
      </w:r>
      <w:r>
        <w:rPr>
          <w:rFonts w:hint="eastAsia" w:ascii="仿宋" w:hAnsi="仿宋" w:eastAsia="仿宋" w:cs="仿宋"/>
          <w:snapToGrid/>
          <w:color w:val="000000"/>
          <w:kern w:val="2"/>
          <w:sz w:val="32"/>
          <w:szCs w:val="32"/>
        </w:rPr>
        <w:t>。</w:t>
      </w:r>
      <w:r>
        <w:rPr>
          <w:rFonts w:hint="eastAsia" w:ascii="仿宋" w:hAnsi="仿宋" w:eastAsia="仿宋" w:cs="仿宋"/>
          <w:b w:val="0"/>
          <w:bCs w:val="0"/>
          <w:i w:val="0"/>
          <w:iCs w:val="0"/>
          <w:caps w:val="0"/>
          <w:snapToGrid/>
          <w:color w:val="auto"/>
          <w:spacing w:val="0"/>
          <w:kern w:val="0"/>
          <w:sz w:val="32"/>
          <w:szCs w:val="32"/>
          <w:shd w:val="clear" w:color="auto" w:fill="FFFFFF"/>
          <w:lang w:val="en-US" w:eastAsia="zh-CN" w:bidi="ar"/>
        </w:rPr>
        <w:t>获评第一批“湖南省现代服务业创新发展区”，市专班第4期专报对我区“打好经济增长主动仗”的经验做法和成效进行了专题推介，《湖南日报》11月30日特稿大篇幅报道我区“打好经济增长主动仗”工作成效。</w:t>
      </w:r>
    </w:p>
    <w:p>
      <w:pPr>
        <w:keepNext w:val="0"/>
        <w:keepLines w:val="0"/>
        <w:pageBreakBefore w:val="0"/>
        <w:widowControl w:val="0"/>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snapToGrid/>
          <w:color w:val="000000"/>
          <w:kern w:val="2"/>
          <w:sz w:val="32"/>
          <w:szCs w:val="32"/>
          <w:lang w:val="en-US" w:eastAsia="zh-CN"/>
        </w:rPr>
      </w:pPr>
      <w:r>
        <w:rPr>
          <w:rFonts w:hint="eastAsia" w:ascii="仿宋" w:hAnsi="仿宋" w:eastAsia="仿宋" w:cs="仿宋"/>
          <w:b/>
          <w:bCs/>
          <w:i w:val="0"/>
          <w:iCs w:val="0"/>
          <w:caps w:val="0"/>
          <w:snapToGrid/>
          <w:color w:val="auto"/>
          <w:spacing w:val="0"/>
          <w:kern w:val="0"/>
          <w:sz w:val="32"/>
          <w:szCs w:val="32"/>
          <w:shd w:val="clear" w:color="auto" w:fill="FFFFFF"/>
          <w:lang w:val="en-US" w:eastAsia="zh-CN" w:bidi="ar"/>
        </w:rPr>
        <w:t>2．争资争项方面</w:t>
      </w:r>
      <w:r>
        <w:rPr>
          <w:rFonts w:hint="eastAsia" w:ascii="仿宋" w:hAnsi="仿宋" w:eastAsia="仿宋" w:cs="仿宋"/>
          <w:snapToGrid/>
          <w:color w:val="000000"/>
          <w:kern w:val="2"/>
          <w:sz w:val="32"/>
          <w:szCs w:val="32"/>
          <w:lang w:val="en-US" w:eastAsia="zh-CN"/>
        </w:rPr>
        <w:t>。在区委、区政府主要负责人常态化“赴省进京”对接协调下，全年共完成争资争项19.91亿元（剔除市级部分），占市定18亿元年度任务的110.62%。储备项目348个，总投资127.2亿元，拟争资64.89亿元，亿元以上32个。目前，根据中央和省、市陆续下达的文件精神，已申报项目121个，拟争资32.66亿元。2024年特别国债提前下达，岳阳楼区枫桥湖、枫树岭片区排水防涝建设项目争取资金1.36亿元，占比超过全市四分之一，实现2024年争资争项“开门红”。</w:t>
      </w:r>
    </w:p>
    <w:p>
      <w:pPr>
        <w:keepNext w:val="0"/>
        <w:keepLines w:val="0"/>
        <w:pageBreakBefore w:val="0"/>
        <w:widowControl w:val="0"/>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snapToGrid/>
          <w:color w:val="000000"/>
          <w:kern w:val="2"/>
          <w:sz w:val="32"/>
          <w:szCs w:val="32"/>
          <w:lang w:val="en-US" w:eastAsia="zh-CN"/>
        </w:rPr>
      </w:pPr>
      <w:r>
        <w:rPr>
          <w:rFonts w:hint="eastAsia" w:ascii="仿宋" w:hAnsi="仿宋" w:eastAsia="仿宋" w:cs="仿宋"/>
          <w:b/>
          <w:bCs/>
          <w:i w:val="0"/>
          <w:iCs w:val="0"/>
          <w:caps w:val="0"/>
          <w:snapToGrid/>
          <w:color w:val="auto"/>
          <w:spacing w:val="0"/>
          <w:kern w:val="0"/>
          <w:sz w:val="32"/>
          <w:szCs w:val="32"/>
          <w:shd w:val="clear" w:color="auto" w:fill="FFFFFF"/>
          <w:lang w:val="en-US" w:eastAsia="zh-CN" w:bidi="ar"/>
        </w:rPr>
        <w:t>3．重点项目推进方面。</w:t>
      </w:r>
      <w:r>
        <w:rPr>
          <w:rFonts w:hint="eastAsia" w:ascii="仿宋" w:hAnsi="仿宋" w:eastAsia="仿宋" w:cs="仿宋"/>
          <w:snapToGrid/>
          <w:color w:val="000000"/>
          <w:kern w:val="2"/>
          <w:sz w:val="32"/>
          <w:szCs w:val="32"/>
          <w:lang w:val="en-US" w:eastAsia="zh-CN"/>
        </w:rPr>
        <w:t>全面实施“项目建设年”行动，加快推进11个市级重点在建项目、4个重点前期项目，全年完成年度投资计划的120%。对中央投资项目和省级预算内资金项目开展一对一服务，建立日常督导台账，确保项目快速有序推进。</w:t>
      </w:r>
    </w:p>
    <w:p>
      <w:pPr>
        <w:keepNext w:val="0"/>
        <w:keepLines w:val="0"/>
        <w:pageBreakBefore w:val="0"/>
        <w:widowControl w:val="0"/>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snapToGrid/>
          <w:color w:val="000000"/>
          <w:kern w:val="2"/>
          <w:sz w:val="32"/>
          <w:szCs w:val="32"/>
          <w:lang w:val="en-US" w:eastAsia="zh-CN"/>
        </w:rPr>
      </w:pPr>
      <w:r>
        <w:rPr>
          <w:rFonts w:hint="eastAsia" w:ascii="仿宋" w:hAnsi="仿宋" w:eastAsia="仿宋" w:cs="仿宋"/>
          <w:b/>
          <w:bCs/>
          <w:i w:val="0"/>
          <w:iCs w:val="0"/>
          <w:caps w:val="0"/>
          <w:snapToGrid/>
          <w:color w:val="auto"/>
          <w:spacing w:val="0"/>
          <w:kern w:val="0"/>
          <w:sz w:val="32"/>
          <w:szCs w:val="32"/>
          <w:shd w:val="clear" w:color="auto" w:fill="FFFFFF"/>
          <w:rtl w:val="0"/>
          <w:lang w:val="en-US" w:eastAsia="zh-CN" w:bidi="ar"/>
        </w:rPr>
        <w:t>4．招商引资方面。</w:t>
      </w:r>
      <w:r>
        <w:rPr>
          <w:rFonts w:hint="eastAsia" w:ascii="仿宋" w:hAnsi="仿宋" w:eastAsia="仿宋" w:cs="仿宋"/>
          <w:snapToGrid/>
          <w:color w:val="000000"/>
          <w:kern w:val="2"/>
          <w:sz w:val="32"/>
          <w:szCs w:val="32"/>
          <w:rtl w:val="0"/>
          <w:lang w:val="en-US" w:eastAsia="zh-CN"/>
        </w:rPr>
        <w:t>在区委主要领导的高度重视和具体对接下，我局全力支持配合胥家桥综合物流园、中交智慧物流园区的</w:t>
      </w:r>
      <w:r>
        <w:rPr>
          <w:rFonts w:hint="eastAsia" w:ascii="仿宋" w:hAnsi="仿宋" w:eastAsia="仿宋" w:cs="仿宋"/>
          <w:snapToGrid/>
          <w:color w:val="000000"/>
          <w:kern w:val="2"/>
          <w:sz w:val="32"/>
          <w:szCs w:val="32"/>
          <w:lang w:val="en-US" w:eastAsia="zh-CN"/>
        </w:rPr>
        <w:t>招商引资工作。目前全区拥有国家A级物流企业9家，其中国家4A级企业7家，国家3A级企业2家，规上物流企业18家。今年成功引进注册资金过亿元的岳阳亚福合砺私募基金合伙企业和广东腾乐物流、广业物流、浙江领业供应链管理有限公司等29家物流企业，完成药兜网湖南总部落户岳阳楼区签约。全程参与</w:t>
      </w:r>
      <w:r>
        <w:rPr>
          <w:rFonts w:hint="eastAsia" w:ascii="仿宋" w:hAnsi="仿宋" w:eastAsia="仿宋" w:cs="仿宋"/>
          <w:snapToGrid/>
          <w:color w:val="000000"/>
          <w:kern w:val="2"/>
          <w:sz w:val="32"/>
          <w:szCs w:val="32"/>
          <w:rtl w:val="0"/>
          <w:lang w:val="en-US" w:eastAsia="zh-CN"/>
        </w:rPr>
        <w:t>市城运集团园区公司与中国邮政岳阳公司的深入洽谈，就多项业务达成初步合作意向。成功引进湖南盛世华茂企业服务有限公司，完成建设银行楼宇税收过亿元任务。</w:t>
      </w:r>
    </w:p>
    <w:p>
      <w:pPr>
        <w:keepNext w:val="0"/>
        <w:keepLines w:val="0"/>
        <w:pageBreakBefore w:val="0"/>
        <w:widowControl w:val="0"/>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snapToGrid/>
          <w:color w:val="000000"/>
          <w:kern w:val="2"/>
          <w:sz w:val="32"/>
          <w:szCs w:val="32"/>
          <w:rtl w:val="0"/>
          <w:lang w:val="en-US" w:eastAsia="zh-CN"/>
        </w:rPr>
      </w:pPr>
      <w:r>
        <w:rPr>
          <w:rFonts w:hint="eastAsia" w:ascii="仿宋" w:hAnsi="仿宋" w:eastAsia="仿宋" w:cs="仿宋"/>
          <w:b/>
          <w:bCs/>
          <w:i w:val="0"/>
          <w:iCs w:val="0"/>
          <w:caps w:val="0"/>
          <w:snapToGrid/>
          <w:color w:val="auto"/>
          <w:spacing w:val="0"/>
          <w:kern w:val="0"/>
          <w:sz w:val="32"/>
          <w:szCs w:val="32"/>
          <w:shd w:val="clear" w:color="auto" w:fill="FFFFFF"/>
          <w:rtl w:val="0"/>
          <w:lang w:val="en-US" w:eastAsia="zh-CN" w:bidi="ar"/>
        </w:rPr>
        <w:t>5．项目评估督导方面。</w:t>
      </w:r>
      <w:r>
        <w:rPr>
          <w:rFonts w:hint="eastAsia" w:ascii="仿宋" w:hAnsi="仿宋" w:eastAsia="仿宋" w:cs="仿宋"/>
          <w:snapToGrid/>
          <w:color w:val="000000"/>
          <w:kern w:val="2"/>
          <w:sz w:val="32"/>
          <w:szCs w:val="32"/>
          <w:rtl w:val="0"/>
          <w:lang w:val="en-US" w:eastAsia="zh-CN"/>
        </w:rPr>
        <w:t>梳理近三年投资、社会、环资口中央预算内资金项目76个，发现问题20个，及时下发整改清单，全面督导整改，确保中央资金项目规范、有序快速推进。</w:t>
      </w:r>
    </w:p>
    <w:p>
      <w:pPr>
        <w:keepNext w:val="0"/>
        <w:keepLines w:val="0"/>
        <w:pageBreakBefore w:val="0"/>
        <w:widowControl/>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b w:val="0"/>
          <w:bCs w:val="0"/>
          <w:i w:val="0"/>
          <w:iCs w:val="0"/>
          <w:caps w:val="0"/>
          <w:snapToGrid/>
          <w:color w:val="auto"/>
          <w:spacing w:val="0"/>
          <w:kern w:val="0"/>
          <w:sz w:val="32"/>
          <w:szCs w:val="32"/>
          <w:shd w:val="clear" w:color="auto" w:fill="FFFFFF"/>
          <w:rtl w:val="0"/>
          <w:lang w:val="en-US" w:eastAsia="zh-CN" w:bidi="ar"/>
        </w:rPr>
      </w:pPr>
      <w:r>
        <w:rPr>
          <w:rFonts w:hint="eastAsia" w:ascii="仿宋" w:hAnsi="仿宋" w:eastAsia="仿宋" w:cs="仿宋"/>
          <w:b/>
          <w:bCs/>
          <w:snapToGrid/>
          <w:color w:val="000000"/>
          <w:kern w:val="2"/>
          <w:sz w:val="32"/>
          <w:szCs w:val="32"/>
          <w:rtl w:val="0"/>
          <w:lang w:val="en-US" w:eastAsia="zh-CN"/>
        </w:rPr>
        <w:t>6</w:t>
      </w:r>
      <w:r>
        <w:rPr>
          <w:rFonts w:hint="eastAsia" w:ascii="仿宋" w:hAnsi="仿宋" w:eastAsia="仿宋" w:cs="仿宋"/>
          <w:b/>
          <w:bCs/>
          <w:snapToGrid/>
          <w:color w:val="000000"/>
          <w:kern w:val="2"/>
          <w:sz w:val="32"/>
          <w:szCs w:val="32"/>
        </w:rPr>
        <w:t>．</w:t>
      </w:r>
      <w:r>
        <w:rPr>
          <w:rFonts w:hint="eastAsia" w:ascii="仿宋" w:hAnsi="仿宋" w:eastAsia="仿宋" w:cs="仿宋"/>
          <w:b/>
          <w:bCs/>
          <w:snapToGrid/>
          <w:color w:val="000000"/>
          <w:kern w:val="2"/>
          <w:sz w:val="32"/>
          <w:szCs w:val="32"/>
          <w:rtl w:val="0"/>
          <w:lang w:val="en-US" w:eastAsia="zh-CN"/>
        </w:rPr>
        <w:t>优化营商环境方面。</w:t>
      </w:r>
      <w:r>
        <w:rPr>
          <w:rFonts w:hint="eastAsia" w:ascii="仿宋" w:hAnsi="仿宋" w:eastAsia="仿宋" w:cs="仿宋"/>
          <w:snapToGrid/>
          <w:color w:val="000000"/>
          <w:kern w:val="2"/>
          <w:sz w:val="32"/>
          <w:szCs w:val="32"/>
        </w:rPr>
        <w:t>扎实推进信用体系建设，累计收集相关数据26.7万条，“信易贷”平台入驻企业5.93万家。</w:t>
      </w:r>
      <w:r>
        <w:rPr>
          <w:rFonts w:hint="eastAsia" w:ascii="仿宋" w:hAnsi="仿宋" w:eastAsia="仿宋" w:cs="仿宋"/>
          <w:b w:val="0"/>
          <w:bCs w:val="0"/>
          <w:i w:val="0"/>
          <w:iCs w:val="0"/>
          <w:caps w:val="0"/>
          <w:snapToGrid/>
          <w:color w:val="auto"/>
          <w:spacing w:val="0"/>
          <w:kern w:val="0"/>
          <w:sz w:val="32"/>
          <w:szCs w:val="32"/>
          <w:shd w:val="clear" w:color="auto" w:fill="FFFFFF"/>
          <w:rtl w:val="0"/>
          <w:lang w:val="en-US" w:eastAsia="zh-CN" w:bidi="ar"/>
        </w:rPr>
        <w:t>进一步规范招标投标主体行为，对岳建小区老旧小区改造配套基础文化设施建设等8个项目依法进行备案和监管。不断提升审批服务效能，共审批办结项目198个，总投资58.03亿元；企业投资备案项目50个，总投资42.22亿元。</w:t>
      </w:r>
    </w:p>
    <w:p>
      <w:pPr>
        <w:keepNext w:val="0"/>
        <w:keepLines w:val="0"/>
        <w:pageBreakBefore w:val="0"/>
        <w:widowControl w:val="0"/>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snapToGrid/>
          <w:color w:val="000000"/>
          <w:kern w:val="2"/>
          <w:sz w:val="32"/>
          <w:szCs w:val="32"/>
          <w:lang w:val="en-US" w:eastAsia="zh-CN"/>
        </w:rPr>
      </w:pPr>
      <w:r>
        <w:rPr>
          <w:rFonts w:hint="eastAsia" w:ascii="仿宋" w:hAnsi="仿宋" w:eastAsia="仿宋" w:cs="仿宋"/>
          <w:b/>
          <w:bCs/>
          <w:snapToGrid/>
          <w:color w:val="000000"/>
          <w:kern w:val="2"/>
          <w:sz w:val="32"/>
          <w:szCs w:val="32"/>
          <w:rtl w:val="0"/>
          <w:lang w:val="en-US" w:eastAsia="zh-CN"/>
        </w:rPr>
        <w:t>7．绿色低碳转型方面。</w:t>
      </w:r>
      <w:r>
        <w:rPr>
          <w:rFonts w:hint="eastAsia" w:ascii="仿宋" w:hAnsi="仿宋" w:eastAsia="仿宋" w:cs="仿宋"/>
          <w:snapToGrid/>
          <w:color w:val="000000"/>
          <w:kern w:val="2"/>
          <w:sz w:val="32"/>
          <w:szCs w:val="32"/>
          <w:rtl w:val="0"/>
          <w:lang w:val="en-US" w:eastAsia="zh-CN"/>
        </w:rPr>
        <w:t>开展“减塑禁塑 你我共行”“绿水青山就是金山银山”等主题宣传活动，进一步</w:t>
      </w:r>
      <w:r>
        <w:rPr>
          <w:rFonts w:hint="eastAsia" w:ascii="仿宋" w:hAnsi="仿宋" w:eastAsia="仿宋" w:cs="仿宋"/>
          <w:snapToGrid/>
          <w:color w:val="000000"/>
          <w:kern w:val="2"/>
          <w:sz w:val="32"/>
          <w:szCs w:val="32"/>
          <w:lang w:val="en-US" w:eastAsia="zh-CN"/>
        </w:rPr>
        <w:t>提升全区群众节能意识。印发《岳阳市岳阳楼区碳达峰实施方案》，制定《岳阳市岳阳楼区全社会节约用能促进碳达峰实施方案（初稿）》；规范充电设施建设运营秩序，强化智能服务平台管理应用。梳理全区水污染治理项目12个，岳阳楼区麻布山片区生态修复及绿色发展示范项目纳入岳阳市2024年重大项目库。</w:t>
      </w:r>
    </w:p>
    <w:p>
      <w:pPr>
        <w:keepNext w:val="0"/>
        <w:keepLines w:val="0"/>
        <w:pageBreakBefore w:val="0"/>
        <w:widowControl w:val="0"/>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 w:hAnsi="仿宋" w:eastAsia="仿宋" w:cs="仿宋"/>
          <w:snapToGrid/>
          <w:color w:val="000000"/>
          <w:kern w:val="2"/>
          <w:sz w:val="32"/>
          <w:szCs w:val="32"/>
          <w:lang w:val="en-US" w:eastAsia="zh-CN"/>
        </w:rPr>
      </w:pPr>
      <w:r>
        <w:rPr>
          <w:rFonts w:hint="eastAsia" w:ascii="仿宋" w:hAnsi="仿宋" w:eastAsia="仿宋" w:cs="仿宋"/>
          <w:b/>
          <w:bCs/>
          <w:snapToGrid/>
          <w:color w:val="000000"/>
          <w:kern w:val="2"/>
          <w:sz w:val="32"/>
          <w:szCs w:val="32"/>
          <w:rtl w:val="0"/>
          <w:lang w:val="en-US" w:eastAsia="zh-CN"/>
        </w:rPr>
        <w:t>8．价格工作方面。</w:t>
      </w:r>
      <w:r>
        <w:rPr>
          <w:rFonts w:hint="eastAsia" w:ascii="仿宋" w:hAnsi="仿宋" w:eastAsia="仿宋" w:cs="仿宋"/>
          <w:snapToGrid/>
          <w:color w:val="000000"/>
          <w:kern w:val="2"/>
          <w:sz w:val="32"/>
          <w:szCs w:val="32"/>
          <w:lang w:val="en-US" w:eastAsia="zh-CN"/>
        </w:rPr>
        <w:t>积极落实价格临时补贴发放工作，认真梳理价格临时补贴范围和对象，做到“按月测算，按月发放”动态管理，有效降低价格上涨对困难群体生活的影响。做好高中学生公寓收费管理工作，对市四中、市五中、市七中、市十三中等高中公寓收费情况进行现场查看和审核，将收费项目和收费标准进行公示，接收社会监督。严格恪守技术规范，公正执行价格认证，共完成公安机关移交的涉案价格认定案件1038起，涉案金额500余万元。</w:t>
      </w:r>
    </w:p>
    <w:p>
      <w:pPr>
        <w:keepNext w:val="0"/>
        <w:keepLines w:val="0"/>
        <w:pageBreakBefore w:val="0"/>
        <w:widowControl w:val="0"/>
        <w:numPr>
          <w:ilvl w:val="0"/>
          <w:numId w:val="4"/>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存在的问题及原因分析</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 w:hAnsi="仿宋" w:eastAsia="仿宋" w:cs="仿宋"/>
          <w:snapToGrid/>
          <w:color w:val="000000"/>
          <w:kern w:val="2"/>
          <w:sz w:val="32"/>
          <w:szCs w:val="32"/>
          <w:lang w:val="en-US" w:eastAsia="zh-CN"/>
        </w:rPr>
      </w:pPr>
      <w:r>
        <w:rPr>
          <w:rFonts w:hint="eastAsia" w:ascii="仿宋" w:hAnsi="仿宋" w:eastAsia="仿宋" w:cs="仿宋"/>
          <w:snapToGrid/>
          <w:color w:val="000000"/>
          <w:kern w:val="2"/>
          <w:sz w:val="32"/>
          <w:szCs w:val="32"/>
          <w:lang w:val="en-US" w:eastAsia="zh-CN"/>
        </w:rPr>
        <w:t>当前我们工作开展还面临一些短板：一是重大建设、储备项目数量较少，扩投资稳增长力度有待加强；二是服务业主体总体结构不优，可新增入库“四上”企业数量少、规模小；三是物流园区招商引资难度较大，国际国内头部物流企业入驻率偏低。</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八、下一步改进措施</w:t>
      </w:r>
    </w:p>
    <w:p>
      <w:pPr>
        <w:pStyle w:val="9"/>
        <w:keepNext w:val="0"/>
        <w:keepLines w:val="0"/>
        <w:pageBreakBefore w:val="0"/>
        <w:widowControl/>
        <w:kinsoku/>
        <w:wordWrap/>
        <w:overflowPunct/>
        <w:topLinePunct w:val="0"/>
        <w:autoSpaceDE/>
        <w:autoSpaceDN/>
        <w:bidi w:val="0"/>
        <w:adjustRightInd/>
        <w:snapToGrid/>
        <w:spacing w:after="0" w:afterLines="0" w:line="580" w:lineRule="exact"/>
        <w:ind w:left="0" w:leftChars="0" w:firstLine="643" w:firstLineChars="200"/>
        <w:textAlignment w:val="auto"/>
        <w:rPr>
          <w:rFonts w:hint="eastAsia" w:ascii="仿宋" w:hAnsi="仿宋" w:eastAsia="仿宋" w:cs="仿宋"/>
          <w:b w:val="0"/>
          <w:bCs w:val="0"/>
          <w:i w:val="0"/>
          <w:iCs w:val="0"/>
          <w:caps w:val="0"/>
          <w:snapToGrid/>
          <w:color w:val="auto"/>
          <w:spacing w:val="0"/>
          <w:kern w:val="0"/>
          <w:sz w:val="32"/>
          <w:szCs w:val="32"/>
          <w:shd w:val="clear" w:color="auto" w:fill="FFFFFF"/>
          <w:lang w:val="en-US" w:eastAsia="zh-CN" w:bidi="ar"/>
        </w:rPr>
      </w:pPr>
      <w:r>
        <w:rPr>
          <w:rFonts w:hint="eastAsia" w:ascii="仿宋" w:hAnsi="仿宋" w:eastAsia="仿宋" w:cs="仿宋"/>
          <w:b/>
          <w:bCs/>
          <w:sz w:val="32"/>
          <w:szCs w:val="32"/>
          <w:rtl w:val="0"/>
          <w:lang w:val="en-US" w:eastAsia="zh-CN"/>
        </w:rPr>
        <w:t>一是项目投资要扩面提质。</w:t>
      </w:r>
      <w:r>
        <w:rPr>
          <w:rFonts w:hint="eastAsia" w:ascii="仿宋" w:hAnsi="仿宋" w:eastAsia="仿宋" w:cs="仿宋"/>
          <w:i w:val="0"/>
          <w:iCs w:val="0"/>
          <w:caps w:val="0"/>
          <w:color w:val="auto"/>
          <w:spacing w:val="0"/>
          <w:kern w:val="0"/>
          <w:sz w:val="32"/>
          <w:szCs w:val="32"/>
          <w:shd w:val="clear" w:color="auto" w:fill="FFFFFF"/>
          <w:lang w:val="en-US" w:eastAsia="zh-CN" w:bidi="ar"/>
        </w:rPr>
        <w:t>紧跟国家、省级政策投向，提前谋划重大项目储备，做好年内项目增补和明年项目储备，实现项目个数、投资总量“双提升”，</w:t>
      </w:r>
      <w:r>
        <w:rPr>
          <w:rFonts w:hint="eastAsia" w:ascii="仿宋" w:hAnsi="仿宋" w:eastAsia="仿宋" w:cs="仿宋"/>
          <w:b w:val="0"/>
          <w:bCs w:val="0"/>
          <w:i w:val="0"/>
          <w:iCs w:val="0"/>
          <w:caps w:val="0"/>
          <w:color w:val="auto"/>
          <w:spacing w:val="0"/>
          <w:kern w:val="0"/>
          <w:sz w:val="32"/>
          <w:szCs w:val="32"/>
          <w:shd w:val="clear" w:color="auto" w:fill="FFFFFF"/>
          <w:lang w:val="en-US" w:eastAsia="zh-CN" w:bidi="ar"/>
        </w:rPr>
        <w:t>统筹抓好中央、省预算内项目资金争取，助力项目投资建设再提速。</w:t>
      </w:r>
      <w:r>
        <w:rPr>
          <w:rFonts w:hint="eastAsia" w:ascii="仿宋" w:hAnsi="仿宋" w:eastAsia="仿宋" w:cs="仿宋"/>
          <w:b/>
          <w:bCs/>
          <w:sz w:val="32"/>
          <w:szCs w:val="32"/>
          <w:rtl w:val="0"/>
          <w:lang w:val="en-US" w:eastAsia="zh-CN"/>
        </w:rPr>
        <w:t>二是四上申报要扩面摸排。</w:t>
      </w:r>
      <w:r>
        <w:rPr>
          <w:rFonts w:hint="eastAsia" w:ascii="仿宋" w:hAnsi="仿宋" w:eastAsia="仿宋" w:cs="仿宋"/>
          <w:i w:val="0"/>
          <w:iCs w:val="0"/>
          <w:caps w:val="0"/>
          <w:color w:val="auto"/>
          <w:spacing w:val="0"/>
          <w:kern w:val="0"/>
          <w:sz w:val="32"/>
          <w:szCs w:val="32"/>
          <w:shd w:val="clear" w:color="auto" w:fill="FFFFFF"/>
          <w:rtl w:val="0"/>
          <w:lang w:val="en-US" w:eastAsia="zh-CN" w:bidi="ar"/>
        </w:rPr>
        <w:t>主动对接税务、市场监管等职能部门，加强对合规服务业企业摸排力度，深度挖掘服务业企业存量，做好对服务业企业的政策宣传，加大扶植力度，培育市场主体。</w:t>
      </w:r>
      <w:r>
        <w:rPr>
          <w:rFonts w:hint="eastAsia" w:ascii="仿宋" w:hAnsi="仿宋" w:eastAsia="仿宋" w:cs="仿宋"/>
          <w:b/>
          <w:bCs/>
          <w:sz w:val="32"/>
          <w:szCs w:val="32"/>
          <w:rtl w:val="0"/>
          <w:lang w:val="en-US" w:eastAsia="zh-CN"/>
        </w:rPr>
        <w:t>三是物流园区要扩面招商。</w:t>
      </w:r>
      <w:r>
        <w:rPr>
          <w:rFonts w:hint="eastAsia" w:ascii="仿宋" w:hAnsi="仿宋" w:eastAsia="仿宋" w:cs="仿宋"/>
          <w:b w:val="0"/>
          <w:bCs w:val="0"/>
          <w:color w:val="auto"/>
          <w:sz w:val="32"/>
          <w:szCs w:val="32"/>
          <w:lang w:val="en-US" w:eastAsia="zh-CN"/>
        </w:rPr>
        <w:t>通过优化物流园区扶植政策，引导</w:t>
      </w:r>
      <w:r>
        <w:rPr>
          <w:rFonts w:hint="eastAsia" w:ascii="仿宋" w:hAnsi="仿宋" w:eastAsia="仿宋" w:cs="仿宋"/>
          <w:b w:val="0"/>
          <w:bCs w:val="0"/>
          <w:color w:val="auto"/>
          <w:sz w:val="32"/>
          <w:szCs w:val="32"/>
          <w:lang w:eastAsia="zh-CN"/>
        </w:rPr>
        <w:t>胥家桥综合物流园、</w:t>
      </w:r>
      <w:r>
        <w:rPr>
          <w:rFonts w:hint="eastAsia" w:ascii="仿宋" w:hAnsi="仿宋" w:eastAsia="仿宋" w:cs="仿宋"/>
          <w:b w:val="0"/>
          <w:bCs w:val="0"/>
          <w:color w:val="auto"/>
          <w:sz w:val="32"/>
          <w:szCs w:val="32"/>
          <w:lang w:val="en-US" w:eastAsia="zh-CN"/>
        </w:rPr>
        <w:t>中交智慧物流园</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岳阳市现代物流产业</w:t>
      </w:r>
      <w:r>
        <w:rPr>
          <w:rFonts w:hint="eastAsia" w:ascii="仿宋" w:hAnsi="仿宋" w:eastAsia="仿宋" w:cs="仿宋"/>
          <w:snapToGrid/>
          <w:color w:val="000000"/>
          <w:kern w:val="2"/>
          <w:sz w:val="32"/>
          <w:szCs w:val="32"/>
          <w:lang w:val="en-US" w:eastAsia="zh-CN" w:bidi="ar"/>
        </w:rPr>
        <w:t>园开展物流头部企业招引，进一步做好园区入驻企业“帮代办”全程跟踪服务。</w:t>
      </w:r>
    </w:p>
    <w:p>
      <w:pPr>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无其他需要说明的情况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18030">
    <w:altName w:val="Times New Roman"/>
    <w:panose1 w:val="00000000000000000000"/>
    <w:charset w:val="00"/>
    <w:family w:val="auto"/>
    <w:pitch w:val="default"/>
    <w:sig w:usb0="00000000" w:usb1="00000000" w:usb2="00000000" w:usb3="00000000" w:csb0="00000001" w:csb1="0000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bookmarkStart w:id="0" w:name="_GoBack"/>
    <w:bookmarkEnd w:id="0"/>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88506"/>
    <w:multiLevelType w:val="singleLevel"/>
    <w:tmpl w:val="9A188506"/>
    <w:lvl w:ilvl="0" w:tentative="0">
      <w:start w:val="2"/>
      <w:numFmt w:val="chineseCounting"/>
      <w:suff w:val="nothing"/>
      <w:lvlText w:val="（%1）"/>
      <w:lvlJc w:val="left"/>
      <w:rPr>
        <w:rFonts w:hint="eastAsia"/>
      </w:rPr>
    </w:lvl>
  </w:abstractNum>
  <w:abstractNum w:abstractNumId="1">
    <w:nsid w:val="A8C983E5"/>
    <w:multiLevelType w:val="singleLevel"/>
    <w:tmpl w:val="A8C983E5"/>
    <w:lvl w:ilvl="0" w:tentative="0">
      <w:start w:val="1"/>
      <w:numFmt w:val="chineseCounting"/>
      <w:suff w:val="nothing"/>
      <w:lvlText w:val="%1、"/>
      <w:lvlJc w:val="left"/>
      <w:rPr>
        <w:rFonts w:hint="eastAsia"/>
      </w:rPr>
    </w:lvl>
  </w:abstractNum>
  <w:abstractNum w:abstractNumId="2">
    <w:nsid w:val="20458A88"/>
    <w:multiLevelType w:val="singleLevel"/>
    <w:tmpl w:val="20458A88"/>
    <w:lvl w:ilvl="0" w:tentative="0">
      <w:start w:val="4"/>
      <w:numFmt w:val="chineseCounting"/>
      <w:suff w:val="nothing"/>
      <w:lvlText w:val="%1、"/>
      <w:lvlJc w:val="left"/>
      <w:rPr>
        <w:rFonts w:hint="eastAsia"/>
      </w:rPr>
    </w:lvl>
  </w:abstractNum>
  <w:abstractNum w:abstractNumId="3">
    <w:nsid w:val="504101D9"/>
    <w:multiLevelType w:val="singleLevel"/>
    <w:tmpl w:val="504101D9"/>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11340"/>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C47EF5"/>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8B41A0"/>
    <w:rsid w:val="02B544DB"/>
    <w:rsid w:val="02CB5D99"/>
    <w:rsid w:val="02F61D91"/>
    <w:rsid w:val="02FC4679"/>
    <w:rsid w:val="02FE5E0A"/>
    <w:rsid w:val="03016617"/>
    <w:rsid w:val="0347190C"/>
    <w:rsid w:val="034760CE"/>
    <w:rsid w:val="03487959"/>
    <w:rsid w:val="03505BE1"/>
    <w:rsid w:val="036D41A2"/>
    <w:rsid w:val="037F229C"/>
    <w:rsid w:val="03911277"/>
    <w:rsid w:val="039A540B"/>
    <w:rsid w:val="03AB6CB8"/>
    <w:rsid w:val="03BD010E"/>
    <w:rsid w:val="03E2685C"/>
    <w:rsid w:val="03E66326"/>
    <w:rsid w:val="03FF6E0F"/>
    <w:rsid w:val="0404259A"/>
    <w:rsid w:val="04051601"/>
    <w:rsid w:val="04150B3B"/>
    <w:rsid w:val="04327F62"/>
    <w:rsid w:val="04344800"/>
    <w:rsid w:val="04435E89"/>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14F98"/>
    <w:rsid w:val="04E411E4"/>
    <w:rsid w:val="04F37BBA"/>
    <w:rsid w:val="05085366"/>
    <w:rsid w:val="05145F64"/>
    <w:rsid w:val="05403629"/>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3A6D70"/>
    <w:rsid w:val="0848472A"/>
    <w:rsid w:val="084D20E7"/>
    <w:rsid w:val="08674899"/>
    <w:rsid w:val="08754155"/>
    <w:rsid w:val="087B77E7"/>
    <w:rsid w:val="087D3D34"/>
    <w:rsid w:val="0889236C"/>
    <w:rsid w:val="088E051E"/>
    <w:rsid w:val="08935A7B"/>
    <w:rsid w:val="08A91E6C"/>
    <w:rsid w:val="08BA1B19"/>
    <w:rsid w:val="08D059DD"/>
    <w:rsid w:val="08DC08E7"/>
    <w:rsid w:val="09283F75"/>
    <w:rsid w:val="092D1C9E"/>
    <w:rsid w:val="09377E5E"/>
    <w:rsid w:val="09383E9F"/>
    <w:rsid w:val="0939426E"/>
    <w:rsid w:val="09490877"/>
    <w:rsid w:val="09504F8C"/>
    <w:rsid w:val="09616470"/>
    <w:rsid w:val="096C1F5A"/>
    <w:rsid w:val="096C76C1"/>
    <w:rsid w:val="09906B28"/>
    <w:rsid w:val="09912E95"/>
    <w:rsid w:val="099C1A23"/>
    <w:rsid w:val="09A948AF"/>
    <w:rsid w:val="09AC2A76"/>
    <w:rsid w:val="09B04837"/>
    <w:rsid w:val="09C95891"/>
    <w:rsid w:val="09D8005F"/>
    <w:rsid w:val="0A002E0D"/>
    <w:rsid w:val="0A140987"/>
    <w:rsid w:val="0A15095C"/>
    <w:rsid w:val="0A18082E"/>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BF34E19"/>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382CBA"/>
    <w:rsid w:val="0E4822EE"/>
    <w:rsid w:val="0E4E185D"/>
    <w:rsid w:val="0E522FBE"/>
    <w:rsid w:val="0E5D141B"/>
    <w:rsid w:val="0E8648D6"/>
    <w:rsid w:val="0E8C08DC"/>
    <w:rsid w:val="0E8E43C0"/>
    <w:rsid w:val="0E964CBE"/>
    <w:rsid w:val="0EB05323"/>
    <w:rsid w:val="0EBB707D"/>
    <w:rsid w:val="0EBE40CB"/>
    <w:rsid w:val="0EC36A56"/>
    <w:rsid w:val="0EC62499"/>
    <w:rsid w:val="0ECE4E6F"/>
    <w:rsid w:val="0EDA5C56"/>
    <w:rsid w:val="0EFE4287"/>
    <w:rsid w:val="0EFE6936"/>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2F84"/>
    <w:rsid w:val="102D74F0"/>
    <w:rsid w:val="103C47DA"/>
    <w:rsid w:val="103D5CB0"/>
    <w:rsid w:val="1043497A"/>
    <w:rsid w:val="104B6B58"/>
    <w:rsid w:val="105552F6"/>
    <w:rsid w:val="108449FF"/>
    <w:rsid w:val="108B34B0"/>
    <w:rsid w:val="109B1F56"/>
    <w:rsid w:val="109E2943"/>
    <w:rsid w:val="10C8346E"/>
    <w:rsid w:val="10FE6AB1"/>
    <w:rsid w:val="1112624E"/>
    <w:rsid w:val="11153798"/>
    <w:rsid w:val="11297158"/>
    <w:rsid w:val="113624A1"/>
    <w:rsid w:val="11404217"/>
    <w:rsid w:val="114B2C9B"/>
    <w:rsid w:val="115D78BB"/>
    <w:rsid w:val="116001E2"/>
    <w:rsid w:val="11793618"/>
    <w:rsid w:val="11813452"/>
    <w:rsid w:val="11913DD4"/>
    <w:rsid w:val="11961E43"/>
    <w:rsid w:val="11987ED2"/>
    <w:rsid w:val="119969A0"/>
    <w:rsid w:val="11A91B68"/>
    <w:rsid w:val="11B76464"/>
    <w:rsid w:val="11BC2DF3"/>
    <w:rsid w:val="11C43676"/>
    <w:rsid w:val="11C54D2F"/>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8E218A"/>
    <w:rsid w:val="13914897"/>
    <w:rsid w:val="139A096F"/>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008CE"/>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A02CF"/>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9E86852"/>
    <w:rsid w:val="1A0A04E6"/>
    <w:rsid w:val="1A187AC0"/>
    <w:rsid w:val="1A213466"/>
    <w:rsid w:val="1A3F3F76"/>
    <w:rsid w:val="1A4B4BAE"/>
    <w:rsid w:val="1A5F35C0"/>
    <w:rsid w:val="1A8006B2"/>
    <w:rsid w:val="1A8D640E"/>
    <w:rsid w:val="1A974192"/>
    <w:rsid w:val="1AC05245"/>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00EA2"/>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B6BCB"/>
    <w:rsid w:val="1DFD7C50"/>
    <w:rsid w:val="1E080AB5"/>
    <w:rsid w:val="1E0E0D58"/>
    <w:rsid w:val="1E2A197B"/>
    <w:rsid w:val="1E35255F"/>
    <w:rsid w:val="1E3C5A5F"/>
    <w:rsid w:val="1E475D36"/>
    <w:rsid w:val="1E4E24A0"/>
    <w:rsid w:val="1E502588"/>
    <w:rsid w:val="1E53413D"/>
    <w:rsid w:val="1E550992"/>
    <w:rsid w:val="1E5A7A32"/>
    <w:rsid w:val="1E61779F"/>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82BBB"/>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050F6"/>
    <w:rsid w:val="21C12688"/>
    <w:rsid w:val="21CC4855"/>
    <w:rsid w:val="21E233A3"/>
    <w:rsid w:val="21E23F6C"/>
    <w:rsid w:val="21E345FD"/>
    <w:rsid w:val="21E500F2"/>
    <w:rsid w:val="22171E1E"/>
    <w:rsid w:val="22383B4D"/>
    <w:rsid w:val="22466CD3"/>
    <w:rsid w:val="225D1D49"/>
    <w:rsid w:val="225D33C8"/>
    <w:rsid w:val="226239FE"/>
    <w:rsid w:val="22626562"/>
    <w:rsid w:val="226A76AE"/>
    <w:rsid w:val="22733EB6"/>
    <w:rsid w:val="22906578"/>
    <w:rsid w:val="22973E77"/>
    <w:rsid w:val="22AB58F3"/>
    <w:rsid w:val="22AE219B"/>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12509"/>
    <w:rsid w:val="2514288A"/>
    <w:rsid w:val="251D35EC"/>
    <w:rsid w:val="25657BD9"/>
    <w:rsid w:val="256609A5"/>
    <w:rsid w:val="25781237"/>
    <w:rsid w:val="257A6914"/>
    <w:rsid w:val="2588530F"/>
    <w:rsid w:val="25963C8A"/>
    <w:rsid w:val="25AB3731"/>
    <w:rsid w:val="25B464A2"/>
    <w:rsid w:val="25BA0209"/>
    <w:rsid w:val="25BB4BF0"/>
    <w:rsid w:val="25CD523D"/>
    <w:rsid w:val="25E4383B"/>
    <w:rsid w:val="25E62DA9"/>
    <w:rsid w:val="25EE68D6"/>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0A1FB9"/>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9A6A5C"/>
    <w:rsid w:val="2AAA2491"/>
    <w:rsid w:val="2AB17620"/>
    <w:rsid w:val="2AB30FEA"/>
    <w:rsid w:val="2AB657B1"/>
    <w:rsid w:val="2AB65833"/>
    <w:rsid w:val="2AC01BCB"/>
    <w:rsid w:val="2AE07913"/>
    <w:rsid w:val="2AE83E07"/>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AC69B0"/>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DF6B07"/>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1F1DB3"/>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6D84F02"/>
    <w:rsid w:val="37104DEB"/>
    <w:rsid w:val="37260356"/>
    <w:rsid w:val="372D0977"/>
    <w:rsid w:val="37337382"/>
    <w:rsid w:val="374D5647"/>
    <w:rsid w:val="374F42A7"/>
    <w:rsid w:val="37506DBE"/>
    <w:rsid w:val="3759338C"/>
    <w:rsid w:val="37654002"/>
    <w:rsid w:val="378E3E66"/>
    <w:rsid w:val="37C244FC"/>
    <w:rsid w:val="37D95C79"/>
    <w:rsid w:val="37E81F7B"/>
    <w:rsid w:val="38026A1B"/>
    <w:rsid w:val="38197832"/>
    <w:rsid w:val="381D1A34"/>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DF7082F"/>
    <w:rsid w:val="3E0519AD"/>
    <w:rsid w:val="3E353958"/>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16AC6"/>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0061"/>
    <w:rsid w:val="42E94337"/>
    <w:rsid w:val="43031943"/>
    <w:rsid w:val="431327F1"/>
    <w:rsid w:val="43182DB2"/>
    <w:rsid w:val="4368794F"/>
    <w:rsid w:val="436D0FB5"/>
    <w:rsid w:val="437518D1"/>
    <w:rsid w:val="438D1E49"/>
    <w:rsid w:val="43B23B98"/>
    <w:rsid w:val="43C80076"/>
    <w:rsid w:val="43D8550E"/>
    <w:rsid w:val="43DC0C7D"/>
    <w:rsid w:val="43EA69D8"/>
    <w:rsid w:val="43EB1195"/>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909E9"/>
    <w:rsid w:val="463D42BA"/>
    <w:rsid w:val="46521A41"/>
    <w:rsid w:val="465D50F1"/>
    <w:rsid w:val="46771C91"/>
    <w:rsid w:val="467F06A4"/>
    <w:rsid w:val="4694259D"/>
    <w:rsid w:val="46A64B43"/>
    <w:rsid w:val="46AA5A85"/>
    <w:rsid w:val="46AC6264"/>
    <w:rsid w:val="46B2445C"/>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582C9F"/>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35206"/>
    <w:rsid w:val="49F43753"/>
    <w:rsid w:val="49F54A10"/>
    <w:rsid w:val="49F94CE9"/>
    <w:rsid w:val="49FE0E45"/>
    <w:rsid w:val="4A040938"/>
    <w:rsid w:val="4A11169A"/>
    <w:rsid w:val="4A212635"/>
    <w:rsid w:val="4A2175B6"/>
    <w:rsid w:val="4A4260CB"/>
    <w:rsid w:val="4A611E1A"/>
    <w:rsid w:val="4A7055A6"/>
    <w:rsid w:val="4A9C47ED"/>
    <w:rsid w:val="4AA71D5E"/>
    <w:rsid w:val="4AAA6CA9"/>
    <w:rsid w:val="4ACB00B3"/>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3E2"/>
    <w:rsid w:val="4DC73507"/>
    <w:rsid w:val="4DDA6A5F"/>
    <w:rsid w:val="4DDB7205"/>
    <w:rsid w:val="4DDF772B"/>
    <w:rsid w:val="4DEB15AD"/>
    <w:rsid w:val="4DF87443"/>
    <w:rsid w:val="4E370600"/>
    <w:rsid w:val="4E435024"/>
    <w:rsid w:val="4E4E7E80"/>
    <w:rsid w:val="4E534A5B"/>
    <w:rsid w:val="4E5C5562"/>
    <w:rsid w:val="4E5F69A8"/>
    <w:rsid w:val="4E655726"/>
    <w:rsid w:val="4E723B5A"/>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5F23FF"/>
    <w:rsid w:val="506633AA"/>
    <w:rsid w:val="506716A8"/>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2D137E"/>
    <w:rsid w:val="51414399"/>
    <w:rsid w:val="515D5FD6"/>
    <w:rsid w:val="516A7012"/>
    <w:rsid w:val="51721A38"/>
    <w:rsid w:val="517D016D"/>
    <w:rsid w:val="51A45867"/>
    <w:rsid w:val="51AD7250"/>
    <w:rsid w:val="51CF1465"/>
    <w:rsid w:val="51D1247D"/>
    <w:rsid w:val="51EC4955"/>
    <w:rsid w:val="51F067B7"/>
    <w:rsid w:val="52077D46"/>
    <w:rsid w:val="52166C41"/>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236794"/>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21ACD"/>
    <w:rsid w:val="56097F90"/>
    <w:rsid w:val="56133E90"/>
    <w:rsid w:val="56474D43"/>
    <w:rsid w:val="564C1D1D"/>
    <w:rsid w:val="565F1E2E"/>
    <w:rsid w:val="56670F45"/>
    <w:rsid w:val="566F1BE2"/>
    <w:rsid w:val="567B004B"/>
    <w:rsid w:val="56825178"/>
    <w:rsid w:val="568F784B"/>
    <w:rsid w:val="569C0124"/>
    <w:rsid w:val="56A17AE8"/>
    <w:rsid w:val="56AF74A9"/>
    <w:rsid w:val="56C9634D"/>
    <w:rsid w:val="56D41BE8"/>
    <w:rsid w:val="56EC7A5D"/>
    <w:rsid w:val="56F4599D"/>
    <w:rsid w:val="570D0322"/>
    <w:rsid w:val="57180ACE"/>
    <w:rsid w:val="571B61B6"/>
    <w:rsid w:val="57213E7D"/>
    <w:rsid w:val="5723561B"/>
    <w:rsid w:val="572362C9"/>
    <w:rsid w:val="572F37C6"/>
    <w:rsid w:val="5736629C"/>
    <w:rsid w:val="57403653"/>
    <w:rsid w:val="57540996"/>
    <w:rsid w:val="57802A35"/>
    <w:rsid w:val="578C3658"/>
    <w:rsid w:val="57B66918"/>
    <w:rsid w:val="57BD6FCE"/>
    <w:rsid w:val="57D214D2"/>
    <w:rsid w:val="57DA1A42"/>
    <w:rsid w:val="58002D08"/>
    <w:rsid w:val="58057728"/>
    <w:rsid w:val="581D1F94"/>
    <w:rsid w:val="582529DF"/>
    <w:rsid w:val="582872BA"/>
    <w:rsid w:val="5829318A"/>
    <w:rsid w:val="582D7EE9"/>
    <w:rsid w:val="583343BB"/>
    <w:rsid w:val="583439B3"/>
    <w:rsid w:val="583B5787"/>
    <w:rsid w:val="586759C7"/>
    <w:rsid w:val="58B00812"/>
    <w:rsid w:val="58C07CA9"/>
    <w:rsid w:val="58DE5A38"/>
    <w:rsid w:val="58E77517"/>
    <w:rsid w:val="58FA7B16"/>
    <w:rsid w:val="58FB22A6"/>
    <w:rsid w:val="59003437"/>
    <w:rsid w:val="59182EE7"/>
    <w:rsid w:val="5921212C"/>
    <w:rsid w:val="59395687"/>
    <w:rsid w:val="596F472F"/>
    <w:rsid w:val="5974345D"/>
    <w:rsid w:val="597534AA"/>
    <w:rsid w:val="59951C91"/>
    <w:rsid w:val="59982867"/>
    <w:rsid w:val="59A11ED6"/>
    <w:rsid w:val="59A578B4"/>
    <w:rsid w:val="59AB0DFC"/>
    <w:rsid w:val="59C1557F"/>
    <w:rsid w:val="59C8615E"/>
    <w:rsid w:val="59E771C2"/>
    <w:rsid w:val="59E84659"/>
    <w:rsid w:val="59FF2575"/>
    <w:rsid w:val="5A344FB0"/>
    <w:rsid w:val="5A360707"/>
    <w:rsid w:val="5A482568"/>
    <w:rsid w:val="5A546ABE"/>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EE698B"/>
    <w:rsid w:val="5BF24E07"/>
    <w:rsid w:val="5BFB55EA"/>
    <w:rsid w:val="5C15792E"/>
    <w:rsid w:val="5C1A5869"/>
    <w:rsid w:val="5C2404DB"/>
    <w:rsid w:val="5C290BF2"/>
    <w:rsid w:val="5C4E1E1E"/>
    <w:rsid w:val="5C4F343B"/>
    <w:rsid w:val="5C6A79EB"/>
    <w:rsid w:val="5C912690"/>
    <w:rsid w:val="5C970365"/>
    <w:rsid w:val="5C9F632F"/>
    <w:rsid w:val="5CC35722"/>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CF699B"/>
    <w:rsid w:val="5DD45E20"/>
    <w:rsid w:val="5DD77F01"/>
    <w:rsid w:val="5DF376B4"/>
    <w:rsid w:val="5DF974C4"/>
    <w:rsid w:val="5E150E16"/>
    <w:rsid w:val="5E156702"/>
    <w:rsid w:val="5E2C3CE8"/>
    <w:rsid w:val="5E480DBB"/>
    <w:rsid w:val="5E532C32"/>
    <w:rsid w:val="5E635AF5"/>
    <w:rsid w:val="5E6B78B9"/>
    <w:rsid w:val="5E72530D"/>
    <w:rsid w:val="5E7B3471"/>
    <w:rsid w:val="5E811840"/>
    <w:rsid w:val="5EAC620C"/>
    <w:rsid w:val="5EB56E43"/>
    <w:rsid w:val="5EDB6E5E"/>
    <w:rsid w:val="5F050603"/>
    <w:rsid w:val="5F0F5BF5"/>
    <w:rsid w:val="5F1070E5"/>
    <w:rsid w:val="5F137093"/>
    <w:rsid w:val="5F475DFB"/>
    <w:rsid w:val="5F4A6912"/>
    <w:rsid w:val="5F954664"/>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3C7B08"/>
    <w:rsid w:val="6245212D"/>
    <w:rsid w:val="624B2E9D"/>
    <w:rsid w:val="62504ABA"/>
    <w:rsid w:val="62510C1A"/>
    <w:rsid w:val="62607DE0"/>
    <w:rsid w:val="62757089"/>
    <w:rsid w:val="62AE05DB"/>
    <w:rsid w:val="62B60A29"/>
    <w:rsid w:val="62BA5EE7"/>
    <w:rsid w:val="62F001D6"/>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407D1"/>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0324A"/>
    <w:rsid w:val="671F2137"/>
    <w:rsid w:val="67256725"/>
    <w:rsid w:val="672C3BD3"/>
    <w:rsid w:val="67441F0C"/>
    <w:rsid w:val="674465E9"/>
    <w:rsid w:val="67594618"/>
    <w:rsid w:val="675B3954"/>
    <w:rsid w:val="676B6466"/>
    <w:rsid w:val="678C37C4"/>
    <w:rsid w:val="678E6F61"/>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14CE1"/>
    <w:rsid w:val="6AB909BB"/>
    <w:rsid w:val="6ABA0C51"/>
    <w:rsid w:val="6ABD020C"/>
    <w:rsid w:val="6ADD6D64"/>
    <w:rsid w:val="6B0F06C2"/>
    <w:rsid w:val="6B2B6878"/>
    <w:rsid w:val="6B633F4F"/>
    <w:rsid w:val="6B70680D"/>
    <w:rsid w:val="6B816F14"/>
    <w:rsid w:val="6B8A298B"/>
    <w:rsid w:val="6B8A779B"/>
    <w:rsid w:val="6BAD6C20"/>
    <w:rsid w:val="6BB456BB"/>
    <w:rsid w:val="6BB62A44"/>
    <w:rsid w:val="6BC21359"/>
    <w:rsid w:val="6BD81D0A"/>
    <w:rsid w:val="6BE052CE"/>
    <w:rsid w:val="6BF2692A"/>
    <w:rsid w:val="6BF358A4"/>
    <w:rsid w:val="6C051F4E"/>
    <w:rsid w:val="6C096C12"/>
    <w:rsid w:val="6C1A5960"/>
    <w:rsid w:val="6C417EB8"/>
    <w:rsid w:val="6C613F45"/>
    <w:rsid w:val="6C756221"/>
    <w:rsid w:val="6C7B08BB"/>
    <w:rsid w:val="6C816AF9"/>
    <w:rsid w:val="6C846694"/>
    <w:rsid w:val="6CA841D2"/>
    <w:rsid w:val="6CAA6A3B"/>
    <w:rsid w:val="6CB10385"/>
    <w:rsid w:val="6CDF0F3A"/>
    <w:rsid w:val="6CE47854"/>
    <w:rsid w:val="6CE83694"/>
    <w:rsid w:val="6D0D25B8"/>
    <w:rsid w:val="6D1B642F"/>
    <w:rsid w:val="6D490A6B"/>
    <w:rsid w:val="6D582A6D"/>
    <w:rsid w:val="6D604FD1"/>
    <w:rsid w:val="6D635FBA"/>
    <w:rsid w:val="6D6534EB"/>
    <w:rsid w:val="6D6C0EA8"/>
    <w:rsid w:val="6D732F9C"/>
    <w:rsid w:val="6D9239A2"/>
    <w:rsid w:val="6DB664EE"/>
    <w:rsid w:val="6DBC6250"/>
    <w:rsid w:val="6DC64BAC"/>
    <w:rsid w:val="6DEF4A20"/>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6FFE142D"/>
    <w:rsid w:val="700D2412"/>
    <w:rsid w:val="70112883"/>
    <w:rsid w:val="70243856"/>
    <w:rsid w:val="702447A4"/>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033BAB"/>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267120"/>
    <w:rsid w:val="75453AE1"/>
    <w:rsid w:val="75573AC9"/>
    <w:rsid w:val="75595449"/>
    <w:rsid w:val="758B283A"/>
    <w:rsid w:val="75BD313A"/>
    <w:rsid w:val="75BF6D3D"/>
    <w:rsid w:val="75DC1EF4"/>
    <w:rsid w:val="75DC488F"/>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5D13B5"/>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82E15"/>
    <w:rsid w:val="7B496993"/>
    <w:rsid w:val="7B783675"/>
    <w:rsid w:val="7B796807"/>
    <w:rsid w:val="7BAC2D3A"/>
    <w:rsid w:val="7BAE3C97"/>
    <w:rsid w:val="7BB16076"/>
    <w:rsid w:val="7BB46DB9"/>
    <w:rsid w:val="7BC02341"/>
    <w:rsid w:val="7BD74454"/>
    <w:rsid w:val="7BE96DEC"/>
    <w:rsid w:val="7C021A51"/>
    <w:rsid w:val="7C033C13"/>
    <w:rsid w:val="7C041A0F"/>
    <w:rsid w:val="7C110306"/>
    <w:rsid w:val="7C1271CB"/>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773F98"/>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99"/>
    <w:pPr>
      <w:spacing w:beforeAutospacing="1" w:afterAutospacing="1"/>
      <w:textAlignment w:val="baseline"/>
    </w:pPr>
    <w:rPr>
      <w:rFonts w:ascii="宋体" w:hAnsi="宋体"/>
      <w:sz w:val="18"/>
      <w:szCs w:val="18"/>
    </w:rPr>
  </w:style>
  <w:style w:type="paragraph" w:styleId="3">
    <w:name w:val="toa heading"/>
    <w:basedOn w:val="1"/>
    <w:next w:val="1"/>
    <w:qFormat/>
    <w:uiPriority w:val="99"/>
    <w:pPr>
      <w:spacing w:before="120" w:after="200" w:line="276" w:lineRule="auto"/>
    </w:pPr>
    <w:rPr>
      <w:rFonts w:ascii="Arial" w:hAnsi="Arial"/>
      <w:sz w:val="24"/>
    </w:rPr>
  </w:style>
  <w:style w:type="paragraph" w:styleId="4">
    <w:name w:val="Body Text"/>
    <w:basedOn w:val="1"/>
    <w:next w:val="5"/>
    <w:qFormat/>
    <w:uiPriority w:val="0"/>
    <w:pPr>
      <w:spacing w:after="120"/>
    </w:pPr>
    <w:rPr>
      <w:rFonts w:ascii="Calibri" w:hAnsi="Calibri" w:eastAsia="仿宋_GB2312" w:cs="Times New Roman"/>
      <w:sz w:val="32"/>
      <w:szCs w:val="24"/>
    </w:rPr>
  </w:style>
  <w:style w:type="paragraph" w:customStyle="1" w:styleId="5">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w:basedOn w:val="4"/>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
    <w:basedOn w:val="1"/>
    <w:next w:val="14"/>
    <w:qFormat/>
    <w:uiPriority w:val="0"/>
    <w:pPr>
      <w:widowControl/>
      <w:spacing w:before="100" w:beforeAutospacing="1" w:after="120" w:line="560" w:lineRule="exact"/>
      <w:ind w:firstLine="640" w:firstLineChars="200"/>
      <w:textAlignment w:val="baseline"/>
    </w:pPr>
    <w:rPr>
      <w:rFonts w:ascii="Times New Roman" w:hAnsi="Times New Roman" w:eastAsia="宋体" w:cs="Times New Roman"/>
    </w:rPr>
  </w:style>
  <w:style w:type="paragraph" w:customStyle="1" w:styleId="14">
    <w:name w:val="UserStyle_0"/>
    <w:basedOn w:val="1"/>
    <w:qFormat/>
    <w:uiPriority w:val="0"/>
    <w:pPr>
      <w:spacing w:after="120"/>
      <w:ind w:firstLine="420" w:firstLineChars="100"/>
      <w:textAlignment w:val="baseline"/>
    </w:p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font21"/>
    <w:basedOn w:val="12"/>
    <w:qFormat/>
    <w:uiPriority w:val="0"/>
    <w:rPr>
      <w:rFonts w:hint="default" w:ascii="Times New Roman" w:hAnsi="Times New Roman" w:cs="Times New Roman"/>
      <w:color w:val="000000"/>
      <w:sz w:val="24"/>
      <w:szCs w:val="24"/>
      <w:u w:val="none"/>
    </w:rPr>
  </w:style>
  <w:style w:type="character" w:customStyle="1" w:styleId="17">
    <w:name w:val="font31"/>
    <w:basedOn w:val="12"/>
    <w:qFormat/>
    <w:uiPriority w:val="0"/>
    <w:rPr>
      <w:rFonts w:hint="default" w:ascii="仿宋_GB2312" w:eastAsia="仿宋_GB2312" w:cs="仿宋_GB2312"/>
      <w:color w:val="000000"/>
      <w:sz w:val="24"/>
      <w:szCs w:val="24"/>
      <w:u w:val="none"/>
    </w:rPr>
  </w:style>
  <w:style w:type="character" w:customStyle="1" w:styleId="18">
    <w:name w:val="font01"/>
    <w:basedOn w:val="12"/>
    <w:qFormat/>
    <w:uiPriority w:val="0"/>
    <w:rPr>
      <w:rFonts w:hint="default" w:ascii="仿宋_GB2312" w:eastAsia="仿宋_GB2312" w:cs="仿宋_GB2312"/>
      <w:color w:val="000000"/>
      <w:sz w:val="24"/>
      <w:szCs w:val="24"/>
      <w:u w:val="none"/>
    </w:rPr>
  </w:style>
  <w:style w:type="paragraph" w:customStyle="1" w:styleId="19">
    <w:name w:val="UserStyle_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560" w:lineRule="exact"/>
      <w:ind w:firstLine="640" w:firstLineChars="200"/>
      <w:jc w:val="center"/>
      <w:textAlignment w:val="baseline"/>
    </w:pPr>
    <w:rPr>
      <w:rFonts w:ascii="???-18030" w:hAnsi="???-18030" w:eastAsia="宋体" w:cs="???-18030"/>
      <w:kern w:val="0"/>
    </w:rPr>
  </w:style>
  <w:style w:type="paragraph" w:customStyle="1" w:styleId="20">
    <w:name w:val="正文1"/>
    <w:basedOn w:val="1"/>
    <w:qFormat/>
    <w:uiPriority w:val="0"/>
    <w:pPr>
      <w:widowControl/>
    </w:pPr>
    <w:rPr>
      <w:rFonts w:eastAsia="Times New Roman"/>
      <w:kern w:val="0"/>
      <w:szCs w:val="20"/>
      <w:lang w:val="zh-CN"/>
    </w:rPr>
  </w:style>
  <w:style w:type="character" w:customStyle="1" w:styleId="21">
    <w:name w:val="font1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8011</Words>
  <Characters>8978</Characters>
  <Lines>0</Lines>
  <Paragraphs>0</Paragraphs>
  <TotalTime>14</TotalTime>
  <ScaleCrop>false</ScaleCrop>
  <LinksUpToDate>false</LinksUpToDate>
  <CharactersWithSpaces>9404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necrolyte</cp:lastModifiedBy>
  <cp:lastPrinted>2023-08-28T06:36:00Z</cp:lastPrinted>
  <dcterms:modified xsi:type="dcterms:W3CDTF">2025-06-30T02:55:11Z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50306CC149C84F98BF850919EA3E5AFB_13</vt:lpwstr>
  </property>
</Properties>
</file>