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FF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479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CBA26B1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9C9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0403D9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77A5DA3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岳阳市岳阳楼区学院路中学</w:t>
            </w:r>
          </w:p>
        </w:tc>
      </w:tr>
      <w:tr w14:paraId="632E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722B3B7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68FB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9CBA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2023年实际在职人数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43A4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控制率</w:t>
            </w:r>
          </w:p>
        </w:tc>
      </w:tr>
      <w:tr w14:paraId="4D8F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380CB3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F73040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226C7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4F67D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2F9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587218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1AED2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2022年决算数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A21C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78D7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2023年决算数</w:t>
            </w:r>
          </w:p>
        </w:tc>
      </w:tr>
      <w:tr w14:paraId="459C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A8A56A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  <w:bookmarkEnd w:id="0"/>
          </w:p>
        </w:tc>
        <w:tc>
          <w:tcPr>
            <w:tcW w:w="1815" w:type="dxa"/>
            <w:gridSpan w:val="2"/>
            <w:noWrap w:val="0"/>
            <w:vAlign w:val="center"/>
          </w:tcPr>
          <w:p w14:paraId="65646D7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206F68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846A12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233A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4CF83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FDDCF6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AFA38F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BCA07F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0EB46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7168A2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A1502C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B228D5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054EB9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7D7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383A1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4FDAF7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7FB2E2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8E81D3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85D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A1B664A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B69136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02BE8E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F35111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DE4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1C2751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86D2A1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5B6A64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481BF4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070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3039DE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CB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215.03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424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6FCA0D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1385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25FE7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F79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215.03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1A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1CDB4F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6F5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BB218C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C6094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7C599A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AC4BC3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A94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C25691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95F86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8AE06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630EC6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071C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21D5C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30862F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2A5862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0A79C0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233E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37EEB2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BA1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D2F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84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112.13</w:t>
            </w:r>
          </w:p>
        </w:tc>
      </w:tr>
      <w:tr w14:paraId="42D4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BF9C6A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16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4F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3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12.74</w:t>
            </w:r>
          </w:p>
        </w:tc>
      </w:tr>
      <w:tr w14:paraId="703E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9C142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DAC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E46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5A5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</w:t>
            </w:r>
          </w:p>
        </w:tc>
      </w:tr>
      <w:tr w14:paraId="128A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3CD09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E8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401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center"/>
          </w:tcPr>
          <w:p w14:paraId="326A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</w:tr>
      <w:tr w14:paraId="4F3F8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3D46C4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467480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51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center"/>
          </w:tcPr>
          <w:p w14:paraId="54D6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92.42</w:t>
            </w:r>
          </w:p>
        </w:tc>
      </w:tr>
      <w:tr w14:paraId="664A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E00B3E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42DFB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9CD8D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880D3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42F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0C440D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598048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181FDE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批复规模</w:t>
            </w:r>
          </w:p>
          <w:p w14:paraId="7D3969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8DA15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实际规</w:t>
            </w:r>
          </w:p>
          <w:p w14:paraId="253061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模（m²）</w:t>
            </w:r>
          </w:p>
        </w:tc>
        <w:tc>
          <w:tcPr>
            <w:tcW w:w="1140" w:type="dxa"/>
            <w:noWrap w:val="0"/>
            <w:vAlign w:val="center"/>
          </w:tcPr>
          <w:p w14:paraId="24398B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8D20D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预算投资</w:t>
            </w:r>
          </w:p>
          <w:p w14:paraId="44BD80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10" w:type="dxa"/>
            <w:noWrap w:val="0"/>
            <w:vAlign w:val="center"/>
          </w:tcPr>
          <w:p w14:paraId="2EA089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实际</w:t>
            </w:r>
          </w:p>
          <w:p w14:paraId="626F1D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投资</w:t>
            </w:r>
          </w:p>
          <w:p w14:paraId="40899E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69" w:type="dxa"/>
            <w:noWrap w:val="0"/>
            <w:vAlign w:val="center"/>
          </w:tcPr>
          <w:p w14:paraId="30E8A4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投资概</w:t>
            </w:r>
          </w:p>
          <w:p w14:paraId="6E3F96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算控制</w:t>
            </w:r>
          </w:p>
          <w:p w14:paraId="300A29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率</w:t>
            </w:r>
          </w:p>
        </w:tc>
      </w:tr>
      <w:tr w14:paraId="58FEE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1B228E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DEF8AF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799CDC7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5149805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4182C0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0E009E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7ECBA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249C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75E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CB8FA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主动学习、提高认识、厉行节约、实行追责</w:t>
            </w:r>
          </w:p>
        </w:tc>
      </w:tr>
    </w:tbl>
    <w:p w14:paraId="3C2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3B58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EB7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538946E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3224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64690AF2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E628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center"/>
          </w:tcPr>
          <w:p w14:paraId="0DFEFE2C">
            <w:pPr>
              <w:spacing w:before="24" w:line="208" w:lineRule="auto"/>
              <w:ind w:left="120" w:firstLine="45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center"/>
          </w:tcPr>
          <w:p w14:paraId="300FD318">
            <w:pPr>
              <w:pStyle w:val="9"/>
              <w:spacing w:line="239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岳阳市岳阳楼区学院路中学</w:t>
            </w:r>
          </w:p>
        </w:tc>
      </w:tr>
      <w:tr w14:paraId="4E23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EA9A7F4">
            <w:pPr>
              <w:pStyle w:val="9"/>
              <w:spacing w:line="46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5FBCA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年度预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>算申请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A69D575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4543A3">
            <w:pPr>
              <w:spacing w:before="20" w:line="208" w:lineRule="auto"/>
              <w:ind w:left="1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center"/>
          </w:tcPr>
          <w:p w14:paraId="54124ED4">
            <w:pPr>
              <w:spacing w:before="20" w:line="208" w:lineRule="auto"/>
              <w:ind w:left="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center"/>
          </w:tcPr>
          <w:p w14:paraId="74418912">
            <w:pPr>
              <w:spacing w:before="20" w:line="20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716" w:type="dxa"/>
            <w:noWrap w:val="0"/>
            <w:vAlign w:val="center"/>
          </w:tcPr>
          <w:p w14:paraId="28445D99">
            <w:pPr>
              <w:spacing w:before="20" w:line="208" w:lineRule="auto"/>
              <w:ind w:left="16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634E9C38">
            <w:pPr>
              <w:spacing w:before="20" w:line="208" w:lineRule="auto"/>
              <w:ind w:left="14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50" w:type="dxa"/>
            <w:noWrap w:val="0"/>
            <w:vAlign w:val="center"/>
          </w:tcPr>
          <w:p w14:paraId="5CD40DD6">
            <w:pPr>
              <w:spacing w:before="20" w:line="208" w:lineRule="auto"/>
              <w:ind w:left="36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18C9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C80B4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793D0BDB">
            <w:pPr>
              <w:spacing w:before="20" w:line="208" w:lineRule="auto"/>
              <w:ind w:left="46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A5DDE1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1207.65</w:t>
            </w:r>
          </w:p>
        </w:tc>
        <w:tc>
          <w:tcPr>
            <w:tcW w:w="1310" w:type="dxa"/>
            <w:noWrap w:val="0"/>
            <w:vAlign w:val="center"/>
          </w:tcPr>
          <w:p w14:paraId="5F83C8B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1673.30</w:t>
            </w:r>
          </w:p>
        </w:tc>
        <w:tc>
          <w:tcPr>
            <w:tcW w:w="1268" w:type="dxa"/>
            <w:noWrap w:val="0"/>
            <w:vAlign w:val="center"/>
          </w:tcPr>
          <w:p w14:paraId="096BAF9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1673.30</w:t>
            </w:r>
          </w:p>
        </w:tc>
        <w:tc>
          <w:tcPr>
            <w:tcW w:w="716" w:type="dxa"/>
            <w:noWrap w:val="0"/>
            <w:vAlign w:val="center"/>
          </w:tcPr>
          <w:p w14:paraId="71E7FCF5">
            <w:pPr>
              <w:pStyle w:val="9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E33562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center"/>
          </w:tcPr>
          <w:p w14:paraId="7F5FD5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10CE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B8DD80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188BF2C">
            <w:pPr>
              <w:spacing w:before="22" w:line="206" w:lineRule="auto"/>
              <w:ind w:left="1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B0C5414">
            <w:pPr>
              <w:spacing w:before="22" w:line="206" w:lineRule="auto"/>
              <w:ind w:left="11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按支出性质分：</w:t>
            </w:r>
          </w:p>
        </w:tc>
      </w:tr>
      <w:tr w14:paraId="351C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917E91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26CAD30">
            <w:pPr>
              <w:spacing w:before="21" w:line="207" w:lineRule="auto"/>
              <w:ind w:left="31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一般公共预算：1240.80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9FCC920">
            <w:pPr>
              <w:spacing w:before="21" w:line="207" w:lineRule="auto"/>
              <w:ind w:left="11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其中：基本支出：1673.30</w:t>
            </w:r>
          </w:p>
        </w:tc>
      </w:tr>
      <w:tr w14:paraId="6D04A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19FAAA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E8E464B">
            <w:pPr>
              <w:spacing w:before="21" w:line="207" w:lineRule="auto"/>
              <w:ind w:left="91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013ED9A">
            <w:pPr>
              <w:spacing w:before="21" w:line="207" w:lineRule="auto"/>
              <w:ind w:left="71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项目支出：</w:t>
            </w:r>
          </w:p>
        </w:tc>
      </w:tr>
      <w:tr w14:paraId="2BD6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428D68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4201F6F">
            <w:pPr>
              <w:spacing w:before="20" w:line="208" w:lineRule="auto"/>
              <w:ind w:left="1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F0C91E2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6A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53CD73F0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BE5F9E9">
            <w:pPr>
              <w:spacing w:before="20" w:line="208" w:lineRule="auto"/>
              <w:ind w:left="151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其他资金：432.50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E3D752A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D9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3136552">
            <w:pPr>
              <w:pStyle w:val="9"/>
              <w:spacing w:line="242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267D61">
            <w:pPr>
              <w:pStyle w:val="9"/>
              <w:spacing w:line="24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278C84">
            <w:pPr>
              <w:spacing w:before="62" w:line="230" w:lineRule="auto"/>
              <w:ind w:left="382" w:right="139" w:hanging="2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 w14:paraId="3607D784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C20A9EB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73981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8DE99C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49D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目标1：加强队伍建设。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</w:p>
          <w:p w14:paraId="0298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目标2：抓实常规管理。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</w:p>
          <w:p w14:paraId="42C8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目标3：加强教学管理。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</w:p>
          <w:p w14:paraId="34505ED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目标4：注重德育实效。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ab/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462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</w:p>
          <w:p w14:paraId="7AD8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目标2：着力打造平安、文明、洁净、和谐的校园环境。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</w:p>
          <w:p w14:paraId="37ED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目标3：认真做好每月的教育质量调研与指导工作。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</w:p>
          <w:p w14:paraId="7B8ADDF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目标4：开展行之有效的德育活动。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285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AB973E9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EBAC69">
            <w:pPr>
              <w:spacing w:before="64" w:line="216" w:lineRule="auto"/>
              <w:ind w:left="3168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770B2CC3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6FCC154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472BF12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02CA314D">
            <w:pPr>
              <w:spacing w:before="141" w:line="226" w:lineRule="auto"/>
              <w:ind w:left="114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D6A8300">
            <w:pPr>
              <w:spacing w:before="141" w:line="226" w:lineRule="auto"/>
              <w:ind w:left="125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FC08DB4">
            <w:pPr>
              <w:spacing w:before="141" w:line="227" w:lineRule="auto"/>
              <w:ind w:left="166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7EFEFE2">
            <w:pPr>
              <w:spacing w:before="174" w:line="218" w:lineRule="auto"/>
              <w:ind w:left="15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25A2F17">
            <w:pPr>
              <w:spacing w:before="21" w:line="220" w:lineRule="auto"/>
              <w:ind w:left="111" w:leftChars="0" w:right="109" w:rightChars="0" w:firstLine="1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06F75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8FD77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5F7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1082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7C04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2AB2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在校学生1007人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3089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1007人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50D7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582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428D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C62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6CC66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90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FF64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 w14:paraId="33FC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6DBD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在职72人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73EB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72人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112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5A2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25A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DE3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4BCB0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4F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51982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 w14:paraId="107102F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444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退休11人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751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11人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3FB7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16C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52F7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041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DB751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25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711CC8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4014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29B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≧2次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7B7A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01E2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464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110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C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3F75B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F7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center"/>
          </w:tcPr>
          <w:p w14:paraId="7960D5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3E96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5290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3F4F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30E1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3BE3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A90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39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DCAC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B4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6E5C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0E08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初中生毕业率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2531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≧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0AD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FF6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64DB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5F8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529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BE4EC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24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B9236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A71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师德师风学习次数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067E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273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F5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4913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0456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62A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D6FE3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1E62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27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推门听课活动覆盖率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23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≧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5B9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400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0B3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643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ED9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A1C89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44DA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FF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校园事故发生率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98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≦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63BB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≦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11E9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77D0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E3A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6FE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7182B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042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F7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0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安全教育宣传覆盖率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9AA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≧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45E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2EE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080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48FF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7B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816B9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36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1B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5D6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4D16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11DA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444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7CE1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7D85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5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958B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B3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997B7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8E0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590B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33C2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59A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2FC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692D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3F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44C98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3ED8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5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932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6C6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448D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1F3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2FF4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4E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8F887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82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60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64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52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E40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</w:t>
            </w:r>
          </w:p>
          <w:p w14:paraId="7E49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CE8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shd w:val="clear" w:color="auto" w:fill="auto"/>
            <w:noWrap w:val="0"/>
            <w:vAlign w:val="center"/>
          </w:tcPr>
          <w:p w14:paraId="042E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7028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253C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4531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 w14:paraId="656B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46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57605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</w:t>
            </w:r>
          </w:p>
          <w:p w14:paraId="2EA6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7048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vMerge w:val="restart"/>
            <w:shd w:val="clear" w:color="auto" w:fill="auto"/>
            <w:noWrap w:val="0"/>
            <w:vAlign w:val="center"/>
          </w:tcPr>
          <w:p w14:paraId="002C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vMerge w:val="restart"/>
            <w:shd w:val="clear" w:color="auto" w:fill="auto"/>
            <w:noWrap w:val="0"/>
            <w:vAlign w:val="center"/>
          </w:tcPr>
          <w:p w14:paraId="7D4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0D91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12B0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6A2E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13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31799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4F41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310" w:type="dxa"/>
            <w:vMerge w:val="continue"/>
            <w:shd w:val="clear" w:color="auto" w:fill="auto"/>
            <w:noWrap w:val="0"/>
            <w:vAlign w:val="center"/>
          </w:tcPr>
          <w:p w14:paraId="5CFE000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268" w:type="dxa"/>
            <w:vMerge w:val="continue"/>
            <w:shd w:val="clear" w:color="auto" w:fill="auto"/>
            <w:noWrap w:val="0"/>
            <w:vAlign w:val="center"/>
          </w:tcPr>
          <w:p w14:paraId="554EEA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2EF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636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0FE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56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83D74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D4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3A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vMerge w:val="continue"/>
            <w:shd w:val="clear" w:color="auto" w:fill="auto"/>
            <w:noWrap w:val="0"/>
            <w:vAlign w:val="center"/>
          </w:tcPr>
          <w:p w14:paraId="6B0B88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268" w:type="dxa"/>
            <w:vMerge w:val="continue"/>
            <w:shd w:val="clear" w:color="auto" w:fill="auto"/>
            <w:noWrap w:val="0"/>
            <w:vAlign w:val="center"/>
          </w:tcPr>
          <w:p w14:paraId="648F70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5F49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600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0997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C0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54236C5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B1CB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A8E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</w:t>
            </w:r>
          </w:p>
          <w:p w14:paraId="3E38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EC9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改善体育场地优化校园环境</w:t>
            </w:r>
          </w:p>
        </w:tc>
        <w:tc>
          <w:tcPr>
            <w:tcW w:w="1310" w:type="dxa"/>
            <w:noWrap w:val="0"/>
            <w:vAlign w:val="center"/>
          </w:tcPr>
          <w:p w14:paraId="2B7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5415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26D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ED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12C9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51A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6F3DEA6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E75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B9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</w:t>
            </w:r>
          </w:p>
          <w:p w14:paraId="3FB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08CD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促进教育发展</w:t>
            </w:r>
          </w:p>
        </w:tc>
        <w:tc>
          <w:tcPr>
            <w:tcW w:w="1310" w:type="dxa"/>
            <w:noWrap w:val="0"/>
            <w:vAlign w:val="center"/>
          </w:tcPr>
          <w:p w14:paraId="6D6D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569E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3AC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47F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3870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457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004DACD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 w14:paraId="4B93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023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F49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vMerge w:val="restart"/>
            <w:noWrap w:val="0"/>
            <w:vAlign w:val="center"/>
          </w:tcPr>
          <w:p w14:paraId="3D40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A47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6C6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7E4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学生对学校管理满意度</w:t>
            </w:r>
          </w:p>
        </w:tc>
        <w:tc>
          <w:tcPr>
            <w:tcW w:w="1310" w:type="dxa"/>
            <w:noWrap w:val="0"/>
            <w:vAlign w:val="center"/>
          </w:tcPr>
          <w:p w14:paraId="0342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729B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6" w:type="dxa"/>
            <w:noWrap w:val="0"/>
            <w:vAlign w:val="center"/>
          </w:tcPr>
          <w:p w14:paraId="7E7B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0E8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0DF2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42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1F620DE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8BF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noWrap w:val="0"/>
            <w:vAlign w:val="center"/>
          </w:tcPr>
          <w:p w14:paraId="3B5A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0C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家长对学校管理满意度</w:t>
            </w:r>
          </w:p>
        </w:tc>
        <w:tc>
          <w:tcPr>
            <w:tcW w:w="1310" w:type="dxa"/>
            <w:noWrap w:val="0"/>
            <w:vAlign w:val="center"/>
          </w:tcPr>
          <w:p w14:paraId="067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0E10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6CE3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21C8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4DFB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1FC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1F61EA2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3A60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noWrap w:val="0"/>
            <w:vAlign w:val="center"/>
          </w:tcPr>
          <w:p w14:paraId="19F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1D6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社区满意度</w:t>
            </w:r>
          </w:p>
        </w:tc>
        <w:tc>
          <w:tcPr>
            <w:tcW w:w="1310" w:type="dxa"/>
            <w:noWrap w:val="0"/>
            <w:vAlign w:val="center"/>
          </w:tcPr>
          <w:p w14:paraId="0DA4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4D2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4A0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15FE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149A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560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500BF7D1">
            <w:pPr>
              <w:spacing w:before="41" w:line="221" w:lineRule="auto"/>
              <w:ind w:left="334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7DAF28C8">
            <w:pPr>
              <w:spacing w:before="75" w:line="195" w:lineRule="auto"/>
              <w:ind w:left="23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203C0BC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042F72D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24E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3EA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0E1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pStyle w:val="9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pStyle w:val="9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highlight w:val="none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highlight w:val="none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pStyle w:val="9"/>
              <w:spacing w:line="36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  <w:highlight w:val="none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highlight w:val="none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pStyle w:val="9"/>
              <w:spacing w:line="25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7FD12200">
            <w:pPr>
              <w:pStyle w:val="9"/>
              <w:spacing w:line="25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28093285">
            <w:pPr>
              <w:pStyle w:val="9"/>
              <w:spacing w:line="25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209689E1">
            <w:pPr>
              <w:pStyle w:val="9"/>
              <w:spacing w:line="257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  <w:highlight w:val="none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highlight w:val="none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pStyle w:val="9"/>
              <w:spacing w:line="315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31068CA8">
            <w:pPr>
              <w:pStyle w:val="9"/>
              <w:spacing w:line="315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2149BAA9">
            <w:pPr>
              <w:pStyle w:val="9"/>
              <w:spacing w:line="315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  <w:highlight w:val="none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highlight w:val="none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  <w:highlight w:val="none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highlight w:val="none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pStyle w:val="9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pStyle w:val="9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24C9B2B6">
      <w:pPr>
        <w:pStyle w:val="3"/>
        <w:spacing w:before="232" w:line="228" w:lineRule="auto"/>
        <w:ind w:left="575"/>
        <w:rPr>
          <w:sz w:val="17"/>
          <w:szCs w:val="17"/>
        </w:rPr>
      </w:pPr>
    </w:p>
    <w:p w14:paraId="3148092F">
      <w:pPr>
        <w:spacing w:line="217" w:lineRule="auto"/>
        <w:rPr>
          <w:sz w:val="22"/>
          <w:szCs w:val="22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BE1280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7B28D306">
      <w:pPr>
        <w:spacing w:line="250" w:lineRule="auto"/>
        <w:rPr>
          <w:rFonts w:ascii="Arial"/>
          <w:sz w:val="21"/>
        </w:rPr>
      </w:pPr>
    </w:p>
    <w:p w14:paraId="61980495">
      <w:pPr>
        <w:spacing w:line="250" w:lineRule="auto"/>
        <w:rPr>
          <w:rFonts w:ascii="Arial"/>
          <w:sz w:val="21"/>
        </w:rPr>
      </w:pPr>
    </w:p>
    <w:p w14:paraId="79741F09">
      <w:pPr>
        <w:spacing w:line="250" w:lineRule="auto"/>
        <w:rPr>
          <w:rFonts w:ascii="Arial"/>
          <w:sz w:val="21"/>
        </w:rPr>
      </w:pPr>
    </w:p>
    <w:p w14:paraId="63E794EA">
      <w:pPr>
        <w:spacing w:line="250" w:lineRule="auto"/>
        <w:rPr>
          <w:rFonts w:ascii="Arial"/>
          <w:sz w:val="21"/>
        </w:rPr>
      </w:pPr>
    </w:p>
    <w:p w14:paraId="38D99349">
      <w:pPr>
        <w:spacing w:line="251" w:lineRule="auto"/>
        <w:rPr>
          <w:rFonts w:ascii="Arial"/>
          <w:sz w:val="21"/>
        </w:rPr>
      </w:pPr>
    </w:p>
    <w:p w14:paraId="4B2025F8">
      <w:pPr>
        <w:spacing w:line="251" w:lineRule="auto"/>
        <w:rPr>
          <w:rFonts w:ascii="Arial"/>
          <w:sz w:val="21"/>
        </w:rPr>
      </w:pPr>
    </w:p>
    <w:p w14:paraId="1874465D">
      <w:pPr>
        <w:spacing w:line="251" w:lineRule="auto"/>
        <w:rPr>
          <w:rFonts w:ascii="Arial"/>
          <w:sz w:val="21"/>
        </w:rPr>
      </w:pPr>
    </w:p>
    <w:p w14:paraId="29187D2A">
      <w:pPr>
        <w:spacing w:line="251" w:lineRule="auto"/>
        <w:rPr>
          <w:rFonts w:ascii="Arial"/>
          <w:sz w:val="21"/>
        </w:rPr>
      </w:pPr>
    </w:p>
    <w:p w14:paraId="66BA991C">
      <w:pPr>
        <w:spacing w:line="251" w:lineRule="auto"/>
        <w:rPr>
          <w:rFonts w:ascii="Arial"/>
          <w:sz w:val="21"/>
        </w:rPr>
      </w:pPr>
    </w:p>
    <w:p w14:paraId="35E7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岳阳市岳阳楼区学院路中学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3AD04F49">
      <w:pPr>
        <w:spacing w:line="243" w:lineRule="auto"/>
        <w:rPr>
          <w:rFonts w:ascii="Arial"/>
          <w:sz w:val="21"/>
        </w:rPr>
      </w:pPr>
    </w:p>
    <w:p w14:paraId="2BAB36BC">
      <w:pPr>
        <w:spacing w:line="243" w:lineRule="auto"/>
        <w:rPr>
          <w:rFonts w:ascii="Arial"/>
          <w:sz w:val="21"/>
        </w:rPr>
      </w:pPr>
    </w:p>
    <w:p w14:paraId="4233B31B">
      <w:pPr>
        <w:spacing w:line="243" w:lineRule="auto"/>
        <w:rPr>
          <w:rFonts w:ascii="Arial"/>
          <w:sz w:val="21"/>
        </w:rPr>
      </w:pPr>
    </w:p>
    <w:p w14:paraId="05213008">
      <w:pPr>
        <w:spacing w:line="243" w:lineRule="auto"/>
        <w:rPr>
          <w:rFonts w:ascii="Arial"/>
          <w:sz w:val="21"/>
        </w:rPr>
      </w:pPr>
    </w:p>
    <w:p w14:paraId="16F9D63F">
      <w:pPr>
        <w:spacing w:line="243" w:lineRule="auto"/>
        <w:rPr>
          <w:rFonts w:ascii="Arial"/>
          <w:sz w:val="21"/>
        </w:rPr>
      </w:pPr>
    </w:p>
    <w:p w14:paraId="6B2190E9">
      <w:pPr>
        <w:spacing w:line="243" w:lineRule="auto"/>
        <w:rPr>
          <w:rFonts w:ascii="Arial"/>
          <w:sz w:val="21"/>
        </w:rPr>
      </w:pPr>
    </w:p>
    <w:p w14:paraId="633FE1B0">
      <w:pPr>
        <w:spacing w:line="243" w:lineRule="auto"/>
        <w:rPr>
          <w:rFonts w:ascii="Arial"/>
          <w:sz w:val="21"/>
        </w:rPr>
      </w:pPr>
    </w:p>
    <w:p w14:paraId="6654AE67">
      <w:pPr>
        <w:spacing w:line="243" w:lineRule="auto"/>
        <w:rPr>
          <w:rFonts w:ascii="Arial"/>
          <w:sz w:val="21"/>
        </w:rPr>
      </w:pPr>
    </w:p>
    <w:p w14:paraId="62E5DC98">
      <w:pPr>
        <w:spacing w:line="243" w:lineRule="auto"/>
        <w:rPr>
          <w:rFonts w:ascii="Arial"/>
          <w:sz w:val="21"/>
        </w:rPr>
      </w:pPr>
    </w:p>
    <w:p w14:paraId="57FF3AD0">
      <w:pPr>
        <w:spacing w:line="243" w:lineRule="auto"/>
        <w:rPr>
          <w:rFonts w:ascii="Arial"/>
          <w:sz w:val="21"/>
        </w:rPr>
      </w:pPr>
    </w:p>
    <w:p w14:paraId="12B87FAF">
      <w:pPr>
        <w:spacing w:line="243" w:lineRule="auto"/>
        <w:rPr>
          <w:rFonts w:ascii="Arial"/>
          <w:sz w:val="21"/>
        </w:rPr>
      </w:pPr>
    </w:p>
    <w:p w14:paraId="7018F7E6">
      <w:pPr>
        <w:spacing w:line="243" w:lineRule="auto"/>
        <w:rPr>
          <w:rFonts w:ascii="Arial"/>
          <w:sz w:val="21"/>
        </w:rPr>
      </w:pPr>
    </w:p>
    <w:p w14:paraId="7119B2FF">
      <w:pPr>
        <w:spacing w:line="243" w:lineRule="auto"/>
        <w:rPr>
          <w:rFonts w:ascii="Arial"/>
          <w:sz w:val="21"/>
        </w:rPr>
      </w:pPr>
    </w:p>
    <w:p w14:paraId="6A8E0009">
      <w:pPr>
        <w:spacing w:line="243" w:lineRule="auto"/>
        <w:rPr>
          <w:rFonts w:ascii="Arial"/>
          <w:sz w:val="21"/>
        </w:rPr>
      </w:pPr>
    </w:p>
    <w:p w14:paraId="29BA8414">
      <w:pPr>
        <w:spacing w:line="243" w:lineRule="auto"/>
        <w:rPr>
          <w:rFonts w:ascii="Arial"/>
          <w:sz w:val="21"/>
        </w:rPr>
      </w:pPr>
    </w:p>
    <w:p w14:paraId="43B85E0A">
      <w:pPr>
        <w:spacing w:line="243" w:lineRule="auto"/>
        <w:rPr>
          <w:rFonts w:ascii="Arial"/>
          <w:sz w:val="21"/>
        </w:rPr>
      </w:pPr>
    </w:p>
    <w:p w14:paraId="20271E53">
      <w:pPr>
        <w:spacing w:line="243" w:lineRule="auto"/>
        <w:rPr>
          <w:rFonts w:ascii="Arial"/>
          <w:sz w:val="21"/>
        </w:rPr>
      </w:pPr>
    </w:p>
    <w:p w14:paraId="1A541440">
      <w:pPr>
        <w:spacing w:line="243" w:lineRule="auto"/>
        <w:rPr>
          <w:rFonts w:ascii="Arial"/>
          <w:sz w:val="21"/>
        </w:rPr>
      </w:pPr>
    </w:p>
    <w:p w14:paraId="4739C9C7">
      <w:pPr>
        <w:spacing w:line="243" w:lineRule="auto"/>
        <w:rPr>
          <w:rFonts w:ascii="Arial"/>
          <w:sz w:val="21"/>
        </w:rPr>
      </w:pPr>
    </w:p>
    <w:p w14:paraId="7E2A73ED">
      <w:pPr>
        <w:spacing w:line="243" w:lineRule="auto"/>
        <w:rPr>
          <w:rFonts w:ascii="Arial"/>
          <w:sz w:val="21"/>
        </w:rPr>
      </w:pPr>
    </w:p>
    <w:p w14:paraId="3B59A2FE">
      <w:pPr>
        <w:spacing w:line="243" w:lineRule="auto"/>
        <w:rPr>
          <w:rFonts w:ascii="Arial"/>
          <w:sz w:val="21"/>
        </w:rPr>
      </w:pPr>
    </w:p>
    <w:p w14:paraId="7E9ABF14">
      <w:pPr>
        <w:spacing w:line="243" w:lineRule="auto"/>
        <w:rPr>
          <w:rFonts w:ascii="Arial"/>
          <w:sz w:val="21"/>
        </w:rPr>
      </w:pPr>
    </w:p>
    <w:p w14:paraId="0B5A8EBA">
      <w:pPr>
        <w:spacing w:line="243" w:lineRule="auto"/>
        <w:rPr>
          <w:rFonts w:ascii="Arial"/>
          <w:sz w:val="21"/>
        </w:rPr>
      </w:pPr>
    </w:p>
    <w:p w14:paraId="07996EE2">
      <w:pPr>
        <w:spacing w:line="243" w:lineRule="auto"/>
        <w:rPr>
          <w:rFonts w:ascii="Arial"/>
          <w:sz w:val="21"/>
        </w:rPr>
      </w:pPr>
    </w:p>
    <w:p w14:paraId="28B19244">
      <w:pPr>
        <w:spacing w:line="243" w:lineRule="auto"/>
        <w:rPr>
          <w:rFonts w:ascii="Arial"/>
          <w:sz w:val="21"/>
        </w:rPr>
      </w:pPr>
    </w:p>
    <w:p w14:paraId="6DA6C155">
      <w:pPr>
        <w:spacing w:line="244" w:lineRule="auto"/>
        <w:rPr>
          <w:rFonts w:ascii="Arial"/>
          <w:sz w:val="21"/>
        </w:rPr>
      </w:pPr>
    </w:p>
    <w:p w14:paraId="62C13856">
      <w:pPr>
        <w:spacing w:line="244" w:lineRule="auto"/>
        <w:rPr>
          <w:rFonts w:ascii="Arial"/>
          <w:sz w:val="21"/>
        </w:rPr>
      </w:pPr>
    </w:p>
    <w:p w14:paraId="5CC860F7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8EEE8E5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F949197">
      <w:pPr>
        <w:spacing w:line="335" w:lineRule="auto"/>
        <w:rPr>
          <w:rFonts w:ascii="Arial"/>
          <w:sz w:val="21"/>
        </w:rPr>
      </w:pPr>
    </w:p>
    <w:p w14:paraId="10EB10AC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2C29ED8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5EC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岳阳市岳阳楼区学院路中学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C7DB330">
      <w:pPr>
        <w:spacing w:line="283" w:lineRule="auto"/>
        <w:rPr>
          <w:rFonts w:ascii="Arial"/>
          <w:sz w:val="21"/>
        </w:rPr>
      </w:pPr>
    </w:p>
    <w:p w14:paraId="3106F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333B3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（一）学校基本情况</w:t>
      </w:r>
    </w:p>
    <w:p w14:paraId="27E1B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我校隶属岳阳楼区教育局直属事业单位，组织机构1个，为财政全额补助拨款单位，按要求实施财务独立核算。现有在职在编教职工72人，退休11人，年末在校学生数为1007人。</w:t>
      </w:r>
    </w:p>
    <w:p w14:paraId="6C07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（二）学校职能职责</w:t>
      </w:r>
    </w:p>
    <w:p w14:paraId="6187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1、宣传贯彻执行党和国家的教育方针、政策、法律法规等，坚持依法治教、依法治学，贯彻执行岳阳楼区教育局的行政规章制度。 </w:t>
      </w:r>
    </w:p>
    <w:p w14:paraId="2B92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2、维护学校的教学秩序，为学生创造良好的学习环境。</w:t>
      </w:r>
    </w:p>
    <w:p w14:paraId="774D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3、积极稳妥地推进教育改革，按教育规律办事，不断提高教育质量。</w:t>
      </w:r>
    </w:p>
    <w:p w14:paraId="559F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4、根据学校规模，设置学校管理机构，建立健全各项规章制度和岗位责任制。</w:t>
      </w:r>
    </w:p>
    <w:p w14:paraId="5E6F5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5、坚持教书育人，服务育人，环境育人方针，加强对学生的思想品德教育，使学生的德智体全面发展。</w:t>
      </w:r>
    </w:p>
    <w:p w14:paraId="4149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6、抓好教师队伍建设，使每个教师都热心于教育事业。 </w:t>
      </w:r>
    </w:p>
    <w:p w14:paraId="418D7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7、做好安全防范，保证学生的人身安全</w:t>
      </w:r>
    </w:p>
    <w:p w14:paraId="2033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252B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4476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基本支出2023年度总支出1,240.8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</w:t>
      </w:r>
    </w:p>
    <w:p w14:paraId="329DC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人员经费1,128.68万元：包括基本工资388.08万元；津贴补贴2.21万元；奖金163.70万元；伙食补助费0万元；绩效工资251.49万元；机关事业单位基本养老保险缴费118.40万元；职业年金缴费0万元；职工基本医疗保险缴费48.74万元；公务员医疗补助缴费0万元；其他社会保障缴费10.54万元；住房公积金88.99万元；医疗费0万元；其他工资福利支出24.57万元；离休费0万元；退休费25.73万元；抚恤金0.83万元；生活补助0万元；医疗费补助0万元；助学金0万元；奖励金3.27万元；其他对个人和家庭的补助2.13万元。</w:t>
      </w:r>
    </w:p>
    <w:p w14:paraId="0D29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公用经费112.1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：包括办公费12.74万元；印刷费16.61万元；咨询费0万元；手续费0万元；水费1.63万元；电费4.21万元；邮电费0万元；物业管理费3.01万元；差旅费0万元；维修（护）费25.71万元；租赁费0万元；会议费1.40万元；培训费5.23万元；公务接待费0万元；专用材料费5.15万元；劳务费1.09万元；委托业务费0.68万元；工会经费4.38万元；福利费0万元；其他交通费用0.24万元；其他商品和服务支出22.7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万元；办公设备购置4.95万元；专用设备购置0.36万元；其他资本性支出1.95万元。</w:t>
      </w:r>
    </w:p>
    <w:p w14:paraId="02D2A3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6208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单位2023年度项目支出0万元。</w:t>
      </w:r>
    </w:p>
    <w:p w14:paraId="340A1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政府性基金预算支出情况</w:t>
      </w:r>
    </w:p>
    <w:p w14:paraId="6244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本单位2023年度政府性基金预算支出0万元。</w:t>
      </w:r>
    </w:p>
    <w:p w14:paraId="1FEAB8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68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position w:val="21"/>
          <w:sz w:val="32"/>
          <w:szCs w:val="32"/>
          <w:highlight w:val="none"/>
        </w:rPr>
        <w:t>国有资本经营预算支出情况</w:t>
      </w:r>
    </w:p>
    <w:p w14:paraId="1C17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本单位2023年度国有资本经营预算支出0万元。</w:t>
      </w:r>
    </w:p>
    <w:p w14:paraId="20147D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社会保险基金预算支出情况</w:t>
      </w:r>
    </w:p>
    <w:p w14:paraId="070B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本单位2023年度社会保险基金预算支出0万元。</w:t>
      </w:r>
    </w:p>
    <w:p w14:paraId="5C54B8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10D2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2023年，我校在区教育局的正确领导下，紧紧围绕岳阳楼区教育高质量发展大局，规范管理，全面提升发展质量，为校庆三十周年献礼。</w:t>
      </w:r>
    </w:p>
    <w:p w14:paraId="0282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（一）产出指标完成情况分析</w:t>
      </w:r>
    </w:p>
    <w:p w14:paraId="0271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1、数量指标</w:t>
      </w:r>
    </w:p>
    <w:p w14:paraId="2A77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本年度，学校完成在校1007名学生的德智体美劳全面培养与教育。足额发放在职教职工工资奖金及福利待遇。</w:t>
      </w:r>
    </w:p>
    <w:p w14:paraId="6673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2、质量指标</w:t>
      </w:r>
    </w:p>
    <w:p w14:paraId="50E4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坚持科学教育质量观，全面提升教学质量。全年召开了“谋发展群策群力，新课改引领教研”为主题的教研组、学科组长会议；九年级班科联系会；毕业学科教师联系会；各年级班科联系会等。</w:t>
      </w:r>
    </w:p>
    <w:p w14:paraId="5BA5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抓好教学常规，健全教学管理。坚持以备、教、改、辅、考、评、研等环节的规范化为抓手，不断提高课堂教学效率与活力。本年度共进行了6次教学常规检查，用视频展示检查结果，并在教师大会上进行点评。</w:t>
      </w:r>
    </w:p>
    <w:p w14:paraId="06C44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加强教学教研，探索课堂改革。充分发挥骨干教师的示范、带动作用，通过全体骨干教师开展公开课、优质课展示，为教师相互学习提供平台，为促进青年教师迅速成长搭建舞台。本年度共进行了两轮公开教研活动。</w:t>
      </w:r>
    </w:p>
    <w:p w14:paraId="32503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加强考试管理，认真抓好考风考纪建设。各项组考严格按照中考要求，设考务办公室，监考教师上交手机等。</w:t>
      </w:r>
    </w:p>
    <w:p w14:paraId="3C9A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成立“九中教育集团·学院路中学”，推动集团化办学，实现楼区教育高质量发展，办好老百姓家门口的学校。</w:t>
      </w:r>
    </w:p>
    <w:p w14:paraId="2421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3、时效指标</w:t>
      </w:r>
    </w:p>
    <w:p w14:paraId="3EBD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资金严格按照预算及实际情况时间节点发放至教职员工。</w:t>
      </w:r>
    </w:p>
    <w:p w14:paraId="5A04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4、成本指标</w:t>
      </w:r>
    </w:p>
    <w:p w14:paraId="009C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全年经费开支控制在预算以内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</w:p>
    <w:p w14:paraId="6AC7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（二）效益指标完成情况分析</w:t>
      </w:r>
    </w:p>
    <w:p w14:paraId="1EA6C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1、经济效益</w:t>
      </w:r>
    </w:p>
    <w:p w14:paraId="0624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不适用。 </w:t>
      </w:r>
    </w:p>
    <w:p w14:paraId="0B8A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2、社会效益</w:t>
      </w:r>
    </w:p>
    <w:p w14:paraId="2A24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开展“温暖三月，浓情相伴”三八节游园团建活动，别具一格的节庆方式，让老师们感受到了学校对她们的关心和重视，老师们纷纷表示，将以更加饱满的热情，更良好的状态投入到工作中去；开展“奋进新时代，青春正当时”五四主题活动，校长、书记代表学校传达对青年教师的关心和爱护，对他们的发展提出了若干建议；开展行政、班主任团队建设活动。这些工作增强了组织的活力和凝聚力，为我校教育教学开展起到了保驾护航的作用。</w:t>
      </w:r>
    </w:p>
    <w:p w14:paraId="3BC3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3、生态效益</w:t>
      </w:r>
    </w:p>
    <w:p w14:paraId="445F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积极开展生态环境保护教育，教职工及学生的生态环境保护意识有所提升。</w:t>
      </w:r>
    </w:p>
    <w:p w14:paraId="5CBB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4、可持续影响</w:t>
      </w:r>
    </w:p>
    <w:p w14:paraId="116D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全年慰问教职工18人次，发放慰问金1.8万元。发放教师福利17.28万元，退休教师慰问9人次，发放慰问金4500元。教师节表彰奖励11名从教三十周年教师。</w:t>
      </w:r>
    </w:p>
    <w:p w14:paraId="5D8E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5、社会公众满意度</w:t>
      </w:r>
    </w:p>
    <w:p w14:paraId="2994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社会公众满意度98%，家长满意度98%，学生满意度96%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655624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334E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1.预算编制工作有待细化。预算编制不够明确和细化，预算编制的合理性需要提高，预算执行力度还要进一步加强。</w:t>
      </w:r>
    </w:p>
    <w:p w14:paraId="7254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2.因单位全额编制少导致经费不足，绩效工资和日常公用经费与实际支出相差较大。</w:t>
      </w:r>
    </w:p>
    <w:p w14:paraId="75AA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3.公用经费控制有一定难度，基本为刚性支出。</w:t>
      </w:r>
    </w:p>
    <w:p w14:paraId="6E78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4.因部分指标到账不及时，导致有些经费不能按照科目支出。如安保经费、代课老师工资存在挪用其他指标支付的情况。</w:t>
      </w:r>
    </w:p>
    <w:p w14:paraId="00B7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八、下一步改进措施</w:t>
      </w:r>
    </w:p>
    <w:p w14:paraId="235C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针对上述存在的问题及对外整体支出管理工作的需要，拟实施的改进措施如下：</w:t>
      </w:r>
    </w:p>
    <w:p w14:paraId="7CE5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6BCDE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5AF23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 w14:paraId="4CB9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4、对相关人员加强培训，特别是针对《中华人民共和国预算法》《行政事业单位会计制度》等学习培训，规范部门预算收支核算，切实提高部门预算收支管理水平。</w:t>
      </w:r>
    </w:p>
    <w:p w14:paraId="3128D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00F2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D44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十、其他需要说明的情况</w:t>
      </w:r>
    </w:p>
    <w:p w14:paraId="00CA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无</w:t>
      </w:r>
    </w:p>
    <w:p w14:paraId="280DE6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0909E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4C0022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BE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98E7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98E7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E0A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8650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8650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D403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2D9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2D9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C0CE4"/>
    <w:multiLevelType w:val="singleLevel"/>
    <w:tmpl w:val="09CC0CE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A201DA"/>
    <w:multiLevelType w:val="singleLevel"/>
    <w:tmpl w:val="5DA201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AD6B3B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0447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DF3944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56779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A35CC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F4CEF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364CE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25EC1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4B4CB0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8F395A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C611B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23A2F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8225A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72602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81335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377F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A4E10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6B1CFC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6340DE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934A0"/>
    <w:rsid w:val="50FD00F4"/>
    <w:rsid w:val="50FF056E"/>
    <w:rsid w:val="510F2A7F"/>
    <w:rsid w:val="512027DB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D83C49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2FE766F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E45F47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DF5737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9505E"/>
    <w:rsid w:val="5E4B0589"/>
    <w:rsid w:val="5E532C32"/>
    <w:rsid w:val="5E656238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3B3F82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0959AB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73BC8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8C2D9E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B7036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B07AD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9FC115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1557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4D3EA3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22BE7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1">
    <w:name w:val="font51"/>
    <w:basedOn w:val="7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41"/>
    <w:basedOn w:val="7"/>
    <w:autoRedefine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autoRedefine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4350</Words>
  <Characters>4767</Characters>
  <Lines>0</Lines>
  <Paragraphs>0</Paragraphs>
  <TotalTime>3</TotalTime>
  <ScaleCrop>false</ScaleCrop>
  <LinksUpToDate>false</LinksUpToDate>
  <CharactersWithSpaces>4930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2025-06-27T03:53:12Z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