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  <w:lang w:val="en-US" w:eastAsia="zh-CN"/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  <w:lang w:val="en-US" w:eastAsia="zh-CN"/>
        </w:rPr>
        <w:t>202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  <w:lang w:val="en-US" w:eastAsia="zh-CN"/>
        </w:rPr>
        <w:t>3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  <w:lang w:val="en-US" w:eastAsia="zh-CN"/>
        </w:rPr>
        <w:t>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  <w:lang w:val="en-US" w:eastAsia="zh-CN"/>
        </w:rPr>
        <w:t>岳阳楼区财政局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  <w:lang w:val="en-US" w:eastAsia="zh-CN"/>
        </w:rPr>
        <w:t>整体支出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  <w:lang w:val="en-US" w:eastAsia="zh-CN"/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/>
          <w:spacing w:val="2"/>
          <w:sz w:val="44"/>
          <w:szCs w:val="44"/>
          <w:lang w:val="en-US" w:eastAsia="zh-CN"/>
        </w:rPr>
        <w:t>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/>
          <w:spacing w:val="0"/>
          <w:position w:val="0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/>
          <w:spacing w:val="0"/>
          <w:position w:val="0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/>
          <w:spacing w:val="0"/>
          <w:position w:val="0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/>
          <w:spacing w:val="0"/>
          <w:position w:val="0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/>
          <w:spacing w:val="0"/>
          <w:position w:val="0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/>
          <w:spacing w:val="0"/>
          <w:position w:val="0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/>
          <w:spacing w:val="0"/>
          <w:position w:val="0"/>
          <w:sz w:val="36"/>
          <w:szCs w:val="36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/>
          <w:spacing w:val="0"/>
          <w:position w:val="0"/>
          <w:sz w:val="36"/>
          <w:szCs w:val="36"/>
          <w:lang w:val="en-US" w:eastAsia="zh-CN"/>
        </w:rPr>
      </w:pPr>
      <w:r>
        <w:rPr>
          <w:rFonts w:hint="eastAsia" w:ascii="楷体_GB2312" w:hAnsi="楷体_GB2312" w:eastAsia="楷体_GB2312" w:cs="楷体_GB2312"/>
          <w:color w:val="000000"/>
          <w:spacing w:val="0"/>
          <w:position w:val="0"/>
          <w:sz w:val="36"/>
          <w:szCs w:val="36"/>
          <w:lang w:val="en-US" w:eastAsia="zh-CN"/>
        </w:rPr>
        <w:t>部门(单位)名称：   ( 盖 章 )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  <w:r>
        <w:rPr>
          <w:rFonts w:hint="eastAsia" w:ascii="楷体_GB2312" w:hAnsi="楷体_GB2312" w:eastAsia="楷体_GB2312" w:cs="楷体_GB2312"/>
          <w:color w:val="000000"/>
          <w:spacing w:val="0"/>
          <w:position w:val="0"/>
          <w:sz w:val="36"/>
          <w:szCs w:val="36"/>
          <w:lang w:val="en-US" w:eastAsia="zh-CN"/>
        </w:rPr>
        <w:t>2024年 6月 13日</w:t>
      </w: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pacing w:val="0"/>
          <w:positio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pacing w:val="0"/>
          <w:position w:val="0"/>
          <w:sz w:val="44"/>
          <w:szCs w:val="44"/>
          <w:lang w:val="en-US" w:eastAsia="zh-CN"/>
        </w:rPr>
        <w:t>2023年度岳阳楼区财政局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pacing w:val="0"/>
          <w:position w:val="0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pacing w:val="0"/>
          <w:position w:val="0"/>
          <w:sz w:val="44"/>
          <w:szCs w:val="44"/>
          <w:lang w:val="en-US" w:eastAsia="zh-CN"/>
        </w:rPr>
        <w:t>单位整体支出绩效自评报告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/>
          <w:spacing w:val="0"/>
          <w:position w:val="0"/>
          <w:sz w:val="22"/>
          <w:szCs w:val="2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default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一、单位基本情况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等线" w:hAnsi="等线" w:eastAsia="等线" w:cs="Times New Roman"/>
          <w:kern w:val="2"/>
          <w:sz w:val="27"/>
          <w:szCs w:val="27"/>
          <w:lang w:val="en-US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1、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>主要负责财政收支、实施财政监督、参与本区国民经济调控等工作。组织贯彻执行国家财税方针政策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，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>拟定和执行全区财政政策、财政改革方案；承担区本级各项财政收支管理责任，编制年度区本级预决算并组织执行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、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>编制全区财政收支预算，审核部门预算，汇总全区财政总决算。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2、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 xml:space="preserve"> 岳阳市岳阳楼区财政局内设机构包括：我局内设股室1</w:t>
      </w:r>
      <w:r>
        <w:rPr>
          <w:rFonts w:hint="default" w:ascii="宋体" w:hAnsi="宋体" w:cs="宋体"/>
          <w:color w:val="000000"/>
          <w:kern w:val="2"/>
          <w:sz w:val="32"/>
          <w:szCs w:val="32"/>
        </w:rPr>
        <w:t>7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>个，二级参公事业单位5个（采购中心、工资中心、国库支付中心、乡财</w:t>
      </w:r>
      <w:r>
        <w:rPr>
          <w:rFonts w:hint="eastAsia" w:ascii="宋体" w:hAnsi="宋体" w:cs="宋体"/>
          <w:color w:val="000000"/>
          <w:kern w:val="2"/>
          <w:sz w:val="32"/>
          <w:szCs w:val="32"/>
          <w:lang w:eastAsia="zh-CN"/>
        </w:rPr>
        <w:t>中心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>、</w:t>
      </w:r>
      <w:r>
        <w:rPr>
          <w:rFonts w:hint="eastAsia" w:ascii="宋体" w:hAnsi="宋体" w:cs="宋体"/>
          <w:color w:val="000000"/>
          <w:kern w:val="2"/>
          <w:sz w:val="32"/>
          <w:szCs w:val="32"/>
          <w:lang w:eastAsia="zh-CN"/>
        </w:rPr>
        <w:t>事务中心）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>二级非参公事业单位</w:t>
      </w:r>
      <w:r>
        <w:rPr>
          <w:rFonts w:hint="eastAsia" w:ascii="宋体" w:hAnsi="宋体" w:cs="宋体"/>
          <w:color w:val="000000"/>
          <w:kern w:val="2"/>
          <w:sz w:val="32"/>
          <w:szCs w:val="32"/>
          <w:lang w:val="en-US" w:eastAsia="zh-CN"/>
        </w:rPr>
        <w:t>2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>个（资金中心</w:t>
      </w:r>
      <w:r>
        <w:rPr>
          <w:rFonts w:hint="eastAsia" w:ascii="宋体" w:hAnsi="宋体" w:cs="宋体"/>
          <w:color w:val="000000"/>
          <w:kern w:val="2"/>
          <w:sz w:val="32"/>
          <w:szCs w:val="32"/>
          <w:lang w:eastAsia="zh-CN"/>
        </w:rPr>
        <w:t>、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>评审中心）。</w:t>
      </w:r>
      <w:r>
        <w:rPr>
          <w:rFonts w:hint="default" w:ascii="等线" w:hAnsi="等线" w:eastAsia="等线" w:cs="Times New Roman"/>
          <w:color w:val="000000"/>
          <w:kern w:val="2"/>
          <w:sz w:val="27"/>
          <w:szCs w:val="27"/>
        </w:rPr>
        <w:t xml:space="preserve"> 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>所属二级机构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财务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>实行独立核算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。截止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2023年12月31日，局机关在职人数45人。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二、一般公共预算支出情况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(一) 基本支出情况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2023年财政局基本支出709.5万元，其中：人员经费631.52万元，公用经费77.98万元。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（二）项目支出情况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项目支出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1054.72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</w:rPr>
        <w:t>万元。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其中：业务工作经费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253.92万元，运行维护费275万元，区本级专项追加525.8万元。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（三）三公经费支出情况：2023年 “三公”经费支出0.19万元。其中公务接待费0.19万元，公务用车运行费用0万元，因公出国费0万元。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三、政府性基金预算支出情况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default" w:ascii="宋体" w:hAnsi="宋体" w:eastAsia="宋体" w:cs="宋体"/>
          <w:color w:val="000000"/>
          <w:kern w:val="2"/>
          <w:sz w:val="32"/>
          <w:szCs w:val="32"/>
          <w:lang w:val="en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政府性基金预算支出</w:t>
      </w:r>
      <w:r>
        <w:rPr>
          <w:rFonts w:hint="default" w:ascii="宋体" w:hAnsi="宋体" w:eastAsia="宋体" w:cs="宋体"/>
          <w:color w:val="000000"/>
          <w:kern w:val="2"/>
          <w:sz w:val="32"/>
          <w:szCs w:val="32"/>
          <w:lang w:val="en" w:eastAsia="zh-CN"/>
        </w:rPr>
        <w:t>230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" w:eastAsia="zh-CN"/>
        </w:rPr>
        <w:t>万元，主要用于银都金融中心维修改造。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国有资本经营预算支出情况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本单位无国有资本经营预算支出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社会保险基金预算支出情况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本单位无社会保险基金预算支出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left"/>
        <w:textAlignment w:val="auto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部门整体支出绩效情况</w:t>
      </w:r>
    </w:p>
    <w:p>
      <w:pPr>
        <w:ind w:firstLine="640" w:firstLineChars="200"/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财政局202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3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年度部门整体支出绩效自评得分9</w:t>
      </w:r>
      <w:r>
        <w:rPr>
          <w:rFonts w:hint="eastAsia" w:ascii="宋体" w:hAnsi="宋体" w:cs="宋体"/>
          <w:color w:val="000000"/>
          <w:kern w:val="2"/>
          <w:sz w:val="32"/>
          <w:szCs w:val="32"/>
          <w:lang w:val="en-US" w:eastAsia="zh-CN"/>
        </w:rPr>
        <w:t>9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分，自评结果：优秀</w:t>
      </w:r>
      <w:r>
        <w:rPr>
          <w:rFonts w:hint="eastAsia" w:ascii="宋体" w:hAnsi="宋体" w:eastAsia="宋体" w:cs="宋体"/>
          <w:sz w:val="28"/>
          <w:szCs w:val="28"/>
        </w:rPr>
        <w:t>。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eastAsia="zh-CN"/>
        </w:rPr>
        <w:t>资金管理规范，项目管理到位，政策执行有力，有效发挥了财政资金的使用效率，为全区经济社会发展提供了有力保障。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一、坚持政治引领，落实全面从严治党战略部署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（一）始终把政治建设摆在首位。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（二）全力抓好主题教育活动。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（三）深入开展清廉机关建设。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（四）筑牢压实机关党的建设。全年共开展“一月一课一片一实践”主题活动30余次、书记讲党课3次。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（五）牢牢把控意识形态工作。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六）全力服务重大决策部署。全面落实区委、区政府关于城市“六治”工作部署；全面开展安全生产、信访维稳排查及平安楼区建设，确保社会稳定；全力开展国家文明卫生城市创建工作，定点支持无物业管理小区，每周开展“清洁家园”及交通文明劝导活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二、狠抓财源建设，主动服务高质量发展大局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（一）完成收入目标任务。全年一般公共预算地方收入完成12.46亿元，增长9.7%。其中：区级地方税收9.6亿元，增长10.9%；非税收入完成2.86亿元，非税收入在区级地方收入中的占比为22.9%。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（二）支持产业转型发展。我区财源建设工作被省财政厅评为先进单位。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（三）开展协税护税行动。加强重点税源培育情况，新增年纳税100万元以上的税源骨干企业12家，达到305家。压实属地责任，全力服务全区共有387个重大项目建设，杜绝税收外流。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四）推进“三资”运作改革。制定《岳阳楼区2023年度三资运作改革实施方案》，会同各部门单位对全区的资产进一步盘活，通过特许经营权的出让、闲置资产的盘活等方式。全区清理出11处征收拆迁国有资产，有效防范了国有资产流失。对全区“三供一业”资产办证情况进行清理，共清查出“三供一业”资产60宗，对未办理权证的52宗进行了分类管理，有效推进国有资产的规范管理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三、着力防范风险，全力确保财政平稳运行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（一）守住刚性支出底线。出台《岳阳楼区过紧日子压减支出工作方案》，大力压减公用经费，始终将“三保”保障放在预算安排、财政支出和库款拨付中的优先次序，财政日常管理工作被省厅评为先进。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二）守住政府债务红线。出台岳阳楼区债务风险方案，牵头打好防范风险阻击仗，开展虚假化债、违规举债专项行动，规范政府投资项目管理，对项目立项前的资金来源进行评估论证。据省财政厅和市政府关于隐性债务清零的要求，我区积极筹措还债资金，于12月底提前还款，成为全市第一个隐性债务清零县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（三）全力开展争项争资。区财政局主动研读上级文件政策，一方面，会同区发改局将争资争项目标任务，分解至相关部门单位，通过共同努力，全年完成争资争项</w:t>
      </w:r>
      <w:r>
        <w:rPr>
          <w:rFonts w:hint="eastAsia" w:ascii="宋体" w:hAnsi="宋体" w:cs="宋体"/>
          <w:color w:val="000000"/>
          <w:kern w:val="2"/>
          <w:sz w:val="32"/>
          <w:szCs w:val="32"/>
          <w:lang w:val="en-US" w:eastAsia="zh-CN"/>
        </w:rPr>
        <w:t>，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圆满完成市定目标。另一方面.积极争取债券资金，有力缓解财政支出压力。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四、强化监管举措，全面提升财政管理水平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（一）强化预算绩效管理。加大绩效评价的力度，涵盖政府债券资金、社保资金、教育、乡村振兴、政府采购、环保、乡街财政资金运行等30个项目，工作经验</w:t>
      </w:r>
      <w:r>
        <w:rPr>
          <w:rFonts w:hint="eastAsia" w:ascii="宋体" w:hAnsi="宋体" w:cs="宋体"/>
          <w:color w:val="000000"/>
          <w:kern w:val="2"/>
          <w:sz w:val="32"/>
          <w:szCs w:val="32"/>
          <w:lang w:val="en-US" w:eastAsia="zh-CN"/>
        </w:rPr>
        <w:t>曾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于中国财经报上</w:t>
      </w:r>
      <w:r>
        <w:rPr>
          <w:rFonts w:hint="eastAsia" w:ascii="宋体" w:hAnsi="宋体" w:cs="宋体"/>
          <w:color w:val="000000"/>
          <w:kern w:val="2"/>
          <w:sz w:val="32"/>
          <w:szCs w:val="32"/>
          <w:lang w:val="en-US" w:eastAsia="zh-CN"/>
        </w:rPr>
        <w:t>宣传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发表。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（二）落实预决算公开。开展对全区232家预算单位2022年预算和2021年决算公开专项监督检查。工作成效得到省厅认可，被评为先进。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三）开展财会监督行动。组织对12家区直行政事业单位开展会计信息质量检查，坚持问题立查立改。将惠农惠民一卡通补贴发放情况与“三湘护农”专项行动相结合，共发现7个方面的问题，已督办相关单位按要求整改到位。并将发放到人的惠农惠民补贴共计82项全部纳入一卡通发放，将49项补贴在监管平台实行阳光审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四）规范投资项目管理。全年共完成投资评审项目1258个，其中，预算项目760个，审减率15.40%；结算项目498个，审减率7%。电子卖场交易订单共29579笔，总额50410.5万元。依法开展政府采购监督检查，对存在问题的企业进行督办整改，进一步优化全区营商环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（五）强化预算执行监控。严格按照《预算执行监督专项行动转移支付重点监督项目预警规则表》，对中央财政城镇保障性安居工程补助资金等19笔专项资金预算执行进行事前、事中、事后监控。预算执行分析被省厅评为先进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七、存在的问题及原因分析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预算绩效管理专业水平有待进一步提高。</w:t>
      </w:r>
      <w:r>
        <w:rPr>
          <w:rFonts w:hint="eastAsia" w:ascii="宋体" w:hAnsi="宋体" w:cs="宋体"/>
          <w:color w:val="000000"/>
          <w:kern w:val="2"/>
          <w:sz w:val="32"/>
          <w:szCs w:val="32"/>
          <w:lang w:val="en-US" w:eastAsia="zh-CN"/>
        </w:rPr>
        <w:t>由于财政局公务员普通年龄偏大，对学习掌握信息化软件操作的熟练程度有差距，专业培训学习经常性不够，所以造成监督管理水平有不足，执行能力有待加强。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 w:firstLine="320" w:firstLineChars="100"/>
        <w:jc w:val="left"/>
        <w:textAlignment w:val="auto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八、下一步改进措施</w:t>
      </w:r>
    </w:p>
    <w:p>
      <w:pPr>
        <w:pStyle w:val="3"/>
        <w:rPr>
          <w:rFonts w:hint="default"/>
          <w:lang w:val="en-US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强化绩效管理观念，加强</w:t>
      </w:r>
      <w:r>
        <w:rPr>
          <w:rFonts w:hint="eastAsia" w:ascii="宋体" w:hAnsi="宋体" w:cs="宋体"/>
          <w:color w:val="000000"/>
          <w:kern w:val="2"/>
          <w:sz w:val="32"/>
          <w:szCs w:val="32"/>
          <w:lang w:val="en-US" w:eastAsia="zh-CN"/>
        </w:rPr>
        <w:t>财政工作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人员专业</w:t>
      </w:r>
      <w:r>
        <w:rPr>
          <w:rFonts w:hint="eastAsia" w:ascii="宋体" w:hAnsi="宋体" w:cs="宋体"/>
          <w:color w:val="000000"/>
          <w:kern w:val="2"/>
          <w:sz w:val="32"/>
          <w:szCs w:val="32"/>
          <w:lang w:val="en-US" w:eastAsia="zh-CN"/>
        </w:rPr>
        <w:t>学习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培训，充实</w:t>
      </w:r>
      <w:r>
        <w:rPr>
          <w:rFonts w:hint="eastAsia" w:ascii="宋体" w:hAnsi="宋体" w:cs="宋体"/>
          <w:color w:val="000000"/>
          <w:kern w:val="2"/>
          <w:sz w:val="32"/>
          <w:szCs w:val="32"/>
          <w:lang w:val="en-US" w:eastAsia="zh-CN"/>
        </w:rPr>
        <w:t>财政人员工作队伍，健全财政监督管理机制</w:t>
      </w: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color w:val="000000"/>
          <w:spacing w:val="0"/>
          <w:position w:val="0"/>
          <w:sz w:val="32"/>
          <w:szCs w:val="32"/>
          <w:lang w:val="en-US" w:eastAsia="zh-CN"/>
        </w:rPr>
        <w:t>九、部门整体支出绩效自评结果拟应用和公开情况</w:t>
      </w:r>
    </w:p>
    <w:p>
      <w:pPr>
        <w:widowControl/>
        <w:spacing w:line="540" w:lineRule="exact"/>
        <w:ind w:firstLine="640" w:firstLineChars="200"/>
        <w:jc w:val="left"/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color w:val="000000"/>
          <w:kern w:val="2"/>
          <w:sz w:val="32"/>
          <w:szCs w:val="32"/>
          <w:lang w:val="en-US" w:eastAsia="zh-CN"/>
        </w:rPr>
        <w:t>本单位无其他情况说明</w:t>
      </w: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altName w:val="方正仿宋_GBK"/>
    <w:panose1 w:val="02010609060101010101"/>
    <w:charset w:val="00"/>
    <w:family w:val="auto"/>
    <w:pitch w:val="default"/>
    <w:sig w:usb0="00000000" w:usb1="00000000" w:usb2="00000016" w:usb3="00000000" w:csb0="00040001" w:csb1="00000000"/>
  </w:font>
  <w:font w:name="楷体_GB2312">
    <w:altName w:val="方正楷体_GBK"/>
    <w:panose1 w:val="02010609030101010101"/>
    <w:charset w:val="00"/>
    <w:family w:val="auto"/>
    <w:pitch w:val="default"/>
    <w:sig w:usb0="00000000" w:usb1="00000000" w:usb2="00000000" w:usb3="00000000" w:csb0="00040000" w:csb1="00000000"/>
  </w:font>
  <w:font w:name="等线">
    <w:altName w:val="华文仿宋"/>
    <w:panose1 w:val="02010600030101010101"/>
    <w:charset w:val="00"/>
    <w:family w:val="auto"/>
    <w:pitch w:val="default"/>
    <w:sig w:usb0="00000000" w:usb1="00000000" w:usb2="00000016" w:usb3="00000000" w:csb0="0004000F" w:csb1="00000000"/>
  </w:font>
  <w:font w:name="方正书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DCEC4F0"/>
    <w:multiLevelType w:val="singleLevel"/>
    <w:tmpl w:val="CDCEC4F0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CCFCB16"/>
    <w:rsid w:val="1B7A6965"/>
    <w:rsid w:val="27F7963A"/>
    <w:rsid w:val="3EAB0813"/>
    <w:rsid w:val="6FDFF108"/>
    <w:rsid w:val="79F56E74"/>
    <w:rsid w:val="7EBCF1A1"/>
    <w:rsid w:val="7EFB6DE8"/>
    <w:rsid w:val="7FDD6EC7"/>
    <w:rsid w:val="AFBFE487"/>
    <w:rsid w:val="B7DBBB0B"/>
    <w:rsid w:val="EE7BA690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</w:style>
  <w:style w:type="paragraph" w:styleId="3">
    <w:name w:val="Normal Indent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2853</TotalTime>
  <ScaleCrop>false</ScaleCrop>
  <LinksUpToDate>false</LinksUpToDate>
  <CharactersWithSpaces>0</CharactersWithSpaces>
  <Application>WPS Office_11.8.2.10505_F1E327BC-269C-435d-A152-05C5408002CA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2014-10-31T04:08:00Z</dcterms:created>
  <dc:creator>Administrator</dc:creator>
  <cp:lastModifiedBy>kylin</cp:lastModifiedBy>
  <cp:lastPrinted>2024-07-10T11:43:30Z</cp:lastPrinted>
  <dcterms:modified xsi:type="dcterms:W3CDTF">2024-07-10T11:44:15Z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</Properties>
</file>