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spacing w:line="600" w:lineRule="exact"/>
        <w:ind w:right="0" w:rightChars="0"/>
        <w:jc w:val="center"/>
        <w:textAlignment w:val="auto"/>
        <w:rPr>
          <w:rFonts w:hint="eastAsia" w:ascii="方正小标宋_GBK" w:hAnsi="方正小标宋_GBK" w:eastAsia="方正小标宋_GBK" w:cs="方正小标宋_GBK"/>
          <w:sz w:val="44"/>
          <w:szCs w:val="44"/>
        </w:rPr>
      </w:pPr>
      <w:bookmarkStart w:id="0" w:name="OLE_LINK4"/>
      <w:bookmarkStart w:id="8" w:name="_GoBack"/>
      <w:r>
        <w:rPr>
          <w:rFonts w:hint="eastAsia" w:ascii="方正小标宋_GBK" w:hAnsi="方正小标宋_GBK" w:eastAsia="方正小标宋_GBK" w:cs="方正小标宋_GBK"/>
          <w:sz w:val="44"/>
          <w:szCs w:val="44"/>
        </w:rPr>
        <w:t>2023 年度岳阳楼区岳阳楼区王家河街道</w:t>
      </w:r>
    </w:p>
    <w:p>
      <w:pPr>
        <w:keepNext w:val="0"/>
        <w:keepLines w:val="0"/>
        <w:pageBreakBefore w:val="0"/>
        <w:kinsoku/>
        <w:wordWrap/>
        <w:overflowPunct/>
        <w:topLinePunct w:val="0"/>
        <w:autoSpaceDE/>
        <w:autoSpaceDN/>
        <w:bidi w:val="0"/>
        <w:spacing w:line="600" w:lineRule="exact"/>
        <w:ind w:right="0" w:rightChars="0"/>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办事处单位整体支出绩效自评报告</w:t>
      </w:r>
      <w:bookmarkEnd w:id="8"/>
    </w:p>
    <w:bookmarkEnd w:id="0"/>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仿宋_GB2312" w:hAnsi="仿宋_GB2312" w:eastAsia="仿宋_GB2312" w:cs="仿宋_GB2312"/>
          <w:sz w:val="32"/>
          <w:szCs w:val="32"/>
        </w:rPr>
      </w:pPr>
    </w:p>
    <w:p>
      <w:pPr>
        <w:keepNext w:val="0"/>
        <w:keepLines w:val="0"/>
        <w:pageBreakBefore w:val="0"/>
        <w:numPr>
          <w:ilvl w:val="0"/>
          <w:numId w:val="1"/>
        </w:numPr>
        <w:kinsoku/>
        <w:wordWrap/>
        <w:overflowPunct/>
        <w:topLinePunct w:val="0"/>
        <w:autoSpaceDE/>
        <w:autoSpaceDN/>
        <w:bidi w:val="0"/>
        <w:spacing w:line="600" w:lineRule="exact"/>
        <w:ind w:left="0" w:leftChars="0" w:right="0" w:rightChars="0" w:firstLine="88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单位基本情况</w:t>
      </w:r>
    </w:p>
    <w:p>
      <w:pPr>
        <w:keepNext w:val="0"/>
        <w:keepLines w:val="0"/>
        <w:pageBreakBefore w:val="0"/>
        <w:numPr>
          <w:numId w:val="0"/>
        </w:numPr>
        <w:kinsoku/>
        <w:wordWrap/>
        <w:overflowPunct/>
        <w:topLinePunct w:val="0"/>
        <w:autoSpaceDE/>
        <w:autoSpaceDN/>
        <w:bidi w:val="0"/>
        <w:spacing w:line="600" w:lineRule="exact"/>
        <w:ind w:leftChars="200" w:right="0" w:rightChars="0"/>
        <w:jc w:val="both"/>
        <w:textAlignment w:val="auto"/>
        <w:rPr>
          <w:rFonts w:hint="eastAsia" w:ascii="楷体" w:hAnsi="楷体" w:eastAsia="楷体" w:cs="楷体"/>
          <w:b/>
          <w:bCs/>
          <w:sz w:val="32"/>
          <w:szCs w:val="32"/>
        </w:rPr>
      </w:pPr>
      <w:r>
        <w:rPr>
          <w:rFonts w:hint="eastAsia" w:ascii="楷体" w:hAnsi="楷体" w:eastAsia="楷体" w:cs="楷体"/>
          <w:b/>
          <w:bCs/>
          <w:sz w:val="32"/>
          <w:szCs w:val="32"/>
        </w:rPr>
        <w:t>(一)单位概括</w:t>
      </w:r>
    </w:p>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王家河街道办事处现有在职编制职工58人,共有内设机构14个，具体包括:党政办公室、党建办公室、经济发展办公室(加挂自然资源和生态环境办公室牌子)、社会事务办公室(加挂民政办公室牌子)、综治信访办公室、应急管理办公室、社会事业综合服务中心、产业项目综合服务中心、公共服务和网格化中心、退役军人服务站、综合行政执法大队、环境卫生服务中心。</w:t>
      </w:r>
    </w:p>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楷体" w:hAnsi="楷体" w:eastAsia="楷体" w:cs="楷体"/>
          <w:b/>
          <w:bCs/>
          <w:sz w:val="32"/>
          <w:szCs w:val="32"/>
        </w:rPr>
      </w:pPr>
      <w:r>
        <w:rPr>
          <w:rFonts w:hint="eastAsia" w:ascii="楷体" w:hAnsi="楷体" w:eastAsia="楷体" w:cs="楷体"/>
          <w:b/>
          <w:bCs/>
          <w:sz w:val="32"/>
          <w:szCs w:val="32"/>
        </w:rPr>
        <w:t>(二)职能职责</w:t>
      </w:r>
    </w:p>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街道的主要职责是贯彻执行党和国家的路线方针、政策以及市、区关于街道工作方面的指示，制订具体的管理办法并组织实施。指导、搞好辖区内居委会的工作，支持、帮助居民委员会加强思想、组织、制度建设，向上级人民政府和有关部门及时反映居民的意见、建议和要求。承办区委、区政府交办的其他工作。</w:t>
      </w:r>
    </w:p>
    <w:p>
      <w:pPr>
        <w:keepNext w:val="0"/>
        <w:keepLines w:val="0"/>
        <w:pageBreakBefore w:val="0"/>
        <w:numPr>
          <w:ilvl w:val="0"/>
          <w:numId w:val="1"/>
        </w:numPr>
        <w:kinsoku/>
        <w:wordWrap/>
        <w:overflowPunct/>
        <w:topLinePunct w:val="0"/>
        <w:autoSpaceDE/>
        <w:autoSpaceDN/>
        <w:bidi w:val="0"/>
        <w:spacing w:line="600" w:lineRule="exact"/>
        <w:ind w:left="0" w:leftChars="0" w:right="0" w:rightChars="0" w:firstLine="88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一般公共预算支出情况</w:t>
      </w:r>
    </w:p>
    <w:p>
      <w:pPr>
        <w:keepNext w:val="0"/>
        <w:keepLines w:val="0"/>
        <w:pageBreakBefore w:val="0"/>
        <w:numPr>
          <w:numId w:val="0"/>
        </w:numPr>
        <w:kinsoku/>
        <w:wordWrap/>
        <w:overflowPunct/>
        <w:topLinePunct w:val="0"/>
        <w:autoSpaceDE/>
        <w:autoSpaceDN/>
        <w:bidi w:val="0"/>
        <w:spacing w:line="600" w:lineRule="exact"/>
        <w:ind w:leftChars="200" w:right="0" w:rightChars="0"/>
        <w:jc w:val="both"/>
        <w:textAlignment w:val="auto"/>
        <w:rPr>
          <w:rFonts w:hint="eastAsia" w:ascii="楷体" w:hAnsi="楷体" w:eastAsia="楷体" w:cs="楷体"/>
          <w:b/>
          <w:bCs/>
          <w:sz w:val="32"/>
          <w:szCs w:val="32"/>
        </w:rPr>
      </w:pPr>
      <w:r>
        <w:rPr>
          <w:rFonts w:hint="eastAsia" w:ascii="楷体" w:hAnsi="楷体" w:eastAsia="楷体" w:cs="楷体"/>
          <w:b/>
          <w:bCs/>
          <w:sz w:val="32"/>
          <w:szCs w:val="32"/>
        </w:rPr>
        <w:t>(一)基本支出情况</w:t>
      </w:r>
    </w:p>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2023年保障单位机构正常运转、完成日常工作任务而发生的各项基本支出为1023.74万元，包括人员基本工资、津贴补贴等人员经费以及办公费、印刷费、水电费、办公设备购置等。“三公”经费为公务接待费共计0万元。</w:t>
      </w:r>
    </w:p>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楷体" w:hAnsi="楷体" w:eastAsia="楷体" w:cs="楷体"/>
          <w:b/>
          <w:bCs/>
          <w:sz w:val="32"/>
          <w:szCs w:val="32"/>
        </w:rPr>
      </w:pPr>
      <w:r>
        <w:rPr>
          <w:rFonts w:hint="eastAsia" w:ascii="楷体" w:hAnsi="楷体" w:eastAsia="楷体" w:cs="楷体"/>
          <w:b/>
          <w:bCs/>
          <w:sz w:val="32"/>
          <w:szCs w:val="32"/>
        </w:rPr>
        <w:t>(二)项目支出情况</w:t>
      </w:r>
    </w:p>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2023年本单位项目支出共553.52万元，均为代收代付区级专项资金，本次整体支出绩效评价中未填项目绩效表。</w:t>
      </w:r>
    </w:p>
    <w:p>
      <w:pPr>
        <w:keepNext w:val="0"/>
        <w:keepLines w:val="0"/>
        <w:pageBreakBefore w:val="0"/>
        <w:numPr>
          <w:ilvl w:val="0"/>
          <w:numId w:val="1"/>
        </w:numPr>
        <w:kinsoku/>
        <w:wordWrap/>
        <w:overflowPunct/>
        <w:topLinePunct w:val="0"/>
        <w:autoSpaceDE/>
        <w:autoSpaceDN/>
        <w:bidi w:val="0"/>
        <w:spacing w:line="600" w:lineRule="exact"/>
        <w:ind w:left="0" w:leftChars="0" w:right="0" w:rightChars="0" w:firstLine="88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政府性基金预算支出情况</w:t>
      </w:r>
    </w:p>
    <w:p>
      <w:pPr>
        <w:keepNext w:val="0"/>
        <w:keepLines w:val="0"/>
        <w:pageBreakBefore w:val="0"/>
        <w:numPr>
          <w:numId w:val="0"/>
        </w:numPr>
        <w:kinsoku/>
        <w:wordWrap/>
        <w:overflowPunct/>
        <w:topLinePunct w:val="0"/>
        <w:autoSpaceDE/>
        <w:autoSpaceDN/>
        <w:bidi w:val="0"/>
        <w:spacing w:line="600" w:lineRule="exact"/>
        <w:ind w:leftChars="200" w:right="0" w:rightChars="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2023 年本单位无政府性基金支出</w:t>
      </w:r>
    </w:p>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四、国有资本经营预算支出情况</w:t>
      </w:r>
    </w:p>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2023年本单位无国有资本经营支出</w:t>
      </w:r>
    </w:p>
    <w:p>
      <w:pPr>
        <w:keepNext w:val="0"/>
        <w:keepLines w:val="0"/>
        <w:pageBreakBefore w:val="0"/>
        <w:numPr>
          <w:ilvl w:val="0"/>
          <w:numId w:val="2"/>
        </w:numPr>
        <w:kinsoku/>
        <w:wordWrap/>
        <w:overflowPunct/>
        <w:topLinePunct w:val="0"/>
        <w:autoSpaceDE/>
        <w:autoSpaceDN/>
        <w:bidi w:val="0"/>
        <w:spacing w:line="600" w:lineRule="exact"/>
        <w:ind w:left="0" w:leftChars="0" w:right="0" w:rightChars="0" w:firstLine="88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社会保险基金预算支出情况</w:t>
      </w:r>
    </w:p>
    <w:p>
      <w:pPr>
        <w:keepNext w:val="0"/>
        <w:keepLines w:val="0"/>
        <w:pageBreakBefore w:val="0"/>
        <w:numPr>
          <w:numId w:val="0"/>
        </w:numPr>
        <w:kinsoku/>
        <w:wordWrap/>
        <w:overflowPunct/>
        <w:topLinePunct w:val="0"/>
        <w:autoSpaceDE/>
        <w:autoSpaceDN/>
        <w:bidi w:val="0"/>
        <w:spacing w:line="600" w:lineRule="exact"/>
        <w:ind w:leftChars="200" w:right="0" w:rightChars="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2023年本单位无社会保险基金支出</w:t>
      </w:r>
    </w:p>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六、单位整体支出绩效情况</w:t>
      </w:r>
    </w:p>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本单位年度工作履职情况如下:</w:t>
      </w:r>
    </w:p>
    <w:p>
      <w:pPr>
        <w:keepNext w:val="0"/>
        <w:keepLines w:val="0"/>
        <w:pageBreakBefore w:val="0"/>
        <w:widowControl w:val="0"/>
        <w:kinsoku/>
        <w:wordWrap/>
        <w:overflowPunct/>
        <w:topLinePunct w:val="0"/>
        <w:autoSpaceDE/>
        <w:autoSpaceDN/>
        <w:bidi w:val="0"/>
        <w:adjustRightInd/>
        <w:snapToGrid/>
        <w:spacing w:beforeAutospacing="0" w:line="600" w:lineRule="exact"/>
        <w:ind w:left="0" w:leftChars="0" w:right="0" w:rightChars="0" w:firstLine="88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（一）强化思想淬炼，筑牢信仰之基。</w:t>
      </w:r>
      <w:r>
        <w:rPr>
          <w:rFonts w:hint="eastAsia" w:ascii="仿宋_GB2312" w:hAnsi="仿宋_GB2312" w:eastAsia="仿宋_GB2312" w:cs="仿宋_GB2312"/>
          <w:sz w:val="32"/>
          <w:szCs w:val="32"/>
          <w:lang w:val="en-US" w:eastAsia="zh-CN"/>
        </w:rPr>
        <w:t>聚焦主题教育“以学铸魂、以学增智、以学正风、以学促干”根本任务，深入落实“学思想、强党性、重实践、建新功”总体要求，紧紧围绕习近平总书记考察湖南（岳阳）和长江经济带发展座谈会重要讲话精神、沈晓明书记考察岳阳讲话精神，全年共计</w:t>
      </w:r>
      <w:r>
        <w:rPr>
          <w:rFonts w:hint="eastAsia" w:ascii="仿宋_GB2312" w:hAnsi="仿宋_GB2312" w:eastAsia="仿宋_GB2312" w:cs="仿宋_GB2312"/>
          <w:sz w:val="32"/>
          <w:szCs w:val="32"/>
        </w:rPr>
        <w:t>开展理论学习研讨</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次，</w:t>
      </w:r>
      <w:r>
        <w:rPr>
          <w:rFonts w:hint="eastAsia" w:ascii="仿宋_GB2312" w:hAnsi="仿宋_GB2312" w:eastAsia="仿宋_GB2312" w:cs="仿宋_GB2312"/>
          <w:sz w:val="32"/>
          <w:szCs w:val="32"/>
          <w:lang w:val="en-US" w:eastAsia="zh-CN"/>
        </w:rPr>
        <w:t>中心组学习12次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color w:val="auto"/>
          <w:kern w:val="2"/>
          <w:sz w:val="32"/>
          <w:szCs w:val="32"/>
          <w:lang w:val="en-US" w:eastAsia="zh-CN" w:bidi="ar-SA"/>
        </w:rPr>
        <w:t>持续打造</w:t>
      </w:r>
      <w:r>
        <w:rPr>
          <w:rFonts w:hint="eastAsia" w:ascii="仿宋_GB2312" w:hAnsi="仿宋_GB2312" w:eastAsia="仿宋_GB2312" w:cs="仿宋_GB2312"/>
          <w:sz w:val="32"/>
          <w:szCs w:val="32"/>
          <w:lang w:eastAsia="zh-CN"/>
        </w:rPr>
        <w:t>社区</w:t>
      </w:r>
      <w:r>
        <w:rPr>
          <w:rFonts w:hint="eastAsia" w:ascii="仿宋_GB2312" w:hAnsi="仿宋_GB2312" w:eastAsia="仿宋_GB2312" w:cs="仿宋_GB2312"/>
          <w:sz w:val="32"/>
          <w:szCs w:val="32"/>
        </w:rPr>
        <w:t>党建</w:t>
      </w:r>
      <w:r>
        <w:rPr>
          <w:rFonts w:hint="eastAsia" w:ascii="仿宋_GB2312" w:hAnsi="仿宋_GB2312" w:eastAsia="仿宋_GB2312" w:cs="仿宋_GB2312"/>
          <w:sz w:val="32"/>
          <w:szCs w:val="32"/>
          <w:lang w:eastAsia="zh-CN"/>
        </w:rPr>
        <w:t>特色</w:t>
      </w:r>
      <w:r>
        <w:rPr>
          <w:rFonts w:hint="eastAsia" w:ascii="仿宋_GB2312" w:hAnsi="仿宋_GB2312" w:eastAsia="仿宋_GB2312" w:cs="仿宋_GB2312"/>
          <w:sz w:val="32"/>
          <w:szCs w:val="32"/>
        </w:rPr>
        <w:t>品牌，投资300万升级改造长鑫社区、枫树新村社区便民服务中心，</w:t>
      </w:r>
      <w:r>
        <w:rPr>
          <w:rFonts w:hint="eastAsia" w:ascii="仿宋_GB2312" w:hAnsi="仿宋_GB2312" w:eastAsia="仿宋_GB2312" w:cs="仿宋_GB2312"/>
          <w:sz w:val="32"/>
          <w:szCs w:val="32"/>
          <w:lang w:val="en-US" w:eastAsia="zh-CN"/>
        </w:rPr>
        <w:t>6个社区服务中心按“七室一厅”标准改建完成，党建阵地焕然一新。以</w:t>
      </w:r>
      <w:bookmarkStart w:id="1" w:name="OLE_LINK3"/>
      <w:r>
        <w:rPr>
          <w:rFonts w:hint="eastAsia" w:ascii="仿宋_GB2312" w:hAnsi="仿宋_GB2312" w:eastAsia="仿宋_GB2312" w:cs="仿宋_GB2312"/>
          <w:sz w:val="32"/>
          <w:szCs w:val="32"/>
          <w:lang w:val="en-US" w:eastAsia="zh-CN"/>
        </w:rPr>
        <w:t>“一月一课一片一实践</w:t>
      </w:r>
      <w:bookmarkEnd w:id="1"/>
      <w:r>
        <w:rPr>
          <w:rFonts w:hint="eastAsia" w:ascii="仿宋_GB2312" w:hAnsi="仿宋_GB2312" w:eastAsia="仿宋_GB2312" w:cs="仿宋_GB2312"/>
          <w:sz w:val="32"/>
          <w:szCs w:val="32"/>
          <w:lang w:val="en-US" w:eastAsia="zh-CN"/>
        </w:rPr>
        <w:t>”为抓手，组织全体机关社区干部到市禁毒教育基地、梅溪廉政教育基地开展学习实践，并由工委书记现场讲授一堂廉政党课，以理论武装砥砺政治品格。</w:t>
      </w:r>
    </w:p>
    <w:p>
      <w:pPr>
        <w:keepNext w:val="0"/>
        <w:keepLines w:val="0"/>
        <w:pageBreakBefore w:val="0"/>
        <w:widowControl/>
        <w:kinsoku/>
        <w:wordWrap/>
        <w:overflowPunct/>
        <w:topLinePunct w:val="0"/>
        <w:autoSpaceDE/>
        <w:autoSpaceDN/>
        <w:bidi w:val="0"/>
        <w:adjustRightInd w:val="0"/>
        <w:snapToGrid w:val="0"/>
        <w:spacing w:line="600" w:lineRule="exact"/>
        <w:ind w:left="0" w:leftChars="0" w:right="0" w:rightChars="0" w:firstLine="880" w:firstLineChars="200"/>
        <w:jc w:val="both"/>
        <w:textAlignment w:val="auto"/>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b/>
          <w:bCs/>
          <w:sz w:val="32"/>
          <w:szCs w:val="32"/>
          <w:lang w:val="en-US" w:eastAsia="zh-CN"/>
        </w:rPr>
        <w:t>（二）突出项目为王，注入内生动力。</w:t>
      </w:r>
      <w:r>
        <w:rPr>
          <w:rFonts w:hint="eastAsia" w:ascii="仿宋_GB2312" w:hAnsi="仿宋_GB2312" w:eastAsia="仿宋_GB2312" w:cs="仿宋_GB2312"/>
          <w:kern w:val="0"/>
          <w:sz w:val="32"/>
          <w:szCs w:val="32"/>
          <w:lang w:val="en-US" w:eastAsia="zh-CN"/>
        </w:rPr>
        <w:t>认真贯彻落实省市区扎实稳住经济一揽子政策措施，</w:t>
      </w:r>
      <w:r>
        <w:rPr>
          <w:rFonts w:hint="eastAsia" w:ascii="仿宋_GB2312" w:hAnsi="仿宋_GB2312" w:eastAsia="仿宋_GB2312" w:cs="仿宋_GB2312"/>
          <w:sz w:val="32"/>
          <w:szCs w:val="32"/>
          <w:lang w:val="en-US" w:eastAsia="zh-CN"/>
        </w:rPr>
        <w:t>着力稳大盘、稳预期，</w:t>
      </w:r>
      <w:r>
        <w:rPr>
          <w:rFonts w:hint="eastAsia" w:ascii="仿宋_GB2312" w:hAnsi="仿宋_GB2312" w:eastAsia="仿宋_GB2312" w:cs="仿宋_GB2312"/>
          <w:color w:val="auto"/>
          <w:sz w:val="32"/>
          <w:szCs w:val="32"/>
          <w:lang w:val="en-US" w:eastAsia="zh-CN"/>
        </w:rPr>
        <w:t>扎实做好税源保障工作。</w:t>
      </w:r>
      <w:r>
        <w:rPr>
          <w:rFonts w:hint="eastAsia" w:ascii="仿宋_GB2312" w:hAnsi="仿宋_GB2312" w:eastAsia="仿宋_GB2312" w:cs="仿宋_GB2312"/>
          <w:sz w:val="32"/>
          <w:szCs w:val="32"/>
          <w:lang w:val="en-US" w:eastAsia="zh-CN"/>
        </w:rPr>
        <w:t>全年新增3个固定资产投资项目入库，完成</w:t>
      </w:r>
      <w:r>
        <w:rPr>
          <w:rFonts w:hint="eastAsia" w:ascii="仿宋_GB2312" w:hAnsi="仿宋_GB2312" w:eastAsia="仿宋_GB2312" w:cs="仿宋_GB2312"/>
          <w:sz w:val="32"/>
          <w:szCs w:val="32"/>
        </w:rPr>
        <w:t>固定</w:t>
      </w:r>
      <w:r>
        <w:rPr>
          <w:rFonts w:hint="eastAsia" w:ascii="仿宋_GB2312" w:hAnsi="仿宋_GB2312" w:eastAsia="仿宋_GB2312" w:cs="仿宋_GB2312"/>
          <w:sz w:val="32"/>
          <w:szCs w:val="32"/>
          <w:lang w:eastAsia="zh-CN"/>
        </w:rPr>
        <w:t>资产</w:t>
      </w:r>
      <w:r>
        <w:rPr>
          <w:rFonts w:hint="eastAsia" w:ascii="仿宋_GB2312" w:hAnsi="仿宋_GB2312" w:eastAsia="仿宋_GB2312" w:cs="仿宋_GB2312"/>
          <w:sz w:val="32"/>
          <w:szCs w:val="32"/>
        </w:rPr>
        <w:t>投资</w:t>
      </w:r>
      <w:r>
        <w:rPr>
          <w:rFonts w:hint="eastAsia" w:ascii="仿宋_GB2312" w:hAnsi="仿宋_GB2312" w:eastAsia="仿宋_GB2312" w:cs="仿宋_GB2312"/>
          <w:sz w:val="32"/>
          <w:szCs w:val="32"/>
          <w:lang w:val="en-US" w:eastAsia="zh-CN"/>
        </w:rPr>
        <w:t>8.4亿元，</w:t>
      </w:r>
      <w:r>
        <w:rPr>
          <w:rFonts w:hint="eastAsia" w:ascii="仿宋_GB2312" w:hAnsi="仿宋_GB2312" w:eastAsia="仿宋_GB2312" w:cs="仿宋_GB2312"/>
          <w:sz w:val="32"/>
          <w:szCs w:val="32"/>
        </w:rPr>
        <w:t>税收</w:t>
      </w:r>
      <w:r>
        <w:rPr>
          <w:rFonts w:hint="eastAsia" w:ascii="仿宋_GB2312" w:hAnsi="仿宋_GB2312" w:eastAsia="仿宋_GB2312" w:cs="仿宋_GB2312"/>
          <w:sz w:val="32"/>
          <w:szCs w:val="32"/>
          <w:lang w:eastAsia="zh-CN"/>
        </w:rPr>
        <w:t>征缴任务</w:t>
      </w:r>
      <w:r>
        <w:rPr>
          <w:rFonts w:hint="eastAsia" w:ascii="仿宋_GB2312" w:hAnsi="仿宋_GB2312" w:eastAsia="仿宋_GB2312" w:cs="仿宋_GB2312"/>
          <w:sz w:val="32"/>
          <w:szCs w:val="32"/>
          <w:lang w:val="en-US" w:eastAsia="zh-CN"/>
        </w:rPr>
        <w:t>超2000万元，稳居全区前列。注重实体经济，积极响应区委、区</w:t>
      </w:r>
      <w:bookmarkStart w:id="2" w:name="OLE_LINK2"/>
      <w:bookmarkStart w:id="3" w:name="OLE_LINK1"/>
      <w:r>
        <w:rPr>
          <w:rFonts w:hint="eastAsia" w:ascii="仿宋_GB2312" w:hAnsi="仿宋_GB2312" w:eastAsia="仿宋_GB2312" w:cs="仿宋_GB2312"/>
          <w:sz w:val="32"/>
          <w:szCs w:val="32"/>
          <w:lang w:val="en-US" w:eastAsia="zh-CN"/>
        </w:rPr>
        <w:t>政府“项目建设年”行动</w:t>
      </w:r>
      <w:bookmarkEnd w:id="2"/>
      <w:r>
        <w:rPr>
          <w:rFonts w:hint="eastAsia" w:ascii="仿宋_GB2312" w:hAnsi="仿宋_GB2312" w:eastAsia="仿宋_GB2312" w:cs="仿宋_GB2312"/>
          <w:sz w:val="32"/>
          <w:szCs w:val="32"/>
          <w:lang w:val="en-US" w:eastAsia="zh-CN"/>
        </w:rPr>
        <w:t>，推动投资额3.48亿的滨水天宸房地产项目开工建设，协助洞庭地产·都会中心项目建设顺利完成一期交房，海棠嘉园项目复产复工完成封顶。严格落实“岳阳市优化营商环境100条措施”，“迎老乡、回故乡、建家乡”工作落地见效，成功引进乡友企业4家，到位资金1.5亿元。</w:t>
      </w:r>
      <w:bookmarkEnd w:id="3"/>
    </w:p>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lang w:val="en-US" w:eastAsia="zh-CN"/>
        </w:rPr>
        <w:t>（三）坚持建管并重，建设美丽家园。</w:t>
      </w:r>
      <w:r>
        <w:rPr>
          <w:rFonts w:hint="eastAsia" w:ascii="仿宋_GB2312" w:hAnsi="仿宋_GB2312" w:eastAsia="仿宋_GB2312" w:cs="仿宋_GB2312"/>
          <w:sz w:val="32"/>
          <w:szCs w:val="32"/>
          <w:lang w:val="en-US" w:eastAsia="zh-CN"/>
        </w:rPr>
        <w:t>推进城市稳步更新，枫树岭片区10个邻里单元老旧小区改造计划，已完成前期准备工作；东升小学塑胶跑道铺设、万家垅门店门头改造、枫树小学后山清铲及枫树新村、长鑫社区日间照料中心建设等6个片区改造配套设施建设项目均已完成。持续改善辖区环境卫生，全年开展</w:t>
      </w:r>
      <w:r>
        <w:rPr>
          <w:rFonts w:hint="eastAsia" w:ascii="仿宋_GB2312" w:hAnsi="仿宋_GB2312" w:eastAsia="仿宋_GB2312" w:cs="仿宋_GB2312"/>
          <w:sz w:val="32"/>
          <w:szCs w:val="32"/>
        </w:rPr>
        <w:t>综合整治提质扩面大清扫</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清理家园整治</w:t>
      </w:r>
      <w:r>
        <w:rPr>
          <w:rFonts w:hint="eastAsia" w:ascii="仿宋_GB2312" w:hAnsi="仿宋_GB2312" w:eastAsia="仿宋_GB2312" w:cs="仿宋_GB2312"/>
          <w:sz w:val="32"/>
          <w:szCs w:val="32"/>
          <w:lang w:eastAsia="zh-CN"/>
        </w:rPr>
        <w:t>活动约</w:t>
      </w:r>
      <w:r>
        <w:rPr>
          <w:rFonts w:hint="eastAsia" w:ascii="仿宋_GB2312" w:hAnsi="仿宋_GB2312" w:eastAsia="仿宋_GB2312" w:cs="仿宋_GB2312"/>
          <w:sz w:val="32"/>
          <w:szCs w:val="32"/>
          <w:lang w:val="en-US" w:eastAsia="zh-CN"/>
        </w:rPr>
        <w:t>270余次，对房前屋后杂草、违规菜地、建筑垃圾杂物、沟渠、下水道等进行全面清理，</w:t>
      </w:r>
      <w:r>
        <w:rPr>
          <w:rFonts w:hint="eastAsia" w:ascii="仿宋_GB2312" w:hAnsi="仿宋_GB2312" w:eastAsia="仿宋_GB2312" w:cs="仿宋_GB2312"/>
          <w:sz w:val="32"/>
          <w:szCs w:val="32"/>
          <w:lang w:eastAsia="zh-CN"/>
        </w:rPr>
        <w:t>辖区环境明显美化。</w:t>
      </w:r>
      <w:r>
        <w:rPr>
          <w:rFonts w:hint="eastAsia" w:ascii="仿宋_GB2312" w:hAnsi="仿宋_GB2312" w:eastAsia="仿宋_GB2312" w:cs="仿宋_GB2312"/>
          <w:sz w:val="32"/>
          <w:szCs w:val="32"/>
          <w:lang w:val="en-US" w:eastAsia="zh-CN"/>
        </w:rPr>
        <w:t>扛牢“守护好一江碧水”责任，晴查漂浮、雨查排污，协助“洞庭清波”专项行动，完成王家河河道清淤及护坡修复工程，协调完成三峡雨污分流工程11处，对</w:t>
      </w:r>
      <w:r>
        <w:rPr>
          <w:rFonts w:hint="eastAsia" w:ascii="仿宋_GB2312" w:hAnsi="仿宋_GB2312" w:eastAsia="仿宋_GB2312" w:cs="仿宋_GB2312"/>
          <w:sz w:val="32"/>
          <w:szCs w:val="32"/>
          <w:lang w:eastAsia="zh-CN"/>
        </w:rPr>
        <w:t>王家河小区排污口进行封堵，</w:t>
      </w:r>
      <w:r>
        <w:rPr>
          <w:rFonts w:hint="eastAsia" w:ascii="仿宋_GB2312" w:hAnsi="仿宋_GB2312" w:eastAsia="仿宋_GB2312" w:cs="仿宋_GB2312"/>
          <w:sz w:val="32"/>
          <w:szCs w:val="32"/>
          <w:lang w:val="en-US" w:eastAsia="zh-CN"/>
        </w:rPr>
        <w:t>王家河实现了无恶臭气味、无明显漂浮物、无蓝藻爆发，</w:t>
      </w:r>
      <w:r>
        <w:rPr>
          <w:rFonts w:hint="eastAsia" w:ascii="仿宋_GB2312" w:hAnsi="仿宋_GB2312" w:eastAsia="仿宋_GB2312" w:cs="仿宋_GB2312"/>
          <w:sz w:val="32"/>
          <w:szCs w:val="32"/>
          <w:lang w:eastAsia="zh-CN"/>
        </w:rPr>
        <w:t>水质明显改善。</w:t>
      </w:r>
    </w:p>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（四）聚力民生实事，增进人民福祉。</w:t>
      </w:r>
      <w:r>
        <w:rPr>
          <w:rFonts w:hint="eastAsia" w:ascii="仿宋_GB2312" w:hAnsi="仿宋_GB2312" w:eastAsia="仿宋_GB2312" w:cs="仿宋_GB2312"/>
          <w:sz w:val="32"/>
          <w:szCs w:val="32"/>
        </w:rPr>
        <w:t>进一步缩短服务半径，全面建成就学、诊疗、健身、警务、政务五个一公里服务圈</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配合开展春风送岗，实现企业、就业“双向奔赴”，连续5年超额完成新增就业任务</w:t>
      </w:r>
      <w:r>
        <w:rPr>
          <w:rFonts w:hint="eastAsia" w:ascii="仿宋_GB2312" w:hAnsi="仿宋_GB2312" w:eastAsia="仿宋_GB2312" w:cs="仿宋_GB2312"/>
          <w:sz w:val="32"/>
          <w:szCs w:val="32"/>
          <w:lang w:eastAsia="zh-CN"/>
        </w:rPr>
        <w:t>。持续关注老年人诉求，高标准</w:t>
      </w:r>
      <w:r>
        <w:rPr>
          <w:rFonts w:hint="eastAsia" w:ascii="仿宋_GB2312" w:hAnsi="仿宋_GB2312" w:eastAsia="仿宋_GB2312" w:cs="仿宋_GB2312"/>
          <w:sz w:val="32"/>
          <w:szCs w:val="32"/>
          <w:lang w:val="en-US" w:eastAsia="zh-CN"/>
        </w:rPr>
        <w:t>建成</w:t>
      </w:r>
      <w:r>
        <w:rPr>
          <w:rFonts w:hint="eastAsia" w:ascii="仿宋_GB2312" w:hAnsi="仿宋_GB2312" w:eastAsia="仿宋_GB2312" w:cs="仿宋_GB2312"/>
          <w:sz w:val="32"/>
          <w:szCs w:val="32"/>
        </w:rPr>
        <w:t>长炼花园小区老年食堂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解决小区内老人吃饭难问题。落实各项惠残政策，</w:t>
      </w:r>
      <w:r>
        <w:rPr>
          <w:rFonts w:hint="eastAsia" w:ascii="仿宋_GB2312" w:hAnsi="仿宋_GB2312" w:eastAsia="仿宋_GB2312" w:cs="仿宋_GB2312"/>
          <w:sz w:val="32"/>
          <w:szCs w:val="32"/>
          <w:lang w:eastAsia="zh-CN"/>
        </w:rPr>
        <w:t>大力推进社区残疾人康复中心建设，</w:t>
      </w:r>
      <w:r>
        <w:rPr>
          <w:rFonts w:hint="eastAsia" w:ascii="仿宋_GB2312" w:hAnsi="仿宋_GB2312" w:eastAsia="仿宋_GB2312" w:cs="仿宋_GB2312"/>
          <w:sz w:val="32"/>
          <w:szCs w:val="32"/>
          <w:lang w:val="en-US" w:eastAsia="zh-CN"/>
        </w:rPr>
        <w:t>东升社区无障碍服务平台建设完成。城市治理网格化、</w:t>
      </w:r>
      <w:r>
        <w:rPr>
          <w:rFonts w:hint="eastAsia" w:ascii="仿宋_GB2312" w:hAnsi="仿宋_GB2312" w:eastAsia="仿宋_GB2312" w:cs="仿宋_GB2312"/>
          <w:sz w:val="32"/>
          <w:szCs w:val="32"/>
        </w:rPr>
        <w:t>法治化试点工作全面铺开，</w:t>
      </w:r>
      <w:r>
        <w:rPr>
          <w:rFonts w:hint="eastAsia" w:ascii="仿宋_GB2312" w:hAnsi="仿宋_GB2312" w:eastAsia="仿宋_GB2312" w:cs="仿宋_GB2312"/>
          <w:sz w:val="32"/>
          <w:szCs w:val="32"/>
          <w:lang w:val="en-US" w:eastAsia="zh-CN"/>
        </w:rPr>
        <w:t>设置</w:t>
      </w:r>
      <w:r>
        <w:rPr>
          <w:rFonts w:hint="eastAsia" w:ascii="仿宋_GB2312" w:hAnsi="仿宋_GB2312" w:eastAsia="仿宋_GB2312" w:cs="仿宋_GB2312"/>
          <w:sz w:val="32"/>
          <w:szCs w:val="32"/>
        </w:rPr>
        <w:t>网格打卡点249个，网格员“一日双巡”</w:t>
      </w:r>
      <w:r>
        <w:rPr>
          <w:rFonts w:hint="eastAsia" w:ascii="仿宋_GB2312" w:hAnsi="仿宋_GB2312" w:eastAsia="仿宋_GB2312" w:cs="仿宋_GB2312"/>
          <w:sz w:val="32"/>
          <w:szCs w:val="32"/>
          <w:lang w:val="en-US" w:eastAsia="zh-CN"/>
        </w:rPr>
        <w:t>工作</w:t>
      </w:r>
      <w:r>
        <w:rPr>
          <w:rFonts w:hint="eastAsia" w:ascii="仿宋_GB2312" w:hAnsi="仿宋_GB2312" w:eastAsia="仿宋_GB2312" w:cs="仿宋_GB2312"/>
          <w:sz w:val="32"/>
          <w:szCs w:val="32"/>
        </w:rPr>
        <w:t>做到了真巡、真查、真报、真改，共计上</w:t>
      </w:r>
      <w:r>
        <w:rPr>
          <w:rFonts w:hint="eastAsia" w:ascii="仿宋_GB2312" w:hAnsi="仿宋_GB2312" w:eastAsia="仿宋_GB2312" w:cs="仿宋_GB2312"/>
          <w:sz w:val="32"/>
          <w:szCs w:val="32"/>
          <w:lang w:val="en-US" w:eastAsia="zh-CN"/>
        </w:rPr>
        <w:t>门服务11252次，报送各类网格事件共计565起，更新数据8836条，“党建+网格化微治理”工作落地见效。服务窗口共受理企业、居民申报的各类下沉事项2697起，办结率100%；受理12345投诉热线612条，结案率100%。广泛动员居民参与基层治理，建立“片组邻”的基层治理组织体系，“三长制”架构全域覆盖，通过发挥好居民代表上传下达、反映诉求、凝聚人心、服务群众的作用，有效畅通基层治理“最后一米”，现有片长30人、组长266人、邻长1031人。2023年11月，王家河社区获省首届新时代文明实践中心。深入践行“群英断是非”工作法，组织群英会80次，解决群众急难愁盼问题57件，长炼小区电梯加装项目纠纷调处案例被国家刊物报道。</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88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（五）精准排查隐患，全力防范风险。</w:t>
      </w:r>
      <w:r>
        <w:rPr>
          <w:rFonts w:hint="eastAsia" w:ascii="仿宋_GB2312" w:hAnsi="仿宋_GB2312" w:eastAsia="仿宋_GB2312" w:cs="仿宋_GB2312"/>
          <w:sz w:val="32"/>
          <w:szCs w:val="32"/>
          <w:lang w:val="en-US" w:eastAsia="zh-CN"/>
        </w:rPr>
        <w:t>牢牢维护好社会和谐稳定这个基本前提，保障群众安居乐业，守护居民的“岁月静好”。</w:t>
      </w:r>
      <w:bookmarkStart w:id="4" w:name="OLE_LINK12"/>
      <w:r>
        <w:rPr>
          <w:rFonts w:hint="eastAsia" w:ascii="仿宋_GB2312" w:hAnsi="仿宋_GB2312" w:eastAsia="仿宋_GB2312" w:cs="仿宋_GB2312"/>
          <w:sz w:val="32"/>
          <w:szCs w:val="32"/>
          <w:lang w:val="en-US" w:eastAsia="zh-CN"/>
        </w:rPr>
        <w:t>在去年底、今年初的冰雪灾害中，街道、社区“以雪为令，闻令而动”积极应对冰雪灾害天气，全体干部职工同心同力、冲锋在前开展铲冰除雪、清运树枝行动，切实保障辖区道路畅通和居民出行安全。常态化开展安全生产隐患排查整治行动，深入辖区各单位、居民区、文化娱乐场所等人员密集场所开展安全生产检查，开展敲门行动4200余户，日常安全检查200余次，组织集中检查60余次，查出一般安全隐患70余起，较大安全隐患34起，均已整改完毕，有效杜绝了安全事故的发生；投入资金40余万元排除海棠社区易家路老旧围墙倒塌风险等</w:t>
      </w:r>
      <w:r>
        <w:rPr>
          <w:rFonts w:hint="eastAsia" w:ascii="仿宋_GB2312" w:hAnsi="仿宋_GB2312" w:eastAsia="仿宋_GB2312" w:cs="仿宋_GB2312"/>
          <w:sz w:val="32"/>
          <w:szCs w:val="32"/>
          <w:lang w:val="en-US" w:eastAsia="zh-CN"/>
        </w:rPr>
        <w:t>10处重大公共安全隐患</w:t>
      </w:r>
      <w:bookmarkEnd w:id="4"/>
      <w:r>
        <w:rPr>
          <w:rFonts w:hint="eastAsia" w:ascii="仿宋_GB2312" w:hAnsi="仿宋_GB2312" w:eastAsia="仿宋_GB2312" w:cs="仿宋_GB2312"/>
          <w:sz w:val="32"/>
          <w:szCs w:val="32"/>
          <w:lang w:val="en-US" w:eastAsia="zh-CN"/>
        </w:rPr>
        <w:t>。拆除新增违建5处，410平方米，存量违建85处，6626平方米，超额完成2023年度市区交办的“</w:t>
      </w:r>
      <w:bookmarkStart w:id="5" w:name="OLE_LINK10"/>
      <w:r>
        <w:rPr>
          <w:rFonts w:hint="eastAsia" w:ascii="仿宋_GB2312" w:hAnsi="仿宋_GB2312" w:eastAsia="仿宋_GB2312" w:cs="仿宋_GB2312"/>
          <w:sz w:val="32"/>
          <w:szCs w:val="32"/>
          <w:lang w:val="en-US" w:eastAsia="zh-CN"/>
        </w:rPr>
        <w:t>三年拆存计划</w:t>
      </w:r>
      <w:bookmarkEnd w:id="5"/>
      <w:r>
        <w:rPr>
          <w:rFonts w:hint="eastAsia" w:ascii="仿宋_GB2312" w:hAnsi="仿宋_GB2312" w:eastAsia="仿宋_GB2312" w:cs="仿宋_GB2312"/>
          <w:sz w:val="32"/>
          <w:szCs w:val="32"/>
          <w:lang w:val="en-US" w:eastAsia="zh-CN"/>
        </w:rPr>
        <w:t>”工作目标；解决东升社区中门组461户，1600余人</w:t>
      </w:r>
      <w:bookmarkStart w:id="6" w:name="OLE_LINK11"/>
      <w:r>
        <w:rPr>
          <w:rFonts w:hint="eastAsia" w:ascii="仿宋_GB2312" w:hAnsi="仿宋_GB2312" w:eastAsia="仿宋_GB2312" w:cs="仿宋_GB2312"/>
          <w:sz w:val="32"/>
          <w:szCs w:val="32"/>
          <w:lang w:val="en-US" w:eastAsia="zh-CN"/>
        </w:rPr>
        <w:t>用水和消防安全</w:t>
      </w:r>
      <w:bookmarkEnd w:id="6"/>
      <w:r>
        <w:rPr>
          <w:rFonts w:hint="eastAsia" w:ascii="仿宋_GB2312" w:hAnsi="仿宋_GB2312" w:eastAsia="仿宋_GB2312" w:cs="仿宋_GB2312"/>
          <w:sz w:val="32"/>
          <w:szCs w:val="32"/>
          <w:lang w:val="en-US" w:eastAsia="zh-CN"/>
        </w:rPr>
        <w:t>问题。</w:t>
      </w:r>
      <w:bookmarkStart w:id="7" w:name="OLE_LINK8"/>
      <w:r>
        <w:rPr>
          <w:rFonts w:hint="eastAsia" w:ascii="仿宋_GB2312" w:hAnsi="仿宋_GB2312" w:eastAsia="仿宋_GB2312" w:cs="仿宋_GB2312"/>
          <w:sz w:val="32"/>
          <w:szCs w:val="32"/>
        </w:rPr>
        <w:t>坚持念好“防、细、联、稳”四字诀，加强源头治理，以综治之为护信访之稳，反诈形势显著好转，吸毒人员有效管控，完成青年东路北侧、王家河流域土地费分配1000余万元，解决504户安置户的安置清零工作，妥善解决了长达十多年的信访矛盾</w:t>
      </w:r>
      <w:r>
        <w:rPr>
          <w:rFonts w:hint="eastAsia" w:ascii="仿宋_GB2312" w:hAnsi="仿宋_GB2312" w:eastAsia="仿宋_GB2312" w:cs="仿宋_GB2312"/>
          <w:b w:val="0"/>
          <w:bCs w:val="0"/>
          <w:sz w:val="32"/>
          <w:szCs w:val="32"/>
          <w:lang w:val="en-US" w:eastAsia="zh-CN"/>
        </w:rPr>
        <w:t>，</w:t>
      </w:r>
      <w:r>
        <w:rPr>
          <w:rFonts w:hint="eastAsia" w:ascii="仿宋_GB2312" w:hAnsi="仿宋_GB2312" w:eastAsia="仿宋_GB2312" w:cs="仿宋_GB2312"/>
          <w:sz w:val="32"/>
          <w:szCs w:val="32"/>
        </w:rPr>
        <w:t>信访发案率同比连年下降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b w:val="0"/>
          <w:bCs w:val="0"/>
          <w:sz w:val="32"/>
          <w:szCs w:val="32"/>
          <w:lang w:val="en-US" w:eastAsia="zh-CN"/>
        </w:rPr>
        <w:t>全年没有发生一起赴省赴京的信访案件，</w:t>
      </w:r>
      <w:r>
        <w:rPr>
          <w:rFonts w:hint="eastAsia" w:ascii="仿宋_GB2312" w:hAnsi="仿宋_GB2312" w:eastAsia="仿宋_GB2312" w:cs="仿宋_GB2312"/>
          <w:sz w:val="32"/>
          <w:szCs w:val="32"/>
          <w:lang w:val="en-US" w:eastAsia="zh-CN"/>
        </w:rPr>
        <w:t>街道连续两年</w:t>
      </w:r>
      <w:r>
        <w:rPr>
          <w:rFonts w:hint="eastAsia" w:ascii="仿宋_GB2312" w:hAnsi="仿宋_GB2312" w:eastAsia="仿宋_GB2312" w:cs="仿宋_GB2312"/>
          <w:sz w:val="32"/>
          <w:szCs w:val="32"/>
        </w:rPr>
        <w:t>荣获市级信访工作先进单位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枫树新村社区被人社厅评为劳动人事争议调解中心。</w:t>
      </w:r>
      <w:bookmarkEnd w:id="7"/>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88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（六）坚持刀刃向内，持续正风肃纪。</w:t>
      </w:r>
      <w:r>
        <w:rPr>
          <w:rFonts w:hint="eastAsia" w:ascii="仿宋_GB2312" w:hAnsi="仿宋_GB2312" w:eastAsia="仿宋_GB2312" w:cs="仿宋_GB2312"/>
          <w:sz w:val="32"/>
          <w:szCs w:val="32"/>
        </w:rPr>
        <w:t>全面落实“两个责任”和履行“一岗双责”制度</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深入开展“两带头五整治”纠风防腐专项行动及党员干部和公职人员酒驾醉驾问题专项整治工作，签订承诺书117份，处理党员干部酒驾醉驾7人，其中党纪处分6人，诫勉谈话1人；深入落实谈心谈话制度，工委书记带头与班子成员开展廉政谈话，班子成员与站所、社区负责人开展廉政谈话，全年共开展廉政谈话110人次；</w:t>
      </w:r>
      <w:r>
        <w:rPr>
          <w:rFonts w:hint="eastAsia" w:ascii="仿宋_GB2312" w:hAnsi="仿宋_GB2312" w:eastAsia="仿宋_GB2312" w:cs="仿宋_GB2312"/>
          <w:sz w:val="32"/>
          <w:szCs w:val="32"/>
          <w:lang w:eastAsia="zh-CN"/>
        </w:rPr>
        <w:t>利用中心组（扩大）学习时间组织班子成员、站所和社区负责人</w:t>
      </w:r>
      <w:r>
        <w:rPr>
          <w:rFonts w:hint="eastAsia" w:ascii="仿宋_GB2312" w:hAnsi="仿宋_GB2312" w:eastAsia="仿宋_GB2312" w:cs="仿宋_GB2312"/>
          <w:sz w:val="32"/>
          <w:szCs w:val="32"/>
          <w:lang w:val="en-US" w:eastAsia="zh-CN"/>
        </w:rPr>
        <w:t>传达学习中央、省、市、区纪委全会精神以及区纪委下发的《通报》共6次；</w:t>
      </w:r>
      <w:r>
        <w:rPr>
          <w:rFonts w:hint="eastAsia" w:ascii="仿宋_GB2312" w:hAnsi="仿宋_GB2312" w:eastAsia="仿宋_GB2312" w:cs="仿宋_GB2312"/>
          <w:sz w:val="32"/>
          <w:szCs w:val="32"/>
        </w:rPr>
        <w:t>班子成员带头落实日常考勤制度，纪工委每月开展一次以上的作风督查，全年共下发通报12期，通报违反工作纪律的干部34人次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坚持不断严肃工作纪律，强化工作作风，培养一支</w:t>
      </w:r>
      <w:r>
        <w:rPr>
          <w:rFonts w:hint="eastAsia" w:ascii="仿宋_GB2312" w:hAnsi="仿宋_GB2312" w:eastAsia="仿宋_GB2312" w:cs="仿宋_GB2312"/>
          <w:sz w:val="32"/>
          <w:szCs w:val="32"/>
          <w:lang w:eastAsia="zh-CN"/>
        </w:rPr>
        <w:t>恪守初心、勇于担当的为民服务队伍。</w:t>
      </w:r>
    </w:p>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七、存在的问题及原因分析</w:t>
      </w:r>
    </w:p>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1、预算编制不够细化。预算编制与实际支出项目存在还存在一定偏差，出现偏离。</w:t>
      </w:r>
    </w:p>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2、绩效目标精细化程度还不够高。部分绩效目标不够详细具体，有的三级指标设置科学化程度不高，不能完全体现所有工作重点。</w:t>
      </w:r>
    </w:p>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八、下一步改进措施</w:t>
      </w:r>
    </w:p>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强化思想认识，严格按照预算绩效目标管理有关要求，坚持定性与定量相结合，将指标从数量、质量、成本、时效等方面细化、量化，将绩效评价指标与具体工作结合起来，增强指标设置的可实施性、可考核性，确保指标全面、准确、真实反映重点工作。</w:t>
      </w:r>
    </w:p>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九、单位整体支出绩效自评结果拟应用和公开情况</w:t>
      </w:r>
    </w:p>
    <w:p>
      <w:pPr>
        <w:keepNext w:val="0"/>
        <w:keepLines w:val="0"/>
        <w:pageBreakBefore w:val="0"/>
        <w:kinsoku/>
        <w:wordWrap/>
        <w:overflowPunct/>
        <w:topLinePunct w:val="0"/>
        <w:autoSpaceDE/>
        <w:autoSpaceDN/>
        <w:bidi w:val="0"/>
        <w:spacing w:line="600" w:lineRule="exact"/>
        <w:ind w:left="0" w:leftChars="0" w:right="0" w:rightChars="0" w:firstLine="88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我街道办事处高度重视绩效评价工作，严格按照相关要求高质高效地完成了绩效自评工作,我单位将及时将结果进行公开，接受社会监督。</w:t>
      </w:r>
    </w:p>
    <w:p>
      <w:pPr>
        <w:keepNext w:val="0"/>
        <w:keepLines w:val="0"/>
        <w:pageBreakBefore w:val="0"/>
        <w:numPr>
          <w:ilvl w:val="0"/>
          <w:numId w:val="3"/>
        </w:numPr>
        <w:kinsoku/>
        <w:wordWrap/>
        <w:overflowPunct/>
        <w:topLinePunct w:val="0"/>
        <w:autoSpaceDE/>
        <w:autoSpaceDN/>
        <w:bidi w:val="0"/>
        <w:spacing w:line="600" w:lineRule="exact"/>
        <w:ind w:left="0" w:leftChars="0" w:right="0" w:rightChars="0" w:firstLine="88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其他需要说明的情况</w:t>
      </w:r>
    </w:p>
    <w:p>
      <w:pPr>
        <w:keepNext w:val="0"/>
        <w:keepLines w:val="0"/>
        <w:pageBreakBefore w:val="0"/>
        <w:numPr>
          <w:numId w:val="0"/>
        </w:numPr>
        <w:kinsoku/>
        <w:wordWrap/>
        <w:overflowPunct/>
        <w:topLinePunct w:val="0"/>
        <w:autoSpaceDE/>
        <w:autoSpaceDN/>
        <w:bidi w:val="0"/>
        <w:spacing w:line="600" w:lineRule="exact"/>
        <w:ind w:left="0" w:leftChars="0" w:right="0" w:rightChars="0" w:firstLine="88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无</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2010601030101010101"/>
    <w:charset w:val="86"/>
    <w:family w:val="script"/>
    <w:pitch w:val="default"/>
    <w:sig w:usb0="00000000" w:usb1="0000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楷体">
    <w:panose1 w:val="02010609060101010101"/>
    <w:charset w:val="86"/>
    <w:family w:val="auto"/>
    <w:pitch w:val="default"/>
    <w:sig w:usb0="800002BF" w:usb1="38CF7CFA" w:usb2="00000016" w:usb3="00000000" w:csb0="00040001"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Calibri Light">
    <w:panose1 w:val="020F0302020204030204"/>
    <w:charset w:val="00"/>
    <w:family w:val="auto"/>
    <w:pitch w:val="default"/>
    <w:sig w:usb0="A00002EF" w:usb1="4000207B" w:usb2="00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707770D"/>
    <w:multiLevelType w:val="singleLevel"/>
    <w:tmpl w:val="6707770D"/>
    <w:lvl w:ilvl="0" w:tentative="0">
      <w:start w:val="10"/>
      <w:numFmt w:val="chineseCounting"/>
      <w:suff w:val="nothing"/>
      <w:lvlText w:val="%1、"/>
      <w:lvlJc w:val="left"/>
    </w:lvl>
  </w:abstractNum>
  <w:abstractNum w:abstractNumId="1">
    <w:nsid w:val="67077776"/>
    <w:multiLevelType w:val="singleLevel"/>
    <w:tmpl w:val="67077776"/>
    <w:lvl w:ilvl="0" w:tentative="0">
      <w:start w:val="1"/>
      <w:numFmt w:val="chineseCounting"/>
      <w:suff w:val="nothing"/>
      <w:lvlText w:val="%1、"/>
      <w:lvlJc w:val="left"/>
    </w:lvl>
  </w:abstractNum>
  <w:abstractNum w:abstractNumId="2">
    <w:nsid w:val="670777CD"/>
    <w:multiLevelType w:val="singleLevel"/>
    <w:tmpl w:val="670777CD"/>
    <w:lvl w:ilvl="0" w:tentative="0">
      <w:start w:val="5"/>
      <w:numFmt w:val="chineseCounting"/>
      <w:suff w:val="nothing"/>
      <w:lvlText w:val="%1、"/>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BBF4EEF"/>
    <w:rsid w:val="299174D6"/>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Normal Indent"/>
    <w:basedOn w:val="1"/>
    <w:uiPriority w:val="0"/>
    <w:pPr>
      <w:ind w:firstLine="42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Office_10.8.0.5838_F1E327BC-269C-435d-A152-05C5408002CA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2024-10-10T06:34:50Z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2052-10.8.0.5838</vt:lpwstr>
  </property>
</Properties>
</file>