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D8C64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263C93FD">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3</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2D3FA246">
      <w:pPr>
        <w:spacing w:line="115" w:lineRule="exact"/>
        <w:rPr>
          <w:color w:val="000000" w:themeColor="text1"/>
          <w14:textFill>
            <w14:solidFill>
              <w14:schemeClr w14:val="tx1"/>
            </w14:solidFill>
          </w14:textFill>
        </w:rPr>
      </w:pPr>
    </w:p>
    <w:tbl>
      <w:tblPr>
        <w:tblStyle w:val="7"/>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447A1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38A00CBD">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30E5BCF8">
            <w:pPr>
              <w:spacing w:before="103" w:line="219" w:lineRule="auto"/>
              <w:ind w:left="708"/>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岳阳楼区医疗保障局</w:t>
            </w:r>
          </w:p>
        </w:tc>
      </w:tr>
      <w:tr w14:paraId="758289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73D486BB">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3E0A5689">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5ADE790D">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w:t>
            </w: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年实际在职人数</w:t>
            </w:r>
          </w:p>
        </w:tc>
        <w:tc>
          <w:tcPr>
            <w:tcW w:w="1679" w:type="dxa"/>
            <w:gridSpan w:val="2"/>
            <w:noWrap w:val="0"/>
            <w:vAlign w:val="top"/>
          </w:tcPr>
          <w:p w14:paraId="5D195F49">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7B929F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1F5AC2E9">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4AA425EB">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47</w:t>
            </w:r>
          </w:p>
        </w:tc>
        <w:tc>
          <w:tcPr>
            <w:tcW w:w="2325" w:type="dxa"/>
            <w:gridSpan w:val="2"/>
            <w:noWrap w:val="0"/>
            <w:vAlign w:val="top"/>
          </w:tcPr>
          <w:p w14:paraId="6549AB99">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47</w:t>
            </w:r>
          </w:p>
        </w:tc>
        <w:tc>
          <w:tcPr>
            <w:tcW w:w="1679" w:type="dxa"/>
            <w:gridSpan w:val="2"/>
            <w:noWrap w:val="0"/>
            <w:vAlign w:val="top"/>
          </w:tcPr>
          <w:p w14:paraId="10FD125E">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14:paraId="145426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4CD800BA">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2995E27B">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年决算数</w:t>
            </w:r>
          </w:p>
        </w:tc>
        <w:tc>
          <w:tcPr>
            <w:tcW w:w="2325" w:type="dxa"/>
            <w:gridSpan w:val="2"/>
            <w:noWrap w:val="0"/>
            <w:vAlign w:val="top"/>
          </w:tcPr>
          <w:p w14:paraId="21E7AC27">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年预算数</w:t>
            </w:r>
          </w:p>
        </w:tc>
        <w:tc>
          <w:tcPr>
            <w:tcW w:w="1679" w:type="dxa"/>
            <w:gridSpan w:val="2"/>
            <w:noWrap w:val="0"/>
            <w:vAlign w:val="top"/>
          </w:tcPr>
          <w:p w14:paraId="7AAD699E">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w:t>
            </w:r>
            <w:r>
              <w:rPr>
                <w:rFonts w:hint="eastAsia" w:asciiTheme="majorEastAsia" w:hAnsiTheme="majorEastAsia" w:eastAsiaTheme="majorEastAsia" w:cstheme="majorEastAsia"/>
                <w:b w:val="0"/>
                <w:bCs w:val="0"/>
                <w:color w:val="000000" w:themeColor="text1"/>
                <w:spacing w:val="-4"/>
                <w:sz w:val="24"/>
                <w:szCs w:val="24"/>
                <w:lang w:val="en-US" w:eastAsia="zh-CN"/>
                <w14:textFill>
                  <w14:solidFill>
                    <w14:schemeClr w14:val="tx1"/>
                  </w14:solidFill>
                </w14:textFill>
              </w:rPr>
              <w:t>3</w:t>
            </w: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年决算数</w:t>
            </w:r>
          </w:p>
        </w:tc>
      </w:tr>
      <w:tr w14:paraId="590607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118CBC4">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21A5D3B3">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c>
          <w:tcPr>
            <w:tcW w:w="2325" w:type="dxa"/>
            <w:gridSpan w:val="2"/>
            <w:noWrap w:val="0"/>
            <w:vAlign w:val="top"/>
          </w:tcPr>
          <w:p w14:paraId="0B0517C8">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w:t>
            </w:r>
          </w:p>
        </w:tc>
        <w:tc>
          <w:tcPr>
            <w:tcW w:w="1679" w:type="dxa"/>
            <w:gridSpan w:val="2"/>
            <w:noWrap w:val="0"/>
            <w:vAlign w:val="top"/>
          </w:tcPr>
          <w:p w14:paraId="332F2A41">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0.13</w:t>
            </w:r>
          </w:p>
        </w:tc>
      </w:tr>
      <w:tr w14:paraId="6CBA37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2C30765">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2AA7257A">
            <w:pP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341250D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41398B1">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49E448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116BB4A">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6ECB2DA2">
            <w:pP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2A931D5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4436E18C">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52D58C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35184C59">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13F0D437">
            <w:pP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43033E2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BEBB920">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0ED79C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2C708365">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79118238">
            <w:pP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35ED885B">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3D430C75">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75797A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14:paraId="143D67E7">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4CA237AB">
            <w:pP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3355A22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w:t>
            </w:r>
          </w:p>
        </w:tc>
        <w:tc>
          <w:tcPr>
            <w:tcW w:w="1679" w:type="dxa"/>
            <w:gridSpan w:val="2"/>
            <w:noWrap w:val="0"/>
            <w:vAlign w:val="top"/>
          </w:tcPr>
          <w:p w14:paraId="0649D01B">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0.13</w:t>
            </w:r>
          </w:p>
        </w:tc>
      </w:tr>
      <w:tr w14:paraId="02577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5B1BA6A">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6F0FA5AA">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231.98</w:t>
            </w:r>
          </w:p>
        </w:tc>
        <w:tc>
          <w:tcPr>
            <w:tcW w:w="2325" w:type="dxa"/>
            <w:gridSpan w:val="2"/>
            <w:noWrap w:val="0"/>
            <w:vAlign w:val="top"/>
          </w:tcPr>
          <w:p w14:paraId="06F142D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276</w:t>
            </w:r>
          </w:p>
        </w:tc>
        <w:tc>
          <w:tcPr>
            <w:tcW w:w="1679" w:type="dxa"/>
            <w:gridSpan w:val="2"/>
            <w:noWrap w:val="0"/>
            <w:vAlign w:val="top"/>
          </w:tcPr>
          <w:p w14:paraId="00BBBC3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994</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w:t>
            </w:r>
          </w:p>
        </w:tc>
      </w:tr>
      <w:tr w14:paraId="1C72CB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6E58B59F">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5EA68D1C">
            <w:pPr>
              <w:jc w:val="center"/>
              <w:rPr>
                <w:rFonts w:hint="eastAsia" w:asciiTheme="majorEastAsia" w:hAnsiTheme="majorEastAsia" w:eastAsiaTheme="majorEastAsia" w:cstheme="majorEastAsia"/>
                <w:b w:val="0"/>
                <w:bCs w:val="0"/>
                <w:color w:val="auto"/>
                <w:kern w:val="2"/>
                <w:sz w:val="21"/>
                <w:szCs w:val="24"/>
                <w:lang w:val="en-US" w:eastAsia="zh-CN" w:bidi="ar-SA"/>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201.98</w:t>
            </w:r>
          </w:p>
        </w:tc>
        <w:tc>
          <w:tcPr>
            <w:tcW w:w="2325" w:type="dxa"/>
            <w:gridSpan w:val="2"/>
            <w:noWrap w:val="0"/>
            <w:vAlign w:val="top"/>
          </w:tcPr>
          <w:p w14:paraId="4ADD5AF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166</w:t>
            </w:r>
          </w:p>
        </w:tc>
        <w:tc>
          <w:tcPr>
            <w:tcW w:w="1679" w:type="dxa"/>
            <w:gridSpan w:val="2"/>
            <w:noWrap w:val="0"/>
            <w:vAlign w:val="top"/>
          </w:tcPr>
          <w:p w14:paraId="667F92D4">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154</w:t>
            </w:r>
          </w:p>
        </w:tc>
      </w:tr>
      <w:tr w14:paraId="4527CE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3C67FA45">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4B5F2953">
            <w:pPr>
              <w:jc w:val="center"/>
              <w:rPr>
                <w:rFonts w:hint="eastAsia" w:asciiTheme="majorEastAsia" w:hAnsiTheme="majorEastAsia" w:eastAsiaTheme="majorEastAsia" w:cstheme="majorEastAsia"/>
                <w:b w:val="0"/>
                <w:bCs w:val="0"/>
                <w:color w:val="auto"/>
                <w:kern w:val="2"/>
                <w:sz w:val="21"/>
                <w:szCs w:val="24"/>
                <w:lang w:val="en-US" w:eastAsia="zh-CN" w:bidi="ar-SA"/>
              </w:rPr>
            </w:pPr>
            <w:r>
              <w:rPr>
                <w:rFonts w:hint="eastAsia" w:asciiTheme="majorEastAsia" w:hAnsiTheme="majorEastAsia" w:eastAsiaTheme="majorEastAsia" w:cstheme="majorEastAsia"/>
                <w:b w:val="0"/>
                <w:bCs w:val="0"/>
                <w:color w:val="auto"/>
                <w:sz w:val="21"/>
                <w:lang w:val="en-US" w:eastAsia="zh-CN"/>
              </w:rPr>
              <w:t>30</w:t>
            </w:r>
          </w:p>
        </w:tc>
        <w:tc>
          <w:tcPr>
            <w:tcW w:w="2325" w:type="dxa"/>
            <w:gridSpan w:val="2"/>
            <w:noWrap w:val="0"/>
            <w:vAlign w:val="top"/>
          </w:tcPr>
          <w:p w14:paraId="5BDB8EC4">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35</w:t>
            </w:r>
          </w:p>
        </w:tc>
        <w:tc>
          <w:tcPr>
            <w:tcW w:w="1679" w:type="dxa"/>
            <w:gridSpan w:val="2"/>
            <w:noWrap w:val="0"/>
            <w:vAlign w:val="top"/>
          </w:tcPr>
          <w:p w14:paraId="46AB622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16.1</w:t>
            </w:r>
          </w:p>
        </w:tc>
      </w:tr>
      <w:tr w14:paraId="1E1C0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B064150">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3、编外用工人员经费</w:t>
            </w:r>
          </w:p>
        </w:tc>
        <w:tc>
          <w:tcPr>
            <w:tcW w:w="1815" w:type="dxa"/>
            <w:gridSpan w:val="2"/>
            <w:noWrap w:val="0"/>
            <w:vAlign w:val="top"/>
          </w:tcPr>
          <w:p w14:paraId="18097A83">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t>77.48</w:t>
            </w:r>
          </w:p>
        </w:tc>
        <w:tc>
          <w:tcPr>
            <w:tcW w:w="2325" w:type="dxa"/>
            <w:gridSpan w:val="2"/>
            <w:noWrap w:val="0"/>
            <w:vAlign w:val="top"/>
          </w:tcPr>
          <w:p w14:paraId="1C4E351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75</w:t>
            </w:r>
          </w:p>
        </w:tc>
        <w:tc>
          <w:tcPr>
            <w:tcW w:w="1679" w:type="dxa"/>
            <w:gridSpan w:val="2"/>
            <w:noWrap w:val="0"/>
            <w:vAlign w:val="top"/>
          </w:tcPr>
          <w:p w14:paraId="52C4F2D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77.19</w:t>
            </w:r>
          </w:p>
        </w:tc>
      </w:tr>
      <w:tr w14:paraId="19EAEA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B6449B7">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4、审批专项</w:t>
            </w:r>
          </w:p>
        </w:tc>
        <w:tc>
          <w:tcPr>
            <w:tcW w:w="1815" w:type="dxa"/>
            <w:gridSpan w:val="2"/>
            <w:noWrap w:val="0"/>
            <w:vAlign w:val="top"/>
          </w:tcPr>
          <w:p w14:paraId="32F1AF69">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24B09FE0">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0AC36AF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703.21</w:t>
            </w:r>
          </w:p>
        </w:tc>
      </w:tr>
      <w:tr w14:paraId="371C3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05654EF5">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168CE0CA">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170813EF">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1B5C4B0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w:t>
            </w:r>
          </w:p>
        </w:tc>
      </w:tr>
      <w:tr w14:paraId="418418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ED00C97">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医疗保障专项</w:t>
            </w:r>
          </w:p>
        </w:tc>
        <w:tc>
          <w:tcPr>
            <w:tcW w:w="1815" w:type="dxa"/>
            <w:gridSpan w:val="2"/>
            <w:noWrap w:val="0"/>
            <w:vAlign w:val="top"/>
          </w:tcPr>
          <w:p w14:paraId="0B3F575A">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0AA617B0">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7C27905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w:t>
            </w:r>
          </w:p>
        </w:tc>
      </w:tr>
      <w:tr w14:paraId="04BEFF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DEEEA05">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6、上级转移支付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7E250887">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5F241376">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1E88972F">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65443E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C3EF3E8">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044D74BB">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950.31</w:t>
            </w:r>
          </w:p>
        </w:tc>
        <w:tc>
          <w:tcPr>
            <w:tcW w:w="2325" w:type="dxa"/>
            <w:gridSpan w:val="2"/>
            <w:noWrap w:val="0"/>
            <w:vAlign w:val="top"/>
          </w:tcPr>
          <w:p w14:paraId="6ED1897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84</w:t>
            </w:r>
          </w:p>
        </w:tc>
        <w:tc>
          <w:tcPr>
            <w:tcW w:w="1679" w:type="dxa"/>
            <w:gridSpan w:val="2"/>
            <w:noWrap w:val="0"/>
            <w:vAlign w:val="top"/>
          </w:tcPr>
          <w:p w14:paraId="4039C30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210</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.67</w:t>
            </w:r>
          </w:p>
        </w:tc>
      </w:tr>
      <w:tr w14:paraId="38D4CB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D53A8D9">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06C1C70B">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15.17</w:t>
            </w:r>
          </w:p>
        </w:tc>
        <w:tc>
          <w:tcPr>
            <w:tcW w:w="2325" w:type="dxa"/>
            <w:gridSpan w:val="2"/>
            <w:noWrap w:val="0"/>
            <w:vAlign w:val="top"/>
          </w:tcPr>
          <w:p w14:paraId="5A5834E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w:t>
            </w:r>
          </w:p>
        </w:tc>
        <w:tc>
          <w:tcPr>
            <w:tcW w:w="1679" w:type="dxa"/>
            <w:gridSpan w:val="2"/>
            <w:noWrap w:val="0"/>
            <w:vAlign w:val="top"/>
          </w:tcPr>
          <w:p w14:paraId="3DFA67D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2.82</w:t>
            </w:r>
          </w:p>
        </w:tc>
      </w:tr>
      <w:tr w14:paraId="2CF91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A302E6E">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7098E030">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3.5</w:t>
            </w:r>
          </w:p>
        </w:tc>
        <w:tc>
          <w:tcPr>
            <w:tcW w:w="2325" w:type="dxa"/>
            <w:gridSpan w:val="2"/>
            <w:noWrap w:val="0"/>
            <w:vAlign w:val="top"/>
          </w:tcPr>
          <w:p w14:paraId="042AFD9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1679" w:type="dxa"/>
            <w:gridSpan w:val="2"/>
            <w:noWrap w:val="0"/>
            <w:vAlign w:val="top"/>
          </w:tcPr>
          <w:p w14:paraId="639F3B8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8.05</w:t>
            </w:r>
          </w:p>
        </w:tc>
      </w:tr>
      <w:tr w14:paraId="347521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5FA9A49">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749A11D2">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0.06</w:t>
            </w:r>
          </w:p>
        </w:tc>
        <w:tc>
          <w:tcPr>
            <w:tcW w:w="2325" w:type="dxa"/>
            <w:gridSpan w:val="2"/>
            <w:noWrap w:val="0"/>
            <w:vAlign w:val="top"/>
          </w:tcPr>
          <w:p w14:paraId="59E6ADD3">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D862FF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02BA1A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543842FC">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32A15C32">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246.64</w:t>
            </w:r>
          </w:p>
        </w:tc>
        <w:tc>
          <w:tcPr>
            <w:tcW w:w="2325" w:type="dxa"/>
            <w:gridSpan w:val="2"/>
            <w:noWrap w:val="0"/>
            <w:vAlign w:val="top"/>
          </w:tcPr>
          <w:p w14:paraId="3F18F51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427</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.95</w:t>
            </w:r>
          </w:p>
        </w:tc>
        <w:tc>
          <w:tcPr>
            <w:tcW w:w="1679" w:type="dxa"/>
            <w:gridSpan w:val="2"/>
            <w:noWrap w:val="0"/>
            <w:vAlign w:val="top"/>
          </w:tcPr>
          <w:p w14:paraId="2EFBE17B">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314</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.75</w:t>
            </w:r>
          </w:p>
        </w:tc>
      </w:tr>
      <w:tr w14:paraId="77F66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C3FCDB5">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56D1020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CD0066C">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18C5651E">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058585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450C72C1">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0C541D72">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661345A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6DCEADF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2DBC5DC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76F2315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68EDEB9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200D7ED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0E4A6E6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784B436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5697928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7EDE358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5BF89E2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6E82728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70D6982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4B16BE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0050A7F8">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57387A7B">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14:paraId="6F8CE83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14:paraId="60CC9A0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14:paraId="0910E81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14:paraId="332BB927">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14:paraId="14EACAF2">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2475FA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06D629C7">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4AD44B87">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制定事前报备，事后审核制度</w:t>
            </w:r>
          </w:p>
        </w:tc>
      </w:tr>
    </w:tbl>
    <w:p w14:paraId="25D0CD7D">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4F2E7D59">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童璇</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13873029299</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2024-5-27</w:t>
      </w:r>
    </w:p>
    <w:p w14:paraId="05A9852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14:paraId="590CD78D">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22751B03">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3</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5E72C64F">
      <w:pPr>
        <w:spacing w:line="168" w:lineRule="exact"/>
        <w:rPr>
          <w:color w:val="000000" w:themeColor="text1"/>
          <w14:textFill>
            <w14:solidFill>
              <w14:schemeClr w14:val="tx1"/>
            </w14:solidFill>
          </w14:textFill>
        </w:rPr>
      </w:pPr>
    </w:p>
    <w:tbl>
      <w:tblPr>
        <w:tblStyle w:val="7"/>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018F6D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675C73DA">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0FA52A07">
            <w:pPr>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岳阳楼区医疗保障局</w:t>
            </w:r>
          </w:p>
        </w:tc>
      </w:tr>
      <w:tr w14:paraId="1BEB6C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5395ECC6">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7BAA1327">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3A997DF2">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5B330E96">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6CDE67C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14:paraId="1DF03F4A">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38C1F294">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22E915CE">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4E51D1A8">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535F7FE8">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7618BCDA">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1881E3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3D1CB536">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0C380BFB">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14:paraId="2CD345E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1022.77</w:t>
            </w:r>
          </w:p>
        </w:tc>
        <w:tc>
          <w:tcPr>
            <w:tcW w:w="1319" w:type="dxa"/>
            <w:noWrap w:val="0"/>
            <w:vAlign w:val="center"/>
          </w:tcPr>
          <w:p w14:paraId="56D732E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2299.31</w:t>
            </w:r>
          </w:p>
        </w:tc>
        <w:tc>
          <w:tcPr>
            <w:tcW w:w="1259" w:type="dxa"/>
            <w:noWrap w:val="0"/>
            <w:vAlign w:val="center"/>
          </w:tcPr>
          <w:p w14:paraId="50E6D5E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2299.31</w:t>
            </w:r>
          </w:p>
        </w:tc>
        <w:tc>
          <w:tcPr>
            <w:tcW w:w="719" w:type="dxa"/>
            <w:noWrap w:val="0"/>
            <w:vAlign w:val="center"/>
          </w:tcPr>
          <w:p w14:paraId="6892A587">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1AB2E4E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224.81%</w:t>
            </w:r>
          </w:p>
        </w:tc>
        <w:tc>
          <w:tcPr>
            <w:tcW w:w="1275" w:type="dxa"/>
            <w:noWrap w:val="0"/>
            <w:vAlign w:val="center"/>
          </w:tcPr>
          <w:p w14:paraId="3820469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14:paraId="3E525E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3F6C82BD">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00D9433F">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62DB86DF">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26599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1FAADF5A">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70766541">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2277.28</w:t>
            </w:r>
          </w:p>
        </w:tc>
        <w:tc>
          <w:tcPr>
            <w:tcW w:w="4055" w:type="dxa"/>
            <w:gridSpan w:val="4"/>
            <w:noWrap w:val="0"/>
            <w:vAlign w:val="center"/>
          </w:tcPr>
          <w:p w14:paraId="77F15BF1">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1304.81</w:t>
            </w:r>
          </w:p>
        </w:tc>
      </w:tr>
      <w:tr w14:paraId="0E144D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25C7BF24">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273460C3">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14:paraId="503250C1">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994.5</w:t>
            </w:r>
          </w:p>
        </w:tc>
      </w:tr>
      <w:tr w14:paraId="533500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4C77C1BE">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26E12667">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14:paraId="784F9E49">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14:paraId="0ED426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528B8A91">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1DBEA315">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22.03</w:t>
            </w:r>
          </w:p>
        </w:tc>
        <w:tc>
          <w:tcPr>
            <w:tcW w:w="4055" w:type="dxa"/>
            <w:gridSpan w:val="4"/>
            <w:noWrap w:val="0"/>
            <w:vAlign w:val="center"/>
          </w:tcPr>
          <w:p w14:paraId="427A8C14">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2690BE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restart"/>
            <w:tcBorders>
              <w:bottom w:val="nil"/>
            </w:tcBorders>
            <w:noWrap w:val="0"/>
            <w:vAlign w:val="top"/>
          </w:tcPr>
          <w:p w14:paraId="00C07CE5">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1D81AAD0">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178243C7">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68898C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17B52A6E">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21FD17B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w:t>
            </w:r>
            <w:r>
              <w:rPr>
                <w:rFonts w:hint="eastAsia" w:ascii="Arial"/>
                <w:color w:val="000000" w:themeColor="text1"/>
                <w:spacing w:val="0"/>
                <w:sz w:val="20"/>
                <w:lang w:eastAsia="zh-CN"/>
                <w14:textFill>
                  <w14:solidFill>
                    <w14:schemeClr w14:val="tx1"/>
                  </w14:solidFill>
                </w14:textFill>
              </w:rPr>
              <w:t>城乡居民参保率达</w:t>
            </w:r>
            <w:r>
              <w:rPr>
                <w:rFonts w:hint="eastAsia" w:ascii="Arial"/>
                <w:color w:val="000000" w:themeColor="text1"/>
                <w:spacing w:val="0"/>
                <w:sz w:val="20"/>
                <w:lang w:val="en-US" w:eastAsia="zh-CN"/>
                <w14:textFill>
                  <w14:solidFill>
                    <w14:schemeClr w14:val="tx1"/>
                  </w14:solidFill>
                </w14:textFill>
              </w:rPr>
              <w:t>95%。2、参保补助资金到位率100%。3、支出预算控制在预算之内。</w:t>
            </w:r>
          </w:p>
        </w:tc>
        <w:tc>
          <w:tcPr>
            <w:tcW w:w="4055" w:type="dxa"/>
            <w:gridSpan w:val="4"/>
            <w:noWrap w:val="0"/>
            <w:vAlign w:val="center"/>
          </w:tcPr>
          <w:p w14:paraId="423BFD2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w:t>
            </w:r>
            <w:r>
              <w:rPr>
                <w:rFonts w:hint="eastAsia" w:ascii="Arial"/>
                <w:color w:val="000000" w:themeColor="text1"/>
                <w:spacing w:val="0"/>
                <w:sz w:val="20"/>
                <w:lang w:eastAsia="zh-CN"/>
                <w14:textFill>
                  <w14:solidFill>
                    <w14:schemeClr w14:val="tx1"/>
                  </w14:solidFill>
                </w14:textFill>
              </w:rPr>
              <w:t>城乡居民参保率达</w:t>
            </w:r>
            <w:r>
              <w:rPr>
                <w:rFonts w:hint="eastAsia" w:ascii="Arial"/>
                <w:color w:val="000000" w:themeColor="text1"/>
                <w:spacing w:val="0"/>
                <w:sz w:val="20"/>
                <w:lang w:val="en-US" w:eastAsia="zh-CN"/>
                <w14:textFill>
                  <w14:solidFill>
                    <w14:schemeClr w14:val="tx1"/>
                  </w14:solidFill>
                </w14:textFill>
              </w:rPr>
              <w:t>96.19%。2、参保补助资金到位率100%。3、支出预算控制在预算之内。</w:t>
            </w:r>
          </w:p>
        </w:tc>
      </w:tr>
      <w:tr w14:paraId="7093A1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1A90A5D0">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70827ED9">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43E7370B">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17E524F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14:paraId="76FF0A2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14:paraId="14E5CA4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248E36EF">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020FAAF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7C9C3573">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740B45D9">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467D1B16">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69CE44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65E0BC2D">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4B420640">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2D9770CE">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0987AE1D">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3CCC6781">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3C19C48E">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65040B2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tcBorders>
              <w:bottom w:val="nil"/>
            </w:tcBorders>
            <w:noWrap w:val="0"/>
            <w:vAlign w:val="center"/>
          </w:tcPr>
          <w:p w14:paraId="59F52C1B">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ascii="宋体" w:hAnsi="宋体" w:eastAsia="宋体" w:cs="宋体"/>
                <w:color w:val="000000" w:themeColor="text1"/>
                <w:spacing w:val="-2"/>
                <w:sz w:val="21"/>
                <w:szCs w:val="21"/>
                <w:highlight w:val="none"/>
                <w14:textFill>
                  <w14:solidFill>
                    <w14:schemeClr w14:val="tx1"/>
                  </w14:solidFill>
                </w14:textFill>
              </w:rPr>
              <w:t>数量指标</w:t>
            </w:r>
          </w:p>
        </w:tc>
        <w:tc>
          <w:tcPr>
            <w:tcW w:w="1269" w:type="dxa"/>
            <w:noWrap w:val="0"/>
            <w:vAlign w:val="center"/>
          </w:tcPr>
          <w:p w14:paraId="11AAACE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eastAsia="zh-CN"/>
                <w14:textFill>
                  <w14:solidFill>
                    <w14:schemeClr w14:val="tx1"/>
                  </w14:solidFill>
                </w14:textFill>
              </w:rPr>
              <w:t>城乡居民参保率</w:t>
            </w:r>
          </w:p>
        </w:tc>
        <w:tc>
          <w:tcPr>
            <w:tcW w:w="1319" w:type="dxa"/>
            <w:noWrap w:val="0"/>
            <w:vAlign w:val="center"/>
          </w:tcPr>
          <w:p w14:paraId="614AB4DB">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≥95%</w:t>
            </w:r>
          </w:p>
        </w:tc>
        <w:tc>
          <w:tcPr>
            <w:tcW w:w="1259" w:type="dxa"/>
            <w:noWrap w:val="0"/>
            <w:vAlign w:val="center"/>
          </w:tcPr>
          <w:p w14:paraId="48C5C608">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96.19%</w:t>
            </w:r>
          </w:p>
        </w:tc>
        <w:tc>
          <w:tcPr>
            <w:tcW w:w="719" w:type="dxa"/>
            <w:noWrap w:val="0"/>
            <w:vAlign w:val="center"/>
          </w:tcPr>
          <w:p w14:paraId="7BF49CD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20</w:t>
            </w:r>
          </w:p>
        </w:tc>
        <w:tc>
          <w:tcPr>
            <w:tcW w:w="802" w:type="dxa"/>
            <w:noWrap w:val="0"/>
            <w:vAlign w:val="center"/>
          </w:tcPr>
          <w:p w14:paraId="253D56F5">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20</w:t>
            </w:r>
          </w:p>
        </w:tc>
        <w:tc>
          <w:tcPr>
            <w:tcW w:w="1275" w:type="dxa"/>
            <w:noWrap w:val="0"/>
            <w:vAlign w:val="center"/>
          </w:tcPr>
          <w:p w14:paraId="5F310E5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highlight w:val="none"/>
                <w14:textFill>
                  <w14:solidFill>
                    <w14:schemeClr w14:val="tx1"/>
                  </w14:solidFill>
                </w14:textFill>
              </w:rPr>
            </w:pPr>
          </w:p>
        </w:tc>
      </w:tr>
      <w:tr w14:paraId="33913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5D783FE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7F47B8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109E8A7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ascii="宋体" w:hAnsi="宋体" w:eastAsia="宋体" w:cs="宋体"/>
                <w:color w:val="000000" w:themeColor="text1"/>
                <w:spacing w:val="-2"/>
                <w:sz w:val="21"/>
                <w:szCs w:val="21"/>
                <w:highlight w:val="none"/>
                <w14:textFill>
                  <w14:solidFill>
                    <w14:schemeClr w14:val="tx1"/>
                  </w14:solidFill>
                </w14:textFill>
              </w:rPr>
              <w:t>质量指标</w:t>
            </w:r>
          </w:p>
        </w:tc>
        <w:tc>
          <w:tcPr>
            <w:tcW w:w="1269" w:type="dxa"/>
            <w:noWrap w:val="0"/>
            <w:vAlign w:val="center"/>
          </w:tcPr>
          <w:p w14:paraId="082EF836">
            <w:pPr>
              <w:widowControl/>
              <w:autoSpaceDE w:val="0"/>
              <w:autoSpaceDN w:val="0"/>
              <w:spacing w:before="59" w:after="0" w:line="240" w:lineRule="auto"/>
              <w:ind w:left="65" w:right="0" w:firstLine="0"/>
              <w:jc w:val="left"/>
              <w:rPr>
                <w:rFonts w:hint="default" w:ascii="Arial" w:eastAsia="宋体"/>
                <w:color w:val="000000" w:themeColor="text1"/>
                <w:sz w:val="20"/>
                <w:highlight w:val="none"/>
                <w:lang w:val="en-US" w:eastAsia="zh-CN"/>
                <w14:textFill>
                  <w14:solidFill>
                    <w14:schemeClr w14:val="tx1"/>
                  </w14:solidFill>
                </w14:textFill>
              </w:rPr>
            </w:pPr>
            <w:r>
              <w:rPr>
                <w:rFonts w:ascii="宋体" w:hAnsi="宋体" w:eastAsia="宋体" w:cs="宋体"/>
                <w:color w:val="000000"/>
                <w:spacing w:val="-2"/>
                <w:kern w:val="0"/>
                <w:sz w:val="20"/>
                <w:szCs w:val="20"/>
                <w:highlight w:val="none"/>
                <w:lang w:eastAsia="en-US"/>
              </w:rPr>
              <w:t>城</w:t>
            </w:r>
            <w:r>
              <w:rPr>
                <w:rFonts w:ascii="宋体" w:hAnsi="宋体" w:eastAsia="宋体" w:cs="宋体"/>
                <w:color w:val="000000"/>
                <w:spacing w:val="-1"/>
                <w:kern w:val="0"/>
                <w:sz w:val="20"/>
                <w:szCs w:val="20"/>
                <w:highlight w:val="none"/>
                <w:lang w:eastAsia="en-US"/>
              </w:rPr>
              <w:t>乡居民参保各项财政</w:t>
            </w:r>
            <w:r>
              <w:rPr>
                <w:rFonts w:ascii="宋体" w:hAnsi="宋体" w:eastAsia="宋体" w:cs="宋体"/>
                <w:color w:val="000000"/>
                <w:spacing w:val="-3"/>
                <w:kern w:val="0"/>
                <w:sz w:val="20"/>
                <w:szCs w:val="20"/>
                <w:highlight w:val="none"/>
                <w:lang w:eastAsia="en-US"/>
              </w:rPr>
              <w:t>补助</w:t>
            </w:r>
            <w:r>
              <w:rPr>
                <w:rFonts w:hint="eastAsia" w:ascii="宋体" w:hAnsi="宋体" w:eastAsia="宋体" w:cs="宋体"/>
                <w:color w:val="000000"/>
                <w:spacing w:val="-3"/>
                <w:kern w:val="0"/>
                <w:sz w:val="20"/>
                <w:szCs w:val="20"/>
                <w:highlight w:val="none"/>
                <w:lang w:val="en-US" w:eastAsia="zh-CN"/>
              </w:rPr>
              <w:t>资金到位率</w:t>
            </w:r>
          </w:p>
        </w:tc>
        <w:tc>
          <w:tcPr>
            <w:tcW w:w="1319" w:type="dxa"/>
            <w:noWrap w:val="0"/>
            <w:vAlign w:val="center"/>
          </w:tcPr>
          <w:p w14:paraId="77E2C8E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100%</w:t>
            </w:r>
          </w:p>
        </w:tc>
        <w:tc>
          <w:tcPr>
            <w:tcW w:w="1259" w:type="dxa"/>
            <w:noWrap w:val="0"/>
            <w:vAlign w:val="center"/>
          </w:tcPr>
          <w:p w14:paraId="2BAD621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100%</w:t>
            </w:r>
          </w:p>
        </w:tc>
        <w:tc>
          <w:tcPr>
            <w:tcW w:w="719" w:type="dxa"/>
            <w:noWrap w:val="0"/>
            <w:vAlign w:val="center"/>
          </w:tcPr>
          <w:p w14:paraId="444587B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10</w:t>
            </w:r>
          </w:p>
        </w:tc>
        <w:tc>
          <w:tcPr>
            <w:tcW w:w="802" w:type="dxa"/>
            <w:noWrap w:val="0"/>
            <w:vAlign w:val="center"/>
          </w:tcPr>
          <w:p w14:paraId="747B2B8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10</w:t>
            </w:r>
          </w:p>
        </w:tc>
        <w:tc>
          <w:tcPr>
            <w:tcW w:w="1275" w:type="dxa"/>
            <w:noWrap w:val="0"/>
            <w:vAlign w:val="center"/>
          </w:tcPr>
          <w:p w14:paraId="5F58246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highlight w:val="none"/>
                <w14:textFill>
                  <w14:solidFill>
                    <w14:schemeClr w14:val="tx1"/>
                  </w14:solidFill>
                </w14:textFill>
              </w:rPr>
            </w:pPr>
          </w:p>
        </w:tc>
      </w:tr>
      <w:tr w14:paraId="0EE0F5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76D8DB4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85186E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63106BC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ascii="宋体" w:hAnsi="宋体" w:eastAsia="宋体" w:cs="宋体"/>
                <w:color w:val="000000" w:themeColor="text1"/>
                <w:spacing w:val="2"/>
                <w:sz w:val="21"/>
                <w:szCs w:val="21"/>
                <w:highlight w:val="none"/>
                <w14:textFill>
                  <w14:solidFill>
                    <w14:schemeClr w14:val="tx1"/>
                  </w14:solidFill>
                </w14:textFill>
              </w:rPr>
              <w:t>时效指标</w:t>
            </w:r>
          </w:p>
        </w:tc>
        <w:tc>
          <w:tcPr>
            <w:tcW w:w="1269" w:type="dxa"/>
            <w:noWrap w:val="0"/>
            <w:vAlign w:val="center"/>
          </w:tcPr>
          <w:p w14:paraId="1600C2C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宋体"/>
                <w:color w:val="000000" w:themeColor="text1"/>
                <w:sz w:val="20"/>
                <w:highlight w:val="none"/>
                <w:lang w:eastAsia="zh-CN"/>
                <w14:textFill>
                  <w14:solidFill>
                    <w14:schemeClr w14:val="tx1"/>
                  </w14:solidFill>
                </w14:textFill>
              </w:rPr>
            </w:pPr>
            <w:r>
              <w:rPr>
                <w:rFonts w:ascii="宋体" w:hAnsi="宋体" w:eastAsia="宋体" w:cs="宋体"/>
                <w:color w:val="000000"/>
                <w:spacing w:val="-3"/>
                <w:sz w:val="20"/>
                <w:szCs w:val="20"/>
                <w:highlight w:val="none"/>
              </w:rPr>
              <w:t>资金到</w:t>
            </w:r>
            <w:r>
              <w:rPr>
                <w:rFonts w:ascii="宋体" w:hAnsi="宋体" w:eastAsia="宋体" w:cs="宋体"/>
                <w:color w:val="000000"/>
                <w:spacing w:val="-1"/>
                <w:sz w:val="20"/>
                <w:szCs w:val="20"/>
                <w:highlight w:val="none"/>
              </w:rPr>
              <w:t>位</w:t>
            </w:r>
            <w:r>
              <w:rPr>
                <w:rFonts w:hint="eastAsia" w:ascii="宋体" w:hAnsi="宋体" w:eastAsia="宋体" w:cs="宋体"/>
                <w:color w:val="000000"/>
                <w:spacing w:val="-1"/>
                <w:sz w:val="20"/>
                <w:szCs w:val="20"/>
                <w:highlight w:val="none"/>
                <w:lang w:val="en-US" w:eastAsia="zh-CN"/>
              </w:rPr>
              <w:t>及时率</w:t>
            </w:r>
          </w:p>
        </w:tc>
        <w:tc>
          <w:tcPr>
            <w:tcW w:w="1319" w:type="dxa"/>
            <w:noWrap w:val="0"/>
            <w:vAlign w:val="center"/>
          </w:tcPr>
          <w:p w14:paraId="7E4DCE5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各项资金到位及时率</w:t>
            </w:r>
          </w:p>
        </w:tc>
        <w:tc>
          <w:tcPr>
            <w:tcW w:w="1259" w:type="dxa"/>
            <w:noWrap w:val="0"/>
            <w:vAlign w:val="center"/>
          </w:tcPr>
          <w:p w14:paraId="5C112E7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全部及时到位</w:t>
            </w:r>
          </w:p>
        </w:tc>
        <w:tc>
          <w:tcPr>
            <w:tcW w:w="719" w:type="dxa"/>
            <w:noWrap w:val="0"/>
            <w:vAlign w:val="center"/>
          </w:tcPr>
          <w:p w14:paraId="102122B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10</w:t>
            </w:r>
          </w:p>
        </w:tc>
        <w:tc>
          <w:tcPr>
            <w:tcW w:w="802" w:type="dxa"/>
            <w:noWrap w:val="0"/>
            <w:vAlign w:val="center"/>
          </w:tcPr>
          <w:p w14:paraId="22892AA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10</w:t>
            </w:r>
          </w:p>
        </w:tc>
        <w:tc>
          <w:tcPr>
            <w:tcW w:w="1275" w:type="dxa"/>
            <w:noWrap w:val="0"/>
            <w:vAlign w:val="center"/>
          </w:tcPr>
          <w:p w14:paraId="1318493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highlight w:val="none"/>
                <w14:textFill>
                  <w14:solidFill>
                    <w14:schemeClr w14:val="tx1"/>
                  </w14:solidFill>
                </w14:textFill>
              </w:rPr>
            </w:pPr>
          </w:p>
        </w:tc>
      </w:tr>
      <w:tr w14:paraId="131B7E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61C63C0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52513D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7E3773A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支出预算控制</w:t>
            </w:r>
          </w:p>
        </w:tc>
        <w:tc>
          <w:tcPr>
            <w:tcW w:w="1269" w:type="dxa"/>
            <w:noWrap w:val="0"/>
            <w:vAlign w:val="center"/>
          </w:tcPr>
          <w:p w14:paraId="5A91E82B">
            <w:pPr>
              <w:autoSpaceDN w:val="0"/>
              <w:spacing w:line="320" w:lineRule="exact"/>
              <w:jc w:val="left"/>
              <w:textAlignment w:val="center"/>
              <w:rPr>
                <w:rFonts w:hint="default" w:ascii="Arial" w:eastAsiaTheme="minorEastAsia"/>
                <w:color w:val="000000" w:themeColor="text1"/>
                <w:sz w:val="21"/>
                <w:szCs w:val="21"/>
                <w:highlight w:val="none"/>
                <w:lang w:val="en-US" w:eastAsia="zh-CN"/>
                <w14:textFill>
                  <w14:solidFill>
                    <w14:schemeClr w14:val="tx1"/>
                  </w14:solidFill>
                </w14:textFill>
              </w:rPr>
            </w:pPr>
            <w:r>
              <w:rPr>
                <w:rFonts w:hint="eastAsia" w:ascii="Arial"/>
                <w:color w:val="000000" w:themeColor="text1"/>
                <w:sz w:val="21"/>
                <w:szCs w:val="21"/>
                <w:highlight w:val="none"/>
                <w:lang w:val="en-US" w:eastAsia="zh-CN"/>
                <w14:textFill>
                  <w14:solidFill>
                    <w14:schemeClr w14:val="tx1"/>
                  </w14:solidFill>
                </w14:textFill>
              </w:rPr>
              <w:t>支出预算控制</w:t>
            </w:r>
          </w:p>
        </w:tc>
        <w:tc>
          <w:tcPr>
            <w:tcW w:w="1319" w:type="dxa"/>
            <w:noWrap w:val="0"/>
            <w:vAlign w:val="center"/>
          </w:tcPr>
          <w:p w14:paraId="0632DD2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1"/>
                <w:szCs w:val="21"/>
                <w:highlight w:val="none"/>
                <w:lang w:val="en-US" w:eastAsia="zh-CN"/>
                <w14:textFill>
                  <w14:solidFill>
                    <w14:schemeClr w14:val="tx1"/>
                  </w14:solidFill>
                </w14:textFill>
              </w:rPr>
              <w:t>≤</w:t>
            </w:r>
            <w:r>
              <w:rPr>
                <w:rFonts w:hint="eastAsia" w:ascii="Arial"/>
                <w:color w:val="000000" w:themeColor="text1"/>
                <w:spacing w:val="0"/>
                <w:sz w:val="20"/>
                <w:highlight w:val="none"/>
                <w:lang w:val="en-US" w:eastAsia="zh-CN"/>
                <w14:textFill>
                  <w14:solidFill>
                    <w14:schemeClr w14:val="tx1"/>
                  </w14:solidFill>
                </w14:textFill>
              </w:rPr>
              <w:t>2299.31万元</w:t>
            </w:r>
          </w:p>
        </w:tc>
        <w:tc>
          <w:tcPr>
            <w:tcW w:w="1259" w:type="dxa"/>
            <w:noWrap w:val="0"/>
            <w:vAlign w:val="center"/>
          </w:tcPr>
          <w:p w14:paraId="78B2C75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pacing w:val="0"/>
                <w:sz w:val="20"/>
                <w:highlight w:val="none"/>
                <w:lang w:val="en-US" w:eastAsia="zh-CN"/>
                <w14:textFill>
                  <w14:solidFill>
                    <w14:schemeClr w14:val="tx1"/>
                  </w14:solidFill>
                </w14:textFill>
              </w:rPr>
              <w:t>2299.31万元</w:t>
            </w:r>
          </w:p>
        </w:tc>
        <w:tc>
          <w:tcPr>
            <w:tcW w:w="719" w:type="dxa"/>
            <w:noWrap w:val="0"/>
            <w:vAlign w:val="center"/>
          </w:tcPr>
          <w:p w14:paraId="689CFD7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10</w:t>
            </w:r>
          </w:p>
        </w:tc>
        <w:tc>
          <w:tcPr>
            <w:tcW w:w="802" w:type="dxa"/>
            <w:noWrap w:val="0"/>
            <w:vAlign w:val="center"/>
          </w:tcPr>
          <w:p w14:paraId="761E76F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10</w:t>
            </w:r>
          </w:p>
        </w:tc>
        <w:tc>
          <w:tcPr>
            <w:tcW w:w="1275" w:type="dxa"/>
            <w:noWrap w:val="0"/>
            <w:vAlign w:val="center"/>
          </w:tcPr>
          <w:p w14:paraId="66E748C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highlight w:val="none"/>
                <w:lang w:val="en-US" w:eastAsia="zh-CN"/>
                <w14:textFill>
                  <w14:solidFill>
                    <w14:schemeClr w14:val="tx1"/>
                  </w14:solidFill>
                </w14:textFill>
              </w:rPr>
            </w:pPr>
          </w:p>
        </w:tc>
      </w:tr>
      <w:tr w14:paraId="48DBF7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4AE1779D">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3870A31E">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06A41B66">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4891908B">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32B200D8">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0E36FFC8">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51603D6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tcBorders>
              <w:bottom w:val="nil"/>
            </w:tcBorders>
            <w:noWrap w:val="0"/>
            <w:vAlign w:val="center"/>
          </w:tcPr>
          <w:p w14:paraId="31F67E75">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14:paraId="6772124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25E3D01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11164B3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148D88D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1C86EEB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47E1BB2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3463C01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777B21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6029010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198EFD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0F7EFBC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13F8CEE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32E5018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0E477FD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03C7067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0D87CFD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0D78C08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CC21C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0429AE2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EB2A06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36A67C4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2EFBCD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732D2C7B">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3F7A804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0BE4E25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3204B66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72CFBDAE">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7ECD0A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44E81A78">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6F487D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68BD54BB">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ascii="宋体" w:hAnsi="宋体" w:eastAsia="宋体" w:cs="宋体"/>
                <w:color w:val="000000" w:themeColor="text1"/>
                <w:spacing w:val="-3"/>
                <w:sz w:val="21"/>
                <w:szCs w:val="21"/>
                <w:highlight w:val="none"/>
                <w14:textFill>
                  <w14:solidFill>
                    <w14:schemeClr w14:val="tx1"/>
                  </w14:solidFill>
                </w14:textFill>
              </w:rPr>
              <w:t>社会效</w:t>
            </w:r>
          </w:p>
          <w:p w14:paraId="33F8F1E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ascii="宋体" w:hAnsi="宋体" w:eastAsia="宋体" w:cs="宋体"/>
                <w:color w:val="000000" w:themeColor="text1"/>
                <w:spacing w:val="-3"/>
                <w:sz w:val="21"/>
                <w:szCs w:val="21"/>
                <w:highlight w:val="none"/>
                <w14:textFill>
                  <w14:solidFill>
                    <w14:schemeClr w14:val="tx1"/>
                  </w14:solidFill>
                </w14:textFill>
              </w:rPr>
              <w:t>益指标</w:t>
            </w:r>
          </w:p>
        </w:tc>
        <w:tc>
          <w:tcPr>
            <w:tcW w:w="1269" w:type="dxa"/>
            <w:noWrap w:val="0"/>
            <w:vAlign w:val="center"/>
          </w:tcPr>
          <w:p w14:paraId="6A9CCA95">
            <w:pPr>
              <w:autoSpaceDN w:val="0"/>
              <w:spacing w:line="320" w:lineRule="exact"/>
              <w:jc w:val="left"/>
              <w:textAlignment w:val="center"/>
              <w:rPr>
                <w:rFonts w:hint="default" w:ascii="Arial"/>
                <w:color w:val="000000" w:themeColor="text1"/>
                <w:sz w:val="21"/>
                <w:szCs w:val="21"/>
                <w:highlight w:val="none"/>
                <w:lang w:val="en-US" w:eastAsia="zh-CN"/>
                <w14:textFill>
                  <w14:solidFill>
                    <w14:schemeClr w14:val="tx1"/>
                  </w14:solidFill>
                </w14:textFill>
              </w:rPr>
            </w:pPr>
            <w:r>
              <w:rPr>
                <w:rFonts w:hint="eastAsia" w:ascii="Arial"/>
                <w:color w:val="000000" w:themeColor="text1"/>
                <w:sz w:val="21"/>
                <w:szCs w:val="21"/>
                <w:highlight w:val="none"/>
                <w:lang w:val="en-US" w:eastAsia="zh-CN"/>
                <w14:textFill>
                  <w14:solidFill>
                    <w14:schemeClr w14:val="tx1"/>
                  </w14:solidFill>
                </w14:textFill>
              </w:rPr>
              <w:t>医保制度的有效执行，提升了群众的安全感、幸福感</w:t>
            </w:r>
          </w:p>
        </w:tc>
        <w:tc>
          <w:tcPr>
            <w:tcW w:w="1319" w:type="dxa"/>
            <w:noWrap w:val="0"/>
            <w:vAlign w:val="center"/>
          </w:tcPr>
          <w:p w14:paraId="3792509F">
            <w:pPr>
              <w:autoSpaceDN w:val="0"/>
              <w:spacing w:line="320" w:lineRule="exact"/>
              <w:jc w:val="left"/>
              <w:textAlignment w:val="center"/>
              <w:rPr>
                <w:rFonts w:hint="default" w:ascii="Arial"/>
                <w:color w:val="000000" w:themeColor="text1"/>
                <w:sz w:val="21"/>
                <w:szCs w:val="21"/>
                <w:highlight w:val="none"/>
                <w:lang w:val="en-US" w:eastAsia="zh-CN"/>
                <w14:textFill>
                  <w14:solidFill>
                    <w14:schemeClr w14:val="tx1"/>
                  </w14:solidFill>
                </w14:textFill>
              </w:rPr>
            </w:pPr>
            <w:r>
              <w:rPr>
                <w:rFonts w:hint="eastAsia" w:ascii="Arial"/>
                <w:color w:val="000000" w:themeColor="text1"/>
                <w:sz w:val="21"/>
                <w:szCs w:val="21"/>
                <w:highlight w:val="none"/>
                <w:lang w:val="en-US" w:eastAsia="zh-CN"/>
                <w14:textFill>
                  <w14:solidFill>
                    <w14:schemeClr w14:val="tx1"/>
                  </w14:solidFill>
                </w14:textFill>
              </w:rPr>
              <w:t>有效提升</w:t>
            </w:r>
          </w:p>
        </w:tc>
        <w:tc>
          <w:tcPr>
            <w:tcW w:w="1259" w:type="dxa"/>
            <w:noWrap w:val="0"/>
            <w:vAlign w:val="center"/>
          </w:tcPr>
          <w:p w14:paraId="766C7AD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有效提升</w:t>
            </w:r>
          </w:p>
        </w:tc>
        <w:tc>
          <w:tcPr>
            <w:tcW w:w="719" w:type="dxa"/>
            <w:noWrap w:val="0"/>
            <w:vAlign w:val="center"/>
          </w:tcPr>
          <w:p w14:paraId="4F13428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10</w:t>
            </w:r>
          </w:p>
        </w:tc>
        <w:tc>
          <w:tcPr>
            <w:tcW w:w="802" w:type="dxa"/>
            <w:noWrap w:val="0"/>
            <w:vAlign w:val="center"/>
          </w:tcPr>
          <w:p w14:paraId="7786E49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9.5</w:t>
            </w:r>
          </w:p>
        </w:tc>
        <w:tc>
          <w:tcPr>
            <w:tcW w:w="1275" w:type="dxa"/>
            <w:noWrap w:val="0"/>
            <w:vAlign w:val="center"/>
          </w:tcPr>
          <w:p w14:paraId="01117E9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highlight w:val="none"/>
                <w14:textFill>
                  <w14:solidFill>
                    <w14:schemeClr w14:val="tx1"/>
                  </w14:solidFill>
                </w14:textFill>
              </w:rPr>
            </w:pPr>
          </w:p>
        </w:tc>
      </w:tr>
      <w:tr w14:paraId="6A68AC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12E34A53">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36D655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79A4362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91B872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27A1B6B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78BAB61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009D2BA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3169163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5E952AF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2464A1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7522719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DBE1AF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0B615C1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C43936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53D743D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28C711F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0B65A72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06A5536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7B123D5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1AEF5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5A28166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08C1F8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69FBACD9">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0F456B53">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77C1CA9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6AA365E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79E2882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30D933C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783534B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7C05A50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0E0FE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102178F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34F7F3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4BBA328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118B731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c>
          <w:tcPr>
            <w:tcW w:w="1319" w:type="dxa"/>
            <w:noWrap w:val="0"/>
            <w:vAlign w:val="center"/>
          </w:tcPr>
          <w:p w14:paraId="29875FB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0A0C713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4C6DAA34">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p>
        </w:tc>
        <w:tc>
          <w:tcPr>
            <w:tcW w:w="802" w:type="dxa"/>
            <w:noWrap w:val="0"/>
            <w:vAlign w:val="center"/>
          </w:tcPr>
          <w:p w14:paraId="78AB50E0">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p>
        </w:tc>
        <w:tc>
          <w:tcPr>
            <w:tcW w:w="1275" w:type="dxa"/>
            <w:noWrap w:val="0"/>
            <w:vAlign w:val="center"/>
          </w:tcPr>
          <w:p w14:paraId="791D9CB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3DF88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2DF57D0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7876F8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147EC77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C7A6A1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67BCA3D4">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7A804BD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7D832E9A">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36C4872A">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5DCEB1BC">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724951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604CAE5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4ECD20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75F3FD50">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ascii="宋体" w:hAnsi="宋体" w:eastAsia="宋体" w:cs="宋体"/>
                <w:color w:val="000000" w:themeColor="text1"/>
                <w:spacing w:val="-2"/>
                <w:sz w:val="21"/>
                <w:szCs w:val="21"/>
                <w:highlight w:val="none"/>
                <w14:textFill>
                  <w14:solidFill>
                    <w14:schemeClr w14:val="tx1"/>
                  </w14:solidFill>
                </w14:textFill>
              </w:rPr>
              <w:t>可持续影</w:t>
            </w:r>
          </w:p>
          <w:p w14:paraId="34D2CD0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ascii="宋体" w:hAnsi="宋体" w:eastAsia="宋体" w:cs="宋体"/>
                <w:color w:val="000000" w:themeColor="text1"/>
                <w:spacing w:val="2"/>
                <w:sz w:val="21"/>
                <w:szCs w:val="21"/>
                <w:highlight w:val="none"/>
                <w14:textFill>
                  <w14:solidFill>
                    <w14:schemeClr w14:val="tx1"/>
                  </w14:solidFill>
                </w14:textFill>
              </w:rPr>
              <w:t>响指标</w:t>
            </w:r>
          </w:p>
        </w:tc>
        <w:tc>
          <w:tcPr>
            <w:tcW w:w="1269" w:type="dxa"/>
            <w:noWrap w:val="0"/>
            <w:vAlign w:val="center"/>
          </w:tcPr>
          <w:p w14:paraId="393BF3E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highlight w:val="none"/>
                <w14:textFill>
                  <w14:solidFill>
                    <w14:schemeClr w14:val="tx1"/>
                  </w14:solidFill>
                </w14:textFill>
              </w:rPr>
            </w:pPr>
            <w:r>
              <w:rPr>
                <w:rFonts w:hint="eastAsia" w:ascii="Arial"/>
                <w:color w:val="000000" w:themeColor="text1"/>
                <w:sz w:val="20"/>
                <w:szCs w:val="20"/>
                <w:highlight w:val="none"/>
                <w:lang w:val="en-US" w:eastAsia="zh-CN"/>
                <w14:textFill>
                  <w14:solidFill>
                    <w14:schemeClr w14:val="tx1"/>
                  </w14:solidFill>
                </w14:textFill>
              </w:rPr>
              <w:t>岳阳楼区2024年度城乡居民基本医疗保险参保缴费工作实施方案</w:t>
            </w:r>
          </w:p>
        </w:tc>
        <w:tc>
          <w:tcPr>
            <w:tcW w:w="1319" w:type="dxa"/>
            <w:noWrap w:val="0"/>
            <w:vAlign w:val="center"/>
          </w:tcPr>
          <w:p w14:paraId="05DB143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highlight w:val="none"/>
                <w:lang w:val="en-US" w:eastAsia="zh-CN"/>
                <w14:textFill>
                  <w14:solidFill>
                    <w14:schemeClr w14:val="tx1"/>
                  </w14:solidFill>
                </w14:textFill>
              </w:rPr>
            </w:pPr>
            <w:r>
              <w:rPr>
                <w:rFonts w:hint="eastAsia" w:ascii="Arial"/>
                <w:color w:val="000000" w:themeColor="text1"/>
                <w:sz w:val="21"/>
                <w:highlight w:val="none"/>
                <w:lang w:val="en-US" w:eastAsia="zh-CN"/>
                <w14:textFill>
                  <w14:solidFill>
                    <w14:schemeClr w14:val="tx1"/>
                  </w14:solidFill>
                </w14:textFill>
              </w:rPr>
              <w:t>出台</w:t>
            </w:r>
          </w:p>
        </w:tc>
        <w:tc>
          <w:tcPr>
            <w:tcW w:w="1259" w:type="dxa"/>
            <w:noWrap w:val="0"/>
            <w:vAlign w:val="center"/>
          </w:tcPr>
          <w:p w14:paraId="34F55C5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highlight w:val="none"/>
                <w:lang w:val="en-US" w:eastAsia="zh-CN"/>
                <w14:textFill>
                  <w14:solidFill>
                    <w14:schemeClr w14:val="tx1"/>
                  </w14:solidFill>
                </w14:textFill>
              </w:rPr>
            </w:pPr>
            <w:r>
              <w:rPr>
                <w:rFonts w:hint="eastAsia" w:ascii="Arial"/>
                <w:color w:val="000000" w:themeColor="text1"/>
                <w:sz w:val="21"/>
                <w:highlight w:val="none"/>
                <w:lang w:val="en-US" w:eastAsia="zh-CN"/>
                <w14:textFill>
                  <w14:solidFill>
                    <w14:schemeClr w14:val="tx1"/>
                  </w14:solidFill>
                </w14:textFill>
              </w:rPr>
              <w:t>出台</w:t>
            </w:r>
          </w:p>
        </w:tc>
        <w:tc>
          <w:tcPr>
            <w:tcW w:w="719" w:type="dxa"/>
            <w:noWrap w:val="0"/>
            <w:vAlign w:val="center"/>
          </w:tcPr>
          <w:p w14:paraId="7CDF38DE">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highlight w:val="none"/>
                <w:lang w:val="en-US" w:eastAsia="zh-CN"/>
                <w14:textFill>
                  <w14:solidFill>
                    <w14:schemeClr w14:val="tx1"/>
                  </w14:solidFill>
                </w14:textFill>
              </w:rPr>
            </w:pPr>
            <w:r>
              <w:rPr>
                <w:rFonts w:hint="eastAsia" w:ascii="Arial"/>
                <w:color w:val="000000" w:themeColor="text1"/>
                <w:sz w:val="21"/>
                <w:highlight w:val="none"/>
                <w:lang w:val="en-US" w:eastAsia="zh-CN"/>
                <w14:textFill>
                  <w14:solidFill>
                    <w14:schemeClr w14:val="tx1"/>
                  </w14:solidFill>
                </w14:textFill>
              </w:rPr>
              <w:t>10</w:t>
            </w:r>
          </w:p>
        </w:tc>
        <w:tc>
          <w:tcPr>
            <w:tcW w:w="802" w:type="dxa"/>
            <w:noWrap w:val="0"/>
            <w:vAlign w:val="center"/>
          </w:tcPr>
          <w:p w14:paraId="77866DF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highlight w:val="none"/>
                <w:lang w:val="en-US" w:eastAsia="zh-CN"/>
                <w14:textFill>
                  <w14:solidFill>
                    <w14:schemeClr w14:val="tx1"/>
                  </w14:solidFill>
                </w14:textFill>
              </w:rPr>
            </w:pPr>
            <w:r>
              <w:rPr>
                <w:rFonts w:hint="eastAsia" w:ascii="Arial"/>
                <w:color w:val="000000" w:themeColor="text1"/>
                <w:sz w:val="21"/>
                <w:highlight w:val="none"/>
                <w:lang w:val="en-US" w:eastAsia="zh-CN"/>
                <w14:textFill>
                  <w14:solidFill>
                    <w14:schemeClr w14:val="tx1"/>
                  </w14:solidFill>
                </w14:textFill>
              </w:rPr>
              <w:t>10</w:t>
            </w:r>
          </w:p>
        </w:tc>
        <w:tc>
          <w:tcPr>
            <w:tcW w:w="1275" w:type="dxa"/>
            <w:noWrap w:val="0"/>
            <w:vAlign w:val="center"/>
          </w:tcPr>
          <w:p w14:paraId="6FBA8F7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highlight w:val="none"/>
                <w14:textFill>
                  <w14:solidFill>
                    <w14:schemeClr w14:val="tx1"/>
                  </w14:solidFill>
                </w14:textFill>
              </w:rPr>
            </w:pPr>
          </w:p>
        </w:tc>
      </w:tr>
      <w:tr w14:paraId="69D2F0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1084" w:type="dxa"/>
            <w:vMerge w:val="continue"/>
            <w:tcBorders>
              <w:top w:val="nil"/>
              <w:bottom w:val="nil"/>
            </w:tcBorders>
            <w:noWrap w:val="0"/>
            <w:textDirection w:val="tbRlV"/>
            <w:vAlign w:val="top"/>
          </w:tcPr>
          <w:p w14:paraId="3C2DE0E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3CA7A3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67C9A12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highlight w:val="none"/>
                <w14:textFill>
                  <w14:solidFill>
                    <w14:schemeClr w14:val="tx1"/>
                  </w14:solidFill>
                </w14:textFill>
              </w:rPr>
            </w:pPr>
          </w:p>
        </w:tc>
        <w:tc>
          <w:tcPr>
            <w:tcW w:w="1269" w:type="dxa"/>
            <w:noWrap w:val="0"/>
            <w:vAlign w:val="center"/>
          </w:tcPr>
          <w:p w14:paraId="603A11C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highlight w:val="none"/>
                <w14:textFill>
                  <w14:solidFill>
                    <w14:schemeClr w14:val="tx1"/>
                  </w14:solidFill>
                </w14:textFill>
              </w:rPr>
            </w:pPr>
            <w:r>
              <w:rPr>
                <w:rFonts w:hint="eastAsia" w:ascii="Arial"/>
                <w:color w:val="000000" w:themeColor="text1"/>
                <w:sz w:val="20"/>
                <w:szCs w:val="20"/>
                <w:highlight w:val="none"/>
                <w:lang w:val="en-US" w:eastAsia="zh-CN"/>
                <w14:textFill>
                  <w14:solidFill>
                    <w14:schemeClr w14:val="tx1"/>
                  </w14:solidFill>
                </w14:textFill>
              </w:rPr>
              <w:t>“互联网+医保”服务</w:t>
            </w:r>
          </w:p>
        </w:tc>
        <w:tc>
          <w:tcPr>
            <w:tcW w:w="1319" w:type="dxa"/>
            <w:noWrap w:val="0"/>
            <w:vAlign w:val="center"/>
          </w:tcPr>
          <w:p w14:paraId="147CACC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highlight w:val="none"/>
                <w:lang w:val="en-US" w:eastAsia="zh-CN"/>
                <w14:textFill>
                  <w14:solidFill>
                    <w14:schemeClr w14:val="tx1"/>
                  </w14:solidFill>
                </w14:textFill>
              </w:rPr>
            </w:pPr>
            <w:r>
              <w:rPr>
                <w:rFonts w:hint="eastAsia" w:ascii="Arial"/>
                <w:color w:val="000000" w:themeColor="text1"/>
                <w:sz w:val="21"/>
                <w:highlight w:val="none"/>
                <w:lang w:val="en-US" w:eastAsia="zh-CN"/>
                <w14:textFill>
                  <w14:solidFill>
                    <w14:schemeClr w14:val="tx1"/>
                  </w14:solidFill>
                </w14:textFill>
              </w:rPr>
              <w:t>出台</w:t>
            </w:r>
          </w:p>
        </w:tc>
        <w:tc>
          <w:tcPr>
            <w:tcW w:w="1259" w:type="dxa"/>
            <w:noWrap w:val="0"/>
            <w:vAlign w:val="center"/>
          </w:tcPr>
          <w:p w14:paraId="27A6DEEE">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highlight w:val="none"/>
                <w:lang w:val="en-US" w:eastAsia="zh-CN"/>
                <w14:textFill>
                  <w14:solidFill>
                    <w14:schemeClr w14:val="tx1"/>
                  </w14:solidFill>
                </w14:textFill>
              </w:rPr>
            </w:pPr>
            <w:r>
              <w:rPr>
                <w:rFonts w:hint="eastAsia" w:ascii="Arial"/>
                <w:color w:val="000000" w:themeColor="text1"/>
                <w:sz w:val="21"/>
                <w:highlight w:val="none"/>
                <w:lang w:val="en-US" w:eastAsia="zh-CN"/>
                <w14:textFill>
                  <w14:solidFill>
                    <w14:schemeClr w14:val="tx1"/>
                  </w14:solidFill>
                </w14:textFill>
              </w:rPr>
              <w:t>出台</w:t>
            </w:r>
          </w:p>
        </w:tc>
        <w:tc>
          <w:tcPr>
            <w:tcW w:w="719" w:type="dxa"/>
            <w:noWrap w:val="0"/>
            <w:vAlign w:val="center"/>
          </w:tcPr>
          <w:p w14:paraId="51BCE94B">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highlight w:val="none"/>
                <w:lang w:val="en-US" w:eastAsia="zh-CN"/>
                <w14:textFill>
                  <w14:solidFill>
                    <w14:schemeClr w14:val="tx1"/>
                  </w14:solidFill>
                </w14:textFill>
              </w:rPr>
            </w:pPr>
            <w:r>
              <w:rPr>
                <w:rFonts w:hint="eastAsia" w:ascii="Arial"/>
                <w:color w:val="000000" w:themeColor="text1"/>
                <w:sz w:val="21"/>
                <w:highlight w:val="none"/>
                <w:lang w:val="en-US" w:eastAsia="zh-CN"/>
                <w14:textFill>
                  <w14:solidFill>
                    <w14:schemeClr w14:val="tx1"/>
                  </w14:solidFill>
                </w14:textFill>
              </w:rPr>
              <w:t>10</w:t>
            </w:r>
          </w:p>
        </w:tc>
        <w:tc>
          <w:tcPr>
            <w:tcW w:w="802" w:type="dxa"/>
            <w:noWrap w:val="0"/>
            <w:vAlign w:val="center"/>
          </w:tcPr>
          <w:p w14:paraId="1C1F0D6E">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highlight w:val="none"/>
                <w:lang w:val="en-US" w:eastAsia="zh-CN"/>
                <w14:textFill>
                  <w14:solidFill>
                    <w14:schemeClr w14:val="tx1"/>
                  </w14:solidFill>
                </w14:textFill>
              </w:rPr>
            </w:pPr>
            <w:r>
              <w:rPr>
                <w:rFonts w:hint="eastAsia" w:ascii="Arial"/>
                <w:color w:val="000000" w:themeColor="text1"/>
                <w:sz w:val="21"/>
                <w:highlight w:val="none"/>
                <w:lang w:val="en-US" w:eastAsia="zh-CN"/>
                <w14:textFill>
                  <w14:solidFill>
                    <w14:schemeClr w14:val="tx1"/>
                  </w14:solidFill>
                </w14:textFill>
              </w:rPr>
              <w:t>10</w:t>
            </w:r>
          </w:p>
        </w:tc>
        <w:tc>
          <w:tcPr>
            <w:tcW w:w="1275" w:type="dxa"/>
            <w:noWrap w:val="0"/>
            <w:vAlign w:val="center"/>
          </w:tcPr>
          <w:p w14:paraId="182E60D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highlight w:val="none"/>
                <w14:textFill>
                  <w14:solidFill>
                    <w14:schemeClr w14:val="tx1"/>
                  </w14:solidFill>
                </w14:textFill>
              </w:rPr>
            </w:pPr>
          </w:p>
        </w:tc>
      </w:tr>
      <w:tr w14:paraId="566F52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14:paraId="62B14287">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64F8F4F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5564D92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967DD3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36D8106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784922C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3C36195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3648BD0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215BE97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9CCBE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79FD2644">
            <w:pPr>
              <w:rPr>
                <w:rFonts w:ascii="Arial"/>
                <w:color w:val="000000" w:themeColor="text1"/>
                <w:sz w:val="21"/>
                <w14:textFill>
                  <w14:solidFill>
                    <w14:schemeClr w14:val="tx1"/>
                  </w14:solidFill>
                </w14:textFill>
              </w:rPr>
            </w:pPr>
          </w:p>
        </w:tc>
        <w:tc>
          <w:tcPr>
            <w:tcW w:w="1079" w:type="dxa"/>
            <w:tcBorders>
              <w:bottom w:val="nil"/>
            </w:tcBorders>
            <w:noWrap w:val="0"/>
            <w:vAlign w:val="center"/>
          </w:tcPr>
          <w:p w14:paraId="6F089BC3">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76ABFA8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6AA8DB30">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14:paraId="7AF557C6">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73807A6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2EDB427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14:paraId="6BA48DEA">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相关部门和参保对象满意度</w:t>
            </w:r>
          </w:p>
          <w:p w14:paraId="1A297E9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198F1BE6">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1259" w:type="dxa"/>
            <w:noWrap w:val="0"/>
            <w:vAlign w:val="center"/>
          </w:tcPr>
          <w:p w14:paraId="7ECC9D0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14:paraId="1A229DF6">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222A862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w:t>
            </w:r>
          </w:p>
        </w:tc>
        <w:tc>
          <w:tcPr>
            <w:tcW w:w="1275" w:type="dxa"/>
            <w:noWrap w:val="0"/>
            <w:vAlign w:val="center"/>
          </w:tcPr>
          <w:p w14:paraId="776D7ED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4C86E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59629618">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711B546A">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14:paraId="1BCF5A71">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98.5</w:t>
            </w:r>
          </w:p>
        </w:tc>
        <w:tc>
          <w:tcPr>
            <w:tcW w:w="1275" w:type="dxa"/>
            <w:noWrap w:val="0"/>
            <w:vAlign w:val="center"/>
          </w:tcPr>
          <w:p w14:paraId="1E6100E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7C4598E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童璇</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13873029299</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2024-5-27</w:t>
      </w:r>
      <w:r>
        <w:rPr>
          <w:rFonts w:ascii="仿宋" w:hAnsi="仿宋" w:eastAsia="仿宋" w:cs="仿宋"/>
          <w:color w:val="000000" w:themeColor="text1"/>
          <w:spacing w:val="3"/>
          <w:sz w:val="22"/>
          <w:szCs w:val="22"/>
          <w14:textFill>
            <w14:solidFill>
              <w14:schemeClr w14:val="tx1"/>
            </w14:solidFill>
          </w14:textFill>
        </w:rPr>
        <w:t xml:space="preserve">  </w:t>
      </w:r>
    </w:p>
    <w:p w14:paraId="0B37758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366BB37A">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56741814">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309A4AB7">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3</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岳阳楼区医疗保障局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14:paraId="334EAC93">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14:paraId="660094A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A8D9ED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983613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270927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04EFA1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3B0486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C0AD3F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D43AE6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702942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6A9C81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852B76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9A7CA4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108556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4239C1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FC6EF8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DBFA82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5CCCE9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CDF11E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21622B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C9EB74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6472B0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3D998B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0F8176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0FEDF0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128DC1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DA5B1D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635C442">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14:paraId="1CB62632">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2024年5月 27 日</w:t>
      </w:r>
    </w:p>
    <w:p w14:paraId="2F54CE5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B4875D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E08F17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995474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2D95710">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2023年度岳阳楼区</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医疗保障局</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整体支出绩效自评报告</w:t>
      </w:r>
    </w:p>
    <w:p w14:paraId="197B474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7DD3BB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E2599C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7E48D12">
      <w:pPr>
        <w:keepNext w:val="0"/>
        <w:keepLines w:val="0"/>
        <w:pageBreakBefore w:val="0"/>
        <w:widowControl w:val="0"/>
        <w:numPr>
          <w:ilvl w:val="0"/>
          <w:numId w:val="0"/>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kern w:val="2"/>
          <w:position w:val="0"/>
          <w:sz w:val="32"/>
          <w:szCs w:val="32"/>
          <w:lang w:val="en-US" w:eastAsia="zh-CN" w:bidi="ar-SA"/>
          <w14:textFill>
            <w14:solidFill>
              <w14:schemeClr w14:val="tx1"/>
            </w14:solidFill>
          </w14:textFill>
        </w:rPr>
        <w:t>一、</w:t>
      </w: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01E151BE">
      <w:pPr>
        <w:numPr>
          <w:ilvl w:val="0"/>
          <w:numId w:val="0"/>
        </w:numPr>
        <w:ind w:left="0" w:leftChars="0" w:firstLine="640" w:firstLineChars="200"/>
        <w:rPr>
          <w:rFonts w:hint="eastAsia" w:ascii="仿宋" w:hAnsi="仿宋" w:eastAsia="仿宋" w:cs="仿宋"/>
          <w:sz w:val="24"/>
          <w:szCs w:val="24"/>
          <w:lang w:val="en-US" w:eastAsia="zh-CN"/>
        </w:rPr>
      </w:pPr>
      <w:r>
        <w:rPr>
          <w:rFonts w:hint="eastAsia" w:ascii="仿宋" w:hAnsi="仿宋" w:eastAsia="仿宋" w:cs="仿宋"/>
          <w:sz w:val="32"/>
          <w:szCs w:val="32"/>
          <w:lang w:val="en-US" w:eastAsia="zh-CN"/>
        </w:rPr>
        <w:t>岳阳楼区医疗保障局单位内设机构包括： 岳阳市岳阳楼区医疗保障局内设机构包括：本部门共有编制人数47人，实有人数47人。内设股室6个，分别为：办公室、财务法规股、待遇保障股、医药服务管理股、基金监管股、医药救助管理股。 区医疗保障局下设岳阳市岳阳楼区医疗保障事务中心，公益一类事业单位，为副科级</w:t>
      </w:r>
      <w:r>
        <w:rPr>
          <w:rFonts w:hint="eastAsia" w:ascii="仿宋" w:hAnsi="仿宋" w:eastAsia="仿宋" w:cs="仿宋"/>
          <w:sz w:val="24"/>
          <w:szCs w:val="24"/>
          <w:lang w:val="en-US" w:eastAsia="zh-CN"/>
        </w:rPr>
        <w:t>。</w:t>
      </w:r>
    </w:p>
    <w:p w14:paraId="5C7BB81F">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14:paraId="3BB06153">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14:paraId="08745E0C">
      <w:pPr>
        <w:numPr>
          <w:ilvl w:val="0"/>
          <w:numId w:val="0"/>
        </w:numPr>
        <w:ind w:left="0" w:leftChars="0"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2023年全年基本支出1304.81万元，其中：人员经费1094.14万元，包含基本工资、津贴补贴、奖金、伙食补助费、绩效工资、机关事业单位基本养老保险缴费、职工基本医疗保险缴费、其他社会保障缴费、住房公积金、退休费、医疗费补助其他对个人和家庭的补助；公用经费210.67万元，包含办公费、印刷费、水费、电费、邮电费、差旅费、维修（护）费、租赁费、公务接待费、劳务费、委托业务费、工会经费、其他交通费用、其他商品和服务支出。</w:t>
      </w:r>
    </w:p>
    <w:p w14:paraId="61AD335B">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p>
    <w:p w14:paraId="6E55276A">
      <w:pPr>
        <w:numPr>
          <w:ilvl w:val="0"/>
          <w:numId w:val="0"/>
        </w:numPr>
        <w:ind w:left="0" w:leftChars="0"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项目支出</w:t>
      </w:r>
      <w:r>
        <w:rPr>
          <w:rFonts w:hint="default" w:ascii="仿宋" w:hAnsi="仿宋" w:eastAsia="仿宋" w:cs="仿宋"/>
          <w:sz w:val="32"/>
          <w:szCs w:val="32"/>
          <w:lang w:val="en-US" w:eastAsia="zh-CN"/>
        </w:rPr>
        <w:t>994</w:t>
      </w:r>
      <w:r>
        <w:rPr>
          <w:rFonts w:hint="eastAsia" w:ascii="仿宋" w:hAnsi="仿宋" w:eastAsia="仿宋" w:cs="仿宋"/>
          <w:sz w:val="32"/>
          <w:szCs w:val="32"/>
          <w:lang w:val="en-US" w:eastAsia="zh-CN"/>
        </w:rPr>
        <w:t>.5万元，其中：业务工作经费154万元，运行维护经费16.1万元，编外用工人员经费77.19万元，审批专项703.21万元，医疗保障专项44万元。</w:t>
      </w:r>
    </w:p>
    <w:p w14:paraId="129EA3FE">
      <w:pPr>
        <w:keepNext w:val="0"/>
        <w:keepLines w:val="0"/>
        <w:pageBreakBefore w:val="0"/>
        <w:widowControl w:val="0"/>
        <w:numPr>
          <w:ilvl w:val="0"/>
          <w:numId w:val="0"/>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14:paraId="386C4D05">
      <w:pPr>
        <w:numPr>
          <w:ilvl w:val="0"/>
          <w:numId w:val="0"/>
        </w:numPr>
        <w:ind w:left="0" w:leftChars="0"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我单位无政府性基金预算支出。</w:t>
      </w:r>
    </w:p>
    <w:p w14:paraId="50EFBD7E">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14:paraId="305E0FBB">
      <w:pPr>
        <w:numPr>
          <w:ilvl w:val="0"/>
          <w:numId w:val="0"/>
        </w:numPr>
        <w:ind w:left="0" w:leftChars="0"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我单位无国有资本经营预算支出。</w:t>
      </w:r>
    </w:p>
    <w:p w14:paraId="7F6108C9">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14:paraId="3F7351B4">
      <w:pPr>
        <w:numPr>
          <w:ilvl w:val="0"/>
          <w:numId w:val="0"/>
        </w:numPr>
        <w:ind w:left="0" w:leftChars="0"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我单位无社会保险基金预算支出</w:t>
      </w:r>
    </w:p>
    <w:p w14:paraId="5648D41C">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14:paraId="65B6C6FC">
      <w:pPr>
        <w:keepNext w:val="0"/>
        <w:keepLines w:val="0"/>
        <w:pageBreakBefore w:val="0"/>
        <w:widowControl w:val="0"/>
        <w:numPr>
          <w:ilvl w:val="0"/>
          <w:numId w:val="0"/>
        </w:numPr>
        <w:kinsoku/>
        <w:wordWrap/>
        <w:overflowPunct/>
        <w:topLinePunct w:val="0"/>
        <w:autoSpaceDE/>
        <w:autoSpaceDN/>
        <w:bidi w:val="0"/>
        <w:adjustRightInd/>
        <w:spacing w:line="560" w:lineRule="exact"/>
        <w:ind w:left="-105" w:leftChars="-50" w:right="-105" w:rightChars="-50" w:firstLine="640" w:firstLineChars="200"/>
        <w:jc w:val="both"/>
        <w:textAlignment w:val="auto"/>
        <w:outlineLvl w:val="9"/>
        <w:rPr>
          <w:rFonts w:hint="eastAsia" w:ascii="黑体" w:hAnsi="黑体" w:eastAsia="黑体" w:cs="黑体"/>
          <w:sz w:val="32"/>
          <w:szCs w:val="32"/>
          <w:lang w:val="en-US" w:eastAsia="zh-CN"/>
        </w:rPr>
      </w:pPr>
      <w:r>
        <w:rPr>
          <w:rFonts w:hint="eastAsia" w:ascii="仿宋" w:hAnsi="仿宋" w:eastAsia="仿宋" w:cs="仿宋"/>
          <w:sz w:val="32"/>
          <w:szCs w:val="32"/>
        </w:rPr>
        <w:t>今年以来</w:t>
      </w:r>
      <w:r>
        <w:rPr>
          <w:rFonts w:hint="eastAsia" w:ascii="仿宋" w:hAnsi="仿宋" w:eastAsia="仿宋" w:cs="仿宋"/>
          <w:color w:val="333333"/>
          <w:sz w:val="32"/>
          <w:szCs w:val="32"/>
          <w:shd w:val="clear" w:color="auto" w:fill="FFFFFF"/>
        </w:rPr>
        <w:t>，</w:t>
      </w:r>
      <w:r>
        <w:rPr>
          <w:rFonts w:hint="eastAsia" w:ascii="仿宋" w:hAnsi="仿宋" w:eastAsia="仿宋" w:cs="仿宋"/>
          <w:sz w:val="32"/>
          <w:szCs w:val="32"/>
        </w:rPr>
        <w:t>在区委、区政府</w:t>
      </w:r>
      <w:r>
        <w:rPr>
          <w:rFonts w:hint="eastAsia" w:ascii="仿宋" w:hAnsi="仿宋" w:eastAsia="仿宋" w:cs="仿宋"/>
          <w:sz w:val="32"/>
          <w:szCs w:val="32"/>
          <w:lang w:val="en-US" w:eastAsia="zh-CN"/>
        </w:rPr>
        <w:t>和上级主管部门的有力指</w:t>
      </w:r>
      <w:r>
        <w:rPr>
          <w:rFonts w:hint="eastAsia" w:ascii="仿宋" w:hAnsi="仿宋" w:eastAsia="仿宋" w:cs="仿宋"/>
          <w:sz w:val="32"/>
          <w:szCs w:val="32"/>
        </w:rPr>
        <w:t>导下，我区医疗保障工作始终坚持以习近平新时代中国特色社会主义思想为指引，严格落实党中央、省委、市委的决策部署。着力提升全区参保群众的基本医疗保障水平，着力推进</w:t>
      </w:r>
      <w:r>
        <w:rPr>
          <w:rFonts w:hint="eastAsia" w:ascii="仿宋" w:hAnsi="仿宋" w:eastAsia="仿宋" w:cs="仿宋"/>
          <w:sz w:val="32"/>
          <w:szCs w:val="32"/>
          <w:lang w:val="en-US" w:eastAsia="zh-CN"/>
        </w:rPr>
        <w:t>我区</w:t>
      </w:r>
      <w:r>
        <w:rPr>
          <w:rFonts w:hint="eastAsia" w:ascii="仿宋" w:hAnsi="仿宋" w:eastAsia="仿宋" w:cs="仿宋"/>
          <w:sz w:val="32"/>
          <w:szCs w:val="32"/>
        </w:rPr>
        <w:t>医疗保障事业高质量发展</w:t>
      </w:r>
      <w:r>
        <w:rPr>
          <w:rFonts w:hint="eastAsia" w:ascii="仿宋" w:hAnsi="仿宋" w:eastAsia="仿宋" w:cs="仿宋"/>
          <w:color w:val="333333"/>
          <w:sz w:val="32"/>
          <w:szCs w:val="32"/>
          <w:shd w:val="clear" w:color="auto" w:fill="FFFFFF"/>
        </w:rPr>
        <w:t>。现将202</w:t>
      </w:r>
      <w:r>
        <w:rPr>
          <w:rFonts w:hint="eastAsia" w:ascii="仿宋" w:hAnsi="仿宋" w:eastAsia="仿宋" w:cs="仿宋"/>
          <w:color w:val="333333"/>
          <w:sz w:val="32"/>
          <w:szCs w:val="32"/>
          <w:shd w:val="clear" w:color="auto" w:fill="FFFFFF"/>
          <w:lang w:val="en-US" w:eastAsia="zh-CN"/>
        </w:rPr>
        <w:t>3</w:t>
      </w:r>
      <w:r>
        <w:rPr>
          <w:rFonts w:hint="eastAsia" w:ascii="仿宋" w:hAnsi="仿宋" w:eastAsia="仿宋" w:cs="仿宋"/>
          <w:color w:val="333333"/>
          <w:sz w:val="32"/>
          <w:szCs w:val="32"/>
          <w:shd w:val="clear" w:color="auto" w:fill="FFFFFF"/>
        </w:rPr>
        <w:t>年</w:t>
      </w:r>
      <w:r>
        <w:rPr>
          <w:rFonts w:hint="eastAsia" w:ascii="仿宋" w:hAnsi="仿宋" w:eastAsia="仿宋" w:cs="仿宋"/>
          <w:color w:val="333333"/>
          <w:sz w:val="32"/>
          <w:szCs w:val="32"/>
          <w:shd w:val="clear" w:color="auto" w:fill="FFFFFF"/>
          <w:lang w:val="en-US" w:eastAsia="zh-CN"/>
        </w:rPr>
        <w:t>度</w:t>
      </w:r>
      <w:r>
        <w:rPr>
          <w:rFonts w:hint="eastAsia" w:ascii="仿宋" w:hAnsi="仿宋" w:eastAsia="仿宋" w:cs="仿宋"/>
          <w:color w:val="333333"/>
          <w:sz w:val="32"/>
          <w:szCs w:val="32"/>
          <w:shd w:val="clear" w:color="auto" w:fill="FFFFFF"/>
        </w:rPr>
        <w:t>工作开展情况总结如下</w:t>
      </w:r>
      <w:r>
        <w:rPr>
          <w:rFonts w:hint="eastAsia" w:ascii="仿宋" w:hAnsi="仿宋" w:eastAsia="仿宋" w:cs="仿宋"/>
          <w:color w:val="333333"/>
          <w:sz w:val="32"/>
          <w:szCs w:val="32"/>
          <w:shd w:val="clear" w:color="auto" w:fill="FFFFFF"/>
          <w:lang w:eastAsia="zh-CN"/>
        </w:rPr>
        <w:t>。</w:t>
      </w:r>
    </w:p>
    <w:p w14:paraId="2A7236A0">
      <w:pPr>
        <w:keepNext w:val="0"/>
        <w:keepLines w:val="0"/>
        <w:pageBreakBefore w:val="0"/>
        <w:widowControl w:val="0"/>
        <w:numPr>
          <w:ilvl w:val="0"/>
          <w:numId w:val="0"/>
        </w:numPr>
        <w:kinsoku/>
        <w:wordWrap/>
        <w:overflowPunct/>
        <w:topLinePunct w:val="0"/>
        <w:autoSpaceDE/>
        <w:autoSpaceDN/>
        <w:bidi w:val="0"/>
        <w:adjustRightInd/>
        <w:spacing w:line="560" w:lineRule="exact"/>
        <w:ind w:left="-105" w:leftChars="-50" w:right="-105" w:rightChars="-50"/>
        <w:jc w:val="both"/>
        <w:textAlignment w:val="auto"/>
        <w:outlineLvl w:val="9"/>
        <w:rPr>
          <w:rFonts w:hint="eastAsia" w:ascii="仿宋" w:hAnsi="仿宋" w:eastAsia="仿宋" w:cs="仿宋"/>
          <w:sz w:val="32"/>
          <w:szCs w:val="32"/>
          <w:lang w:val="en-US" w:eastAsia="zh-CN"/>
        </w:rPr>
      </w:pPr>
      <w:r>
        <w:rPr>
          <w:rFonts w:hint="eastAsia" w:ascii="黑体" w:hAnsi="黑体" w:eastAsia="黑体" w:cs="黑体"/>
          <w:sz w:val="32"/>
          <w:szCs w:val="32"/>
          <w:lang w:val="en-US" w:eastAsia="zh-CN"/>
        </w:rPr>
        <w:t xml:space="preserve">    一、2023年度工作完成情况</w:t>
      </w:r>
    </w:p>
    <w:p w14:paraId="44C0771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105" w:leftChars="-50" w:right="-105" w:rightChars="-50" w:firstLine="640" w:firstLineChars="200"/>
        <w:jc w:val="both"/>
        <w:textAlignment w:val="auto"/>
        <w:outlineLvl w:val="9"/>
        <w:rPr>
          <w:rFonts w:hint="eastAsia" w:ascii="仿宋" w:hAnsi="仿宋" w:eastAsia="仿宋" w:cs="仿宋"/>
          <w:sz w:val="32"/>
          <w:szCs w:val="32"/>
          <w:lang w:val="en-US" w:eastAsia="zh-CN"/>
        </w:rPr>
      </w:pPr>
      <w:r>
        <w:rPr>
          <w:rFonts w:hint="eastAsia" w:ascii="仿宋_GB2312" w:hAnsi="仿宋_GB2312" w:eastAsia="仿宋_GB2312" w:cs="仿宋_GB2312"/>
          <w:i w:val="0"/>
          <w:caps w:val="0"/>
          <w:color w:val="auto"/>
          <w:spacing w:val="0"/>
          <w:sz w:val="32"/>
          <w:szCs w:val="32"/>
          <w:shd w:val="clear" w:color="auto" w:fill="auto"/>
          <w:lang w:val="en-US" w:eastAsia="zh-CN"/>
        </w:rPr>
        <w:t>截至3月底，我区城乡居民医保缴费人数为389888人，职工医保参保人数为39310人，参保人数共计429198人，</w:t>
      </w:r>
      <w:r>
        <w:rPr>
          <w:rFonts w:hint="eastAsia" w:ascii="仿宋" w:hAnsi="仿宋" w:eastAsia="仿宋" w:cs="仿宋"/>
          <w:sz w:val="32"/>
          <w:szCs w:val="32"/>
          <w:lang w:val="en-US" w:eastAsia="zh-CN"/>
        </w:rPr>
        <w:t>参保率96.19%，2023年度基本医疗保险参保缴费任务圆满完成。截至12月13日，2024年度城乡居民医保缴费人数为335553人。</w:t>
      </w:r>
    </w:p>
    <w:p w14:paraId="2E7A195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105" w:leftChars="-50" w:right="-105" w:rightChars="-50" w:firstLine="643" w:firstLineChars="200"/>
        <w:jc w:val="both"/>
        <w:textAlignment w:val="auto"/>
        <w:outlineLvl w:val="9"/>
        <w:rPr>
          <w:rFonts w:hint="eastAsia" w:ascii="仿宋" w:hAnsi="仿宋" w:eastAsia="仿宋" w:cs="仿宋"/>
          <w:sz w:val="32"/>
          <w:szCs w:val="32"/>
          <w:lang w:val="en-US" w:eastAsia="zh-CN"/>
        </w:rPr>
      </w:pPr>
      <w:r>
        <w:rPr>
          <w:rFonts w:hint="eastAsia" w:ascii="楷体" w:hAnsi="楷体" w:eastAsia="楷体" w:cs="楷体"/>
          <w:b/>
          <w:bCs/>
          <w:color w:val="000000"/>
          <w:sz w:val="32"/>
          <w:szCs w:val="32"/>
          <w:lang w:val="en-US" w:eastAsia="zh-CN"/>
        </w:rPr>
        <w:t>（一）基金收支情况</w:t>
      </w:r>
    </w:p>
    <w:p w14:paraId="15B1CDC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105" w:leftChars="-50" w:right="-105" w:rightChars="-50" w:firstLine="640" w:firstLineChars="200"/>
        <w:jc w:val="both"/>
        <w:textAlignment w:val="auto"/>
        <w:outlineLvl w:val="9"/>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截至2023年11月底，城镇职工基本医疗保险统筹收入11720.82万元，个人账户收入2019.69万元；基本医疗保险支出6627.96万元，个人账户支出6468.53万元；公务员收入580.76万元，支出563.22万元；大病互助收入719.16万元，大病费支出443.60万元；统筹累计结余25149.59万元，个人账户累计结余244.64万元，公务员累计结余246.43万元，大病累计结余877.01万元。城乡居民医疗保险收入566.93万元，支出24403.76万元，累计结余24957.66万元。</w:t>
      </w:r>
    </w:p>
    <w:p w14:paraId="454079A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105" w:leftChars="-50" w:right="-105" w:rightChars="-50" w:firstLine="643" w:firstLineChars="200"/>
        <w:jc w:val="both"/>
        <w:textAlignment w:val="auto"/>
        <w:outlineLvl w:val="9"/>
        <w:rPr>
          <w:rFonts w:hint="eastAsia" w:ascii="楷体" w:hAnsi="楷体" w:eastAsia="楷体" w:cs="楷体"/>
          <w:b/>
          <w:bCs/>
          <w:color w:val="000000"/>
          <w:sz w:val="32"/>
          <w:szCs w:val="32"/>
          <w:lang w:val="en-US" w:eastAsia="zh-CN"/>
        </w:rPr>
      </w:pPr>
      <w:r>
        <w:rPr>
          <w:rFonts w:hint="eastAsia" w:ascii="楷体" w:hAnsi="楷体" w:eastAsia="楷体" w:cs="楷体"/>
          <w:b/>
          <w:bCs/>
          <w:color w:val="000000"/>
          <w:sz w:val="32"/>
          <w:szCs w:val="32"/>
          <w:lang w:val="en-US" w:eastAsia="zh-CN"/>
        </w:rPr>
        <w:t>（二）待遇享受情况</w:t>
      </w:r>
    </w:p>
    <w:p w14:paraId="38D3077C">
      <w:pPr>
        <w:keepNext w:val="0"/>
        <w:keepLines w:val="0"/>
        <w:pageBreakBefore w:val="0"/>
        <w:widowControl w:val="0"/>
        <w:numPr>
          <w:ilvl w:val="0"/>
          <w:numId w:val="0"/>
        </w:numPr>
        <w:kinsoku/>
        <w:wordWrap/>
        <w:overflowPunct/>
        <w:topLinePunct w:val="0"/>
        <w:autoSpaceDE/>
        <w:autoSpaceDN/>
        <w:bidi w:val="0"/>
        <w:adjustRightInd/>
        <w:spacing w:line="560" w:lineRule="exact"/>
        <w:ind w:left="-105" w:leftChars="-50"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（二）待遇享受情况。            </w:t>
      </w:r>
    </w:p>
    <w:p w14:paraId="01DDF43E">
      <w:pPr>
        <w:keepNext w:val="0"/>
        <w:keepLines w:val="0"/>
        <w:pageBreakBefore w:val="0"/>
        <w:widowControl w:val="0"/>
        <w:numPr>
          <w:ilvl w:val="0"/>
          <w:numId w:val="2"/>
        </w:numPr>
        <w:kinsoku/>
        <w:wordWrap/>
        <w:overflowPunct/>
        <w:topLinePunct w:val="0"/>
        <w:autoSpaceDE/>
        <w:autoSpaceDN/>
        <w:bidi w:val="0"/>
        <w:adjustRightInd/>
        <w:spacing w:line="560" w:lineRule="exact"/>
        <w:ind w:left="-105" w:leftChars="-50"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住院结算。住院结算共59975人次，住院总费用42817.93万元，统筹支付总费用21469.1万元。其中职工住院结算8577人次，住院总费用7408.55万元，统筹支付4635.68万元；居民住院结算51398人次，住院总费用35409.38万元，统筹支付总费用16833.42万元。                   </w:t>
      </w:r>
    </w:p>
    <w:p w14:paraId="6407CC34">
      <w:pPr>
        <w:keepNext w:val="0"/>
        <w:keepLines w:val="0"/>
        <w:pageBreakBefore w:val="0"/>
        <w:widowControl w:val="0"/>
        <w:numPr>
          <w:ilvl w:val="0"/>
          <w:numId w:val="0"/>
        </w:numPr>
        <w:kinsoku/>
        <w:wordWrap/>
        <w:overflowPunct/>
        <w:topLinePunct w:val="0"/>
        <w:autoSpaceDE/>
        <w:autoSpaceDN/>
        <w:bidi w:val="0"/>
        <w:adjustRightInd/>
        <w:spacing w:line="560" w:lineRule="exact"/>
        <w:ind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2.异地联网结算。异地就医备案审核5463人次，其中省内异地备案审核3335人次，跨省异地备案协调审核2128人次。</w:t>
      </w:r>
    </w:p>
    <w:p w14:paraId="4E496711">
      <w:pPr>
        <w:keepNext w:val="0"/>
        <w:keepLines w:val="0"/>
        <w:pageBreakBefore w:val="0"/>
        <w:widowControl w:val="0"/>
        <w:numPr>
          <w:ilvl w:val="0"/>
          <w:numId w:val="0"/>
        </w:numPr>
        <w:kinsoku/>
        <w:wordWrap/>
        <w:overflowPunct/>
        <w:topLinePunct w:val="0"/>
        <w:autoSpaceDE/>
        <w:autoSpaceDN/>
        <w:bidi w:val="0"/>
        <w:adjustRightInd/>
        <w:spacing w:line="560" w:lineRule="exact"/>
        <w:ind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3.生育保险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职工异地生育住院38人次，基金支付12.13万元。职工生育门诊85人次，基金支付6.7万元。职工生育津贴申请266人次人次，基金支付544.6万元。居民生育住院118人次，基金支付26.83万元。居民生育门诊44人次，基金支付2.63万元。</w:t>
      </w:r>
    </w:p>
    <w:p w14:paraId="66D57233">
      <w:pPr>
        <w:keepNext w:val="0"/>
        <w:keepLines w:val="0"/>
        <w:pageBreakBefore w:val="0"/>
        <w:widowControl w:val="0"/>
        <w:numPr>
          <w:ilvl w:val="0"/>
          <w:numId w:val="0"/>
        </w:numPr>
        <w:kinsoku/>
        <w:wordWrap/>
        <w:overflowPunct/>
        <w:topLinePunct w:val="0"/>
        <w:autoSpaceDE/>
        <w:autoSpaceDN/>
        <w:bidi w:val="0"/>
        <w:adjustRightInd/>
        <w:spacing w:line="560" w:lineRule="exact"/>
        <w:ind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4.居民大病二次追补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共就医3101人次，追补金额1441.37万元。职工大病报销426人次，金额409.03万元</w:t>
      </w:r>
      <w:r>
        <w:rPr>
          <w:rFonts w:hint="eastAsia" w:ascii="仿宋_GB2312" w:hAnsi="仿宋_GB2312" w:eastAsia="仿宋_GB2312" w:cs="仿宋_GB2312"/>
          <w:sz w:val="32"/>
          <w:szCs w:val="32"/>
          <w:lang w:eastAsia="zh-CN"/>
        </w:rPr>
        <w:t>。</w:t>
      </w:r>
    </w:p>
    <w:p w14:paraId="35C9DA60">
      <w:pPr>
        <w:keepNext w:val="0"/>
        <w:keepLines w:val="0"/>
        <w:pageBreakBefore w:val="0"/>
        <w:widowControl w:val="0"/>
        <w:numPr>
          <w:ilvl w:val="0"/>
          <w:numId w:val="0"/>
        </w:numPr>
        <w:kinsoku/>
        <w:wordWrap/>
        <w:overflowPunct/>
        <w:topLinePunct w:val="0"/>
        <w:autoSpaceDE/>
        <w:autoSpaceDN/>
        <w:bidi w:val="0"/>
        <w:adjustRightInd/>
        <w:spacing w:line="560" w:lineRule="exact"/>
        <w:ind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5.中心报账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xml:space="preserve">居民异地就医中心报销665人次，基金支付266.41万元；职工异地就医中心报销63人次，基金支付49.69万元；。                        </w:t>
      </w:r>
    </w:p>
    <w:p w14:paraId="79AD2443">
      <w:pPr>
        <w:keepNext w:val="0"/>
        <w:keepLines w:val="0"/>
        <w:pageBreakBefore w:val="0"/>
        <w:widowControl w:val="0"/>
        <w:numPr>
          <w:ilvl w:val="0"/>
          <w:numId w:val="3"/>
        </w:numPr>
        <w:kinsoku/>
        <w:wordWrap/>
        <w:overflowPunct/>
        <w:topLinePunct w:val="0"/>
        <w:autoSpaceDE/>
        <w:autoSpaceDN/>
        <w:bidi w:val="0"/>
        <w:adjustRightInd/>
        <w:spacing w:line="560" w:lineRule="exact"/>
        <w:ind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普通门诊。城乡居民普通门诊待遇享受339701人次，总费用3380.1万元，基金支出1816.78万元；职工普通门诊待遇享受129597人次，总费用3905.53万元，基金支出975.11万元。职工个人账户结算211754人次，拨付基金2310.9万</w:t>
      </w:r>
      <w:r>
        <w:rPr>
          <w:rFonts w:hint="eastAsia" w:ascii="仿宋_GB2312" w:hAnsi="仿宋_GB2312" w:eastAsia="仿宋_GB2312" w:cs="仿宋_GB2312"/>
          <w:sz w:val="32"/>
          <w:szCs w:val="32"/>
          <w:lang w:eastAsia="zh-CN"/>
        </w:rPr>
        <w:t>。</w:t>
      </w:r>
    </w:p>
    <w:p w14:paraId="4D5B2FD0">
      <w:pPr>
        <w:keepNext w:val="0"/>
        <w:keepLines w:val="0"/>
        <w:pageBreakBefore w:val="0"/>
        <w:widowControl w:val="0"/>
        <w:numPr>
          <w:ilvl w:val="0"/>
          <w:numId w:val="3"/>
        </w:numPr>
        <w:kinsoku/>
        <w:wordWrap/>
        <w:overflowPunct/>
        <w:topLinePunct w:val="0"/>
        <w:autoSpaceDE/>
        <w:autoSpaceDN/>
        <w:bidi w:val="0"/>
        <w:adjustRightInd/>
        <w:spacing w:line="560" w:lineRule="exact"/>
        <w:ind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特殊门诊。居民特门待遇享受35733人次，其中新增1301人，医保报销2112.27万；职工特门待遇享受20017人次，其中新增355人，医保报销816.13万元。</w:t>
      </w:r>
    </w:p>
    <w:p w14:paraId="6F4128EE">
      <w:pPr>
        <w:keepNext w:val="0"/>
        <w:keepLines w:val="0"/>
        <w:pageBreakBefore w:val="0"/>
        <w:widowControl w:val="0"/>
        <w:numPr>
          <w:ilvl w:val="0"/>
          <w:numId w:val="0"/>
        </w:numPr>
        <w:kinsoku/>
        <w:wordWrap/>
        <w:overflowPunct/>
        <w:topLinePunct w:val="0"/>
        <w:autoSpaceDE/>
        <w:autoSpaceDN/>
        <w:bidi w:val="0"/>
        <w:adjustRightInd/>
        <w:spacing w:line="560" w:lineRule="exact"/>
        <w:ind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8.“双通道”待遇。居民“双通道”待遇享受6331人次，医保报销1270.07万元；职工“双通道”待遇享受1509人次，医保报销362.62万元。</w:t>
      </w:r>
    </w:p>
    <w:p w14:paraId="7074FA86">
      <w:pPr>
        <w:keepNext w:val="0"/>
        <w:keepLines w:val="0"/>
        <w:pageBreakBefore w:val="0"/>
        <w:widowControl w:val="0"/>
        <w:numPr>
          <w:ilvl w:val="0"/>
          <w:numId w:val="0"/>
        </w:numPr>
        <w:kinsoku/>
        <w:wordWrap/>
        <w:overflowPunct/>
        <w:topLinePunct w:val="0"/>
        <w:autoSpaceDE/>
        <w:autoSpaceDN/>
        <w:bidi w:val="0"/>
        <w:adjustRightInd/>
        <w:spacing w:line="560" w:lineRule="exact"/>
        <w:ind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两病”专项保障。全区纳入规范化管理的高血压患者7616人，糖尿病患者3245人。其中，高血压门诊就诊18529人次，总费用195.5万元，统筹支付122.19万元；糖尿病门诊就诊10236人次，总费用131.85万元，统筹支付82.25万元。</w:t>
      </w:r>
    </w:p>
    <w:p w14:paraId="101EB3B9">
      <w:pPr>
        <w:keepNext w:val="0"/>
        <w:keepLines w:val="0"/>
        <w:pageBreakBefore w:val="0"/>
        <w:widowControl w:val="0"/>
        <w:numPr>
          <w:ilvl w:val="0"/>
          <w:numId w:val="0"/>
        </w:numPr>
        <w:kinsoku/>
        <w:wordWrap/>
        <w:overflowPunct/>
        <w:topLinePunct w:val="0"/>
        <w:autoSpaceDE/>
        <w:autoSpaceDN/>
        <w:bidi w:val="0"/>
        <w:adjustRightInd/>
        <w:spacing w:line="560" w:lineRule="exact"/>
        <w:ind w:right="-105" w:rightChars="-5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协议管理。2023年新增定点医药机构57家，其中新增居民门诊统筹4家、职工门诊共济7家、职工医保定点38家、特殊病种门诊8家、住院业务2家。2023年度完成医药机构协议签订644家（含南湖新区49家）。其中，医院46家、药店365、诊所233家。并已完成了国家信息平台协议上传审核与省平台电子协议下发及审核工作。完成28家定点医药机构变更申请及评估工作。</w:t>
      </w:r>
    </w:p>
    <w:p w14:paraId="0B3A62D9">
      <w:pPr>
        <w:keepNext w:val="0"/>
        <w:keepLines w:val="0"/>
        <w:pageBreakBefore w:val="0"/>
        <w:widowControl w:val="0"/>
        <w:numPr>
          <w:ilvl w:val="0"/>
          <w:numId w:val="0"/>
        </w:numPr>
        <w:kinsoku/>
        <w:wordWrap/>
        <w:overflowPunct/>
        <w:topLinePunct w:val="0"/>
        <w:autoSpaceDE/>
        <w:autoSpaceDN/>
        <w:bidi w:val="0"/>
        <w:adjustRightInd/>
        <w:spacing w:line="560" w:lineRule="exact"/>
        <w:ind w:left="-105" w:leftChars="-50" w:right="-105" w:rightChars="-50" w:firstLine="643" w:firstLineChars="200"/>
        <w:textAlignment w:val="auto"/>
        <w:outlineLvl w:val="9"/>
        <w:rPr>
          <w:rFonts w:hint="eastAsia" w:ascii="楷体" w:hAnsi="楷体" w:eastAsia="楷体" w:cs="楷体"/>
          <w:b/>
          <w:bCs/>
          <w:color w:val="000000"/>
          <w:sz w:val="32"/>
          <w:szCs w:val="32"/>
        </w:rPr>
      </w:pPr>
      <w:r>
        <w:rPr>
          <w:rFonts w:hint="eastAsia" w:ascii="楷体" w:hAnsi="楷体" w:eastAsia="楷体" w:cs="楷体"/>
          <w:b/>
          <w:bCs/>
          <w:color w:val="000000"/>
          <w:sz w:val="32"/>
          <w:szCs w:val="32"/>
          <w:lang w:val="en-US" w:eastAsia="zh-CN"/>
        </w:rPr>
        <w:t>（三）</w:t>
      </w:r>
      <w:r>
        <w:rPr>
          <w:rFonts w:hint="eastAsia" w:ascii="楷体" w:hAnsi="楷体" w:eastAsia="楷体" w:cs="楷体"/>
          <w:b/>
          <w:bCs/>
          <w:color w:val="000000"/>
          <w:sz w:val="32"/>
          <w:szCs w:val="32"/>
        </w:rPr>
        <w:t>药品、医用耗材计划采购工作</w:t>
      </w:r>
    </w:p>
    <w:p w14:paraId="7082739F">
      <w:pPr>
        <w:keepNext w:val="0"/>
        <w:keepLines w:val="0"/>
        <w:pageBreakBefore w:val="0"/>
        <w:widowControl w:val="0"/>
        <w:kinsoku/>
        <w:wordWrap/>
        <w:overflowPunct/>
        <w:topLinePunct w:val="0"/>
        <w:autoSpaceDE/>
        <w:autoSpaceDN/>
        <w:bidi w:val="0"/>
        <w:adjustRightInd/>
        <w:snapToGrid w:val="0"/>
        <w:spacing w:line="560" w:lineRule="exact"/>
        <w:ind w:left="-105" w:leftChars="-50" w:right="-105" w:rightChars="-50"/>
        <w:jc w:val="left"/>
        <w:textAlignment w:val="auto"/>
        <w:outlineLvl w:val="9"/>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     常态化推进我区23家公立医疗机构开展13批次药品、医用耗材集中带量采购工作，组织我区各级定点公立医疗机构参加了四场专项视频培训。按照国家、省、市下发的关于“乙类乙管” 新型冠状病毒感染患者治疗费用医疗保障相关文件规定，立即组织我区68家定点医疗机构全面开展相关工作，为符合卫健部门制定的新冠病毒感染诊疗方案的参保患者住院医疗费用及在医保定点医疗机构（二级及以下医疗机构）发生的新型冠状病毒感染及疑似症状参保患者的门急诊费用实施专项医疗保障，确保新冠参保患者门急诊、住院医疗费用得到合理保障。全面推进我区第二批33家定点医疗机构的支付方式改革工作，确保我区DRG/DIP支付方式改革工作平稳、有效、正常运转。</w:t>
      </w:r>
    </w:p>
    <w:p w14:paraId="4F5A248E">
      <w:pPr>
        <w:keepNext w:val="0"/>
        <w:keepLines w:val="0"/>
        <w:pageBreakBefore w:val="0"/>
        <w:widowControl w:val="0"/>
        <w:numPr>
          <w:ilvl w:val="0"/>
          <w:numId w:val="0"/>
        </w:numPr>
        <w:kinsoku/>
        <w:wordWrap/>
        <w:overflowPunct/>
        <w:topLinePunct w:val="0"/>
        <w:autoSpaceDE/>
        <w:autoSpaceDN/>
        <w:bidi w:val="0"/>
        <w:adjustRightInd/>
        <w:spacing w:line="560" w:lineRule="exact"/>
        <w:ind w:left="-105" w:leftChars="-50" w:right="-105" w:rightChars="-50" w:firstLine="643" w:firstLineChars="200"/>
        <w:textAlignment w:val="auto"/>
        <w:outlineLvl w:val="9"/>
        <w:rPr>
          <w:rFonts w:hint="eastAsia" w:ascii="楷体" w:hAnsi="楷体" w:eastAsia="楷体" w:cs="楷体"/>
          <w:b/>
          <w:bCs/>
          <w:color w:val="000000"/>
          <w:sz w:val="32"/>
          <w:szCs w:val="32"/>
          <w:lang w:val="en-US" w:eastAsia="zh-CN"/>
        </w:rPr>
      </w:pPr>
      <w:r>
        <w:rPr>
          <w:rFonts w:hint="eastAsia" w:ascii="楷体" w:hAnsi="楷体" w:eastAsia="楷体" w:cs="楷体"/>
          <w:b/>
          <w:bCs/>
          <w:color w:val="000000"/>
          <w:sz w:val="32"/>
          <w:szCs w:val="32"/>
          <w:lang w:val="en-US" w:eastAsia="zh-CN"/>
        </w:rPr>
        <w:t>（四）医疗救助工作</w:t>
      </w:r>
    </w:p>
    <w:p w14:paraId="3BA30C92">
      <w:pPr>
        <w:ind w:firstLine="640" w:firstLineChars="200"/>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截至11月底，有效保障特殊人员参保12446人，参保资金共计278.75万元；“一站式”住院医疗救助共救助4182人次，发放救助资金758.62万元，门诊医疗救助1905人次，发放救助资金63.84万元。监测对象和脱贫户，兜底保障6人，金额2.27万元；三类救助80人次，救助金额106.27万元；再救助4人，救助金额1.35万元；核工业医疗救助8人次，发放救助金额4.25万元。目前已完成医疗救助目标任务数18631人次，已完成重点民生实事任务数（13500人次）的138%。</w:t>
      </w:r>
    </w:p>
    <w:p w14:paraId="03E33777">
      <w:pPr>
        <w:keepNext w:val="0"/>
        <w:keepLines w:val="0"/>
        <w:pageBreakBefore w:val="0"/>
        <w:widowControl w:val="0"/>
        <w:numPr>
          <w:ilvl w:val="0"/>
          <w:numId w:val="0"/>
        </w:numPr>
        <w:kinsoku/>
        <w:wordWrap/>
        <w:overflowPunct/>
        <w:topLinePunct w:val="0"/>
        <w:autoSpaceDE/>
        <w:autoSpaceDN/>
        <w:bidi w:val="0"/>
        <w:adjustRightInd/>
        <w:spacing w:line="560" w:lineRule="exact"/>
        <w:ind w:left="-105" w:leftChars="-50" w:right="-105" w:rightChars="-50" w:firstLine="643" w:firstLineChars="200"/>
        <w:textAlignment w:val="auto"/>
        <w:outlineLvl w:val="9"/>
        <w:rPr>
          <w:rFonts w:hint="eastAsia" w:ascii="楷体" w:hAnsi="楷体" w:eastAsia="楷体" w:cs="楷体"/>
          <w:b/>
          <w:bCs/>
          <w:color w:val="000000"/>
          <w:sz w:val="32"/>
          <w:szCs w:val="32"/>
          <w:lang w:val="en-US" w:eastAsia="zh-CN"/>
        </w:rPr>
      </w:pPr>
      <w:r>
        <w:rPr>
          <w:rFonts w:hint="eastAsia" w:ascii="楷体" w:hAnsi="楷体" w:eastAsia="楷体" w:cs="楷体"/>
          <w:b/>
          <w:bCs/>
          <w:color w:val="000000"/>
          <w:sz w:val="32"/>
          <w:szCs w:val="32"/>
          <w:lang w:val="en-US" w:eastAsia="zh-CN"/>
        </w:rPr>
        <w:t>（五）基金监管工作</w:t>
      </w:r>
    </w:p>
    <w:p w14:paraId="18F2D973">
      <w:pPr>
        <w:keepNext w:val="0"/>
        <w:keepLines w:val="0"/>
        <w:pageBreakBefore w:val="0"/>
        <w:numPr>
          <w:ilvl w:val="0"/>
          <w:numId w:val="0"/>
        </w:numPr>
        <w:kinsoku/>
        <w:wordWrap/>
        <w:overflowPunct/>
        <w:topLinePunct w:val="0"/>
        <w:autoSpaceDE/>
        <w:autoSpaceDN/>
        <w:bidi w:val="0"/>
        <w:adjustRightInd/>
        <w:snapToGrid/>
        <w:spacing w:line="560" w:lineRule="exact"/>
        <w:ind w:right="-105" w:rightChars="-50" w:firstLine="643" w:firstLineChars="200"/>
        <w:textAlignment w:val="auto"/>
        <w:outlineLvl w:val="9"/>
        <w:rPr>
          <w:rFonts w:hint="eastAsia" w:ascii="仿宋" w:hAnsi="仿宋" w:eastAsia="仿宋" w:cs="仿宋"/>
          <w:b w:val="0"/>
          <w:bCs w:val="0"/>
          <w:kern w:val="2"/>
          <w:sz w:val="32"/>
          <w:szCs w:val="32"/>
          <w:lang w:val="en-US" w:eastAsia="zh-CN" w:bidi="ar-SA"/>
        </w:rPr>
      </w:pPr>
      <w:r>
        <w:rPr>
          <w:rFonts w:hint="eastAsia" w:ascii="楷体" w:hAnsi="楷体" w:eastAsia="楷体" w:cs="楷体"/>
          <w:b/>
          <w:bCs/>
          <w:i w:val="0"/>
          <w:caps w:val="0"/>
          <w:color w:val="333333"/>
          <w:spacing w:val="0"/>
          <w:sz w:val="32"/>
          <w:szCs w:val="32"/>
          <w:shd w:val="clear" w:color="auto" w:fill="auto"/>
          <w:lang w:val="en-US" w:eastAsia="zh-CN"/>
        </w:rPr>
        <w:t>一是高位推动打击欺诈骗保工作。</w:t>
      </w:r>
      <w:r>
        <w:rPr>
          <w:rFonts w:hint="eastAsia" w:ascii="仿宋" w:hAnsi="仿宋" w:eastAsia="仿宋" w:cs="仿宋"/>
          <w:b w:val="0"/>
          <w:bCs w:val="0"/>
          <w:kern w:val="2"/>
          <w:sz w:val="32"/>
          <w:szCs w:val="32"/>
          <w:lang w:val="en-US" w:eastAsia="zh-CN" w:bidi="ar-SA"/>
        </w:rPr>
        <w:t>岳阳楼区政府将打击欺诈骗保工作纳入《2023年岳阳楼区综合绩效考核方案》。今年9月，</w:t>
      </w:r>
      <w:r>
        <w:rPr>
          <w:rFonts w:hint="eastAsia" w:ascii="仿宋" w:hAnsi="仿宋" w:eastAsia="仿宋" w:cs="仿宋"/>
          <w:sz w:val="32"/>
          <w:szCs w:val="32"/>
          <w:lang w:val="en-US" w:eastAsia="zh-CN"/>
        </w:rPr>
        <w:t>成</w:t>
      </w:r>
      <w:r>
        <w:rPr>
          <w:rFonts w:hint="eastAsia" w:ascii="仿宋" w:hAnsi="仿宋" w:eastAsia="仿宋" w:cs="仿宋"/>
          <w:sz w:val="32"/>
          <w:szCs w:val="32"/>
          <w:lang w:eastAsia="zh-CN"/>
        </w:rPr>
        <w:t>立岳阳楼区医保领域打击欺诈骗保专项整治领导小组,</w:t>
      </w:r>
      <w:r>
        <w:rPr>
          <w:rFonts w:hint="eastAsia" w:ascii="仿宋" w:hAnsi="仿宋" w:eastAsia="仿宋" w:cs="仿宋"/>
          <w:b w:val="0"/>
          <w:bCs w:val="0"/>
          <w:kern w:val="2"/>
          <w:sz w:val="32"/>
          <w:szCs w:val="32"/>
          <w:lang w:val="en-US" w:eastAsia="zh-CN" w:bidi="ar-SA"/>
        </w:rPr>
        <w:t>区政府组织召开医保领域打击欺诈骗保专项整治工作会议，区领导和相关部门及医疗机构负责人参加，专题部署岳阳楼区医保领域打击欺诈骗保专项整治工作。</w:t>
      </w:r>
    </w:p>
    <w:p w14:paraId="427C31B6">
      <w:pPr>
        <w:ind w:firstLine="643" w:firstLineChars="200"/>
        <w:rPr>
          <w:rFonts w:hint="eastAsia" w:ascii="仿宋" w:hAnsi="仿宋" w:eastAsia="仿宋" w:cs="仿宋"/>
          <w:b w:val="0"/>
          <w:bCs w:val="0"/>
          <w:kern w:val="2"/>
          <w:sz w:val="32"/>
          <w:szCs w:val="32"/>
          <w:lang w:val="en-US" w:eastAsia="zh-CN" w:bidi="ar-SA"/>
        </w:rPr>
      </w:pPr>
      <w:r>
        <w:rPr>
          <w:rFonts w:hint="eastAsia" w:ascii="楷体" w:hAnsi="楷体" w:eastAsia="楷体" w:cs="楷体"/>
          <w:b/>
          <w:bCs/>
          <w:i w:val="0"/>
          <w:caps w:val="0"/>
          <w:color w:val="333333"/>
          <w:spacing w:val="0"/>
          <w:sz w:val="32"/>
          <w:szCs w:val="32"/>
          <w:shd w:val="clear" w:color="auto" w:fill="auto"/>
          <w:lang w:val="en-US" w:eastAsia="zh-CN"/>
        </w:rPr>
        <w:t xml:space="preserve"> 二是基金监管实现全覆盖。</w:t>
      </w:r>
      <w:r>
        <w:rPr>
          <w:rFonts w:hint="eastAsia" w:ascii="仿宋" w:hAnsi="仿宋" w:eastAsia="仿宋" w:cs="仿宋"/>
          <w:b w:val="0"/>
          <w:bCs w:val="0"/>
          <w:kern w:val="2"/>
          <w:sz w:val="32"/>
          <w:szCs w:val="32"/>
          <w:lang w:val="en-US" w:eastAsia="zh-CN" w:bidi="ar-SA"/>
        </w:rPr>
        <w:t>制定《岳阳楼区医疗保障局2023年度加强医保基金使用常态化监督工作方案》 、《2023年岳阳楼区关于开展医保领域打击欺诈骗保专项整治工作方案 》，共组织4个日常监管小组，对全区505家定点医药机构的医保基金使用情况开展日常监督检查工作和专项整治工作。2023年已</w:t>
      </w:r>
      <w:r>
        <w:rPr>
          <w:rFonts w:hint="eastAsia" w:ascii="仿宋" w:hAnsi="仿宋" w:eastAsia="仿宋" w:cs="Times New Roman"/>
          <w:kern w:val="2"/>
          <w:sz w:val="32"/>
          <w:szCs w:val="32"/>
          <w:lang w:val="en-US" w:eastAsia="zh-CN" w:bidi="ar-SA"/>
        </w:rPr>
        <w:t>完成省局下发的三个批次问题清单的自查自纠、</w:t>
      </w:r>
      <w:r>
        <w:rPr>
          <w:rFonts w:hint="eastAsia" w:ascii="仿宋" w:hAnsi="仿宋" w:eastAsia="仿宋" w:cs="仿宋"/>
          <w:b w:val="0"/>
          <w:bCs w:val="0"/>
          <w:kern w:val="2"/>
          <w:sz w:val="32"/>
          <w:szCs w:val="32"/>
          <w:lang w:val="en-US" w:eastAsia="zh-CN" w:bidi="ar-SA"/>
        </w:rPr>
        <w:t>组织开展</w:t>
      </w:r>
      <w:r>
        <w:rPr>
          <w:rFonts w:hint="default" w:ascii="仿宋" w:hAnsi="仿宋" w:eastAsia="仿宋" w:cs="Times New Roman"/>
          <w:kern w:val="2"/>
          <w:sz w:val="32"/>
          <w:szCs w:val="32"/>
          <w:lang w:val="en-US" w:eastAsia="zh-CN" w:bidi="ar-SA"/>
        </w:rPr>
        <w:t>医保领域打击欺诈骗保专项整治</w:t>
      </w:r>
      <w:r>
        <w:rPr>
          <w:rFonts w:hint="eastAsia" w:ascii="仿宋" w:hAnsi="仿宋" w:eastAsia="仿宋" w:cs="Times New Roman"/>
          <w:kern w:val="2"/>
          <w:sz w:val="32"/>
          <w:szCs w:val="32"/>
          <w:lang w:val="en-US" w:eastAsia="zh-CN" w:bidi="ar-SA"/>
        </w:rPr>
        <w:t>自查自纠，</w:t>
      </w:r>
      <w:r>
        <w:rPr>
          <w:rFonts w:hint="eastAsia" w:ascii="仿宋" w:hAnsi="仿宋" w:eastAsia="仿宋" w:cs="仿宋"/>
          <w:b w:val="0"/>
          <w:bCs w:val="0"/>
          <w:kern w:val="2"/>
          <w:sz w:val="32"/>
          <w:szCs w:val="32"/>
          <w:lang w:val="en-US" w:eastAsia="zh-CN" w:bidi="ar-SA"/>
        </w:rPr>
        <w:t>共计退回医保基金370891元；打击欺诈骗保</w:t>
      </w:r>
      <w:r>
        <w:rPr>
          <w:rFonts w:hint="eastAsia" w:ascii="仿宋" w:hAnsi="仿宋" w:eastAsia="仿宋" w:cs="Times New Roman"/>
          <w:kern w:val="2"/>
          <w:sz w:val="32"/>
          <w:szCs w:val="32"/>
          <w:lang w:val="en-US" w:eastAsia="zh-CN" w:bidi="ar-SA"/>
        </w:rPr>
        <w:t>专项检查查处违规资金96217元，行政处罚62242.78元。以上各类问题共涉及违规资金共计467108元，已退回违规资金467108元，行政处罚62242.78元。</w:t>
      </w:r>
      <w:r>
        <w:rPr>
          <w:rFonts w:hint="eastAsia" w:ascii="仿宋" w:hAnsi="仿宋" w:eastAsia="仿宋" w:cs="仿宋"/>
          <w:b w:val="0"/>
          <w:bCs w:val="0"/>
          <w:color w:val="000000"/>
          <w:sz w:val="32"/>
          <w:szCs w:val="32"/>
          <w:lang w:val="en-US" w:eastAsia="zh-CN"/>
        </w:rPr>
        <w:t>今年3月，我局开始对全区18家首批开展职工门诊共济业务的医疗机构进行检查，共发现5类问题38条线索，共涉及金额7418.27元，全部拒付。</w:t>
      </w:r>
      <w:r>
        <w:rPr>
          <w:rFonts w:hint="eastAsia" w:ascii="仿宋" w:hAnsi="仿宋" w:eastAsia="仿宋" w:cs="仿宋"/>
          <w:b w:val="0"/>
          <w:bCs w:val="0"/>
          <w:kern w:val="2"/>
          <w:sz w:val="32"/>
          <w:szCs w:val="32"/>
          <w:lang w:val="en-US" w:eastAsia="zh-CN" w:bidi="ar-SA"/>
        </w:rPr>
        <w:t>截至11月，全区基金监管覆盖率达100%。</w:t>
      </w:r>
    </w:p>
    <w:p w14:paraId="42AB2746">
      <w:pPr>
        <w:rPr>
          <w:rFonts w:hint="eastAsia" w:ascii="仿宋" w:hAnsi="仿宋" w:eastAsia="仿宋" w:cs="仿宋"/>
          <w:b w:val="0"/>
          <w:bCs w:val="0"/>
          <w:kern w:val="2"/>
          <w:sz w:val="32"/>
          <w:szCs w:val="32"/>
          <w:lang w:val="en-US" w:eastAsia="zh-CN" w:bidi="ar-SA"/>
        </w:rPr>
      </w:pPr>
      <w:r>
        <w:rPr>
          <w:rFonts w:hint="eastAsia" w:ascii="仿宋" w:hAnsi="仿宋" w:eastAsia="仿宋" w:cs="仿宋"/>
          <w:b w:val="0"/>
          <w:bCs w:val="0"/>
          <w:kern w:val="2"/>
          <w:sz w:val="32"/>
          <w:szCs w:val="32"/>
          <w:lang w:val="en-US" w:eastAsia="zh-CN" w:bidi="ar-SA"/>
        </w:rPr>
        <w:t xml:space="preserve">    </w:t>
      </w:r>
      <w:r>
        <w:rPr>
          <w:rFonts w:hint="eastAsia" w:ascii="楷体" w:hAnsi="楷体" w:eastAsia="楷体" w:cs="楷体"/>
          <w:b/>
          <w:bCs/>
          <w:i w:val="0"/>
          <w:caps w:val="0"/>
          <w:color w:val="333333"/>
          <w:spacing w:val="0"/>
          <w:sz w:val="32"/>
          <w:szCs w:val="32"/>
          <w:shd w:val="clear" w:color="auto" w:fill="auto"/>
          <w:lang w:val="en-US" w:eastAsia="zh-CN"/>
        </w:rPr>
        <w:t>三是进一步拓宽监管宣传面。</w:t>
      </w:r>
      <w:r>
        <w:rPr>
          <w:rFonts w:hint="eastAsia" w:ascii="仿宋" w:hAnsi="仿宋" w:eastAsia="仿宋" w:cs="仿宋"/>
          <w:b w:val="0"/>
          <w:bCs w:val="0"/>
          <w:color w:val="000000"/>
          <w:sz w:val="32"/>
          <w:szCs w:val="32"/>
          <w:lang w:val="en-US" w:eastAsia="zh-CN"/>
        </w:rPr>
        <w:t>2023年医疗保障基金监管集中宣传月期间， 共悬挂宣传横幅485条，宣传展板128块，印刷宣传手册12000册，宣传资料56000份，出动宣传车10台次，投放户外广告屏1块，制作宣传视频一条，联合医院现场大型宣传活动1次，投放公交车灯箱宣传广告50台。</w:t>
      </w:r>
    </w:p>
    <w:p w14:paraId="1B791317">
      <w:pPr>
        <w:keepNext w:val="0"/>
        <w:keepLines w:val="0"/>
        <w:pageBreakBefore w:val="0"/>
        <w:numPr>
          <w:ilvl w:val="0"/>
          <w:numId w:val="0"/>
        </w:numPr>
        <w:kinsoku/>
        <w:wordWrap/>
        <w:overflowPunct/>
        <w:topLinePunct w:val="0"/>
        <w:autoSpaceDE/>
        <w:autoSpaceDN/>
        <w:bidi w:val="0"/>
        <w:adjustRightInd/>
        <w:snapToGrid/>
        <w:spacing w:line="560" w:lineRule="exact"/>
        <w:ind w:right="-105" w:rightChars="-50" w:firstLine="643" w:firstLineChars="200"/>
        <w:textAlignment w:val="auto"/>
        <w:outlineLvl w:val="9"/>
        <w:rPr>
          <w:rFonts w:hint="eastAsia" w:ascii="仿宋" w:hAnsi="仿宋" w:eastAsia="仿宋" w:cs="Times New Roman"/>
          <w:kern w:val="2"/>
          <w:sz w:val="32"/>
          <w:szCs w:val="32"/>
          <w:lang w:val="en-US" w:eastAsia="zh-CN" w:bidi="ar-SA"/>
        </w:rPr>
      </w:pPr>
      <w:r>
        <w:rPr>
          <w:rFonts w:hint="eastAsia" w:ascii="楷体" w:hAnsi="楷体" w:eastAsia="楷体" w:cs="楷体"/>
          <w:b/>
          <w:bCs/>
          <w:i w:val="0"/>
          <w:caps w:val="0"/>
          <w:color w:val="333333"/>
          <w:spacing w:val="0"/>
          <w:sz w:val="32"/>
          <w:szCs w:val="32"/>
          <w:shd w:val="clear" w:color="auto" w:fill="auto"/>
          <w:lang w:val="en-US" w:eastAsia="zh-CN"/>
        </w:rPr>
        <w:t>四是创新开展“两员”监督。</w:t>
      </w:r>
      <w:r>
        <w:rPr>
          <w:rFonts w:hint="eastAsia" w:ascii="仿宋" w:hAnsi="仿宋" w:eastAsia="仿宋" w:cs="仿宋"/>
          <w:b w:val="0"/>
          <w:bCs w:val="0"/>
          <w:kern w:val="2"/>
          <w:sz w:val="32"/>
          <w:szCs w:val="32"/>
          <w:lang w:val="en-US" w:eastAsia="zh-CN" w:bidi="ar-SA"/>
        </w:rPr>
        <w:t>岳阳楼区医保局推行“两</w:t>
      </w:r>
      <w:r>
        <w:rPr>
          <w:rFonts w:hint="eastAsia" w:ascii="仿宋" w:hAnsi="仿宋" w:eastAsia="仿宋" w:cs="仿宋"/>
          <w:sz w:val="32"/>
          <w:szCs w:val="32"/>
          <w:lang w:val="en-US" w:eastAsia="zh-CN"/>
        </w:rPr>
        <w:t>员”</w:t>
      </w:r>
      <w:r>
        <w:rPr>
          <w:rFonts w:hint="eastAsia" w:ascii="仿宋" w:hAnsi="仿宋" w:eastAsia="仿宋" w:cs="仿宋"/>
          <w:sz w:val="32"/>
          <w:szCs w:val="32"/>
          <w:lang w:eastAsia="zh-CN"/>
        </w:rPr>
        <w:t>（</w:t>
      </w:r>
      <w:r>
        <w:rPr>
          <w:rFonts w:hint="eastAsia" w:ascii="仿宋" w:hAnsi="仿宋" w:eastAsia="仿宋" w:cs="仿宋"/>
          <w:sz w:val="32"/>
          <w:szCs w:val="32"/>
        </w:rPr>
        <w:t>特约监督员+社会监督员</w:t>
      </w:r>
      <w:r>
        <w:rPr>
          <w:rFonts w:hint="eastAsia" w:ascii="仿宋" w:hAnsi="仿宋" w:eastAsia="仿宋" w:cs="仿宋"/>
          <w:sz w:val="32"/>
          <w:szCs w:val="32"/>
          <w:lang w:val="en-US" w:eastAsia="zh-CN"/>
        </w:rPr>
        <w:t>）</w:t>
      </w:r>
      <w:r>
        <w:rPr>
          <w:rFonts w:hint="eastAsia" w:ascii="仿宋" w:hAnsi="仿宋" w:eastAsia="仿宋" w:cs="仿宋"/>
          <w:sz w:val="32"/>
          <w:szCs w:val="32"/>
        </w:rPr>
        <w:t>医保工作监督模式</w:t>
      </w:r>
      <w:r>
        <w:rPr>
          <w:rFonts w:hint="eastAsia" w:ascii="仿宋" w:hAnsi="仿宋" w:eastAsia="仿宋" w:cs="仿宋"/>
          <w:sz w:val="32"/>
          <w:szCs w:val="32"/>
          <w:lang w:eastAsia="zh-CN"/>
        </w:rPr>
        <w:t>。</w:t>
      </w:r>
      <w:r>
        <w:rPr>
          <w:rFonts w:hint="eastAsia" w:ascii="仿宋" w:hAnsi="仿宋" w:eastAsia="仿宋" w:cs="仿宋"/>
          <w:sz w:val="32"/>
          <w:szCs w:val="32"/>
        </w:rPr>
        <w:t>特约监督员</w:t>
      </w:r>
      <w:r>
        <w:rPr>
          <w:rFonts w:hint="eastAsia" w:ascii="仿宋" w:hAnsi="仿宋" w:eastAsia="仿宋" w:cs="仿宋"/>
          <w:sz w:val="32"/>
          <w:szCs w:val="32"/>
          <w:lang w:val="en-US" w:eastAsia="zh-CN"/>
        </w:rPr>
        <w:t>重在对医保行风建设的监督</w:t>
      </w:r>
      <w:r>
        <w:rPr>
          <w:rFonts w:hint="eastAsia" w:ascii="仿宋" w:hAnsi="仿宋" w:eastAsia="仿宋" w:cs="仿宋"/>
          <w:sz w:val="32"/>
          <w:szCs w:val="32"/>
          <w:lang w:eastAsia="zh-CN"/>
        </w:rPr>
        <w:t>，</w:t>
      </w:r>
      <w:r>
        <w:rPr>
          <w:rFonts w:hint="eastAsia" w:ascii="仿宋" w:hAnsi="仿宋" w:eastAsia="仿宋" w:cs="仿宋"/>
          <w:sz w:val="32"/>
          <w:szCs w:val="32"/>
        </w:rPr>
        <w:t>社会监督员</w:t>
      </w:r>
      <w:r>
        <w:rPr>
          <w:rFonts w:hint="eastAsia" w:ascii="仿宋" w:hAnsi="仿宋" w:eastAsia="仿宋" w:cs="仿宋"/>
          <w:sz w:val="32"/>
          <w:szCs w:val="32"/>
          <w:lang w:val="en-US" w:eastAsia="zh-CN"/>
        </w:rPr>
        <w:t>重在对协议</w:t>
      </w:r>
      <w:r>
        <w:rPr>
          <w:rFonts w:hint="eastAsia" w:ascii="仿宋" w:hAnsi="仿宋" w:eastAsia="仿宋" w:cs="仿宋"/>
          <w:sz w:val="32"/>
          <w:szCs w:val="32"/>
        </w:rPr>
        <w:t>医药机构</w:t>
      </w:r>
      <w:r>
        <w:rPr>
          <w:rFonts w:hint="eastAsia" w:ascii="仿宋" w:hAnsi="仿宋" w:eastAsia="仿宋" w:cs="仿宋"/>
          <w:sz w:val="32"/>
          <w:szCs w:val="32"/>
          <w:lang w:val="en-US" w:eastAsia="zh-CN"/>
        </w:rPr>
        <w:t>的监督。促进医保业务指导与行业监督同频共振，推行医保干部+“两员”联乡街机制，采取</w:t>
      </w:r>
      <w:r>
        <w:rPr>
          <w:rFonts w:hint="eastAsia" w:ascii="仿宋" w:hAnsi="仿宋" w:eastAsia="仿宋" w:cs="仿宋"/>
          <w:sz w:val="32"/>
          <w:szCs w:val="32"/>
        </w:rPr>
        <w:t>特聘、评选、表彰等</w:t>
      </w:r>
      <w:r>
        <w:rPr>
          <w:rFonts w:hint="eastAsia" w:ascii="仿宋" w:hAnsi="仿宋" w:eastAsia="仿宋" w:cs="仿宋"/>
          <w:sz w:val="32"/>
          <w:szCs w:val="32"/>
          <w:lang w:val="en-US" w:eastAsia="zh-CN"/>
        </w:rPr>
        <w:t>多种方式</w:t>
      </w:r>
      <w:r>
        <w:rPr>
          <w:rFonts w:hint="eastAsia" w:ascii="仿宋" w:hAnsi="仿宋" w:eastAsia="仿宋" w:cs="仿宋"/>
          <w:sz w:val="32"/>
          <w:szCs w:val="32"/>
          <w:lang w:eastAsia="zh-CN"/>
        </w:rPr>
        <w:t>，</w:t>
      </w:r>
      <w:r>
        <w:rPr>
          <w:rFonts w:hint="eastAsia" w:ascii="仿宋" w:hAnsi="仿宋" w:eastAsia="仿宋" w:cs="仿宋"/>
          <w:sz w:val="32"/>
          <w:szCs w:val="32"/>
        </w:rPr>
        <w:t>激励</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两员”发挥高效</w:t>
      </w:r>
      <w:r>
        <w:rPr>
          <w:rFonts w:hint="eastAsia" w:ascii="仿宋" w:hAnsi="仿宋" w:eastAsia="仿宋" w:cs="仿宋"/>
          <w:sz w:val="32"/>
          <w:szCs w:val="32"/>
        </w:rPr>
        <w:t>监督作用。</w:t>
      </w:r>
    </w:p>
    <w:p w14:paraId="3616C19D">
      <w:pPr>
        <w:keepNext w:val="0"/>
        <w:keepLines w:val="0"/>
        <w:pageBreakBefore w:val="0"/>
        <w:widowControl w:val="0"/>
        <w:numPr>
          <w:ilvl w:val="0"/>
          <w:numId w:val="0"/>
        </w:numPr>
        <w:kinsoku/>
        <w:wordWrap/>
        <w:overflowPunct/>
        <w:topLinePunct w:val="0"/>
        <w:autoSpaceDE/>
        <w:autoSpaceDN/>
        <w:bidi w:val="0"/>
        <w:adjustRightInd/>
        <w:spacing w:line="560" w:lineRule="exact"/>
        <w:ind w:left="-105" w:leftChars="-50" w:right="-105" w:rightChars="-50" w:firstLine="643" w:firstLineChars="200"/>
        <w:textAlignment w:val="auto"/>
        <w:outlineLvl w:val="9"/>
        <w:rPr>
          <w:rFonts w:hint="eastAsia" w:ascii="楷体" w:hAnsi="楷体" w:eastAsia="楷体" w:cs="楷体"/>
          <w:b/>
          <w:bCs/>
          <w:color w:val="000000"/>
          <w:sz w:val="32"/>
          <w:szCs w:val="32"/>
          <w:lang w:val="en-US" w:eastAsia="zh-CN"/>
        </w:rPr>
      </w:pPr>
      <w:r>
        <w:rPr>
          <w:rFonts w:hint="eastAsia" w:ascii="楷体" w:hAnsi="楷体" w:eastAsia="楷体" w:cs="楷体"/>
          <w:b/>
          <w:bCs/>
          <w:color w:val="000000"/>
          <w:sz w:val="32"/>
          <w:szCs w:val="32"/>
          <w:lang w:val="en-US" w:eastAsia="zh-CN"/>
        </w:rPr>
        <w:t>（六）征缴全覆盖工作</w:t>
      </w:r>
    </w:p>
    <w:p w14:paraId="51275154">
      <w:pPr>
        <w:keepNext w:val="0"/>
        <w:keepLines w:val="0"/>
        <w:pageBreakBefore w:val="0"/>
        <w:widowControl w:val="0"/>
        <w:kinsoku/>
        <w:wordWrap/>
        <w:overflowPunct/>
        <w:topLinePunct w:val="0"/>
        <w:autoSpaceDE/>
        <w:autoSpaceDN/>
        <w:bidi w:val="0"/>
        <w:adjustRightInd/>
        <w:snapToGrid w:val="0"/>
        <w:spacing w:line="560" w:lineRule="exact"/>
        <w:ind w:left="-105" w:leftChars="-50" w:right="-105" w:rightChars="-50" w:firstLine="640" w:firstLineChars="200"/>
        <w:textAlignment w:val="auto"/>
        <w:outlineLvl w:val="9"/>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 xml:space="preserve"> </w:t>
      </w:r>
      <w:r>
        <w:rPr>
          <w:rFonts w:hint="eastAsia" w:ascii="Times New Roman" w:hAnsi="Times New Roman" w:eastAsia="仿宋" w:cs="Times New Roman"/>
          <w:b w:val="0"/>
          <w:sz w:val="32"/>
          <w:szCs w:val="32"/>
          <w:lang w:eastAsia="zh-CN"/>
        </w:rPr>
        <w:t>今年</w:t>
      </w:r>
      <w:r>
        <w:rPr>
          <w:rFonts w:hint="eastAsia" w:ascii="Times New Roman" w:hAnsi="Times New Roman" w:eastAsia="仿宋" w:cs="Times New Roman"/>
          <w:b w:val="0"/>
          <w:sz w:val="32"/>
          <w:szCs w:val="32"/>
          <w:lang w:val="en-US" w:eastAsia="zh-CN"/>
        </w:rPr>
        <w:t>岳阳楼</w:t>
      </w:r>
      <w:r>
        <w:rPr>
          <w:rFonts w:hint="eastAsia" w:ascii="Times New Roman" w:hAnsi="Times New Roman" w:eastAsia="仿宋" w:cs="Times New Roman"/>
          <w:b w:val="0"/>
          <w:sz w:val="32"/>
          <w:szCs w:val="32"/>
          <w:lang w:eastAsia="zh-CN"/>
        </w:rPr>
        <w:t>区医保征缴工作做到“早动员、早部署”，8月份就启动了参保数据清查匹配、医保缴费宣传、部门协调等工作，并起草了实施方案征求意见稿。8月</w:t>
      </w:r>
      <w:r>
        <w:rPr>
          <w:rFonts w:hint="eastAsia" w:ascii="Times New Roman" w:hAnsi="Times New Roman" w:eastAsia="仿宋" w:cs="Times New Roman"/>
          <w:b w:val="0"/>
          <w:sz w:val="32"/>
          <w:szCs w:val="32"/>
          <w:lang w:val="en-US" w:eastAsia="zh-CN"/>
        </w:rPr>
        <w:t>下旬</w:t>
      </w:r>
      <w:r>
        <w:rPr>
          <w:rFonts w:hint="eastAsia" w:ascii="Times New Roman" w:hAnsi="Times New Roman" w:eastAsia="仿宋" w:cs="Times New Roman"/>
          <w:b w:val="0"/>
          <w:sz w:val="32"/>
          <w:szCs w:val="32"/>
          <w:lang w:eastAsia="zh-CN"/>
        </w:rPr>
        <w:t>，</w:t>
      </w:r>
      <w:r>
        <w:rPr>
          <w:rFonts w:hint="eastAsia" w:ascii="仿宋" w:hAnsi="仿宋" w:eastAsia="仿宋" w:cs="仿宋"/>
          <w:b w:val="0"/>
          <w:bCs w:val="0"/>
          <w:color w:val="000000"/>
          <w:sz w:val="32"/>
          <w:szCs w:val="32"/>
          <w:lang w:val="en-US" w:eastAsia="zh-CN"/>
        </w:rPr>
        <w:t>区政府组织召开2024年度城乡居民医保征缴工作动员部署会；区医保局</w:t>
      </w:r>
      <w:r>
        <w:rPr>
          <w:rFonts w:hint="eastAsia" w:ascii="Times New Roman" w:hAnsi="Times New Roman" w:eastAsia="仿宋" w:cs="Times New Roman"/>
          <w:b w:val="0"/>
          <w:sz w:val="32"/>
          <w:szCs w:val="32"/>
          <w:lang w:eastAsia="zh-CN"/>
        </w:rPr>
        <w:t>与区教育局联合召开全区学生（幼儿）医保征缴工作动员部署会。</w:t>
      </w:r>
      <w:r>
        <w:rPr>
          <w:rFonts w:hint="eastAsia" w:ascii="仿宋" w:hAnsi="仿宋" w:eastAsia="仿宋" w:cs="仿宋"/>
          <w:b w:val="0"/>
          <w:bCs w:val="0"/>
          <w:color w:val="000000"/>
          <w:sz w:val="32"/>
          <w:szCs w:val="32"/>
          <w:lang w:val="en-US" w:eastAsia="zh-CN"/>
        </w:rPr>
        <w:t>区政府印发《岳阳楼区2024年度城乡居民基本医疗保险参保缴费工作实施方案》，区委常委（扩大）会专题研究2024年度城乡居民医保征缴工作。</w:t>
      </w:r>
      <w:r>
        <w:rPr>
          <w:rFonts w:hint="eastAsia" w:ascii="仿宋" w:hAnsi="仿宋" w:eastAsia="仿宋" w:cs="仿宋"/>
          <w:sz w:val="32"/>
          <w:szCs w:val="32"/>
          <w:lang w:val="en-US" w:eastAsia="zh-CN"/>
        </w:rPr>
        <w:t>截至12月13日，2024年度城乡居民医保缴费人数为335553人</w:t>
      </w:r>
    </w:p>
    <w:p w14:paraId="2C0B2083">
      <w:pPr>
        <w:numPr>
          <w:ilvl w:val="0"/>
          <w:numId w:val="4"/>
        </w:numPr>
        <w:ind w:firstLine="640" w:firstLineChars="200"/>
        <w:rPr>
          <w:rFonts w:hint="eastAsia" w:ascii="黑体" w:hAnsi="黑体" w:eastAsia="黑体" w:cs="黑体"/>
          <w:kern w:val="2"/>
          <w:sz w:val="32"/>
          <w:szCs w:val="32"/>
          <w:lang w:val="en-US" w:eastAsia="zh-CN" w:bidi="ar-SA"/>
        </w:rPr>
      </w:pPr>
      <w:r>
        <w:rPr>
          <w:rFonts w:hint="eastAsia" w:ascii="黑体" w:hAnsi="黑体" w:eastAsia="黑体" w:cs="黑体"/>
          <w:kern w:val="2"/>
          <w:sz w:val="32"/>
          <w:szCs w:val="32"/>
          <w:lang w:val="en-US" w:eastAsia="zh-CN" w:bidi="ar-SA"/>
        </w:rPr>
        <w:t>特色亮点工作</w:t>
      </w:r>
    </w:p>
    <w:p w14:paraId="5690E269">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105" w:leftChars="-50" w:right="-105" w:rightChars="-50"/>
        <w:jc w:val="left"/>
        <w:textAlignment w:val="auto"/>
        <w:outlineLvl w:val="9"/>
        <w:rPr>
          <w:rFonts w:hint="eastAsia" w:ascii="仿宋" w:hAnsi="仿宋" w:eastAsia="仿宋" w:cs="仿宋"/>
          <w:b w:val="0"/>
          <w:bCs w:val="0"/>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 xml:space="preserve">    </w:t>
      </w:r>
      <w:r>
        <w:rPr>
          <w:rFonts w:hint="eastAsia" w:ascii="仿宋" w:hAnsi="仿宋" w:eastAsia="仿宋" w:cs="仿宋"/>
          <w:b/>
          <w:bCs/>
          <w:kern w:val="2"/>
          <w:sz w:val="32"/>
          <w:szCs w:val="32"/>
          <w:lang w:val="en-US" w:eastAsia="zh-CN" w:bidi="ar-SA"/>
        </w:rPr>
        <w:t xml:space="preserve"> </w:t>
      </w:r>
      <w:r>
        <w:rPr>
          <w:rFonts w:hint="eastAsia" w:ascii="楷体" w:hAnsi="楷体" w:eastAsia="楷体" w:cs="楷体"/>
          <w:b/>
          <w:bCs/>
          <w:kern w:val="2"/>
          <w:sz w:val="32"/>
          <w:szCs w:val="32"/>
          <w:lang w:val="en-US" w:eastAsia="zh-CN" w:bidi="ar-SA"/>
        </w:rPr>
        <w:t>1.开展医保系统“群英断是非工作法”系列活动。</w:t>
      </w:r>
      <w:r>
        <w:rPr>
          <w:rFonts w:hint="eastAsia" w:ascii="仿宋" w:hAnsi="仿宋" w:eastAsia="仿宋" w:cs="仿宋"/>
          <w:b w:val="0"/>
          <w:bCs w:val="0"/>
          <w:kern w:val="2"/>
          <w:sz w:val="32"/>
          <w:szCs w:val="32"/>
          <w:lang w:val="en-US" w:eastAsia="zh-CN" w:bidi="ar-SA"/>
        </w:rPr>
        <w:t>职工医保门诊共济是医保改革的重要内容。为确保改革顺利推进，岳阳楼区医保局通过运用“群英断是非”工作法，问需于民、问计于民，邀请区人大代表、政协委员、区直相关部门负责人及特约监督员、媒体记者、教师、参保职工、医药机构代表等20余人，参加“群英”座谈会，为“职工医保门诊共济保障”改革释疑增信正视听。座谈会上，“群英”畅所欲言，不回避矛盾、不隐瞒意见，认真解读改革政策，详细分析利益得失，踊跃提出推进建议。大家面对面算政治账、经济账；算全局大账、算个人小账；算眼前账、算长远账。通过开展系列活动，赢得群众理解与支持，有效凝聚改革共识，为进一步做优做细职工医保门诊共济配套服务提供精准方向。</w:t>
      </w:r>
    </w:p>
    <w:p w14:paraId="6A7FA18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105" w:leftChars="-50" w:right="-105" w:rightChars="-50" w:firstLine="643" w:firstLineChars="200"/>
        <w:textAlignment w:val="auto"/>
        <w:outlineLvl w:val="9"/>
        <w:rPr>
          <w:rFonts w:hint="eastAsia" w:ascii="仿宋" w:hAnsi="仿宋" w:eastAsia="仿宋" w:cs="仿宋"/>
          <w:sz w:val="32"/>
          <w:szCs w:val="32"/>
          <w:lang w:val="en-US" w:eastAsia="zh-CN"/>
        </w:rPr>
      </w:pPr>
      <w:r>
        <w:rPr>
          <w:rFonts w:hint="eastAsia" w:ascii="楷体" w:hAnsi="楷体" w:eastAsia="楷体" w:cs="楷体"/>
          <w:b/>
          <w:bCs/>
          <w:kern w:val="2"/>
          <w:sz w:val="32"/>
          <w:szCs w:val="32"/>
          <w:lang w:val="en-US" w:eastAsia="zh-CN" w:bidi="ar-SA"/>
        </w:rPr>
        <w:t>2.“有效衔接”医保帮扶提速办。</w:t>
      </w:r>
      <w:r>
        <w:rPr>
          <w:rFonts w:hint="eastAsia" w:ascii="仿宋" w:hAnsi="仿宋" w:eastAsia="仿宋" w:cs="仿宋"/>
          <w:sz w:val="32"/>
          <w:szCs w:val="32"/>
          <w:lang w:val="en-US" w:eastAsia="zh-CN"/>
        </w:rPr>
        <w:t>创新巩固拓展脱贫攻坚成果同乡村振兴有效衔接医疗保障帮扶办理方式，开辟绿色通道，做到医疗普通救助与住院报销同步，将政策规定的再救助办理30个工作日内完成提速至出院后7个工作日内完成。</w:t>
      </w:r>
    </w:p>
    <w:p w14:paraId="510E2877">
      <w:pPr>
        <w:keepNext w:val="0"/>
        <w:keepLines w:val="0"/>
        <w:pageBreakBefore w:val="0"/>
        <w:widowControl w:val="0"/>
        <w:kinsoku/>
        <w:wordWrap/>
        <w:overflowPunct/>
        <w:topLinePunct w:val="0"/>
        <w:autoSpaceDE/>
        <w:autoSpaceDN/>
        <w:bidi w:val="0"/>
        <w:adjustRightInd/>
        <w:snapToGrid/>
        <w:spacing w:line="560" w:lineRule="exact"/>
        <w:ind w:left="-105" w:leftChars="-50" w:right="-105" w:rightChars="-50" w:firstLine="643" w:firstLineChars="200"/>
        <w:textAlignment w:val="auto"/>
        <w:outlineLvl w:val="9"/>
        <w:rPr>
          <w:rFonts w:hint="eastAsia" w:ascii="仿宋" w:hAnsi="仿宋" w:eastAsia="仿宋" w:cs="Times New Roman"/>
          <w:sz w:val="32"/>
          <w:szCs w:val="32"/>
          <w:lang w:val="en-US" w:eastAsia="zh-CN"/>
        </w:rPr>
      </w:pPr>
      <w:r>
        <w:rPr>
          <w:rFonts w:hint="eastAsia" w:ascii="楷体" w:hAnsi="楷体" w:eastAsia="楷体" w:cs="楷体"/>
          <w:b/>
          <w:bCs/>
          <w:i w:val="0"/>
          <w:caps w:val="0"/>
          <w:color w:val="333333"/>
          <w:spacing w:val="0"/>
          <w:sz w:val="32"/>
          <w:szCs w:val="32"/>
          <w:shd w:val="clear" w:color="auto" w:fill="auto"/>
          <w:lang w:val="en-US" w:eastAsia="zh-CN"/>
        </w:rPr>
        <w:t>3.创新开展内控试点工作。</w:t>
      </w:r>
      <w:r>
        <w:rPr>
          <w:rFonts w:hint="eastAsia" w:ascii="仿宋_GB2312" w:hAnsi="仿宋_GB2312" w:eastAsia="仿宋_GB2312" w:cs="仿宋_GB2312"/>
          <w:sz w:val="32"/>
          <w:szCs w:val="32"/>
          <w:lang w:val="en-US" w:eastAsia="zh-CN"/>
        </w:rPr>
        <w:t>承担湖南省医保局内控管理机制试点工作，对经办业务流程事前、事中、事后环节进行全面摸底调研，对采集到的疑点和问题进行分类分析及研判处理，预防和减少违规业务经办操作。现共计提交18条需要管控的内控风险规则需求。目前，省局已配置完成并上线试运行的规则共计7条。均可落实到具体经办人，经办业务流程、经办时限、经办部门均实现全公开。</w:t>
      </w:r>
    </w:p>
    <w:p w14:paraId="10AC65D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105" w:leftChars="-50" w:right="-105" w:rightChars="-50" w:firstLine="643" w:firstLineChars="200"/>
        <w:textAlignment w:val="auto"/>
        <w:outlineLvl w:val="9"/>
        <w:rPr>
          <w:rFonts w:hint="eastAsia" w:ascii="仿宋" w:hAnsi="仿宋" w:eastAsia="仿宋" w:cs="Times New Roman"/>
          <w:sz w:val="32"/>
          <w:szCs w:val="32"/>
          <w:lang w:val="en-US" w:eastAsia="zh-CN"/>
        </w:rPr>
      </w:pPr>
      <w:r>
        <w:rPr>
          <w:rFonts w:hint="eastAsia" w:ascii="楷体" w:hAnsi="楷体" w:eastAsia="楷体" w:cs="楷体"/>
          <w:b/>
          <w:bCs/>
          <w:kern w:val="2"/>
          <w:sz w:val="32"/>
          <w:szCs w:val="32"/>
          <w:lang w:val="en-US" w:eastAsia="zh-CN" w:bidi="ar-SA"/>
        </w:rPr>
        <w:t>4.“互联网+医保”服务。</w:t>
      </w:r>
      <w:r>
        <w:rPr>
          <w:rFonts w:hint="eastAsia" w:ascii="仿宋" w:hAnsi="仿宋" w:eastAsia="仿宋" w:cs="Times New Roman"/>
          <w:sz w:val="32"/>
          <w:szCs w:val="32"/>
          <w:lang w:val="en-US" w:eastAsia="zh-CN"/>
        </w:rPr>
        <w:t>依托省医保局“单位网厅”服务平台，积极推行医保业务“网上办”“简化办”“一次性告知”等举措，为全区1285家机关、企事业等单位推行“免申办”“免证办”“无感办”等“星级服务”，得到了参保单位的高度称赞。</w:t>
      </w:r>
    </w:p>
    <w:p w14:paraId="0B1B52C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105" w:leftChars="-50" w:right="-105" w:rightChars="-50" w:firstLine="643" w:firstLineChars="200"/>
        <w:textAlignment w:val="auto"/>
        <w:outlineLvl w:val="9"/>
        <w:rPr>
          <w:rFonts w:hint="default" w:ascii="仿宋" w:hAnsi="仿宋" w:eastAsia="仿宋" w:cs="Times New Roman"/>
          <w:sz w:val="32"/>
          <w:szCs w:val="32"/>
          <w:lang w:val="en-US" w:eastAsia="zh-CN"/>
        </w:rPr>
      </w:pPr>
      <w:r>
        <w:rPr>
          <w:rFonts w:hint="eastAsia" w:ascii="楷体" w:hAnsi="楷体" w:eastAsia="楷体" w:cs="楷体"/>
          <w:b/>
          <w:bCs/>
          <w:kern w:val="2"/>
          <w:sz w:val="32"/>
          <w:szCs w:val="32"/>
          <w:lang w:val="en-US" w:eastAsia="zh-CN" w:bidi="ar-SA"/>
        </w:rPr>
        <w:t>5.</w:t>
      </w:r>
      <w:r>
        <w:rPr>
          <w:rFonts w:hint="eastAsia" w:ascii="楷体" w:hAnsi="楷体" w:eastAsia="楷体" w:cs="楷体"/>
          <w:b/>
          <w:bCs/>
          <w:sz w:val="32"/>
          <w:szCs w:val="32"/>
        </w:rPr>
        <w:t>异地就医重点民生实事工作全面达标。</w:t>
      </w:r>
      <w:r>
        <w:rPr>
          <w:rFonts w:hint="eastAsia" w:ascii="仿宋_GB2312" w:hAnsi="微软雅黑" w:eastAsia="仿宋_GB2312" w:cs="微软雅黑"/>
          <w:color w:val="333333"/>
          <w:spacing w:val="11"/>
          <w:position w:val="0"/>
          <w:sz w:val="32"/>
          <w:szCs w:val="32"/>
          <w:shd w:val="clear" w:color="auto" w:fill="FFFFFF"/>
          <w:lang w:val="en-US" w:eastAsia="zh-CN"/>
        </w:rPr>
        <w:t>全面实现区域内</w:t>
      </w:r>
      <w:r>
        <w:rPr>
          <w:rFonts w:hint="eastAsia" w:ascii="仿宋_GB2312" w:hAnsi="微软雅黑" w:eastAsia="仿宋_GB2312" w:cs="微软雅黑"/>
          <w:color w:val="auto"/>
          <w:spacing w:val="11"/>
          <w:position w:val="0"/>
          <w:sz w:val="32"/>
          <w:szCs w:val="32"/>
          <w:shd w:val="clear" w:color="auto" w:fill="FFFFFF"/>
        </w:rPr>
        <w:t>二级医院住院、普通门诊</w:t>
      </w:r>
      <w:r>
        <w:rPr>
          <w:rFonts w:hint="eastAsia" w:ascii="仿宋_GB2312" w:hAnsi="微软雅黑" w:eastAsia="仿宋_GB2312" w:cs="微软雅黑"/>
          <w:color w:val="auto"/>
          <w:spacing w:val="11"/>
          <w:position w:val="0"/>
          <w:sz w:val="32"/>
          <w:szCs w:val="32"/>
          <w:shd w:val="clear" w:color="auto" w:fill="FFFFFF"/>
          <w:lang w:eastAsia="zh-CN"/>
        </w:rPr>
        <w:t>、</w:t>
      </w:r>
      <w:r>
        <w:rPr>
          <w:rFonts w:hint="eastAsia" w:ascii="仿宋_GB2312" w:hAnsi="微软雅黑" w:eastAsia="仿宋_GB2312" w:cs="微软雅黑"/>
          <w:color w:val="auto"/>
          <w:spacing w:val="11"/>
          <w:position w:val="0"/>
          <w:sz w:val="32"/>
          <w:szCs w:val="32"/>
          <w:shd w:val="clear" w:color="auto" w:fill="FFFFFF"/>
        </w:rPr>
        <w:t>门诊慢特病费用省内省外直接结算</w:t>
      </w:r>
      <w:r>
        <w:rPr>
          <w:rFonts w:hint="eastAsia" w:ascii="仿宋_GB2312" w:hAnsi="微软雅黑" w:eastAsia="仿宋_GB2312" w:cs="微软雅黑"/>
          <w:color w:val="auto"/>
          <w:spacing w:val="11"/>
          <w:position w:val="0"/>
          <w:sz w:val="32"/>
          <w:szCs w:val="32"/>
          <w:shd w:val="clear" w:color="auto" w:fill="FFFFFF"/>
          <w:lang w:eastAsia="zh-CN"/>
        </w:rPr>
        <w:t>。</w:t>
      </w:r>
      <w:r>
        <w:rPr>
          <w:rFonts w:hint="eastAsia" w:ascii="仿宋_GB2312" w:hAnsi="微软雅黑" w:eastAsia="仿宋_GB2312" w:cs="微软雅黑"/>
          <w:color w:val="auto"/>
          <w:spacing w:val="11"/>
          <w:position w:val="0"/>
          <w:sz w:val="32"/>
          <w:szCs w:val="32"/>
          <w:shd w:val="clear" w:color="auto" w:fill="FFFFFF"/>
          <w:lang w:val="en-US" w:eastAsia="zh-CN"/>
        </w:rPr>
        <w:t>结合楼区实际，探索基层卫生医疗机构实现跨省直接结算。目前，</w:t>
      </w:r>
      <w:r>
        <w:rPr>
          <w:rFonts w:hint="eastAsia" w:ascii="仿宋" w:hAnsi="仿宋" w:eastAsia="仿宋" w:cs="Times New Roman"/>
          <w:sz w:val="32"/>
          <w:szCs w:val="32"/>
          <w:lang w:val="en-US" w:eastAsia="zh-CN"/>
        </w:rPr>
        <w:t>我区管辖的18</w:t>
      </w:r>
      <w:r>
        <w:rPr>
          <w:rFonts w:hint="eastAsia" w:ascii="仿宋" w:hAnsi="仿宋" w:eastAsia="仿宋" w:cs="Times New Roman"/>
          <w:sz w:val="32"/>
          <w:szCs w:val="32"/>
        </w:rPr>
        <w:t>家</w:t>
      </w:r>
      <w:r>
        <w:rPr>
          <w:rFonts w:hint="eastAsia" w:ascii="仿宋" w:hAnsi="仿宋" w:eastAsia="仿宋" w:cs="Times New Roman"/>
          <w:sz w:val="32"/>
          <w:szCs w:val="32"/>
          <w:lang w:val="en-US" w:eastAsia="zh-CN"/>
        </w:rPr>
        <w:t>社区</w:t>
      </w:r>
      <w:r>
        <w:rPr>
          <w:rFonts w:hint="eastAsia" w:ascii="仿宋" w:hAnsi="仿宋" w:eastAsia="仿宋" w:cs="Times New Roman"/>
          <w:sz w:val="32"/>
          <w:szCs w:val="32"/>
        </w:rPr>
        <w:t>卫生服务中心</w:t>
      </w:r>
      <w:r>
        <w:rPr>
          <w:rFonts w:hint="eastAsia" w:ascii="仿宋" w:hAnsi="仿宋" w:eastAsia="仿宋" w:cs="Times New Roman"/>
          <w:sz w:val="32"/>
          <w:szCs w:val="32"/>
          <w:lang w:val="en-US" w:eastAsia="zh-CN"/>
        </w:rPr>
        <w:t>均已</w:t>
      </w:r>
      <w:r>
        <w:rPr>
          <w:rFonts w:hint="eastAsia" w:ascii="仿宋_GB2312" w:hAnsi="微软雅黑" w:eastAsia="仿宋_GB2312" w:cs="微软雅黑"/>
          <w:color w:val="auto"/>
          <w:spacing w:val="11"/>
          <w:position w:val="0"/>
          <w:sz w:val="32"/>
          <w:szCs w:val="32"/>
          <w:shd w:val="clear" w:color="auto" w:fill="FFFFFF"/>
          <w:lang w:val="en-US" w:eastAsia="zh-CN"/>
        </w:rPr>
        <w:t>实现</w:t>
      </w:r>
      <w:r>
        <w:rPr>
          <w:rFonts w:hint="eastAsia" w:ascii="仿宋_GB2312" w:hAnsi="微软雅黑" w:eastAsia="仿宋_GB2312" w:cs="微软雅黑"/>
          <w:color w:val="auto"/>
          <w:spacing w:val="11"/>
          <w:position w:val="0"/>
          <w:sz w:val="32"/>
          <w:szCs w:val="32"/>
          <w:shd w:val="clear" w:color="auto" w:fill="FFFFFF"/>
        </w:rPr>
        <w:t>住院、普通门诊、门诊慢特病费用</w:t>
      </w:r>
      <w:r>
        <w:rPr>
          <w:rFonts w:hint="eastAsia" w:ascii="仿宋_GB2312" w:hAnsi="微软雅黑" w:eastAsia="仿宋_GB2312" w:cs="微软雅黑"/>
          <w:color w:val="auto"/>
          <w:spacing w:val="11"/>
          <w:position w:val="0"/>
          <w:sz w:val="32"/>
          <w:szCs w:val="32"/>
          <w:shd w:val="clear" w:color="auto" w:fill="FFFFFF"/>
          <w:lang w:val="en-US" w:eastAsia="zh-CN"/>
        </w:rPr>
        <w:t>跨省</w:t>
      </w:r>
      <w:r>
        <w:rPr>
          <w:rFonts w:hint="eastAsia" w:ascii="仿宋_GB2312" w:hAnsi="微软雅黑" w:eastAsia="仿宋_GB2312" w:cs="微软雅黑"/>
          <w:color w:val="auto"/>
          <w:spacing w:val="11"/>
          <w:position w:val="0"/>
          <w:sz w:val="32"/>
          <w:szCs w:val="32"/>
          <w:shd w:val="clear" w:color="auto" w:fill="FFFFFF"/>
        </w:rPr>
        <w:t>直接结算</w:t>
      </w:r>
      <w:r>
        <w:rPr>
          <w:rFonts w:hint="eastAsia" w:ascii="仿宋_GB2312" w:hAnsi="微软雅黑" w:eastAsia="仿宋_GB2312" w:cs="微软雅黑"/>
          <w:color w:val="auto"/>
          <w:spacing w:val="11"/>
          <w:position w:val="0"/>
          <w:sz w:val="32"/>
          <w:szCs w:val="32"/>
          <w:shd w:val="clear" w:color="auto" w:fill="FFFFFF"/>
          <w:lang w:val="en-US" w:eastAsia="zh-CN"/>
        </w:rPr>
        <w:t>。</w:t>
      </w:r>
    </w:p>
    <w:p w14:paraId="54DED693">
      <w:pPr>
        <w:keepNext w:val="0"/>
        <w:keepLines w:val="0"/>
        <w:pageBreakBefore w:val="0"/>
        <w:widowControl w:val="0"/>
        <w:numPr>
          <w:ilvl w:val="0"/>
          <w:numId w:val="0"/>
        </w:numPr>
        <w:kinsoku/>
        <w:wordWrap/>
        <w:overflowPunct/>
        <w:topLinePunct w:val="0"/>
        <w:autoSpaceDE/>
        <w:autoSpaceDN/>
        <w:bidi w:val="0"/>
        <w:adjustRightInd/>
        <w:spacing w:line="560" w:lineRule="exact"/>
        <w:ind w:left="-105" w:leftChars="-50" w:right="-105" w:rightChars="-50" w:firstLine="643" w:firstLineChars="200"/>
        <w:textAlignment w:val="auto"/>
        <w:outlineLvl w:val="9"/>
        <w:rPr>
          <w:rFonts w:hint="eastAsia" w:ascii="仿宋_GB2312" w:hAnsi="仿宋_GB2312" w:eastAsia="仿宋_GB2312" w:cs="仿宋_GB2312"/>
          <w:i w:val="0"/>
          <w:caps w:val="0"/>
          <w:color w:val="333333"/>
          <w:spacing w:val="0"/>
          <w:sz w:val="32"/>
          <w:szCs w:val="32"/>
          <w:shd w:val="clear" w:color="auto" w:fill="auto"/>
          <w:lang w:val="en-US" w:eastAsia="zh-CN"/>
        </w:rPr>
      </w:pPr>
      <w:r>
        <w:rPr>
          <w:rFonts w:hint="eastAsia" w:ascii="楷体" w:hAnsi="楷体" w:eastAsia="楷体" w:cs="楷体"/>
          <w:b/>
          <w:bCs/>
          <w:i w:val="0"/>
          <w:caps w:val="0"/>
          <w:color w:val="333333"/>
          <w:spacing w:val="0"/>
          <w:sz w:val="32"/>
          <w:szCs w:val="32"/>
          <w:shd w:val="clear" w:color="auto" w:fill="auto"/>
          <w:lang w:val="en-US" w:eastAsia="zh-CN"/>
        </w:rPr>
        <w:t>6.医保经办帮代办成果显著。</w:t>
      </w:r>
      <w:r>
        <w:rPr>
          <w:rFonts w:hint="eastAsia" w:ascii="仿宋_GB2312" w:hAnsi="仿宋_GB2312" w:eastAsia="仿宋_GB2312" w:cs="仿宋_GB2312"/>
          <w:i w:val="0"/>
          <w:caps w:val="0"/>
          <w:color w:val="333333"/>
          <w:spacing w:val="0"/>
          <w:sz w:val="32"/>
          <w:szCs w:val="32"/>
          <w:shd w:val="clear" w:color="auto" w:fill="auto"/>
          <w:lang w:val="en-US" w:eastAsia="zh-CN"/>
        </w:rPr>
        <w:t xml:space="preserve">2023年以来，各项医保帮代办事项开展顺利。15个乡街、108个社区共完成医保各项帮代办业务23000余次，经办体系建成，群众反响良好   </w:t>
      </w:r>
    </w:p>
    <w:p w14:paraId="7661F753">
      <w:pPr>
        <w:keepNext w:val="0"/>
        <w:keepLines w:val="0"/>
        <w:pageBreakBefore w:val="0"/>
        <w:widowControl w:val="0"/>
        <w:numPr>
          <w:ilvl w:val="0"/>
          <w:numId w:val="0"/>
        </w:numPr>
        <w:kinsoku/>
        <w:wordWrap/>
        <w:overflowPunct/>
        <w:topLinePunct w:val="0"/>
        <w:autoSpaceDE/>
        <w:autoSpaceDN/>
        <w:bidi w:val="0"/>
        <w:adjustRightInd/>
        <w:spacing w:line="560" w:lineRule="exact"/>
        <w:ind w:left="-105" w:leftChars="-50" w:right="-105" w:rightChars="-50" w:firstLine="643" w:firstLineChars="200"/>
        <w:textAlignment w:val="auto"/>
        <w:outlineLvl w:val="9"/>
        <w:rPr>
          <w:rFonts w:hint="eastAsia" w:ascii="仿宋_GB2312" w:hAnsi="仿宋_GB2312" w:eastAsia="仿宋_GB2312" w:cs="仿宋_GB2312"/>
          <w:i w:val="0"/>
          <w:caps w:val="0"/>
          <w:color w:val="333333"/>
          <w:spacing w:val="0"/>
          <w:sz w:val="32"/>
          <w:szCs w:val="32"/>
          <w:shd w:val="clear" w:color="auto" w:fill="auto"/>
          <w:lang w:val="en-US" w:eastAsia="zh-CN"/>
        </w:rPr>
      </w:pPr>
      <w:r>
        <w:rPr>
          <w:rFonts w:hint="eastAsia" w:ascii="楷体" w:hAnsi="楷体" w:eastAsia="楷体" w:cs="楷体"/>
          <w:b/>
          <w:bCs/>
          <w:i w:val="0"/>
          <w:caps w:val="0"/>
          <w:color w:val="333333"/>
          <w:spacing w:val="0"/>
          <w:sz w:val="32"/>
          <w:szCs w:val="32"/>
          <w:shd w:val="clear" w:color="auto" w:fill="auto"/>
          <w:lang w:val="en-US" w:eastAsia="zh-CN"/>
        </w:rPr>
        <w:t>7.退捕渔民医疗保障。</w:t>
      </w:r>
      <w:r>
        <w:rPr>
          <w:rFonts w:hint="eastAsia" w:ascii="仿宋_GB2312" w:hAnsi="仿宋_GB2312" w:eastAsia="仿宋_GB2312" w:cs="仿宋_GB2312"/>
          <w:i w:val="0"/>
          <w:caps w:val="0"/>
          <w:color w:val="333333"/>
          <w:spacing w:val="0"/>
          <w:sz w:val="32"/>
          <w:szCs w:val="32"/>
          <w:shd w:val="clear" w:color="auto" w:fill="auto"/>
          <w:lang w:val="en-US" w:eastAsia="zh-CN"/>
        </w:rPr>
        <w:t>严格落实市政府关于做好退捕渔民帮困解难工作会议精神和文件要求，对退捕渔民医保参保进行兜底保障。今年4月，我区对全区退捕渔民2023年度医保参保进行了一轮摸底筛查，共77人未参保。医保部门对77名参保困难退捕渔民进行全额资助参保，解决参保费用76230元。</w:t>
      </w:r>
    </w:p>
    <w:p w14:paraId="6391091C">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 xml:space="preserve">   </w:t>
      </w:r>
      <w:r>
        <w:rPr>
          <w:rFonts w:hint="eastAsia" w:ascii="楷体" w:hAnsi="楷体" w:eastAsia="楷体" w:cs="楷体"/>
          <w:b/>
          <w:bCs/>
          <w:i w:val="0"/>
          <w:caps w:val="0"/>
          <w:color w:val="333333"/>
          <w:spacing w:val="0"/>
          <w:sz w:val="32"/>
          <w:szCs w:val="32"/>
          <w:shd w:val="clear" w:color="auto" w:fill="auto"/>
          <w:lang w:val="en-US" w:eastAsia="zh-CN"/>
        </w:rPr>
        <w:t>8.组建“医保明白人”宣传队。</w:t>
      </w:r>
      <w:r>
        <w:rPr>
          <w:rFonts w:hint="eastAsia" w:ascii="仿宋_GB2312" w:hAnsi="仿宋_GB2312" w:eastAsia="仿宋_GB2312" w:cs="仿宋_GB2312"/>
          <w:i w:val="0"/>
          <w:caps w:val="0"/>
          <w:color w:val="333333"/>
          <w:spacing w:val="0"/>
          <w:sz w:val="32"/>
          <w:szCs w:val="32"/>
          <w:shd w:val="clear" w:color="auto" w:fill="auto"/>
          <w:lang w:val="en-US" w:eastAsia="zh-CN"/>
        </w:rPr>
        <w:t>组织</w:t>
      </w:r>
      <w:r>
        <w:rPr>
          <w:rFonts w:hint="eastAsia" w:ascii="仿宋_GB2312" w:hAnsi="仿宋_GB2312" w:eastAsia="仿宋_GB2312" w:cs="仿宋_GB2312"/>
          <w:sz w:val="32"/>
          <w:szCs w:val="32"/>
          <w:lang w:val="en-US" w:eastAsia="zh-CN"/>
        </w:rPr>
        <w:t>各业务骨干力量组建“医保明白人”宣传队，通过进机关、进社区、进村组、进企业、进医院等上门宣传活动，大力宣传医保政策。重点</w:t>
      </w:r>
      <w:r>
        <w:rPr>
          <w:rFonts w:hint="eastAsia" w:ascii="仿宋" w:hAnsi="仿宋" w:eastAsia="仿宋" w:cs="Times New Roman"/>
          <w:sz w:val="32"/>
          <w:szCs w:val="44"/>
        </w:rPr>
        <w:t>突出宣传的通俗化、精准化和立体化，把通俗易懂、图文并茂、饶有趣味，以单、册、</w:t>
      </w:r>
      <w:r>
        <w:rPr>
          <w:rFonts w:hint="eastAsia" w:ascii="仿宋" w:hAnsi="仿宋" w:eastAsia="仿宋" w:cs="Times New Roman"/>
          <w:sz w:val="32"/>
          <w:szCs w:val="44"/>
          <w:lang w:val="en-US" w:eastAsia="zh-CN"/>
        </w:rPr>
        <w:t>屏、</w:t>
      </w:r>
      <w:r>
        <w:rPr>
          <w:rFonts w:hint="eastAsia" w:ascii="仿宋" w:hAnsi="仿宋" w:eastAsia="仿宋" w:cs="Times New Roman"/>
          <w:sz w:val="32"/>
          <w:szCs w:val="44"/>
        </w:rPr>
        <w:t>横幅、短信</w:t>
      </w:r>
      <w:r>
        <w:rPr>
          <w:rFonts w:hint="eastAsia" w:ascii="仿宋" w:hAnsi="仿宋" w:eastAsia="仿宋" w:cs="Times New Roman"/>
          <w:sz w:val="32"/>
          <w:szCs w:val="44"/>
          <w:lang w:eastAsia="zh-CN"/>
        </w:rPr>
        <w:t>、</w:t>
      </w:r>
      <w:r>
        <w:rPr>
          <w:rFonts w:hint="eastAsia" w:ascii="仿宋" w:hAnsi="仿宋" w:eastAsia="仿宋" w:cs="Times New Roman"/>
          <w:sz w:val="32"/>
          <w:szCs w:val="44"/>
        </w:rPr>
        <w:t>流动车等载体，适时够量向不同类别的受众精准推送。</w:t>
      </w:r>
    </w:p>
    <w:p w14:paraId="553D1572">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val="0"/>
          <w:bCs w:val="0"/>
          <w:color w:val="000000"/>
          <w:sz w:val="24"/>
          <w:szCs w:val="24"/>
          <w:lang w:val="en-US" w:eastAsia="zh-CN"/>
        </w:rPr>
      </w:pPr>
      <w:r>
        <w:rPr>
          <w:rFonts w:hint="eastAsia" w:ascii="楷体" w:hAnsi="楷体" w:eastAsia="楷体" w:cs="楷体"/>
          <w:b/>
          <w:bCs/>
          <w:i w:val="0"/>
          <w:caps w:val="0"/>
          <w:color w:val="333333"/>
          <w:spacing w:val="0"/>
          <w:sz w:val="32"/>
          <w:szCs w:val="32"/>
          <w:shd w:val="clear" w:color="auto" w:fill="auto"/>
          <w:lang w:val="en-US" w:eastAsia="zh-CN"/>
        </w:rPr>
        <w:t xml:space="preserve">    9.组织开展三级医保经办系统培训。</w:t>
      </w:r>
      <w:r>
        <w:rPr>
          <w:rFonts w:hint="eastAsia" w:ascii="仿宋_GB2312" w:hAnsi="仿宋_GB2312" w:eastAsia="仿宋_GB2312" w:cs="仿宋_GB2312"/>
          <w:sz w:val="32"/>
          <w:szCs w:val="32"/>
          <w:lang w:val="en-US" w:eastAsia="zh-CN"/>
        </w:rPr>
        <w:t>为全力打好2023年省、市医保领域重点民生保障仗，推行医保服务事项“就近办”“帮代办”，按照省、市文件精神，我局进一步拓展医保政务服务事项，将街道（乡）、社区（村）事项清单增加至18项，社区（村）事项清单增加至16项。为进一步提高各街道（乡）、社区（村）医保业务经办能力，我局组织15个街道（乡）、108个社区（村）开展专项业务培训，全力营造医保便民服务良好氛围。</w:t>
      </w:r>
      <w:r>
        <w:rPr>
          <w:rFonts w:hint="eastAsia" w:ascii="仿宋" w:hAnsi="仿宋" w:eastAsia="仿宋" w:cs="仿宋"/>
          <w:b w:val="0"/>
          <w:bCs w:val="0"/>
          <w:color w:val="000000"/>
          <w:sz w:val="24"/>
          <w:szCs w:val="24"/>
          <w:lang w:val="en-US" w:eastAsia="zh-CN"/>
        </w:rPr>
        <w:t>。</w:t>
      </w:r>
    </w:p>
    <w:p w14:paraId="5B2A3C8A">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14:paraId="5140198B">
      <w:pPr>
        <w:keepNext w:val="0"/>
        <w:keepLines w:val="0"/>
        <w:pageBreakBefore w:val="0"/>
        <w:widowControl w:val="0"/>
        <w:numPr>
          <w:ilvl w:val="0"/>
          <w:numId w:val="0"/>
        </w:numPr>
        <w:tabs>
          <w:tab w:val="left" w:pos="1947"/>
        </w:tabs>
        <w:kinsoku/>
        <w:wordWrap/>
        <w:overflowPunct/>
        <w:topLinePunct w:val="0"/>
        <w:autoSpaceDE/>
        <w:autoSpaceDN/>
        <w:bidi w:val="0"/>
        <w:adjustRightInd/>
        <w:snapToGrid/>
        <w:spacing w:line="560" w:lineRule="exact"/>
        <w:ind w:right="0" w:rightChars="0" w:firstLine="643" w:firstLineChars="200"/>
        <w:jc w:val="left"/>
        <w:textAlignment w:val="auto"/>
        <w:rPr>
          <w:rFonts w:hint="eastAsia" w:ascii="仿宋" w:hAnsi="仿宋" w:eastAsia="仿宋" w:cs="仿宋"/>
          <w:b w:val="0"/>
          <w:bCs w:val="0"/>
          <w:color w:val="auto"/>
          <w:sz w:val="32"/>
          <w:szCs w:val="32"/>
          <w:lang w:val="en-US" w:eastAsia="zh-CN"/>
        </w:rPr>
      </w:pPr>
      <w:r>
        <w:rPr>
          <w:rFonts w:hint="eastAsia" w:ascii="楷体" w:hAnsi="楷体" w:eastAsia="楷体" w:cs="楷体"/>
          <w:b/>
          <w:bCs/>
          <w:i w:val="0"/>
          <w:caps w:val="0"/>
          <w:color w:val="auto"/>
          <w:spacing w:val="0"/>
          <w:sz w:val="32"/>
          <w:szCs w:val="32"/>
          <w:shd w:val="clear" w:color="auto" w:fill="auto"/>
          <w:lang w:val="en-US" w:eastAsia="zh-CN"/>
        </w:rPr>
        <w:t>（一）人员编制配置严重不足。</w:t>
      </w:r>
      <w:r>
        <w:rPr>
          <w:rFonts w:hint="eastAsia" w:ascii="仿宋" w:hAnsi="仿宋" w:eastAsia="仿宋" w:cs="仿宋"/>
          <w:b w:val="0"/>
          <w:bCs w:val="0"/>
          <w:color w:val="auto"/>
          <w:sz w:val="32"/>
          <w:szCs w:val="32"/>
          <w:lang w:val="en-US" w:eastAsia="zh-CN"/>
        </w:rPr>
        <w:t>全局核定编制为32名（局机关核定行政编制5名，事务中心核定编制10名，稽核中心核定编制17名），实有编制48名，超编及混编混岗情况严重。我局自2019年设立以来，干部人数只减未增，先后有7人调出，3人退休，2人改非，1人死亡。由于编制严重不足，干部职级晋升和人员招录、调入严重受限。</w:t>
      </w:r>
    </w:p>
    <w:p w14:paraId="1D01E608">
      <w:pPr>
        <w:keepNext w:val="0"/>
        <w:keepLines w:val="0"/>
        <w:pageBreakBefore w:val="0"/>
        <w:widowControl w:val="0"/>
        <w:numPr>
          <w:ilvl w:val="0"/>
          <w:numId w:val="0"/>
        </w:numPr>
        <w:tabs>
          <w:tab w:val="left" w:pos="1947"/>
        </w:tabs>
        <w:kinsoku/>
        <w:wordWrap/>
        <w:overflowPunct/>
        <w:topLinePunct w:val="0"/>
        <w:autoSpaceDE/>
        <w:autoSpaceDN/>
        <w:bidi w:val="0"/>
        <w:adjustRightInd/>
        <w:snapToGrid/>
        <w:spacing w:line="560" w:lineRule="exact"/>
        <w:ind w:right="0" w:rightChars="0" w:firstLine="643" w:firstLineChars="200"/>
        <w:jc w:val="left"/>
        <w:textAlignment w:val="auto"/>
        <w:rPr>
          <w:rFonts w:hint="eastAsia" w:ascii="仿宋" w:hAnsi="仿宋" w:eastAsia="仿宋" w:cs="仿宋"/>
          <w:b w:val="0"/>
          <w:bCs w:val="0"/>
          <w:color w:val="auto"/>
          <w:sz w:val="32"/>
          <w:szCs w:val="32"/>
          <w:lang w:val="en-US" w:eastAsia="zh-CN"/>
        </w:rPr>
      </w:pPr>
      <w:r>
        <w:rPr>
          <w:rFonts w:hint="eastAsia" w:ascii="楷体" w:hAnsi="楷体" w:eastAsia="楷体" w:cs="楷体"/>
          <w:b/>
          <w:bCs/>
          <w:i w:val="0"/>
          <w:caps w:val="0"/>
          <w:color w:val="auto"/>
          <w:spacing w:val="0"/>
          <w:sz w:val="32"/>
          <w:szCs w:val="32"/>
          <w:shd w:val="clear" w:color="auto" w:fill="auto"/>
          <w:lang w:val="en-US" w:eastAsia="zh-CN"/>
        </w:rPr>
        <w:t>（二）干部队伍年龄结构老化。</w:t>
      </w:r>
      <w:r>
        <w:rPr>
          <w:rFonts w:hint="eastAsia" w:ascii="仿宋" w:hAnsi="仿宋" w:eastAsia="仿宋" w:cs="仿宋"/>
          <w:b w:val="0"/>
          <w:bCs w:val="0"/>
          <w:color w:val="auto"/>
          <w:sz w:val="32"/>
          <w:szCs w:val="32"/>
          <w:lang w:val="en-US" w:eastAsia="zh-CN"/>
        </w:rPr>
        <w:t>48名在编人员，30岁以下仅1人，46岁以上有20人，年龄结构老化，干事活力严重不够。接下来5年内，将有10名干部陆续退休，后备干部人才储备不足，干部队伍结构出现周期性老化循环、“青黄不接”断档现象，容易导致干部工作总是处于被动应付状态，难以跟上医疗保障事业发展步伐。</w:t>
      </w:r>
    </w:p>
    <w:p w14:paraId="46640AAF">
      <w:pPr>
        <w:keepNext w:val="0"/>
        <w:keepLines w:val="0"/>
        <w:pageBreakBefore w:val="0"/>
        <w:widowControl w:val="0"/>
        <w:numPr>
          <w:ilvl w:val="0"/>
          <w:numId w:val="0"/>
        </w:numPr>
        <w:tabs>
          <w:tab w:val="left" w:pos="1947"/>
        </w:tabs>
        <w:kinsoku/>
        <w:wordWrap/>
        <w:overflowPunct/>
        <w:topLinePunct w:val="0"/>
        <w:autoSpaceDE/>
        <w:autoSpaceDN/>
        <w:bidi w:val="0"/>
        <w:adjustRightInd/>
        <w:snapToGrid/>
        <w:spacing w:line="560" w:lineRule="exact"/>
        <w:ind w:right="0" w:rightChars="0" w:firstLine="643" w:firstLineChars="200"/>
        <w:jc w:val="left"/>
        <w:textAlignment w:val="auto"/>
        <w:rPr>
          <w:rFonts w:hint="eastAsia" w:ascii="仿宋" w:hAnsi="仿宋" w:eastAsia="仿宋" w:cs="仿宋"/>
          <w:b w:val="0"/>
          <w:bCs w:val="0"/>
          <w:color w:val="auto"/>
          <w:sz w:val="32"/>
          <w:szCs w:val="32"/>
          <w:lang w:val="en-US" w:eastAsia="zh-CN"/>
        </w:rPr>
      </w:pPr>
      <w:r>
        <w:rPr>
          <w:rFonts w:hint="eastAsia" w:ascii="楷体" w:hAnsi="楷体" w:eastAsia="楷体" w:cs="楷体"/>
          <w:b/>
          <w:bCs/>
          <w:i w:val="0"/>
          <w:caps w:val="0"/>
          <w:color w:val="auto"/>
          <w:spacing w:val="0"/>
          <w:sz w:val="32"/>
          <w:szCs w:val="32"/>
          <w:shd w:val="clear" w:color="auto" w:fill="auto"/>
          <w:lang w:val="en-US" w:eastAsia="zh-CN"/>
        </w:rPr>
        <w:t>（三）医学专业人才缺乏。</w:t>
      </w:r>
      <w:r>
        <w:rPr>
          <w:rFonts w:hint="eastAsia" w:ascii="仿宋" w:hAnsi="仿宋" w:eastAsia="仿宋" w:cs="仿宋"/>
          <w:b w:val="0"/>
          <w:bCs w:val="0"/>
          <w:color w:val="auto"/>
          <w:sz w:val="32"/>
          <w:szCs w:val="32"/>
          <w:lang w:val="en-US" w:eastAsia="zh-CN"/>
        </w:rPr>
        <w:t>开展医保工作所需要的专业技术人才中，通过系统学习、正规院校毕业的人才缺乏，高学历人才缺乏，本科生</w:t>
      </w:r>
      <w:r>
        <w:rPr>
          <w:rFonts w:hint="eastAsia" w:ascii="仿宋" w:hAnsi="仿宋" w:eastAsia="仿宋" w:cs="仿宋"/>
          <w:b w:val="0"/>
          <w:bCs w:val="0"/>
          <w:color w:val="auto"/>
          <w:sz w:val="32"/>
          <w:szCs w:val="32"/>
          <w:lang w:val="en-US" w:eastAsia="zh-Hans"/>
        </w:rPr>
        <w:t>占比不高</w:t>
      </w:r>
      <w:r>
        <w:rPr>
          <w:rFonts w:hint="eastAsia" w:ascii="仿宋" w:hAnsi="仿宋" w:eastAsia="仿宋" w:cs="仿宋"/>
          <w:b w:val="0"/>
          <w:bCs w:val="0"/>
          <w:color w:val="auto"/>
          <w:sz w:val="32"/>
          <w:szCs w:val="32"/>
          <w:lang w:val="en-US" w:eastAsia="zh-CN"/>
        </w:rPr>
        <w:t>，中坚技术骨干缺乏，</w:t>
      </w:r>
      <w:r>
        <w:rPr>
          <w:rFonts w:hint="eastAsia" w:ascii="仿宋" w:hAnsi="仿宋" w:eastAsia="仿宋" w:cs="仿宋"/>
          <w:b w:val="0"/>
          <w:bCs w:val="0"/>
          <w:color w:val="auto"/>
          <w:sz w:val="32"/>
          <w:szCs w:val="32"/>
          <w:lang w:val="en-US" w:eastAsia="zh-Hans"/>
        </w:rPr>
        <w:t>部分大龄干部</w:t>
      </w:r>
      <w:r>
        <w:rPr>
          <w:rFonts w:hint="eastAsia" w:ascii="仿宋" w:hAnsi="仿宋" w:eastAsia="仿宋" w:cs="仿宋"/>
          <w:b w:val="0"/>
          <w:bCs w:val="0"/>
          <w:color w:val="auto"/>
          <w:sz w:val="32"/>
          <w:szCs w:val="32"/>
          <w:lang w:val="en-US" w:eastAsia="zh-CN"/>
        </w:rPr>
        <w:t>知识结构老化，又因身体、年龄因素学习能力下降。</w:t>
      </w:r>
    </w:p>
    <w:p w14:paraId="5332FAED">
      <w:pPr>
        <w:keepNext w:val="0"/>
        <w:keepLines w:val="0"/>
        <w:pageBreakBefore w:val="0"/>
        <w:widowControl w:val="0"/>
        <w:numPr>
          <w:ilvl w:val="0"/>
          <w:numId w:val="5"/>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14:paraId="42B8A073">
      <w:pPr>
        <w:widowControl w:val="0"/>
        <w:wordWrap/>
        <w:adjustRightInd/>
        <w:snapToGrid/>
        <w:spacing w:line="560" w:lineRule="exact"/>
        <w:ind w:left="0" w:leftChars="0" w:right="0" w:firstLine="643" w:firstLineChars="200"/>
        <w:jc w:val="left"/>
        <w:textAlignment w:val="auto"/>
        <w:outlineLvl w:val="9"/>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（一）持续推进2024年度城乡居民医保征缴工作</w:t>
      </w:r>
    </w:p>
    <w:p w14:paraId="0BF3DB63">
      <w:pPr>
        <w:widowControl w:val="0"/>
        <w:wordWrap/>
        <w:adjustRightInd/>
        <w:snapToGrid/>
        <w:spacing w:line="560" w:lineRule="exact"/>
        <w:ind w:left="0" w:leftChars="0" w:right="0" w:firstLine="640" w:firstLineChars="200"/>
        <w:jc w:val="left"/>
        <w:textAlignment w:val="auto"/>
        <w:outlineLvl w:val="9"/>
        <w:rPr>
          <w:rFonts w:hint="eastAsia" w:ascii="仿宋" w:hAnsi="仿宋" w:eastAsia="仿宋" w:cs="仿宋"/>
          <w:sz w:val="32"/>
          <w:szCs w:val="32"/>
        </w:rPr>
      </w:pPr>
      <w:r>
        <w:rPr>
          <w:rFonts w:hint="eastAsia" w:ascii="仿宋" w:hAnsi="仿宋" w:eastAsia="仿宋" w:cs="Times New Roman"/>
          <w:sz w:val="32"/>
          <w:szCs w:val="44"/>
        </w:rPr>
        <w:tab/>
      </w:r>
      <w:r>
        <w:rPr>
          <w:rFonts w:hint="eastAsia" w:ascii="楷体" w:hAnsi="楷体" w:eastAsia="楷体" w:cs="楷体"/>
          <w:b/>
          <w:sz w:val="32"/>
          <w:szCs w:val="32"/>
        </w:rPr>
        <w:t>一是不断提升宣传效果。</w:t>
      </w:r>
      <w:r>
        <w:rPr>
          <w:rFonts w:hint="eastAsia" w:ascii="仿宋" w:hAnsi="仿宋" w:eastAsia="仿宋" w:cs="仿宋"/>
          <w:sz w:val="32"/>
          <w:szCs w:val="32"/>
        </w:rPr>
        <w:t>加大医保宣传力度，让医保政策家喻户晓。</w:t>
      </w:r>
      <w:r>
        <w:rPr>
          <w:rFonts w:hint="eastAsia" w:ascii="仿宋" w:hAnsi="仿宋" w:eastAsia="仿宋" w:cs="仿宋"/>
          <w:b/>
          <w:sz w:val="32"/>
          <w:szCs w:val="32"/>
        </w:rPr>
        <w:t>立体化开展宣传。</w:t>
      </w:r>
      <w:r>
        <w:rPr>
          <w:rFonts w:hint="eastAsia" w:ascii="仿宋" w:hAnsi="仿宋" w:eastAsia="仿宋" w:cs="仿宋"/>
          <w:sz w:val="32"/>
          <w:szCs w:val="32"/>
        </w:rPr>
        <w:t>在传统的宣传单、海报、展板、横幅、宣传车、公交广告、短信等方式上，更加注重发挥手机“闪信”、微信群、微视频等新媒体的作用。</w:t>
      </w:r>
      <w:r>
        <w:rPr>
          <w:rFonts w:hint="eastAsia" w:ascii="仿宋" w:hAnsi="仿宋" w:eastAsia="仿宋" w:cs="仿宋"/>
          <w:b/>
          <w:sz w:val="32"/>
          <w:szCs w:val="32"/>
        </w:rPr>
        <w:t>精准化开展宣传。</w:t>
      </w:r>
      <w:r>
        <w:rPr>
          <w:rFonts w:hint="eastAsia" w:ascii="仿宋" w:hAnsi="仿宋" w:eastAsia="仿宋" w:cs="仿宋"/>
          <w:sz w:val="32"/>
          <w:szCs w:val="32"/>
        </w:rPr>
        <w:t>针对不同群体的需求，个性化设计宣传内容、宣传方式。针对特殊人群进行一对一、面对面宣传，重点突出医保待遇享受及参保优惠政策；针对外地户籍常住居民，重点突出在楼区就近参保待遇享受上更实惠更便捷。</w:t>
      </w:r>
      <w:r>
        <w:rPr>
          <w:rFonts w:hint="eastAsia" w:ascii="仿宋" w:hAnsi="仿宋" w:eastAsia="仿宋" w:cs="仿宋"/>
          <w:b/>
          <w:sz w:val="32"/>
          <w:szCs w:val="32"/>
        </w:rPr>
        <w:t>通俗化开展宣传。</w:t>
      </w:r>
      <w:r>
        <w:rPr>
          <w:rFonts w:hint="eastAsia" w:ascii="仿宋" w:hAnsi="仿宋" w:eastAsia="仿宋" w:cs="仿宋"/>
          <w:sz w:val="32"/>
          <w:szCs w:val="32"/>
        </w:rPr>
        <w:t>把宣传的话语尽量口语化，把宣传的载体尽量多样化，把宣传的内容尽量生动化，增强可视性、趣味性、直接性。</w:t>
      </w:r>
    </w:p>
    <w:p w14:paraId="6729744E">
      <w:pPr>
        <w:keepNext w:val="0"/>
        <w:keepLines w:val="0"/>
        <w:pageBreakBefore w:val="0"/>
        <w:widowControl w:val="0"/>
        <w:kinsoku/>
        <w:wordWrap/>
        <w:overflowPunct/>
        <w:topLinePunct w:val="0"/>
        <w:autoSpaceDE/>
        <w:autoSpaceDN/>
        <w:bidi w:val="0"/>
        <w:adjustRightInd/>
        <w:snapToGrid w:val="0"/>
        <w:spacing w:line="560" w:lineRule="exact"/>
        <w:ind w:left="-105" w:leftChars="-50" w:right="-105" w:rightChars="-50" w:firstLine="643" w:firstLineChars="200"/>
        <w:textAlignment w:val="auto"/>
        <w:outlineLvl w:val="9"/>
        <w:rPr>
          <w:rFonts w:ascii="仿宋" w:hAnsi="仿宋" w:eastAsia="仿宋" w:cs="仿宋"/>
          <w:sz w:val="32"/>
          <w:szCs w:val="32"/>
        </w:rPr>
      </w:pPr>
      <w:r>
        <w:rPr>
          <w:rFonts w:hint="eastAsia" w:ascii="楷体" w:hAnsi="楷体" w:eastAsia="楷体" w:cs="楷体"/>
          <w:b/>
          <w:sz w:val="32"/>
          <w:szCs w:val="32"/>
        </w:rPr>
        <w:t>二是持续做好数据保障。</w:t>
      </w:r>
      <w:r>
        <w:rPr>
          <w:rFonts w:hint="eastAsia" w:ascii="仿宋" w:hAnsi="仿宋" w:eastAsia="仿宋" w:cs="仿宋"/>
          <w:sz w:val="32"/>
          <w:szCs w:val="32"/>
        </w:rPr>
        <w:t>缴费平台已延伸至街道（乡）、社区（村），我们将进一步放大各街道（乡）、社区（村）两级平台查询认证的功能，让居民参保在街道（乡）、社区（村）就能快捷办妥。在沿用从新冠疫苗接种名册中匹配电话号码、对接通讯三大运营商匹配电话号码、在网格信息中匹配电话号码等行之有效的办法的同时，争取借用全市最新搭建的全领域大数据平台，不断提高数据的含金量。</w:t>
      </w:r>
    </w:p>
    <w:p w14:paraId="34696E8E">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_GB2312" w:hAnsi="仿宋_GB2312" w:eastAsia="仿宋_GB2312" w:cs="仿宋_GB2312"/>
          <w:sz w:val="32"/>
          <w:szCs w:val="32"/>
          <w:lang w:val="en-US" w:eastAsia="zh-CN"/>
        </w:rPr>
      </w:pPr>
      <w:r>
        <w:rPr>
          <w:rFonts w:hint="eastAsia" w:ascii="楷体" w:hAnsi="楷体" w:eastAsia="楷体" w:cs="楷体"/>
          <w:b/>
          <w:kern w:val="2"/>
          <w:sz w:val="32"/>
          <w:szCs w:val="32"/>
          <w:lang w:val="en-US" w:eastAsia="zh-CN" w:bidi="ar-SA"/>
        </w:rPr>
        <w:t xml:space="preserve">   </w:t>
      </w:r>
      <w:r>
        <w:rPr>
          <w:rFonts w:hint="eastAsia" w:ascii="楷体" w:hAnsi="楷体" w:eastAsia="楷体" w:cs="楷体"/>
          <w:b/>
          <w:bCs/>
          <w:kern w:val="2"/>
          <w:sz w:val="32"/>
          <w:szCs w:val="32"/>
          <w:lang w:val="en-US" w:eastAsia="zh-CN" w:bidi="ar-SA"/>
        </w:rPr>
        <w:t>（二）持续加大基金监管力度。</w:t>
      </w:r>
      <w:r>
        <w:rPr>
          <w:rFonts w:hint="eastAsia" w:ascii="仿宋_GB2312" w:hAnsi="仿宋_GB2312" w:eastAsia="仿宋_GB2312" w:cs="仿宋_GB2312"/>
          <w:sz w:val="32"/>
          <w:szCs w:val="32"/>
          <w:lang w:val="en-US" w:eastAsia="zh-CN"/>
        </w:rPr>
        <w:t>继续严格督促各医疗机构认真遵守国家医保政策，把关住院指征、规范诊疗行为和医保收费项目。针对自查自纠过程中存在的问题，督促其落实责任、整改到位，确保医保基金安全稳定运行。</w:t>
      </w:r>
    </w:p>
    <w:p w14:paraId="045B6CB5">
      <w:pPr>
        <w:keepNext w:val="0"/>
        <w:keepLines w:val="0"/>
        <w:pageBreakBefore w:val="0"/>
        <w:widowControl w:val="0"/>
        <w:numPr>
          <w:ilvl w:val="0"/>
          <w:numId w:val="0"/>
        </w:numPr>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color w:val="auto"/>
          <w:sz w:val="32"/>
          <w:szCs w:val="32"/>
          <w:lang w:val="en-US" w:eastAsia="zh-CN"/>
        </w:rPr>
      </w:pPr>
      <w:r>
        <w:rPr>
          <w:rFonts w:hint="eastAsia" w:ascii="楷体" w:hAnsi="楷体" w:eastAsia="楷体" w:cs="楷体"/>
          <w:b/>
          <w:bCs/>
          <w:kern w:val="2"/>
          <w:sz w:val="32"/>
          <w:szCs w:val="32"/>
          <w:lang w:val="en-US" w:eastAsia="zh-CN" w:bidi="ar-SA"/>
        </w:rPr>
        <w:t>（三）持续做好系列宣传活动。</w:t>
      </w:r>
      <w:r>
        <w:rPr>
          <w:rFonts w:hint="eastAsia" w:ascii="仿宋_GB2312" w:hAnsi="仿宋_GB2312" w:eastAsia="仿宋_GB2312" w:cs="仿宋_GB2312"/>
          <w:color w:val="auto"/>
          <w:sz w:val="32"/>
          <w:szCs w:val="32"/>
          <w:lang w:val="en-US" w:eastAsia="zh-CN"/>
        </w:rPr>
        <w:t>为进一步做好异地就医结算服务，让群众在异乡更有“医靠”，区医保局将重点在政务中心搭建医保宣传平台，发放宣传单、播放政策宣讲视屏；主动进医院、进药店、进社区开展异地就医结算政策宣传活动；把定点医疗机构作为重要宣传阵地，积极发动其打造宣传样板间；依托基层医保服务点（站）、基层定点医疗机构建立长期宣传服务点，开展多形式的基层宣传活动。</w:t>
      </w:r>
    </w:p>
    <w:p w14:paraId="629951F3">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 xml:space="preserve">    （四）进一步提升经办服务效能</w:t>
      </w:r>
    </w:p>
    <w:p w14:paraId="2C86F6ED">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进一步提升医保经办工作人员能力，优化医保经办服务流程，大力推广“湘医保”“湘税社保”“湖南省医保局网上服务大厅”等线上办理渠道，通过电话办、现场办、帮代办等各项服务途径进一步优化办事流程，缩短业务经办时间，提升医保经办服务效率。</w:t>
      </w:r>
    </w:p>
    <w:p w14:paraId="52C9B3C1">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 xml:space="preserve">    （五）慢特病门诊待遇资格认定申请和初审全面下沉至二级以上公立定点医疗机构</w:t>
      </w:r>
    </w:p>
    <w:p w14:paraId="5598411E">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为解决</w:t>
      </w:r>
      <w:r>
        <w:rPr>
          <w:rFonts w:hint="eastAsia" w:ascii="仿宋_GB2312" w:hAnsi="仿宋_GB2312" w:eastAsia="仿宋_GB2312" w:cs="仿宋_GB2312"/>
          <w:sz w:val="32"/>
          <w:szCs w:val="32"/>
        </w:rPr>
        <w:t>人民群众医保领域</w:t>
      </w:r>
      <w:r>
        <w:rPr>
          <w:rFonts w:hint="eastAsia" w:ascii="仿宋_GB2312" w:hAnsi="仿宋_GB2312" w:eastAsia="仿宋_GB2312" w:cs="仿宋_GB2312"/>
          <w:sz w:val="32"/>
          <w:szCs w:val="32"/>
          <w:lang w:val="en-US" w:eastAsia="zh-CN"/>
        </w:rPr>
        <w:t>“急难愁盼”突出的问题，近年来，我局逐步探索</w:t>
      </w:r>
      <w:r>
        <w:rPr>
          <w:rFonts w:hint="eastAsia" w:ascii="仿宋_GB2312" w:hAnsi="仿宋_GB2312" w:eastAsia="仿宋_GB2312" w:cs="仿宋_GB2312"/>
          <w:sz w:val="32"/>
          <w:szCs w:val="32"/>
        </w:rPr>
        <w:t>慢特病门诊待遇资格认定申请和初审下放至二级及以上定点医疗机构</w:t>
      </w:r>
      <w:r>
        <w:rPr>
          <w:rFonts w:hint="eastAsia" w:ascii="仿宋_GB2312" w:hAnsi="仿宋_GB2312" w:eastAsia="仿宋_GB2312" w:cs="仿宋_GB2312"/>
          <w:sz w:val="32"/>
          <w:szCs w:val="32"/>
          <w:lang w:val="en-US" w:eastAsia="zh-CN"/>
        </w:rPr>
        <w:t>事项</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目前湖南省第三人民医院已正常开展此项业务，效果良好，计划2024年</w:t>
      </w:r>
      <w:r>
        <w:rPr>
          <w:rFonts w:hint="eastAsia" w:ascii="仿宋_GB2312" w:hAnsi="仿宋_GB2312" w:eastAsia="仿宋_GB2312" w:cs="仿宋_GB2312"/>
          <w:sz w:val="32"/>
          <w:szCs w:val="32"/>
        </w:rPr>
        <w:t>实现二级及以上定点医疗机构慢特病门诊待遇资格认定全覆盖。</w:t>
      </w:r>
    </w:p>
    <w:p w14:paraId="046BA2D5">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 xml:space="preserve">    （六）创建2个省级医保经办服务服务示范站点</w:t>
      </w:r>
    </w:p>
    <w:p w14:paraId="2568C244">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“以创促建、以建促办”，通过省级医保经办服务示范站点创建活动，完善规范化场所建设，将</w:t>
      </w:r>
      <w:r>
        <w:rPr>
          <w:rFonts w:hint="default" w:ascii="仿宋_GB2312" w:hAnsi="仿宋_GB2312" w:eastAsia="仿宋_GB2312" w:cs="仿宋_GB2312"/>
          <w:sz w:val="32"/>
          <w:szCs w:val="32"/>
          <w:lang w:val="en-US" w:eastAsia="zh-CN"/>
        </w:rPr>
        <w:t>医保经办服务高频次业务下沉</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强化</w:t>
      </w:r>
      <w:r>
        <w:rPr>
          <w:rFonts w:hint="eastAsia" w:ascii="仿宋_GB2312" w:hAnsi="仿宋_GB2312" w:eastAsia="仿宋_GB2312" w:cs="仿宋_GB2312"/>
          <w:sz w:val="32"/>
          <w:szCs w:val="32"/>
          <w:lang w:val="en-US" w:eastAsia="zh-CN"/>
        </w:rPr>
        <w:t>基层医保工作人员</w:t>
      </w:r>
      <w:r>
        <w:rPr>
          <w:rFonts w:hint="default" w:ascii="仿宋_GB2312" w:hAnsi="仿宋_GB2312" w:eastAsia="仿宋_GB2312" w:cs="仿宋_GB2312"/>
          <w:sz w:val="32"/>
          <w:szCs w:val="32"/>
          <w:lang w:val="en-US" w:eastAsia="zh-CN"/>
        </w:rPr>
        <w:t>业务培训，</w:t>
      </w:r>
      <w:r>
        <w:rPr>
          <w:rFonts w:hint="eastAsia" w:ascii="仿宋_GB2312" w:hAnsi="仿宋_GB2312" w:eastAsia="仿宋_GB2312" w:cs="仿宋_GB2312"/>
          <w:sz w:val="32"/>
          <w:szCs w:val="32"/>
          <w:lang w:val="en-US" w:eastAsia="zh-CN"/>
        </w:rPr>
        <w:t>全面</w:t>
      </w:r>
      <w:r>
        <w:rPr>
          <w:rFonts w:hint="default" w:ascii="仿宋_GB2312" w:hAnsi="仿宋_GB2312" w:eastAsia="仿宋_GB2312" w:cs="仿宋_GB2312"/>
          <w:sz w:val="32"/>
          <w:szCs w:val="32"/>
          <w:lang w:val="en-US" w:eastAsia="zh-CN"/>
        </w:rPr>
        <w:t>提升</w:t>
      </w:r>
      <w:r>
        <w:rPr>
          <w:rFonts w:hint="eastAsia" w:ascii="仿宋_GB2312" w:hAnsi="仿宋_GB2312" w:eastAsia="仿宋_GB2312" w:cs="仿宋_GB2312"/>
          <w:sz w:val="32"/>
          <w:szCs w:val="32"/>
          <w:lang w:val="en-US" w:eastAsia="zh-CN"/>
        </w:rPr>
        <w:t>基层医保专干</w:t>
      </w:r>
      <w:r>
        <w:rPr>
          <w:rFonts w:hint="default" w:ascii="仿宋_GB2312" w:hAnsi="仿宋_GB2312" w:eastAsia="仿宋_GB2312" w:cs="仿宋_GB2312"/>
          <w:sz w:val="32"/>
          <w:szCs w:val="32"/>
          <w:lang w:val="en-US" w:eastAsia="zh-CN"/>
        </w:rPr>
        <w:t>为民服务能力</w:t>
      </w:r>
      <w:r>
        <w:rPr>
          <w:rFonts w:hint="eastAsia" w:ascii="仿宋_GB2312" w:hAnsi="仿宋_GB2312" w:eastAsia="仿宋_GB2312" w:cs="仿宋_GB2312"/>
          <w:sz w:val="32"/>
          <w:szCs w:val="32"/>
          <w:lang w:val="en-US" w:eastAsia="zh-CN"/>
        </w:rPr>
        <w:t>，打造“医保十五分钟服务圈”，进一步提升群众幸福感、获得感。</w:t>
      </w:r>
    </w:p>
    <w:p w14:paraId="5A72971D">
      <w:pPr>
        <w:keepNext w:val="0"/>
        <w:keepLines w:val="0"/>
        <w:pageBreakBefore w:val="0"/>
        <w:widowControl w:val="0"/>
        <w:numPr>
          <w:ilvl w:val="0"/>
          <w:numId w:val="5"/>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部门整体支出绩效自评结果拟应用和公开情况</w:t>
      </w:r>
    </w:p>
    <w:p w14:paraId="1D5681FD">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建立了与部门预算相结合的结果应用机制，强化评价结果在部门预算编制和执行中的应用。实现绩效评价结果在部门预算编制和执行中的应用，实现绩效评价与部门预算的有机结合，促进财政资金的合理分配与有效使用。同时将评价结果按照政府信息公开的方式进行公开，加强社会公众对财政资金使用效益的监督。</w:t>
      </w:r>
    </w:p>
    <w:p w14:paraId="21CA9FB4">
      <w:pPr>
        <w:keepNext w:val="0"/>
        <w:keepLines w:val="0"/>
        <w:pageBreakBefore w:val="0"/>
        <w:widowControl w:val="0"/>
        <w:numPr>
          <w:ilvl w:val="0"/>
          <w:numId w:val="5"/>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其他需要说明的情况</w:t>
      </w:r>
    </w:p>
    <w:p w14:paraId="101F5A92">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无</w:t>
      </w:r>
    </w:p>
    <w:p w14:paraId="50D69D8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C65B51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C9B8F3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2AF7EC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DF4B09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46432F1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077FCAA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33F39D4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0C35840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72E0839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508F4DA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27C1343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C79879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0EBB7D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F1CA0D0">
      <w:pPr>
        <w:spacing w:before="169" w:line="776" w:lineRule="exact"/>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51D296B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5B655224">
      <w:pPr>
        <w:ind w:firstLine="1440" w:firstLineChars="400"/>
        <w:jc w:val="both"/>
        <w:rPr>
          <w:rFonts w:hint="eastAsia" w:eastAsia="方正小标宋简体"/>
          <w:sz w:val="36"/>
          <w:szCs w:val="36"/>
          <w:lang w:eastAsia="zh-CN"/>
        </w:rPr>
      </w:pPr>
    </w:p>
    <w:p w14:paraId="76ADF8B9">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4"/>
        <w:tblW w:w="9510" w:type="dxa"/>
        <w:jc w:val="center"/>
        <w:tblLayout w:type="fixed"/>
        <w:tblCellMar>
          <w:top w:w="0" w:type="dxa"/>
          <w:left w:w="108" w:type="dxa"/>
          <w:bottom w:w="0" w:type="dxa"/>
          <w:right w:w="108" w:type="dxa"/>
        </w:tblCellMar>
      </w:tblPr>
      <w:tblGrid>
        <w:gridCol w:w="774"/>
        <w:gridCol w:w="1501"/>
        <w:gridCol w:w="6482"/>
        <w:gridCol w:w="753"/>
      </w:tblGrid>
      <w:tr w14:paraId="112367CC">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2D436DB8">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3F8989C6">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32A38410">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01EC4862">
            <w:pPr>
              <w:spacing w:line="240" w:lineRule="exact"/>
              <w:jc w:val="center"/>
              <w:rPr>
                <w:rFonts w:eastAsia="黑体"/>
                <w:szCs w:val="21"/>
              </w:rPr>
            </w:pPr>
            <w:r>
              <w:rPr>
                <w:rFonts w:eastAsia="黑体"/>
                <w:szCs w:val="21"/>
              </w:rPr>
              <w:t>评分</w:t>
            </w:r>
          </w:p>
        </w:tc>
      </w:tr>
      <w:tr w14:paraId="72B7A5CA">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1BA06EC8">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255FC4BA">
            <w:pPr>
              <w:spacing w:line="320" w:lineRule="exact"/>
              <w:jc w:val="center"/>
              <w:rPr>
                <w:rFonts w:hint="eastAsia" w:asciiTheme="majorEastAsia" w:hAnsiTheme="majorEastAsia" w:eastAsiaTheme="majorEastAsia" w:cstheme="majorEastAsia"/>
                <w:szCs w:val="21"/>
              </w:rPr>
            </w:pPr>
          </w:p>
          <w:p w14:paraId="7DCD46B1">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65DD83B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34F5B90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03AB191B">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5A221CA7">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7AF5677C">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6873D402">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536DCE9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2C8A60F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599D0079">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362157F4">
            <w:pPr>
              <w:spacing w:line="240" w:lineRule="exact"/>
              <w:rPr>
                <w:rFonts w:hint="eastAsia" w:asciiTheme="majorEastAsia" w:hAnsiTheme="majorEastAsia" w:eastAsiaTheme="majorEastAsia" w:cstheme="majorEastAsia"/>
                <w:szCs w:val="21"/>
              </w:rPr>
            </w:pPr>
          </w:p>
        </w:tc>
      </w:tr>
      <w:tr w14:paraId="4643260E">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605E51F1">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1846CA91">
            <w:pPr>
              <w:spacing w:line="240" w:lineRule="exact"/>
              <w:jc w:val="center"/>
              <w:rPr>
                <w:rFonts w:hint="eastAsia" w:asciiTheme="majorEastAsia" w:hAnsiTheme="majorEastAsia" w:eastAsiaTheme="majorEastAsia" w:cstheme="majorEastAsia"/>
                <w:szCs w:val="21"/>
              </w:rPr>
            </w:pPr>
          </w:p>
          <w:p w14:paraId="1540B3DE">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5666F60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11268CB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4D1546D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52BE9266">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52C0F30E">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3D9E5AF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52CE7DAC">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10B0F3A2">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2348EF8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6AD2CF7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5A9FB374">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5C111A20">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2DBBD03B">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780D235D">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3791A37B">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0E0325FD">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310946E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6B03684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38433B4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1D77E02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7BBA80C5">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559809EF">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0B04F5D6">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B7500C3">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70C24A0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526EC36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23539F6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618934C5">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2FD49D20">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301F02C6">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5D2327AC">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7DB121A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04BF852F">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5B4E9C26">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bl>
    <w:p w14:paraId="2393AE23">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0000600000000000000"/>
    <w:charset w:val="86"/>
    <w:family w:val="auto"/>
    <w:pitch w:val="default"/>
    <w:sig w:usb0="00000000" w:usb1="00000000" w:usb2="00000012" w:usb3="00000000" w:csb0="00160001" w:csb1="1203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186ACE">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090B95">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7090B95">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B0A977"/>
    <w:multiLevelType w:val="singleLevel"/>
    <w:tmpl w:val="B0B0A977"/>
    <w:lvl w:ilvl="0" w:tentative="0">
      <w:start w:val="8"/>
      <w:numFmt w:val="chineseCounting"/>
      <w:suff w:val="nothing"/>
      <w:lvlText w:val="%1、"/>
      <w:lvlJc w:val="left"/>
      <w:rPr>
        <w:rFonts w:hint="eastAsia"/>
      </w:rPr>
    </w:lvl>
  </w:abstractNum>
  <w:abstractNum w:abstractNumId="1">
    <w:nsid w:val="6301A9A3"/>
    <w:multiLevelType w:val="singleLevel"/>
    <w:tmpl w:val="6301A9A3"/>
    <w:lvl w:ilvl="0" w:tentative="0">
      <w:start w:val="4"/>
      <w:numFmt w:val="chineseCounting"/>
      <w:suff w:val="nothing"/>
      <w:lvlText w:val="%1、"/>
      <w:lvlJc w:val="left"/>
      <w:rPr>
        <w:rFonts w:hint="eastAsia"/>
      </w:rPr>
    </w:lvl>
  </w:abstractNum>
  <w:abstractNum w:abstractNumId="2">
    <w:nsid w:val="6529027C"/>
    <w:multiLevelType w:val="singleLevel"/>
    <w:tmpl w:val="6529027C"/>
    <w:lvl w:ilvl="0" w:tentative="0">
      <w:start w:val="2"/>
      <w:numFmt w:val="chineseCounting"/>
      <w:suff w:val="nothing"/>
      <w:lvlText w:val="%1、"/>
      <w:lvlJc w:val="left"/>
    </w:lvl>
  </w:abstractNum>
  <w:abstractNum w:abstractNumId="3">
    <w:nsid w:val="657975E3"/>
    <w:multiLevelType w:val="singleLevel"/>
    <w:tmpl w:val="657975E3"/>
    <w:lvl w:ilvl="0" w:tentative="0">
      <w:start w:val="1"/>
      <w:numFmt w:val="decimal"/>
      <w:suff w:val="nothing"/>
      <w:lvlText w:val="%1."/>
      <w:lvlJc w:val="left"/>
    </w:lvl>
  </w:abstractNum>
  <w:abstractNum w:abstractNumId="4">
    <w:nsid w:val="6579761F"/>
    <w:multiLevelType w:val="singleLevel"/>
    <w:tmpl w:val="6579761F"/>
    <w:lvl w:ilvl="0" w:tentative="0">
      <w:start w:val="6"/>
      <w:numFmt w:val="decimal"/>
      <w:suff w:val="nothing"/>
      <w:lvlText w:val="%1."/>
      <w:lvlJc w:val="left"/>
    </w:lvl>
  </w:abstractNum>
  <w:num w:numId="1">
    <w:abstractNumId w:val="1"/>
  </w:num>
  <w:num w:numId="2">
    <w:abstractNumId w:val="3"/>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I2N2NlOTc1YmE3NTQ3NTIyNjA3NWVkOWU3MjQ3MzIifQ=="/>
  </w:docVars>
  <w:rsids>
    <w:rsidRoot w:val="53FC3987"/>
    <w:rsid w:val="000A3765"/>
    <w:rsid w:val="001D7282"/>
    <w:rsid w:val="0039081D"/>
    <w:rsid w:val="005E6ECB"/>
    <w:rsid w:val="00744EA1"/>
    <w:rsid w:val="007E4CA5"/>
    <w:rsid w:val="009419CA"/>
    <w:rsid w:val="00955854"/>
    <w:rsid w:val="009C7330"/>
    <w:rsid w:val="00A00FBB"/>
    <w:rsid w:val="00BF0721"/>
    <w:rsid w:val="00C03795"/>
    <w:rsid w:val="00CE3756"/>
    <w:rsid w:val="00D27A74"/>
    <w:rsid w:val="00E831C8"/>
    <w:rsid w:val="00EF287A"/>
    <w:rsid w:val="01057CDE"/>
    <w:rsid w:val="010B4A82"/>
    <w:rsid w:val="01180060"/>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A637C0"/>
    <w:rsid w:val="01BF03AA"/>
    <w:rsid w:val="01C33E74"/>
    <w:rsid w:val="01DF3C26"/>
    <w:rsid w:val="01EE0A2C"/>
    <w:rsid w:val="0200044D"/>
    <w:rsid w:val="0200290C"/>
    <w:rsid w:val="020654E4"/>
    <w:rsid w:val="020C72F8"/>
    <w:rsid w:val="02121B7C"/>
    <w:rsid w:val="021813DE"/>
    <w:rsid w:val="021B6B30"/>
    <w:rsid w:val="022618D2"/>
    <w:rsid w:val="02363BD8"/>
    <w:rsid w:val="023809F7"/>
    <w:rsid w:val="023F66B6"/>
    <w:rsid w:val="02431066"/>
    <w:rsid w:val="02595CF1"/>
    <w:rsid w:val="025C47D6"/>
    <w:rsid w:val="0263675C"/>
    <w:rsid w:val="02656E75"/>
    <w:rsid w:val="027431E5"/>
    <w:rsid w:val="02B544DB"/>
    <w:rsid w:val="02C53B73"/>
    <w:rsid w:val="02CB5D99"/>
    <w:rsid w:val="02F61D91"/>
    <w:rsid w:val="02FC4679"/>
    <w:rsid w:val="02FE5E0A"/>
    <w:rsid w:val="0347190C"/>
    <w:rsid w:val="034760CE"/>
    <w:rsid w:val="03487959"/>
    <w:rsid w:val="03505BE1"/>
    <w:rsid w:val="03522F69"/>
    <w:rsid w:val="036D41A2"/>
    <w:rsid w:val="037F229C"/>
    <w:rsid w:val="03911277"/>
    <w:rsid w:val="039A540B"/>
    <w:rsid w:val="03BD010E"/>
    <w:rsid w:val="03DE3CAC"/>
    <w:rsid w:val="03E25383"/>
    <w:rsid w:val="03E2685C"/>
    <w:rsid w:val="03E66326"/>
    <w:rsid w:val="03FF6E0F"/>
    <w:rsid w:val="0404259A"/>
    <w:rsid w:val="04051601"/>
    <w:rsid w:val="04150B3B"/>
    <w:rsid w:val="04327F62"/>
    <w:rsid w:val="04344800"/>
    <w:rsid w:val="04526F15"/>
    <w:rsid w:val="045F666C"/>
    <w:rsid w:val="0460075C"/>
    <w:rsid w:val="04613BEE"/>
    <w:rsid w:val="0462054D"/>
    <w:rsid w:val="04675C34"/>
    <w:rsid w:val="046C0B29"/>
    <w:rsid w:val="04816E5C"/>
    <w:rsid w:val="048924DD"/>
    <w:rsid w:val="04914D95"/>
    <w:rsid w:val="0495080F"/>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9E6D9A"/>
    <w:rsid w:val="05A50C70"/>
    <w:rsid w:val="05B525CA"/>
    <w:rsid w:val="05C4448F"/>
    <w:rsid w:val="05E25CD6"/>
    <w:rsid w:val="05E616EC"/>
    <w:rsid w:val="06146BAF"/>
    <w:rsid w:val="061B4DDA"/>
    <w:rsid w:val="06286BB6"/>
    <w:rsid w:val="06405E9C"/>
    <w:rsid w:val="064D5380"/>
    <w:rsid w:val="064E0F6B"/>
    <w:rsid w:val="06617309"/>
    <w:rsid w:val="06650E6A"/>
    <w:rsid w:val="06854A05"/>
    <w:rsid w:val="068B5259"/>
    <w:rsid w:val="06986D10"/>
    <w:rsid w:val="06A14716"/>
    <w:rsid w:val="06B27F6D"/>
    <w:rsid w:val="06C90184"/>
    <w:rsid w:val="06C9437B"/>
    <w:rsid w:val="06ED564C"/>
    <w:rsid w:val="06F22A7B"/>
    <w:rsid w:val="07023424"/>
    <w:rsid w:val="07043735"/>
    <w:rsid w:val="0725074E"/>
    <w:rsid w:val="07313C60"/>
    <w:rsid w:val="073249BE"/>
    <w:rsid w:val="07331F0A"/>
    <w:rsid w:val="075F150C"/>
    <w:rsid w:val="076971BD"/>
    <w:rsid w:val="076D43AE"/>
    <w:rsid w:val="077323CA"/>
    <w:rsid w:val="0775145F"/>
    <w:rsid w:val="07967DE0"/>
    <w:rsid w:val="07970994"/>
    <w:rsid w:val="07B913B4"/>
    <w:rsid w:val="07BA1C6A"/>
    <w:rsid w:val="07BD44A3"/>
    <w:rsid w:val="07CE6155"/>
    <w:rsid w:val="07DA39BA"/>
    <w:rsid w:val="07E11DA2"/>
    <w:rsid w:val="07E40515"/>
    <w:rsid w:val="07EE6091"/>
    <w:rsid w:val="08017E70"/>
    <w:rsid w:val="0805190B"/>
    <w:rsid w:val="08071442"/>
    <w:rsid w:val="082A5F7E"/>
    <w:rsid w:val="082C3238"/>
    <w:rsid w:val="08391F38"/>
    <w:rsid w:val="083A18D9"/>
    <w:rsid w:val="0848472A"/>
    <w:rsid w:val="084D20E7"/>
    <w:rsid w:val="08674899"/>
    <w:rsid w:val="08754155"/>
    <w:rsid w:val="087B77E7"/>
    <w:rsid w:val="087D3D34"/>
    <w:rsid w:val="0889236C"/>
    <w:rsid w:val="088E051E"/>
    <w:rsid w:val="0892189F"/>
    <w:rsid w:val="08935A7B"/>
    <w:rsid w:val="08A91E6C"/>
    <w:rsid w:val="08BA1B19"/>
    <w:rsid w:val="08D059DD"/>
    <w:rsid w:val="08DC08E7"/>
    <w:rsid w:val="09126FE2"/>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1500F3"/>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92074"/>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BF978D5"/>
    <w:rsid w:val="0C03261E"/>
    <w:rsid w:val="0C0439FA"/>
    <w:rsid w:val="0C0B17DF"/>
    <w:rsid w:val="0C0F382B"/>
    <w:rsid w:val="0C160980"/>
    <w:rsid w:val="0C1B4EF7"/>
    <w:rsid w:val="0C1C297E"/>
    <w:rsid w:val="0C1D4988"/>
    <w:rsid w:val="0C297E69"/>
    <w:rsid w:val="0C5001BE"/>
    <w:rsid w:val="0C55038F"/>
    <w:rsid w:val="0C6B7DF9"/>
    <w:rsid w:val="0C6E2A56"/>
    <w:rsid w:val="0C7A708D"/>
    <w:rsid w:val="0C7F308D"/>
    <w:rsid w:val="0C97569C"/>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AE46EF"/>
    <w:rsid w:val="0DBE6AB7"/>
    <w:rsid w:val="0DBF116A"/>
    <w:rsid w:val="0DC00E38"/>
    <w:rsid w:val="0DC8400B"/>
    <w:rsid w:val="0DD34552"/>
    <w:rsid w:val="0DE03EAA"/>
    <w:rsid w:val="0DE12394"/>
    <w:rsid w:val="0DF36262"/>
    <w:rsid w:val="0E0001F1"/>
    <w:rsid w:val="0E167B54"/>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A1DF9"/>
    <w:rsid w:val="0F0D525E"/>
    <w:rsid w:val="0F1D03EF"/>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773D3"/>
    <w:rsid w:val="0FEC2891"/>
    <w:rsid w:val="0FF71EB7"/>
    <w:rsid w:val="10225AB2"/>
    <w:rsid w:val="102D74F0"/>
    <w:rsid w:val="103C47DA"/>
    <w:rsid w:val="103D5CB0"/>
    <w:rsid w:val="1043497A"/>
    <w:rsid w:val="10482F5E"/>
    <w:rsid w:val="104B6B58"/>
    <w:rsid w:val="105552F6"/>
    <w:rsid w:val="1080556E"/>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C73CE8"/>
    <w:rsid w:val="11EA3CA0"/>
    <w:rsid w:val="11F03528"/>
    <w:rsid w:val="11F403BB"/>
    <w:rsid w:val="11FA6A1C"/>
    <w:rsid w:val="120B6973"/>
    <w:rsid w:val="12155876"/>
    <w:rsid w:val="12183A1B"/>
    <w:rsid w:val="122A11A6"/>
    <w:rsid w:val="123D1BD2"/>
    <w:rsid w:val="123E6D4D"/>
    <w:rsid w:val="125613C2"/>
    <w:rsid w:val="125D4EF7"/>
    <w:rsid w:val="12637C4E"/>
    <w:rsid w:val="127030C8"/>
    <w:rsid w:val="128D0D77"/>
    <w:rsid w:val="12B310FA"/>
    <w:rsid w:val="12B7582D"/>
    <w:rsid w:val="12C621E8"/>
    <w:rsid w:val="12CF0716"/>
    <w:rsid w:val="12D95227"/>
    <w:rsid w:val="12E33197"/>
    <w:rsid w:val="12EE1C9C"/>
    <w:rsid w:val="12F863E6"/>
    <w:rsid w:val="13094CA6"/>
    <w:rsid w:val="132156D8"/>
    <w:rsid w:val="132911E2"/>
    <w:rsid w:val="132B5489"/>
    <w:rsid w:val="1336476B"/>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924554"/>
    <w:rsid w:val="14A04833"/>
    <w:rsid w:val="14B12779"/>
    <w:rsid w:val="14B37576"/>
    <w:rsid w:val="14D27CAB"/>
    <w:rsid w:val="14F4219E"/>
    <w:rsid w:val="14F845B8"/>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942D4"/>
    <w:rsid w:val="15DA784E"/>
    <w:rsid w:val="15DB017B"/>
    <w:rsid w:val="15E6370B"/>
    <w:rsid w:val="15E835FB"/>
    <w:rsid w:val="15E84717"/>
    <w:rsid w:val="160F0091"/>
    <w:rsid w:val="16144614"/>
    <w:rsid w:val="163A7468"/>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05BF0"/>
    <w:rsid w:val="17794395"/>
    <w:rsid w:val="178700D3"/>
    <w:rsid w:val="178D50A9"/>
    <w:rsid w:val="178F0FE3"/>
    <w:rsid w:val="17AE785D"/>
    <w:rsid w:val="17B85018"/>
    <w:rsid w:val="17C70888"/>
    <w:rsid w:val="17DD36AB"/>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A1374"/>
    <w:rsid w:val="190F3527"/>
    <w:rsid w:val="19100497"/>
    <w:rsid w:val="19183CAC"/>
    <w:rsid w:val="193964B7"/>
    <w:rsid w:val="19521C94"/>
    <w:rsid w:val="195657BB"/>
    <w:rsid w:val="19607EB2"/>
    <w:rsid w:val="196644DC"/>
    <w:rsid w:val="196B19EB"/>
    <w:rsid w:val="19717C66"/>
    <w:rsid w:val="198E7C2B"/>
    <w:rsid w:val="199945D5"/>
    <w:rsid w:val="199B5065"/>
    <w:rsid w:val="19D37D58"/>
    <w:rsid w:val="19DD0438"/>
    <w:rsid w:val="1A0A04E6"/>
    <w:rsid w:val="1A187AC0"/>
    <w:rsid w:val="1A1B4B0C"/>
    <w:rsid w:val="1A213466"/>
    <w:rsid w:val="1A3F3F76"/>
    <w:rsid w:val="1A4B4BAE"/>
    <w:rsid w:val="1A5F35C0"/>
    <w:rsid w:val="1A670100"/>
    <w:rsid w:val="1A8006B2"/>
    <w:rsid w:val="1A8D640E"/>
    <w:rsid w:val="1A974192"/>
    <w:rsid w:val="1A997900"/>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53068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330066"/>
    <w:rsid w:val="1C4C28F3"/>
    <w:rsid w:val="1C71314E"/>
    <w:rsid w:val="1C82672C"/>
    <w:rsid w:val="1C89138D"/>
    <w:rsid w:val="1C8E76D2"/>
    <w:rsid w:val="1C937172"/>
    <w:rsid w:val="1C975C4B"/>
    <w:rsid w:val="1C9A2D8D"/>
    <w:rsid w:val="1CA27BB1"/>
    <w:rsid w:val="1CAF7DCF"/>
    <w:rsid w:val="1CB07D7A"/>
    <w:rsid w:val="1CD11F65"/>
    <w:rsid w:val="1CDA4D56"/>
    <w:rsid w:val="1CF810AC"/>
    <w:rsid w:val="1D0B3755"/>
    <w:rsid w:val="1D124C24"/>
    <w:rsid w:val="1D2C6C65"/>
    <w:rsid w:val="1D402518"/>
    <w:rsid w:val="1D4E7169"/>
    <w:rsid w:val="1D5441EB"/>
    <w:rsid w:val="1D554265"/>
    <w:rsid w:val="1D69344A"/>
    <w:rsid w:val="1D6B31E8"/>
    <w:rsid w:val="1D6B7F83"/>
    <w:rsid w:val="1D776C3D"/>
    <w:rsid w:val="1D8316F5"/>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2962CC"/>
    <w:rsid w:val="1F435D1C"/>
    <w:rsid w:val="1F4B71B8"/>
    <w:rsid w:val="1F4C39A9"/>
    <w:rsid w:val="1F5665AD"/>
    <w:rsid w:val="1F692382"/>
    <w:rsid w:val="1F8815CD"/>
    <w:rsid w:val="1F8D1995"/>
    <w:rsid w:val="1F935BDD"/>
    <w:rsid w:val="1F9730E6"/>
    <w:rsid w:val="1FDE0273"/>
    <w:rsid w:val="1FEF73C9"/>
    <w:rsid w:val="20020491"/>
    <w:rsid w:val="20057BEE"/>
    <w:rsid w:val="203C7C11"/>
    <w:rsid w:val="20421AEB"/>
    <w:rsid w:val="20471AED"/>
    <w:rsid w:val="20487E48"/>
    <w:rsid w:val="20666EBF"/>
    <w:rsid w:val="206F239E"/>
    <w:rsid w:val="2086258B"/>
    <w:rsid w:val="20895274"/>
    <w:rsid w:val="20A45C99"/>
    <w:rsid w:val="20AD18F5"/>
    <w:rsid w:val="20B77D0F"/>
    <w:rsid w:val="20BB288C"/>
    <w:rsid w:val="20D06EB4"/>
    <w:rsid w:val="20E40557"/>
    <w:rsid w:val="20EF04D3"/>
    <w:rsid w:val="210C69CF"/>
    <w:rsid w:val="21107C1A"/>
    <w:rsid w:val="213018E1"/>
    <w:rsid w:val="21392BC1"/>
    <w:rsid w:val="21431802"/>
    <w:rsid w:val="21463D2C"/>
    <w:rsid w:val="214A2796"/>
    <w:rsid w:val="2151198F"/>
    <w:rsid w:val="215A658E"/>
    <w:rsid w:val="2172070D"/>
    <w:rsid w:val="21725D08"/>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022A7"/>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B41E2F"/>
    <w:rsid w:val="26C16DEA"/>
    <w:rsid w:val="26C30557"/>
    <w:rsid w:val="26CB2EBC"/>
    <w:rsid w:val="26CB4B73"/>
    <w:rsid w:val="26CF1507"/>
    <w:rsid w:val="26E34A7B"/>
    <w:rsid w:val="26E9756C"/>
    <w:rsid w:val="26FA4570"/>
    <w:rsid w:val="26FD374B"/>
    <w:rsid w:val="27217FF0"/>
    <w:rsid w:val="27242893"/>
    <w:rsid w:val="273612F4"/>
    <w:rsid w:val="27445146"/>
    <w:rsid w:val="275C2513"/>
    <w:rsid w:val="276C144B"/>
    <w:rsid w:val="277602F5"/>
    <w:rsid w:val="278038CA"/>
    <w:rsid w:val="27BE7377"/>
    <w:rsid w:val="27C33BB0"/>
    <w:rsid w:val="27C55F98"/>
    <w:rsid w:val="27CC0CD0"/>
    <w:rsid w:val="27D071BC"/>
    <w:rsid w:val="27D4538F"/>
    <w:rsid w:val="27DE15AE"/>
    <w:rsid w:val="27E03A2F"/>
    <w:rsid w:val="280D297A"/>
    <w:rsid w:val="28104F20"/>
    <w:rsid w:val="28276A98"/>
    <w:rsid w:val="285710C8"/>
    <w:rsid w:val="285C4BAF"/>
    <w:rsid w:val="285D0F42"/>
    <w:rsid w:val="28703320"/>
    <w:rsid w:val="289539A5"/>
    <w:rsid w:val="289F019A"/>
    <w:rsid w:val="28B74802"/>
    <w:rsid w:val="28CC6ED5"/>
    <w:rsid w:val="28F010D9"/>
    <w:rsid w:val="28F05C88"/>
    <w:rsid w:val="29082E70"/>
    <w:rsid w:val="290F6532"/>
    <w:rsid w:val="291343EF"/>
    <w:rsid w:val="29166F16"/>
    <w:rsid w:val="294D5371"/>
    <w:rsid w:val="295A5964"/>
    <w:rsid w:val="29626133"/>
    <w:rsid w:val="29702C6A"/>
    <w:rsid w:val="298756CC"/>
    <w:rsid w:val="29A81FA5"/>
    <w:rsid w:val="29AB297C"/>
    <w:rsid w:val="29C535D7"/>
    <w:rsid w:val="29C65905"/>
    <w:rsid w:val="29DA5777"/>
    <w:rsid w:val="29DF2425"/>
    <w:rsid w:val="29FD282F"/>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60683"/>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16261"/>
    <w:rsid w:val="2D143281"/>
    <w:rsid w:val="2D1C79F8"/>
    <w:rsid w:val="2D1E4F96"/>
    <w:rsid w:val="2D324177"/>
    <w:rsid w:val="2D5A7835"/>
    <w:rsid w:val="2D6578A0"/>
    <w:rsid w:val="2D7343C9"/>
    <w:rsid w:val="2DD177B4"/>
    <w:rsid w:val="2DE44256"/>
    <w:rsid w:val="2DE557EB"/>
    <w:rsid w:val="2DEE7921"/>
    <w:rsid w:val="2E0E6D42"/>
    <w:rsid w:val="2E0F4249"/>
    <w:rsid w:val="2E2F0A58"/>
    <w:rsid w:val="2E447583"/>
    <w:rsid w:val="2E4645DA"/>
    <w:rsid w:val="2E4B4467"/>
    <w:rsid w:val="2E5520B9"/>
    <w:rsid w:val="2E5970F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B663B3"/>
    <w:rsid w:val="2FC05B92"/>
    <w:rsid w:val="2FDE3BE4"/>
    <w:rsid w:val="2FEC1413"/>
    <w:rsid w:val="2FEF5C51"/>
    <w:rsid w:val="30036A54"/>
    <w:rsid w:val="301F1E0F"/>
    <w:rsid w:val="302E6295"/>
    <w:rsid w:val="303329F0"/>
    <w:rsid w:val="303818E5"/>
    <w:rsid w:val="303F1851"/>
    <w:rsid w:val="303F79AD"/>
    <w:rsid w:val="30492212"/>
    <w:rsid w:val="304C3A2B"/>
    <w:rsid w:val="30596318"/>
    <w:rsid w:val="306D731C"/>
    <w:rsid w:val="306F339C"/>
    <w:rsid w:val="30762710"/>
    <w:rsid w:val="30814CF1"/>
    <w:rsid w:val="308E4163"/>
    <w:rsid w:val="30C20BA4"/>
    <w:rsid w:val="30C478ED"/>
    <w:rsid w:val="30EC01FB"/>
    <w:rsid w:val="30EF681F"/>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52054"/>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D81743"/>
    <w:rsid w:val="32FA2D7F"/>
    <w:rsid w:val="32FC6C4E"/>
    <w:rsid w:val="33085CC5"/>
    <w:rsid w:val="33262CBA"/>
    <w:rsid w:val="332B323C"/>
    <w:rsid w:val="332E3189"/>
    <w:rsid w:val="335B62EC"/>
    <w:rsid w:val="335E79BA"/>
    <w:rsid w:val="3360061D"/>
    <w:rsid w:val="336549AB"/>
    <w:rsid w:val="3373636B"/>
    <w:rsid w:val="33782709"/>
    <w:rsid w:val="3392025F"/>
    <w:rsid w:val="33A8285D"/>
    <w:rsid w:val="33AC1E29"/>
    <w:rsid w:val="33B17041"/>
    <w:rsid w:val="33B202F3"/>
    <w:rsid w:val="33B20F64"/>
    <w:rsid w:val="33CD5020"/>
    <w:rsid w:val="33EE53FA"/>
    <w:rsid w:val="33FD7485"/>
    <w:rsid w:val="34012F1B"/>
    <w:rsid w:val="342A405B"/>
    <w:rsid w:val="342B1D46"/>
    <w:rsid w:val="34467089"/>
    <w:rsid w:val="34523AB5"/>
    <w:rsid w:val="346B4B47"/>
    <w:rsid w:val="346E4F77"/>
    <w:rsid w:val="34762AAC"/>
    <w:rsid w:val="348402A8"/>
    <w:rsid w:val="34B510BB"/>
    <w:rsid w:val="34BB2714"/>
    <w:rsid w:val="34C25EF7"/>
    <w:rsid w:val="34D20F28"/>
    <w:rsid w:val="34E22DC0"/>
    <w:rsid w:val="34E73EBF"/>
    <w:rsid w:val="35004F81"/>
    <w:rsid w:val="350233D4"/>
    <w:rsid w:val="35101668"/>
    <w:rsid w:val="35195F01"/>
    <w:rsid w:val="351A6043"/>
    <w:rsid w:val="35313A72"/>
    <w:rsid w:val="3543203E"/>
    <w:rsid w:val="35493C91"/>
    <w:rsid w:val="355754E9"/>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377F4"/>
    <w:rsid w:val="365F3D60"/>
    <w:rsid w:val="36634FEE"/>
    <w:rsid w:val="36645530"/>
    <w:rsid w:val="367851C1"/>
    <w:rsid w:val="369510BC"/>
    <w:rsid w:val="36973632"/>
    <w:rsid w:val="36A30194"/>
    <w:rsid w:val="36B85FBC"/>
    <w:rsid w:val="36D21A02"/>
    <w:rsid w:val="37104DEB"/>
    <w:rsid w:val="372D0977"/>
    <w:rsid w:val="37337382"/>
    <w:rsid w:val="374D5647"/>
    <w:rsid w:val="374F42A7"/>
    <w:rsid w:val="37506DBE"/>
    <w:rsid w:val="3759338C"/>
    <w:rsid w:val="37654002"/>
    <w:rsid w:val="378E3E66"/>
    <w:rsid w:val="37C244FC"/>
    <w:rsid w:val="37D740F6"/>
    <w:rsid w:val="37D95C79"/>
    <w:rsid w:val="37E81F7B"/>
    <w:rsid w:val="38026A1B"/>
    <w:rsid w:val="38197832"/>
    <w:rsid w:val="383903C6"/>
    <w:rsid w:val="383C423B"/>
    <w:rsid w:val="38414BB2"/>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91347"/>
    <w:rsid w:val="396B7002"/>
    <w:rsid w:val="396C2A15"/>
    <w:rsid w:val="3989299E"/>
    <w:rsid w:val="39AC01F9"/>
    <w:rsid w:val="39B73BAC"/>
    <w:rsid w:val="39B7517F"/>
    <w:rsid w:val="39BA3B51"/>
    <w:rsid w:val="39C20795"/>
    <w:rsid w:val="39E90E2B"/>
    <w:rsid w:val="39E94D86"/>
    <w:rsid w:val="39F1638E"/>
    <w:rsid w:val="3A001C79"/>
    <w:rsid w:val="3A1513BA"/>
    <w:rsid w:val="3A2B2AA0"/>
    <w:rsid w:val="3A2E618D"/>
    <w:rsid w:val="3A4109A1"/>
    <w:rsid w:val="3A742C8C"/>
    <w:rsid w:val="3A7B2702"/>
    <w:rsid w:val="3A896EEE"/>
    <w:rsid w:val="3AAA2893"/>
    <w:rsid w:val="3AB00F11"/>
    <w:rsid w:val="3ABB15C7"/>
    <w:rsid w:val="3AD8279E"/>
    <w:rsid w:val="3AE73EDB"/>
    <w:rsid w:val="3B08641D"/>
    <w:rsid w:val="3B1C7A19"/>
    <w:rsid w:val="3B2B5582"/>
    <w:rsid w:val="3B4234D4"/>
    <w:rsid w:val="3B7622BA"/>
    <w:rsid w:val="3B7C1C88"/>
    <w:rsid w:val="3B8107C8"/>
    <w:rsid w:val="3B8972AA"/>
    <w:rsid w:val="3BA219B8"/>
    <w:rsid w:val="3BA96003"/>
    <w:rsid w:val="3BBE7384"/>
    <w:rsid w:val="3BC61A51"/>
    <w:rsid w:val="3BE14893"/>
    <w:rsid w:val="3BE8265C"/>
    <w:rsid w:val="3BE92A35"/>
    <w:rsid w:val="3BEB460F"/>
    <w:rsid w:val="3BEF1DA2"/>
    <w:rsid w:val="3BF64635"/>
    <w:rsid w:val="3BF956C3"/>
    <w:rsid w:val="3C0E5CDB"/>
    <w:rsid w:val="3C2D447E"/>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02037"/>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BC6C2A"/>
    <w:rsid w:val="3ECD5479"/>
    <w:rsid w:val="3ED62B90"/>
    <w:rsid w:val="3EE34DD3"/>
    <w:rsid w:val="3EF15B65"/>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BB7572"/>
    <w:rsid w:val="3FC212BD"/>
    <w:rsid w:val="3FC45A80"/>
    <w:rsid w:val="3FDE13B9"/>
    <w:rsid w:val="3FE029F1"/>
    <w:rsid w:val="3FE457AE"/>
    <w:rsid w:val="3FE57701"/>
    <w:rsid w:val="400C4E03"/>
    <w:rsid w:val="40126EBB"/>
    <w:rsid w:val="401A4D54"/>
    <w:rsid w:val="401D0EDF"/>
    <w:rsid w:val="40262C07"/>
    <w:rsid w:val="404209E3"/>
    <w:rsid w:val="404409B5"/>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40501"/>
    <w:rsid w:val="42263E3B"/>
    <w:rsid w:val="422C70F1"/>
    <w:rsid w:val="423C6CFA"/>
    <w:rsid w:val="42442693"/>
    <w:rsid w:val="428D1B97"/>
    <w:rsid w:val="42AD75BE"/>
    <w:rsid w:val="42B608A5"/>
    <w:rsid w:val="42BC6C8F"/>
    <w:rsid w:val="42C5446D"/>
    <w:rsid w:val="42E94337"/>
    <w:rsid w:val="42ED352D"/>
    <w:rsid w:val="43031943"/>
    <w:rsid w:val="431327F1"/>
    <w:rsid w:val="43182DB2"/>
    <w:rsid w:val="4345608A"/>
    <w:rsid w:val="4368794F"/>
    <w:rsid w:val="436D0FB5"/>
    <w:rsid w:val="437518D1"/>
    <w:rsid w:val="438D1E49"/>
    <w:rsid w:val="43B23B98"/>
    <w:rsid w:val="43C80076"/>
    <w:rsid w:val="43D8550E"/>
    <w:rsid w:val="43DC0C7D"/>
    <w:rsid w:val="43EA69D8"/>
    <w:rsid w:val="44356D2F"/>
    <w:rsid w:val="44390E25"/>
    <w:rsid w:val="44433468"/>
    <w:rsid w:val="44437F9F"/>
    <w:rsid w:val="444F5C68"/>
    <w:rsid w:val="44520198"/>
    <w:rsid w:val="44613E6E"/>
    <w:rsid w:val="446A5324"/>
    <w:rsid w:val="44751EFA"/>
    <w:rsid w:val="447E7804"/>
    <w:rsid w:val="44943661"/>
    <w:rsid w:val="44A05C5C"/>
    <w:rsid w:val="44AC7417"/>
    <w:rsid w:val="44B16853"/>
    <w:rsid w:val="44F47B33"/>
    <w:rsid w:val="450D5FAD"/>
    <w:rsid w:val="45172F07"/>
    <w:rsid w:val="451D5184"/>
    <w:rsid w:val="452F3716"/>
    <w:rsid w:val="453C65FD"/>
    <w:rsid w:val="454B256E"/>
    <w:rsid w:val="455D76E4"/>
    <w:rsid w:val="45646F33"/>
    <w:rsid w:val="45671007"/>
    <w:rsid w:val="456C331B"/>
    <w:rsid w:val="458F2E2C"/>
    <w:rsid w:val="45A26739"/>
    <w:rsid w:val="45B07140"/>
    <w:rsid w:val="45C43431"/>
    <w:rsid w:val="45EE3358"/>
    <w:rsid w:val="46066722"/>
    <w:rsid w:val="461976C3"/>
    <w:rsid w:val="461C0664"/>
    <w:rsid w:val="463D42BA"/>
    <w:rsid w:val="46521A41"/>
    <w:rsid w:val="465D50F1"/>
    <w:rsid w:val="46771C91"/>
    <w:rsid w:val="467F06A4"/>
    <w:rsid w:val="4686331F"/>
    <w:rsid w:val="4694259D"/>
    <w:rsid w:val="469C1667"/>
    <w:rsid w:val="46A64B43"/>
    <w:rsid w:val="46AA5A85"/>
    <w:rsid w:val="46AC6264"/>
    <w:rsid w:val="46C01696"/>
    <w:rsid w:val="46C52BE0"/>
    <w:rsid w:val="46D118AB"/>
    <w:rsid w:val="46F30AEE"/>
    <w:rsid w:val="47123940"/>
    <w:rsid w:val="47204C1C"/>
    <w:rsid w:val="4726595C"/>
    <w:rsid w:val="474B6530"/>
    <w:rsid w:val="47600773"/>
    <w:rsid w:val="47661F26"/>
    <w:rsid w:val="476E25F3"/>
    <w:rsid w:val="47783B12"/>
    <w:rsid w:val="477D5156"/>
    <w:rsid w:val="477F2265"/>
    <w:rsid w:val="47890AD6"/>
    <w:rsid w:val="478D2FF6"/>
    <w:rsid w:val="478F6037"/>
    <w:rsid w:val="4798720D"/>
    <w:rsid w:val="47AC79A3"/>
    <w:rsid w:val="47BF7C9C"/>
    <w:rsid w:val="47C2246C"/>
    <w:rsid w:val="47CA5F05"/>
    <w:rsid w:val="47DA1720"/>
    <w:rsid w:val="47E11737"/>
    <w:rsid w:val="47E77D53"/>
    <w:rsid w:val="47EB009D"/>
    <w:rsid w:val="47EE48C0"/>
    <w:rsid w:val="47F35E3E"/>
    <w:rsid w:val="47FB766F"/>
    <w:rsid w:val="48064E6E"/>
    <w:rsid w:val="4808575C"/>
    <w:rsid w:val="480B439D"/>
    <w:rsid w:val="482F10F4"/>
    <w:rsid w:val="48464245"/>
    <w:rsid w:val="48606A0B"/>
    <w:rsid w:val="486D78BB"/>
    <w:rsid w:val="48915636"/>
    <w:rsid w:val="48985F31"/>
    <w:rsid w:val="48AC6E35"/>
    <w:rsid w:val="48AF414A"/>
    <w:rsid w:val="48BD43A0"/>
    <w:rsid w:val="48C96968"/>
    <w:rsid w:val="48F84416"/>
    <w:rsid w:val="490874C4"/>
    <w:rsid w:val="491A6A98"/>
    <w:rsid w:val="491D4AAF"/>
    <w:rsid w:val="4926292B"/>
    <w:rsid w:val="49371235"/>
    <w:rsid w:val="494324F6"/>
    <w:rsid w:val="49455D20"/>
    <w:rsid w:val="497B341F"/>
    <w:rsid w:val="49AD28D1"/>
    <w:rsid w:val="49B415EE"/>
    <w:rsid w:val="49B63FD6"/>
    <w:rsid w:val="49BF4D00"/>
    <w:rsid w:val="49CF743C"/>
    <w:rsid w:val="49D1562B"/>
    <w:rsid w:val="49DE1EF5"/>
    <w:rsid w:val="49DF584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3B68BB"/>
    <w:rsid w:val="4B473F5E"/>
    <w:rsid w:val="4B49191E"/>
    <w:rsid w:val="4B507FB2"/>
    <w:rsid w:val="4B647620"/>
    <w:rsid w:val="4B695935"/>
    <w:rsid w:val="4B7A55E6"/>
    <w:rsid w:val="4B82653E"/>
    <w:rsid w:val="4B894031"/>
    <w:rsid w:val="4B8C1A83"/>
    <w:rsid w:val="4B946154"/>
    <w:rsid w:val="4BB12731"/>
    <w:rsid w:val="4BB15659"/>
    <w:rsid w:val="4BE10A59"/>
    <w:rsid w:val="4BE123D1"/>
    <w:rsid w:val="4BE922BA"/>
    <w:rsid w:val="4BEC061F"/>
    <w:rsid w:val="4BFB0C07"/>
    <w:rsid w:val="4C0A534C"/>
    <w:rsid w:val="4C0F01F9"/>
    <w:rsid w:val="4C270B31"/>
    <w:rsid w:val="4C3202E6"/>
    <w:rsid w:val="4C6370A1"/>
    <w:rsid w:val="4C736886"/>
    <w:rsid w:val="4C7F7CEF"/>
    <w:rsid w:val="4C821AA7"/>
    <w:rsid w:val="4CA43125"/>
    <w:rsid w:val="4CAC2A11"/>
    <w:rsid w:val="4CB01CB9"/>
    <w:rsid w:val="4CCD33EA"/>
    <w:rsid w:val="4CCF426B"/>
    <w:rsid w:val="4CED0E6B"/>
    <w:rsid w:val="4CFE069C"/>
    <w:rsid w:val="4D033F9C"/>
    <w:rsid w:val="4D055E23"/>
    <w:rsid w:val="4D2433AC"/>
    <w:rsid w:val="4D3B659F"/>
    <w:rsid w:val="4D3F2693"/>
    <w:rsid w:val="4D4A4A28"/>
    <w:rsid w:val="4D5D7D7F"/>
    <w:rsid w:val="4D625C01"/>
    <w:rsid w:val="4D8F350E"/>
    <w:rsid w:val="4D924E46"/>
    <w:rsid w:val="4D9877E4"/>
    <w:rsid w:val="4DBD22E7"/>
    <w:rsid w:val="4DC00F39"/>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B1136E"/>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0282"/>
    <w:rsid w:val="50BB317D"/>
    <w:rsid w:val="50D06E68"/>
    <w:rsid w:val="50D37C72"/>
    <w:rsid w:val="50E466DC"/>
    <w:rsid w:val="50EA1869"/>
    <w:rsid w:val="50FD00F4"/>
    <w:rsid w:val="50FF056E"/>
    <w:rsid w:val="510F2A7F"/>
    <w:rsid w:val="512746EF"/>
    <w:rsid w:val="51283E4C"/>
    <w:rsid w:val="51291D35"/>
    <w:rsid w:val="512B3A7F"/>
    <w:rsid w:val="513B5867"/>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D41ACF"/>
    <w:rsid w:val="52EB6F11"/>
    <w:rsid w:val="52EF677C"/>
    <w:rsid w:val="52F0249E"/>
    <w:rsid w:val="52F361D0"/>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70166"/>
    <w:rsid w:val="547A28DC"/>
    <w:rsid w:val="54827775"/>
    <w:rsid w:val="54AC5134"/>
    <w:rsid w:val="54DE6078"/>
    <w:rsid w:val="54E86EBD"/>
    <w:rsid w:val="54F2526E"/>
    <w:rsid w:val="55075D9B"/>
    <w:rsid w:val="5516017D"/>
    <w:rsid w:val="55184BBF"/>
    <w:rsid w:val="551874CA"/>
    <w:rsid w:val="551E6A56"/>
    <w:rsid w:val="552006D3"/>
    <w:rsid w:val="55301CB3"/>
    <w:rsid w:val="55327054"/>
    <w:rsid w:val="553A26BA"/>
    <w:rsid w:val="5556054C"/>
    <w:rsid w:val="55603AEE"/>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AE0FB7"/>
    <w:rsid w:val="56C9634D"/>
    <w:rsid w:val="56D41BE8"/>
    <w:rsid w:val="56EC7A5D"/>
    <w:rsid w:val="56F4599D"/>
    <w:rsid w:val="570D0322"/>
    <w:rsid w:val="570F30D6"/>
    <w:rsid w:val="57180ACE"/>
    <w:rsid w:val="571B61B6"/>
    <w:rsid w:val="57213E7D"/>
    <w:rsid w:val="5723561B"/>
    <w:rsid w:val="572362C9"/>
    <w:rsid w:val="572F37C6"/>
    <w:rsid w:val="5736629C"/>
    <w:rsid w:val="57540996"/>
    <w:rsid w:val="576D3996"/>
    <w:rsid w:val="57802A35"/>
    <w:rsid w:val="578C3658"/>
    <w:rsid w:val="57B66918"/>
    <w:rsid w:val="57BD6FCE"/>
    <w:rsid w:val="57D214D2"/>
    <w:rsid w:val="57DA1A42"/>
    <w:rsid w:val="57DC32D5"/>
    <w:rsid w:val="58002D08"/>
    <w:rsid w:val="58057728"/>
    <w:rsid w:val="58175BBA"/>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2D3CE7"/>
    <w:rsid w:val="59395687"/>
    <w:rsid w:val="596F472F"/>
    <w:rsid w:val="5974345D"/>
    <w:rsid w:val="597534AA"/>
    <w:rsid w:val="59951C91"/>
    <w:rsid w:val="59982867"/>
    <w:rsid w:val="59A11ED6"/>
    <w:rsid w:val="59AB0DFC"/>
    <w:rsid w:val="59C1557F"/>
    <w:rsid w:val="59C8615E"/>
    <w:rsid w:val="59DA3B24"/>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3A6337"/>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A50038"/>
    <w:rsid w:val="5CCB04A2"/>
    <w:rsid w:val="5CCB282F"/>
    <w:rsid w:val="5CCD7E04"/>
    <w:rsid w:val="5CD51F6A"/>
    <w:rsid w:val="5CD6026B"/>
    <w:rsid w:val="5CE319F6"/>
    <w:rsid w:val="5CE42846"/>
    <w:rsid w:val="5CE9406B"/>
    <w:rsid w:val="5D0656E1"/>
    <w:rsid w:val="5D566DF5"/>
    <w:rsid w:val="5D5736EC"/>
    <w:rsid w:val="5D592213"/>
    <w:rsid w:val="5D6856E8"/>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AE58CA"/>
    <w:rsid w:val="5EB56E43"/>
    <w:rsid w:val="5EDB6E5E"/>
    <w:rsid w:val="5F050603"/>
    <w:rsid w:val="5F0F5BF5"/>
    <w:rsid w:val="5F1070E5"/>
    <w:rsid w:val="5F137093"/>
    <w:rsid w:val="5F475DFB"/>
    <w:rsid w:val="5F4A6912"/>
    <w:rsid w:val="5F5A7800"/>
    <w:rsid w:val="5F630214"/>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BB607C"/>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B36F3"/>
    <w:rsid w:val="621C707C"/>
    <w:rsid w:val="621E0130"/>
    <w:rsid w:val="62271A32"/>
    <w:rsid w:val="6245212D"/>
    <w:rsid w:val="624B2E9D"/>
    <w:rsid w:val="62504ABA"/>
    <w:rsid w:val="62510C1A"/>
    <w:rsid w:val="62607DE0"/>
    <w:rsid w:val="62757089"/>
    <w:rsid w:val="62AE05DB"/>
    <w:rsid w:val="62B60A29"/>
    <w:rsid w:val="62BA5EE7"/>
    <w:rsid w:val="62C02408"/>
    <w:rsid w:val="62F04E93"/>
    <w:rsid w:val="62F14EED"/>
    <w:rsid w:val="62FF3767"/>
    <w:rsid w:val="63074094"/>
    <w:rsid w:val="63256E52"/>
    <w:rsid w:val="6337684E"/>
    <w:rsid w:val="63403C73"/>
    <w:rsid w:val="63500CFE"/>
    <w:rsid w:val="6351410B"/>
    <w:rsid w:val="635D166D"/>
    <w:rsid w:val="635D4427"/>
    <w:rsid w:val="635F082F"/>
    <w:rsid w:val="63710CD7"/>
    <w:rsid w:val="639A0C81"/>
    <w:rsid w:val="63A00543"/>
    <w:rsid w:val="63BB4093"/>
    <w:rsid w:val="63BE2991"/>
    <w:rsid w:val="63CC234F"/>
    <w:rsid w:val="63D672A4"/>
    <w:rsid w:val="63E900E8"/>
    <w:rsid w:val="63F105D2"/>
    <w:rsid w:val="64003000"/>
    <w:rsid w:val="64020FD8"/>
    <w:rsid w:val="640B49C1"/>
    <w:rsid w:val="64156CD8"/>
    <w:rsid w:val="643F0D73"/>
    <w:rsid w:val="64413D22"/>
    <w:rsid w:val="64470699"/>
    <w:rsid w:val="644B6CD5"/>
    <w:rsid w:val="646253D3"/>
    <w:rsid w:val="64627D01"/>
    <w:rsid w:val="6473435B"/>
    <w:rsid w:val="64864D44"/>
    <w:rsid w:val="64A01013"/>
    <w:rsid w:val="64B277E2"/>
    <w:rsid w:val="64C76164"/>
    <w:rsid w:val="64D3186F"/>
    <w:rsid w:val="64EF2266"/>
    <w:rsid w:val="64F33559"/>
    <w:rsid w:val="64FD2EEA"/>
    <w:rsid w:val="64FF1ABC"/>
    <w:rsid w:val="650E3520"/>
    <w:rsid w:val="65197815"/>
    <w:rsid w:val="654069DE"/>
    <w:rsid w:val="65413B3E"/>
    <w:rsid w:val="654B3E81"/>
    <w:rsid w:val="655555A6"/>
    <w:rsid w:val="655F14F0"/>
    <w:rsid w:val="65620964"/>
    <w:rsid w:val="65660277"/>
    <w:rsid w:val="656E6D13"/>
    <w:rsid w:val="65990AED"/>
    <w:rsid w:val="65A63707"/>
    <w:rsid w:val="65A80F59"/>
    <w:rsid w:val="65A90B99"/>
    <w:rsid w:val="65AA319F"/>
    <w:rsid w:val="65AC5539"/>
    <w:rsid w:val="65BB595A"/>
    <w:rsid w:val="65DF280D"/>
    <w:rsid w:val="65F22562"/>
    <w:rsid w:val="65F65692"/>
    <w:rsid w:val="660C7338"/>
    <w:rsid w:val="66145C34"/>
    <w:rsid w:val="66407FD5"/>
    <w:rsid w:val="665346CA"/>
    <w:rsid w:val="6661498D"/>
    <w:rsid w:val="666B3926"/>
    <w:rsid w:val="668C5B9C"/>
    <w:rsid w:val="66A01E2A"/>
    <w:rsid w:val="66A421AD"/>
    <w:rsid w:val="66C77BCC"/>
    <w:rsid w:val="66CF58C8"/>
    <w:rsid w:val="66D00FF0"/>
    <w:rsid w:val="66E50A5C"/>
    <w:rsid w:val="66E5305A"/>
    <w:rsid w:val="66FA0A76"/>
    <w:rsid w:val="670314C2"/>
    <w:rsid w:val="670A28DD"/>
    <w:rsid w:val="671F2137"/>
    <w:rsid w:val="67256725"/>
    <w:rsid w:val="672C3BD3"/>
    <w:rsid w:val="67381BDA"/>
    <w:rsid w:val="67441F0C"/>
    <w:rsid w:val="674465E9"/>
    <w:rsid w:val="67594618"/>
    <w:rsid w:val="675B3954"/>
    <w:rsid w:val="676B6466"/>
    <w:rsid w:val="67954429"/>
    <w:rsid w:val="67BB24E6"/>
    <w:rsid w:val="67C47F84"/>
    <w:rsid w:val="67D85572"/>
    <w:rsid w:val="67DD10E7"/>
    <w:rsid w:val="67E51A4F"/>
    <w:rsid w:val="67E81C89"/>
    <w:rsid w:val="67F16AAB"/>
    <w:rsid w:val="67FC2A34"/>
    <w:rsid w:val="68022928"/>
    <w:rsid w:val="68060525"/>
    <w:rsid w:val="68163291"/>
    <w:rsid w:val="68244FDF"/>
    <w:rsid w:val="682634A6"/>
    <w:rsid w:val="68335612"/>
    <w:rsid w:val="683D75EE"/>
    <w:rsid w:val="683F6341"/>
    <w:rsid w:val="68413BF7"/>
    <w:rsid w:val="684A3899"/>
    <w:rsid w:val="684A6664"/>
    <w:rsid w:val="68516552"/>
    <w:rsid w:val="685D249D"/>
    <w:rsid w:val="68600066"/>
    <w:rsid w:val="6861776A"/>
    <w:rsid w:val="687222C2"/>
    <w:rsid w:val="6879445C"/>
    <w:rsid w:val="687A5897"/>
    <w:rsid w:val="687D194E"/>
    <w:rsid w:val="68865B9C"/>
    <w:rsid w:val="68945561"/>
    <w:rsid w:val="689D6C87"/>
    <w:rsid w:val="68A05E34"/>
    <w:rsid w:val="68A4599C"/>
    <w:rsid w:val="68AD0074"/>
    <w:rsid w:val="68D4182F"/>
    <w:rsid w:val="68DA458B"/>
    <w:rsid w:val="68E565D8"/>
    <w:rsid w:val="68E63EB3"/>
    <w:rsid w:val="68ED4DA7"/>
    <w:rsid w:val="68FC5EBD"/>
    <w:rsid w:val="69122538"/>
    <w:rsid w:val="69194FE8"/>
    <w:rsid w:val="691F4315"/>
    <w:rsid w:val="69544350"/>
    <w:rsid w:val="69605A13"/>
    <w:rsid w:val="69703FA0"/>
    <w:rsid w:val="69997B9C"/>
    <w:rsid w:val="69A36297"/>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6402B4"/>
    <w:rsid w:val="6A6C5CC4"/>
    <w:rsid w:val="6A777087"/>
    <w:rsid w:val="6A820574"/>
    <w:rsid w:val="6A883473"/>
    <w:rsid w:val="6A99048F"/>
    <w:rsid w:val="6AA077DB"/>
    <w:rsid w:val="6AA47C92"/>
    <w:rsid w:val="6AB909BB"/>
    <w:rsid w:val="6ABA0C51"/>
    <w:rsid w:val="6ABD020C"/>
    <w:rsid w:val="6ADD6D64"/>
    <w:rsid w:val="6B0F06C2"/>
    <w:rsid w:val="6B2B6878"/>
    <w:rsid w:val="6B480E55"/>
    <w:rsid w:val="6B633F4F"/>
    <w:rsid w:val="6B70680D"/>
    <w:rsid w:val="6B816F14"/>
    <w:rsid w:val="6B8A298B"/>
    <w:rsid w:val="6B8A779B"/>
    <w:rsid w:val="6BAD6C20"/>
    <w:rsid w:val="6BB456BB"/>
    <w:rsid w:val="6BB62A44"/>
    <w:rsid w:val="6BD81D0A"/>
    <w:rsid w:val="6BDD5BD0"/>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CEE4F56"/>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1F7C4B"/>
    <w:rsid w:val="6E2C20FC"/>
    <w:rsid w:val="6E2E569B"/>
    <w:rsid w:val="6E367102"/>
    <w:rsid w:val="6E4064F1"/>
    <w:rsid w:val="6E4E39FC"/>
    <w:rsid w:val="6E5545BD"/>
    <w:rsid w:val="6E5D1964"/>
    <w:rsid w:val="6E614B19"/>
    <w:rsid w:val="6E616F13"/>
    <w:rsid w:val="6E721676"/>
    <w:rsid w:val="6E7369B5"/>
    <w:rsid w:val="6E7B5CAB"/>
    <w:rsid w:val="6EAA56FE"/>
    <w:rsid w:val="6EB37B5B"/>
    <w:rsid w:val="6EBE6FBB"/>
    <w:rsid w:val="6ED70BA2"/>
    <w:rsid w:val="6EDB7671"/>
    <w:rsid w:val="6EF77260"/>
    <w:rsid w:val="6F0926A9"/>
    <w:rsid w:val="6F2302E3"/>
    <w:rsid w:val="6F314C13"/>
    <w:rsid w:val="6F382FA6"/>
    <w:rsid w:val="6F391F60"/>
    <w:rsid w:val="6F5F10BC"/>
    <w:rsid w:val="6F694006"/>
    <w:rsid w:val="6F6C5490"/>
    <w:rsid w:val="6F761900"/>
    <w:rsid w:val="6F801E34"/>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C31E24"/>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5500C4"/>
    <w:rsid w:val="7358775B"/>
    <w:rsid w:val="73625723"/>
    <w:rsid w:val="737007D9"/>
    <w:rsid w:val="738B5B50"/>
    <w:rsid w:val="73981AE0"/>
    <w:rsid w:val="73AA53A0"/>
    <w:rsid w:val="73B04F6B"/>
    <w:rsid w:val="73D20D1A"/>
    <w:rsid w:val="73E168D2"/>
    <w:rsid w:val="73E873C4"/>
    <w:rsid w:val="73F07AA4"/>
    <w:rsid w:val="74010DBC"/>
    <w:rsid w:val="74054701"/>
    <w:rsid w:val="740D2C3F"/>
    <w:rsid w:val="74135925"/>
    <w:rsid w:val="742827DB"/>
    <w:rsid w:val="74297888"/>
    <w:rsid w:val="742D6CA9"/>
    <w:rsid w:val="742E58A2"/>
    <w:rsid w:val="74525628"/>
    <w:rsid w:val="745F06BF"/>
    <w:rsid w:val="746C713B"/>
    <w:rsid w:val="747A6716"/>
    <w:rsid w:val="7487479C"/>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2D7A86"/>
    <w:rsid w:val="77683E14"/>
    <w:rsid w:val="77734EA5"/>
    <w:rsid w:val="777368EB"/>
    <w:rsid w:val="77A06542"/>
    <w:rsid w:val="77A922C9"/>
    <w:rsid w:val="77AC049C"/>
    <w:rsid w:val="77B23714"/>
    <w:rsid w:val="77BB772D"/>
    <w:rsid w:val="77D43FD2"/>
    <w:rsid w:val="77E31CE9"/>
    <w:rsid w:val="77FA155A"/>
    <w:rsid w:val="781137AD"/>
    <w:rsid w:val="781D13FA"/>
    <w:rsid w:val="782817E9"/>
    <w:rsid w:val="78555C26"/>
    <w:rsid w:val="78640057"/>
    <w:rsid w:val="78810787"/>
    <w:rsid w:val="78826969"/>
    <w:rsid w:val="788E3AAC"/>
    <w:rsid w:val="78B515B5"/>
    <w:rsid w:val="78B554F3"/>
    <w:rsid w:val="78C21620"/>
    <w:rsid w:val="78C43643"/>
    <w:rsid w:val="78CE2D76"/>
    <w:rsid w:val="78EE2375"/>
    <w:rsid w:val="78FA244C"/>
    <w:rsid w:val="78FE1B78"/>
    <w:rsid w:val="79024116"/>
    <w:rsid w:val="790B5E4F"/>
    <w:rsid w:val="790D572F"/>
    <w:rsid w:val="79233654"/>
    <w:rsid w:val="792A3948"/>
    <w:rsid w:val="79443451"/>
    <w:rsid w:val="79455569"/>
    <w:rsid w:val="79470AE2"/>
    <w:rsid w:val="79475BCF"/>
    <w:rsid w:val="795123A8"/>
    <w:rsid w:val="79535AC3"/>
    <w:rsid w:val="79620961"/>
    <w:rsid w:val="799534B7"/>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86755B"/>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BB76D8"/>
    <w:rsid w:val="7CC106AB"/>
    <w:rsid w:val="7CD51E1C"/>
    <w:rsid w:val="7CDF4250"/>
    <w:rsid w:val="7CFA128E"/>
    <w:rsid w:val="7CFD1A9F"/>
    <w:rsid w:val="7D09113D"/>
    <w:rsid w:val="7D157A0E"/>
    <w:rsid w:val="7D1658AD"/>
    <w:rsid w:val="7D1D4159"/>
    <w:rsid w:val="7D243099"/>
    <w:rsid w:val="7D4B3993"/>
    <w:rsid w:val="7D5F5E30"/>
    <w:rsid w:val="7D6C208F"/>
    <w:rsid w:val="7D895401"/>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8261</Words>
  <Characters>9211</Characters>
  <Lines>0</Lines>
  <Paragraphs>0</Paragraphs>
  <TotalTime>26</TotalTime>
  <ScaleCrop>false</ScaleCrop>
  <LinksUpToDate>false</LinksUpToDate>
  <CharactersWithSpaces>9388</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Tina</cp:lastModifiedBy>
  <cp:lastPrinted>2023-05-26T08:11:00Z</cp:lastPrinted>
  <dcterms:modified xsi:type="dcterms:W3CDTF">2024-06-24T08:56:40Z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ABFD537898924A04A8B700760C3FD287_13</vt:lpwstr>
  </property>
</Properties>
</file>