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5286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095286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095286" w:rsidRDefault="00095286">
      <w:pPr>
        <w:spacing w:line="115" w:lineRule="exact"/>
        <w:rPr>
          <w:color w:val="000000" w:themeColor="text1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095286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095286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095286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  <w:t>岳阳楼区工商业联合会</w:t>
            </w:r>
          </w:p>
        </w:tc>
      </w:tr>
      <w:tr w:rsidR="00095286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095286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095286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095286" w:rsidRDefault="00095286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679" w:type="dxa"/>
            <w:gridSpan w:val="2"/>
          </w:tcPr>
          <w:p w:rsidR="00095286" w:rsidRDefault="00975902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87.5</w:t>
            </w:r>
            <w:r w:rsidR="00000000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%</w:t>
            </w:r>
          </w:p>
        </w:tc>
      </w:tr>
      <w:tr w:rsidR="00095286">
        <w:trPr>
          <w:trHeight w:val="397"/>
        </w:trPr>
        <w:tc>
          <w:tcPr>
            <w:tcW w:w="3850" w:type="dxa"/>
          </w:tcPr>
          <w:p w:rsidR="00095286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095286">
        <w:trPr>
          <w:trHeight w:val="360"/>
        </w:trPr>
        <w:tc>
          <w:tcPr>
            <w:tcW w:w="3850" w:type="dxa"/>
          </w:tcPr>
          <w:p w:rsidR="00095286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0.97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0.50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1.50</w:t>
            </w:r>
          </w:p>
        </w:tc>
      </w:tr>
      <w:tr w:rsidR="00095286">
        <w:trPr>
          <w:trHeight w:val="462"/>
        </w:trPr>
        <w:tc>
          <w:tcPr>
            <w:tcW w:w="3850" w:type="dxa"/>
          </w:tcPr>
          <w:p w:rsidR="00095286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60"/>
        </w:trPr>
        <w:tc>
          <w:tcPr>
            <w:tcW w:w="3850" w:type="dxa"/>
          </w:tcPr>
          <w:p w:rsidR="00095286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70"/>
        </w:trPr>
        <w:tc>
          <w:tcPr>
            <w:tcW w:w="3850" w:type="dxa"/>
          </w:tcPr>
          <w:p w:rsidR="00095286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49"/>
        </w:trPr>
        <w:tc>
          <w:tcPr>
            <w:tcW w:w="3850" w:type="dxa"/>
          </w:tcPr>
          <w:p w:rsidR="00095286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59"/>
        </w:trPr>
        <w:tc>
          <w:tcPr>
            <w:tcW w:w="3850" w:type="dxa"/>
          </w:tcPr>
          <w:p w:rsidR="00095286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0.97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0.50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1.50</w:t>
            </w:r>
          </w:p>
        </w:tc>
      </w:tr>
      <w:tr w:rsidR="00095286">
        <w:trPr>
          <w:trHeight w:val="360"/>
        </w:trPr>
        <w:tc>
          <w:tcPr>
            <w:tcW w:w="3850" w:type="dxa"/>
          </w:tcPr>
          <w:p w:rsidR="00095286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11.00</w:t>
            </w:r>
          </w:p>
        </w:tc>
        <w:tc>
          <w:tcPr>
            <w:tcW w:w="1679" w:type="dxa"/>
            <w:gridSpan w:val="2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22.70</w:t>
            </w:r>
          </w:p>
        </w:tc>
      </w:tr>
      <w:tr w:rsidR="00095286">
        <w:trPr>
          <w:trHeight w:val="350"/>
        </w:trPr>
        <w:tc>
          <w:tcPr>
            <w:tcW w:w="3850" w:type="dxa"/>
          </w:tcPr>
          <w:p w:rsidR="00095286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11.00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22.70</w:t>
            </w:r>
          </w:p>
        </w:tc>
      </w:tr>
      <w:tr w:rsidR="00095286">
        <w:trPr>
          <w:trHeight w:val="370"/>
        </w:trPr>
        <w:tc>
          <w:tcPr>
            <w:tcW w:w="3850" w:type="dxa"/>
          </w:tcPr>
          <w:p w:rsidR="00095286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50"/>
        </w:trPr>
        <w:tc>
          <w:tcPr>
            <w:tcW w:w="3850" w:type="dxa"/>
          </w:tcPr>
          <w:p w:rsidR="0009528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:rsidR="00095286" w:rsidRDefault="00095286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095286" w:rsidRDefault="00095286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095286" w:rsidRDefault="00095286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95286">
        <w:trPr>
          <w:trHeight w:val="369"/>
        </w:trPr>
        <w:tc>
          <w:tcPr>
            <w:tcW w:w="3850" w:type="dxa"/>
          </w:tcPr>
          <w:p w:rsidR="00095286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60"/>
        </w:trPr>
        <w:tc>
          <w:tcPr>
            <w:tcW w:w="3850" w:type="dxa"/>
          </w:tcPr>
          <w:p w:rsidR="00095286" w:rsidRDefault="00095286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095286" w:rsidRDefault="00095286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095286" w:rsidRDefault="00095286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</w:tcPr>
          <w:p w:rsidR="00095286" w:rsidRDefault="00095286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95286">
        <w:trPr>
          <w:trHeight w:val="359"/>
        </w:trPr>
        <w:tc>
          <w:tcPr>
            <w:tcW w:w="3850" w:type="dxa"/>
          </w:tcPr>
          <w:p w:rsidR="00095286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95286">
        <w:trPr>
          <w:trHeight w:val="359"/>
        </w:trPr>
        <w:tc>
          <w:tcPr>
            <w:tcW w:w="3850" w:type="dxa"/>
          </w:tcPr>
          <w:p w:rsidR="00095286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36.37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10.80</w:t>
            </w:r>
          </w:p>
        </w:tc>
        <w:tc>
          <w:tcPr>
            <w:tcW w:w="1679" w:type="dxa"/>
            <w:gridSpan w:val="2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4.85</w:t>
            </w:r>
          </w:p>
        </w:tc>
      </w:tr>
      <w:tr w:rsidR="00095286">
        <w:trPr>
          <w:trHeight w:val="360"/>
        </w:trPr>
        <w:tc>
          <w:tcPr>
            <w:tcW w:w="3850" w:type="dxa"/>
          </w:tcPr>
          <w:p w:rsidR="00095286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34.06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10.80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4.67</w:t>
            </w:r>
          </w:p>
        </w:tc>
      </w:tr>
      <w:tr w:rsidR="00095286">
        <w:trPr>
          <w:trHeight w:val="350"/>
        </w:trPr>
        <w:tc>
          <w:tcPr>
            <w:tcW w:w="3850" w:type="dxa"/>
          </w:tcPr>
          <w:p w:rsidR="00095286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0.45</w:t>
            </w:r>
          </w:p>
        </w:tc>
        <w:tc>
          <w:tcPr>
            <w:tcW w:w="2325" w:type="dxa"/>
            <w:gridSpan w:val="2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0.15</w:t>
            </w:r>
          </w:p>
        </w:tc>
      </w:tr>
      <w:tr w:rsidR="00095286">
        <w:trPr>
          <w:trHeight w:val="359"/>
        </w:trPr>
        <w:tc>
          <w:tcPr>
            <w:tcW w:w="3850" w:type="dxa"/>
          </w:tcPr>
          <w:p w:rsidR="00095286" w:rsidRDefault="00000000">
            <w:pPr>
              <w:spacing w:before="144" w:line="198" w:lineRule="auto"/>
              <w:ind w:left="11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1.86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0.03</w:t>
            </w:r>
          </w:p>
        </w:tc>
      </w:tr>
      <w:tr w:rsidR="00095286">
        <w:trPr>
          <w:trHeight w:val="350"/>
        </w:trPr>
        <w:tc>
          <w:tcPr>
            <w:tcW w:w="3850" w:type="dxa"/>
          </w:tcPr>
          <w:p w:rsidR="00095286" w:rsidRDefault="00000000">
            <w:pPr>
              <w:spacing w:before="145" w:line="189" w:lineRule="auto"/>
              <w:ind w:left="10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23.44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20.65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17.55</w:t>
            </w:r>
          </w:p>
        </w:tc>
      </w:tr>
      <w:tr w:rsidR="00095286">
        <w:trPr>
          <w:trHeight w:val="360"/>
        </w:trPr>
        <w:tc>
          <w:tcPr>
            <w:tcW w:w="3850" w:type="dxa"/>
          </w:tcPr>
          <w:p w:rsidR="00095286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37.05</w:t>
            </w:r>
          </w:p>
        </w:tc>
        <w:tc>
          <w:tcPr>
            <w:tcW w:w="2325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108.35</w:t>
            </w:r>
          </w:p>
        </w:tc>
        <w:tc>
          <w:tcPr>
            <w:tcW w:w="1679" w:type="dxa"/>
            <w:gridSpan w:val="2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8.73</w:t>
            </w:r>
          </w:p>
        </w:tc>
      </w:tr>
      <w:tr w:rsidR="00095286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095286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095286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095286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095286" w:rsidRDefault="00095286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:rsidR="00095286" w:rsidRDefault="00095286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990" w:type="dxa"/>
          </w:tcPr>
          <w:p w:rsidR="00095286" w:rsidRDefault="00095286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140" w:type="dxa"/>
          </w:tcPr>
          <w:p w:rsidR="00095286" w:rsidRDefault="00095286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185" w:type="dxa"/>
          </w:tcPr>
          <w:p w:rsidR="00095286" w:rsidRDefault="00095286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810" w:type="dxa"/>
          </w:tcPr>
          <w:p w:rsidR="00095286" w:rsidRDefault="00095286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869" w:type="dxa"/>
          </w:tcPr>
          <w:p w:rsidR="00095286" w:rsidRDefault="00095286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095286">
        <w:trPr>
          <w:trHeight w:val="369"/>
        </w:trPr>
        <w:tc>
          <w:tcPr>
            <w:tcW w:w="3850" w:type="dxa"/>
          </w:tcPr>
          <w:p w:rsidR="00095286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095286" w:rsidRDefault="00095286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</w:tbl>
    <w:p w:rsidR="00095286" w:rsidRDefault="00000000">
      <w:pPr>
        <w:spacing w:line="410" w:lineRule="exac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095286" w:rsidRDefault="00000000">
      <w:pPr>
        <w:jc w:val="left"/>
        <w:rPr>
          <w:rFonts w:asciiTheme="majorEastAsia" w:eastAsiaTheme="majorEastAsia" w:hAnsiTheme="majorEastAsia" w:cstheme="majorEastAsia" w:hint="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2"/>
          <w:szCs w:val="22"/>
        </w:rPr>
        <w:t>填表人：       联系电话：          单位负责人签字：         填报日期：2023年6月30日</w:t>
      </w:r>
    </w:p>
    <w:p w:rsidR="00095286" w:rsidRDefault="00095286">
      <w:pPr>
        <w:rPr>
          <w:rFonts w:ascii="黑体" w:eastAsia="黑体" w:hAnsi="黑体" w:cs="黑体" w:hint="eastAsia"/>
          <w:color w:val="000000" w:themeColor="text1"/>
          <w:spacing w:val="10"/>
          <w:sz w:val="22"/>
          <w:szCs w:val="22"/>
        </w:rPr>
        <w:sectPr w:rsidR="00095286">
          <w:footerReference w:type="default" r:id="rId8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095286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0952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 xml:space="preserve">  2022年度预算单位整体支出绩效自评表</w:t>
      </w:r>
    </w:p>
    <w:p w:rsidR="00095286" w:rsidRDefault="00095286">
      <w:pPr>
        <w:spacing w:line="168" w:lineRule="exact"/>
        <w:rPr>
          <w:color w:val="000000" w:themeColor="text1"/>
        </w:rPr>
      </w:pPr>
    </w:p>
    <w:tbl>
      <w:tblPr>
        <w:tblStyle w:val="TableNormal"/>
        <w:tblW w:w="98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29"/>
        <w:gridCol w:w="1269"/>
        <w:gridCol w:w="1238"/>
        <w:gridCol w:w="1340"/>
        <w:gridCol w:w="719"/>
        <w:gridCol w:w="802"/>
        <w:gridCol w:w="1275"/>
      </w:tblGrid>
      <w:tr w:rsidR="00095286">
        <w:trPr>
          <w:trHeight w:val="484"/>
        </w:trPr>
        <w:tc>
          <w:tcPr>
            <w:tcW w:w="1084" w:type="dxa"/>
          </w:tcPr>
          <w:p w:rsidR="00095286" w:rsidRDefault="00000000">
            <w:pPr>
              <w:spacing w:line="198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 w:rsidR="00095286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岳阳楼区工商联</w:t>
            </w:r>
          </w:p>
        </w:tc>
      </w:tr>
      <w:tr w:rsidR="00095286">
        <w:trPr>
          <w:trHeight w:val="240"/>
        </w:trPr>
        <w:tc>
          <w:tcPr>
            <w:tcW w:w="1084" w:type="dxa"/>
            <w:vMerge w:val="restart"/>
            <w:tcBorders>
              <w:bottom w:val="nil"/>
            </w:tcBorders>
          </w:tcPr>
          <w:p w:rsidR="00095286" w:rsidRDefault="00095286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095286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 w:rsidR="00095286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095286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095286" w:rsidRDefault="00000000">
            <w:pPr>
              <w:spacing w:line="19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119.35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139.78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139.78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</w:pPr>
            <w:r w:rsidRPr="00975902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100.00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10</w:t>
            </w:r>
          </w:p>
        </w:tc>
      </w:tr>
      <w:tr w:rsidR="00095286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139.78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6"/>
                <w:szCs w:val="21"/>
              </w:rPr>
              <w:t>139.78</w:t>
            </w:r>
          </w:p>
        </w:tc>
      </w:tr>
      <w:tr w:rsidR="00095286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139.78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117.08</w:t>
            </w:r>
          </w:p>
        </w:tc>
      </w:tr>
      <w:tr w:rsidR="00095286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22.70</w:t>
            </w:r>
          </w:p>
        </w:tc>
      </w:tr>
      <w:tr w:rsidR="00095286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95286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095286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95286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095286">
        <w:trPr>
          <w:trHeight w:val="239"/>
        </w:trPr>
        <w:tc>
          <w:tcPr>
            <w:tcW w:w="1084" w:type="dxa"/>
            <w:vMerge w:val="restart"/>
            <w:tcBorders>
              <w:bottom w:val="nil"/>
            </w:tcBorders>
          </w:tcPr>
          <w:p w:rsidR="00095286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095286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15" w:type="dxa"/>
            <w:gridSpan w:val="4"/>
            <w:vAlign w:val="center"/>
          </w:tcPr>
          <w:p w:rsidR="00095286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Arial" w:eastAsia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  <w:t>组织开展入党积极分子培训；开展政治机关建设，定期开展集体学习；帮扶重点产业、重点企业行动办公室；各区级联点领导及责任单位均到联点企业深入走访。</w:t>
            </w:r>
          </w:p>
        </w:tc>
        <w:tc>
          <w:tcPr>
            <w:tcW w:w="4136" w:type="dxa"/>
            <w:gridSpan w:val="4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已完成</w:t>
            </w:r>
          </w:p>
        </w:tc>
      </w:tr>
      <w:tr w:rsidR="00095286">
        <w:trPr>
          <w:trHeight w:val="46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095286" w:rsidRDefault="00095286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095286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 w:rsidR="00095286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095286" w:rsidRDefault="00000000">
            <w:pPr>
              <w:spacing w:line="19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095286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:rsidR="00095286" w:rsidRDefault="00095286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95286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95286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95286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00000">
            <w:pPr>
              <w:spacing w:line="48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企业教育培训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2次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095286" w:rsidRDefault="00095286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9"/>
                <w:szCs w:val="21"/>
              </w:rPr>
            </w:pPr>
          </w:p>
        </w:tc>
        <w:tc>
          <w:tcPr>
            <w:tcW w:w="1029" w:type="dxa"/>
            <w:vMerge/>
            <w:vAlign w:val="center"/>
          </w:tcPr>
          <w:p w:rsidR="00095286" w:rsidRDefault="00095286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30" w:lineRule="exact"/>
              <w:ind w:firstLineChars="100" w:firstLine="206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  <w:t>党的二十大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095286" w:rsidRDefault="00095286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9"/>
                <w:szCs w:val="21"/>
              </w:rPr>
            </w:pPr>
          </w:p>
        </w:tc>
        <w:tc>
          <w:tcPr>
            <w:tcW w:w="1029" w:type="dxa"/>
            <w:vMerge/>
            <w:vAlign w:val="center"/>
          </w:tcPr>
          <w:p w:rsidR="00095286" w:rsidRDefault="00095286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3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  <w:t>政治机关建设，定期开展集体学习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12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12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095286" w:rsidRDefault="00095286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9"/>
                <w:szCs w:val="21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095286" w:rsidRDefault="00095286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3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Arial" w:hint="eastAsia"/>
                <w:color w:val="000000" w:themeColor="text1"/>
                <w:sz w:val="20"/>
              </w:rPr>
              <w:t>民营企业调研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200家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200家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31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意见建议答复率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3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31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095286" w:rsidRDefault="00095286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执法公正率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3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31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095286" w:rsidRDefault="00095286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会议率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100%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4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年度完成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2022年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2022年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控制预算成本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119.35万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139.78万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095286" w:rsidRDefault="00000000">
            <w:pPr>
              <w:spacing w:line="239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支出超出年初预算数，单位预算需更细致</w:t>
            </w:r>
          </w:p>
        </w:tc>
      </w:tr>
      <w:tr w:rsidR="00095286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:rsidR="00095286" w:rsidRDefault="00095286"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95286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95286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95286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095286" w:rsidRDefault="00000000">
            <w:pPr>
              <w:spacing w:line="49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2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经济效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提升社会人民的经济发展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有提升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有提升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   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1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社会效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提高企业和非公优质经济人士依法诚信经营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有所提高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有所提高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生态效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不适用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不适用</w:t>
            </w:r>
          </w:p>
        </w:tc>
        <w:tc>
          <w:tcPr>
            <w:tcW w:w="719" w:type="dxa"/>
            <w:vAlign w:val="center"/>
          </w:tcPr>
          <w:p w:rsidR="00095286" w:rsidRDefault="00095286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095286" w:rsidRDefault="00095286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5286" w:rsidRDefault="00095286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095286">
        <w:trPr>
          <w:trHeight w:val="3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0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可持续影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提高经营人士的政治思想和政策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有所提高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有所提高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095286">
        <w:trPr>
          <w:trHeight w:val="31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095286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服务对象</w:t>
            </w:r>
          </w:p>
          <w:p w:rsidR="00095286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Cs w:val="21"/>
              </w:rPr>
              <w:t>满意度指</w:t>
            </w:r>
          </w:p>
          <w:p w:rsidR="00095286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vAlign w:val="center"/>
          </w:tcPr>
          <w:p w:rsidR="00095286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社会满意度</w:t>
            </w: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90%</w:t>
            </w:r>
          </w:p>
        </w:tc>
        <w:tc>
          <w:tcPr>
            <w:tcW w:w="1238" w:type="dxa"/>
            <w:vAlign w:val="center"/>
          </w:tcPr>
          <w:p w:rsidR="0009528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90%</w:t>
            </w:r>
          </w:p>
        </w:tc>
        <w:tc>
          <w:tcPr>
            <w:tcW w:w="1340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90%</w:t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rPr>
                <w:rFonts w:ascii="Arial"/>
                <w:color w:val="000000" w:themeColor="text1"/>
              </w:rPr>
            </w:pPr>
          </w:p>
        </w:tc>
      </w:tr>
      <w:tr w:rsidR="00095286">
        <w:trPr>
          <w:trHeight w:val="265"/>
        </w:trPr>
        <w:tc>
          <w:tcPr>
            <w:tcW w:w="7039" w:type="dxa"/>
            <w:gridSpan w:val="6"/>
            <w:vAlign w:val="center"/>
          </w:tcPr>
          <w:p w:rsidR="00095286" w:rsidRDefault="00000000"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lastRenderedPageBreak/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:rsidR="00095286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 w:rsidR="00095286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95</w:t>
            </w:r>
          </w:p>
        </w:tc>
        <w:tc>
          <w:tcPr>
            <w:tcW w:w="1275" w:type="dxa"/>
            <w:vAlign w:val="center"/>
          </w:tcPr>
          <w:p w:rsidR="00095286" w:rsidRDefault="00095286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 w:rsidR="00095286" w:rsidRDefault="0000000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  <w:sectPr w:rsidR="00095286"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   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ascii="仿宋" w:eastAsia="仿宋" w:hAnsi="仿宋" w:cs="仿宋"/>
          <w:color w:val="000000" w:themeColor="text1"/>
          <w:spacing w:val="2"/>
          <w:sz w:val="22"/>
          <w:szCs w:val="22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pacing w:val="2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2"/>
          <w:sz w:val="22"/>
          <w:szCs w:val="22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  <w:t xml:space="preserve">                    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pacing w:val="3"/>
          <w:sz w:val="22"/>
          <w:szCs w:val="22"/>
        </w:rPr>
        <w:t>2023年6月30日</w:t>
      </w: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 xml:space="preserve">  </w:t>
      </w:r>
    </w:p>
    <w:p w:rsidR="00095286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095286" w:rsidRDefault="00095286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</w:p>
    <w:p w:rsidR="000952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  <w:t>岳阳楼区工商业联合会</w:t>
      </w: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单位整体支出</w:t>
      </w:r>
    </w:p>
    <w:p w:rsidR="000952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   ( 盖 章 )</w:t>
      </w:r>
    </w:p>
    <w:p w:rsidR="00095286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2023年6月30日</w:t>
      </w: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2022年度岳阳楼区工商业联合会单位整体支出绩效自评报告</w:t>
      </w: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95286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095286" w:rsidRDefault="00000000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单位基本情况</w:t>
      </w:r>
    </w:p>
    <w:p w:rsidR="00095286" w:rsidRDefault="00000000">
      <w:pPr>
        <w:ind w:leftChars="200" w:left="420"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岳阳市岳阳楼区工商业联合会隶属区委群团机关，为正科级单位，内设办公室、经济联络股两个股室，二级机构一个维权服务中心。年末在编在岗7人。</w:t>
      </w:r>
    </w:p>
    <w:p w:rsidR="00095286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095286" w:rsidRDefault="00000000">
      <w:p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095286" w:rsidRDefault="00000000">
      <w:pPr>
        <w:ind w:leftChars="200" w:left="420"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预算基本支出数108.35万元，其中：人员经费97.55万元，公用经费10.80万元；本年度决算基本支出数117.08万元，其中：人员经费数112.23万元，公用经费数4.85万元；年初“三公经费”数0.50万元，决算数1.50万元，为公务接待费用支出。</w:t>
      </w:r>
    </w:p>
    <w:p w:rsidR="00095286" w:rsidRDefault="00000000">
      <w:pPr>
        <w:numPr>
          <w:ilvl w:val="0"/>
          <w:numId w:val="2"/>
        </w:num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项目支出情况</w:t>
      </w:r>
    </w:p>
    <w:p w:rsidR="00095286" w:rsidRDefault="00000000">
      <w:pPr>
        <w:ind w:leftChars="200" w:left="4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2022年度本单位预算项目支出数11.00万元，决算项目支出数22.70万元，不为单独立项项目支出，都是业务经费支出。</w:t>
      </w:r>
    </w:p>
    <w:p w:rsidR="00095286" w:rsidRDefault="00095286">
      <w:pPr>
        <w:ind w:leftChars="200" w:left="4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leftChars="200" w:left="420" w:firstLineChars="100" w:firstLine="32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</w:p>
    <w:p w:rsidR="00095286" w:rsidRDefault="00000000">
      <w:pPr>
        <w:ind w:leftChars="200" w:left="420" w:firstLineChars="100" w:firstLine="32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095286" w:rsidRDefault="00000000">
      <w:pPr>
        <w:ind w:leftChars="200" w:left="4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单位本年度政府性基金预算支出：无。</w:t>
      </w:r>
    </w:p>
    <w:p w:rsidR="00095286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国有资本经营预算支出情况</w:t>
      </w:r>
    </w:p>
    <w:p w:rsidR="00095286" w:rsidRDefault="00000000">
      <w:pPr>
        <w:ind w:leftChars="200" w:left="4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单位本年度国有资本经营预算支出：无。</w:t>
      </w:r>
    </w:p>
    <w:p w:rsidR="00095286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社会保险基金预算支出情况</w:t>
      </w:r>
    </w:p>
    <w:p w:rsidR="00095286" w:rsidRDefault="00000000">
      <w:pPr>
        <w:ind w:leftChars="200" w:left="4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单位本年度社会保险基金预算支出：无。</w:t>
      </w:r>
    </w:p>
    <w:p w:rsidR="00095286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六、部门整体支出绩效情况</w:t>
      </w:r>
    </w:p>
    <w:p w:rsidR="00095286" w:rsidRDefault="00000000">
      <w:pPr>
        <w:ind w:leftChars="200" w:left="420"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，在抓好机关党员干部党史学习教育的同时，我们还负责指导区商会协会党委下属的14个党支部的开展学习教育。在会员中深入开展理想信念教育实践活动。深入开展企业帮扶，各区级联点领导及责任单位先后下到联点企业开展走访调研。</w:t>
      </w:r>
    </w:p>
    <w:p w:rsidR="00095286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七、存在的问题及原因分析</w:t>
      </w:r>
    </w:p>
    <w:p w:rsidR="00095286" w:rsidRDefault="00000000">
      <w:pPr>
        <w:ind w:leftChars="200" w:left="420"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绩效管理要进一步加强，将绩效理念贯穿于预算编制与执行的全过程。</w:t>
      </w:r>
    </w:p>
    <w:p w:rsidR="00095286" w:rsidRDefault="00000000">
      <w:pPr>
        <w:numPr>
          <w:ilvl w:val="0"/>
          <w:numId w:val="4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下一步改进措施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进一步落实有关文件精神，抓好财务管理工作。</w:t>
      </w:r>
    </w:p>
    <w:p w:rsidR="00095286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整体绩效评价综述：根据年初设定的整体绩效目标，整体绩效自评得分为95分。全年预算数为119.35万元，执行数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为139.78万元，超出预算的17.12%。主要包括:人员支出112.23万元，公用支出4.85万元。 </w:t>
      </w: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报告需要以下附件：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1、部门整体支出绩效评价基础数据表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2、部门整体支出绩效自评表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3、项目支出绩效自评表(一个一级项目支出一张表)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4、政府性基金预算支出情况表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5、国有资本经营预算支出情况表</w:t>
      </w:r>
    </w:p>
    <w:p w:rsidR="00095286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6、社会保险基金预算支出情况表</w:t>
      </w: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095286" w:rsidRDefault="00095286">
      <w:pPr>
        <w:spacing w:before="169" w:line="776" w:lineRule="exact"/>
        <w:ind w:left="372"/>
        <w:rPr>
          <w:rFonts w:ascii="宋体" w:eastAsia="宋体" w:hAnsi="宋体" w:cs="宋体" w:hint="eastAsia"/>
          <w:b/>
          <w:bCs/>
          <w:color w:val="000000" w:themeColor="text1"/>
          <w:spacing w:val="19"/>
          <w:position w:val="17"/>
          <w:sz w:val="36"/>
          <w:szCs w:val="36"/>
        </w:rPr>
        <w:sectPr w:rsidR="00095286"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</w:p>
    <w:p w:rsidR="00095286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附件5</w:t>
      </w:r>
    </w:p>
    <w:p w:rsidR="00095286" w:rsidRDefault="00095286">
      <w:pPr>
        <w:ind w:firstLineChars="400" w:firstLine="1440"/>
        <w:rPr>
          <w:rFonts w:eastAsia="方正小标宋简体"/>
          <w:sz w:val="36"/>
          <w:szCs w:val="36"/>
        </w:rPr>
      </w:pPr>
    </w:p>
    <w:p w:rsidR="00095286" w:rsidRDefault="00000000">
      <w:pPr>
        <w:ind w:firstLineChars="400" w:firstLine="1440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eastAsia="方正小标宋简体" w:hint="eastAsia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1501"/>
        <w:gridCol w:w="6482"/>
        <w:gridCol w:w="753"/>
      </w:tblGrid>
      <w:tr w:rsidR="00095286">
        <w:trPr>
          <w:trHeight w:val="630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:rsidR="00095286">
        <w:trPr>
          <w:trHeight w:val="1234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实施评价</w:t>
            </w:r>
          </w:p>
          <w:p w:rsidR="00095286" w:rsidRDefault="00095286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095286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单位自查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</w:t>
            </w:r>
          </w:p>
        </w:tc>
      </w:tr>
      <w:tr w:rsidR="00095286">
        <w:trPr>
          <w:trHeight w:val="682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95286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提交报告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</w:t>
            </w:r>
          </w:p>
        </w:tc>
      </w:tr>
      <w:tr w:rsidR="00095286">
        <w:trPr>
          <w:trHeight w:val="1408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095286" w:rsidRDefault="00095286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的完整性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1.绩效自评报告正文部分内容齐全的，得8分；否则每少一个部分扣2分，最多扣8分。</w:t>
            </w:r>
          </w:p>
          <w:p w:rsidR="00095286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</w:t>
            </w:r>
          </w:p>
        </w:tc>
      </w:tr>
      <w:tr w:rsidR="00095286">
        <w:trPr>
          <w:trHeight w:val="3405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95286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绩效自评表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adjustRightInd w:val="0"/>
              <w:snapToGrid w:val="0"/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:rsidR="00095286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:rsidR="00095286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</w:t>
            </w:r>
          </w:p>
        </w:tc>
      </w:tr>
      <w:tr w:rsidR="00095286">
        <w:trPr>
          <w:trHeight w:val="1640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95286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绩效评价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报告反映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问题情况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ind w:firstLineChars="100" w:firstLine="23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asciiTheme="majorEastAsia" w:eastAsiaTheme="majorEastAsia" w:hAnsiTheme="majorEastAsia" w:cstheme="majorEastAsia" w:hint="eastAsia"/>
                <w:spacing w:val="9"/>
                <w:szCs w:val="21"/>
              </w:rPr>
              <w:t>配、使用和管理，资产和财务管理，政府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全面的，得16—</w:t>
            </w:r>
            <w:r>
              <w:rPr>
                <w:rFonts w:asciiTheme="majorEastAsia" w:eastAsiaTheme="majorEastAsia" w:hAnsiTheme="majorEastAsia" w:cstheme="majorEastAsia" w:hint="eastAsia"/>
                <w:spacing w:val="-73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15分；问题未归纳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且过于简单的，得10—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18</w:t>
            </w:r>
          </w:p>
        </w:tc>
      </w:tr>
      <w:tr w:rsidR="00095286">
        <w:trPr>
          <w:trHeight w:val="13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95286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针对问题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提出可行性建议的情况</w:t>
            </w:r>
          </w:p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ind w:firstLineChars="100" w:firstLine="216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asciiTheme="majorEastAsia" w:eastAsiaTheme="majorEastAsia" w:hAnsiTheme="majorEastAsia" w:cstheme="majorEastAsia" w:hint="eastAsia"/>
                <w:spacing w:val="-55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14分，建议不全面的得9—</w:t>
            </w:r>
            <w:r>
              <w:rPr>
                <w:rFonts w:asciiTheme="majorEastAsia" w:eastAsiaTheme="majorEastAsia" w:hAnsiTheme="majorEastAsia" w:cstheme="majorEastAsia" w:hint="eastAsia"/>
                <w:spacing w:val="-72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14</w:t>
            </w:r>
          </w:p>
        </w:tc>
      </w:tr>
      <w:tr w:rsidR="00095286">
        <w:trPr>
          <w:trHeight w:val="5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95286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86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97</w:t>
            </w:r>
          </w:p>
        </w:tc>
      </w:tr>
    </w:tbl>
    <w:p w:rsidR="00095286" w:rsidRDefault="00095286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095286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1244" w:rsidRDefault="00CC1244">
      <w:r>
        <w:separator/>
      </w:r>
    </w:p>
  </w:endnote>
  <w:endnote w:type="continuationSeparator" w:id="0">
    <w:p w:rsidR="00CC1244" w:rsidRDefault="00CC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5286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5286" w:rsidRDefault="00000000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095286" w:rsidRDefault="00000000">
                    <w:pPr>
                      <w:pStyle w:val="a3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1244" w:rsidRDefault="00CC1244">
      <w:r>
        <w:separator/>
      </w:r>
    </w:p>
  </w:footnote>
  <w:footnote w:type="continuationSeparator" w:id="0">
    <w:p w:rsidR="00CC1244" w:rsidRDefault="00CC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4A6C1"/>
    <w:multiLevelType w:val="singleLevel"/>
    <w:tmpl w:val="85E4A6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F11A94"/>
    <w:multiLevelType w:val="singleLevel"/>
    <w:tmpl w:val="10F11A94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 w15:restartNumberingAfterBreak="0">
    <w:nsid w:val="132273E4"/>
    <w:multiLevelType w:val="singleLevel"/>
    <w:tmpl w:val="132273E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00513DC"/>
    <w:multiLevelType w:val="singleLevel"/>
    <w:tmpl w:val="200513DC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0103065">
    <w:abstractNumId w:val="0"/>
  </w:num>
  <w:num w:numId="2" w16cid:durableId="544947970">
    <w:abstractNumId w:val="1"/>
  </w:num>
  <w:num w:numId="3" w16cid:durableId="1533306062">
    <w:abstractNumId w:val="2"/>
  </w:num>
  <w:num w:numId="4" w16cid:durableId="96996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81EC8"/>
    <w:rsid w:val="00095286"/>
    <w:rsid w:val="000A3765"/>
    <w:rsid w:val="001D7282"/>
    <w:rsid w:val="002652BA"/>
    <w:rsid w:val="0039081D"/>
    <w:rsid w:val="005B71F0"/>
    <w:rsid w:val="005E6ECB"/>
    <w:rsid w:val="00744EA1"/>
    <w:rsid w:val="009419CA"/>
    <w:rsid w:val="00955854"/>
    <w:rsid w:val="00975902"/>
    <w:rsid w:val="009C7330"/>
    <w:rsid w:val="00A00FBB"/>
    <w:rsid w:val="00BF0721"/>
    <w:rsid w:val="00C03795"/>
    <w:rsid w:val="00CC1244"/>
    <w:rsid w:val="00CE3756"/>
    <w:rsid w:val="00D27A74"/>
    <w:rsid w:val="00DF14BB"/>
    <w:rsid w:val="00E61CBC"/>
    <w:rsid w:val="00E7753F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1D7587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31528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AD2F91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E6371B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D10F99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B31C5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140F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7107F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80F9A"/>
    <w:rsid w:val="34E22DC0"/>
    <w:rsid w:val="350233D4"/>
    <w:rsid w:val="35195F01"/>
    <w:rsid w:val="35313A72"/>
    <w:rsid w:val="353B2318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1F61E5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73343"/>
    <w:rsid w:val="37C244FC"/>
    <w:rsid w:val="37D95C79"/>
    <w:rsid w:val="37E81F7B"/>
    <w:rsid w:val="38026A1B"/>
    <w:rsid w:val="38197832"/>
    <w:rsid w:val="383903C6"/>
    <w:rsid w:val="383C423B"/>
    <w:rsid w:val="38415136"/>
    <w:rsid w:val="384F7D3D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07C46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7F33BB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760E6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196545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A81487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6404F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C06849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21749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C6291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B72D9E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77A79"/>
    <w:rsid w:val="547A28DC"/>
    <w:rsid w:val="54827775"/>
    <w:rsid w:val="54AC5134"/>
    <w:rsid w:val="54DE6078"/>
    <w:rsid w:val="54E86EBD"/>
    <w:rsid w:val="54F2526E"/>
    <w:rsid w:val="55075D9B"/>
    <w:rsid w:val="550A17D8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05256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B20080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69556D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4A7F33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522D6"/>
    <w:rsid w:val="640B49C1"/>
    <w:rsid w:val="64156CD8"/>
    <w:rsid w:val="643C0566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61708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AC1F3F"/>
    <w:rsid w:val="67C47F84"/>
    <w:rsid w:val="67D85572"/>
    <w:rsid w:val="67DD10E7"/>
    <w:rsid w:val="67E51A4F"/>
    <w:rsid w:val="67E81C89"/>
    <w:rsid w:val="67F16AAB"/>
    <w:rsid w:val="67FC2A34"/>
    <w:rsid w:val="67FD341E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F79E8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C2197D"/>
    <w:rsid w:val="72C708B1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3F2EC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7F4028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346DE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394E62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04F12"/>
  <w15:docId w15:val="{B391B3CA-3062-48ED-BE93-98916D0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3</cp:revision>
  <cp:lastPrinted>2023-05-26T08:11:00Z</cp:lastPrinted>
  <dcterms:created xsi:type="dcterms:W3CDTF">2023-04-23T08:56:00Z</dcterms:created>
  <dcterms:modified xsi:type="dcterms:W3CDTF">2024-10-16T02:17:00Z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