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E2C68D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附件</w:t>
      </w: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</w:t>
      </w:r>
    </w:p>
    <w:p w14:paraId="44C6A39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firstLine="0" w:firstLineChars="0"/>
        <w:jc w:val="right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14:textFill>
            <w14:solidFill>
              <w14:schemeClr w14:val="tx1"/>
            </w14:solidFill>
          </w14:textFill>
        </w:rPr>
        <w:t>2022年度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:lang w:eastAsia="zh-CN"/>
          <w14:textFill>
            <w14:solidFill>
              <w14:schemeClr w14:val="tx1"/>
            </w14:solidFill>
          </w14:textFill>
        </w:rPr>
        <w:t>预算单位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14:textFill>
            <w14:solidFill>
              <w14:schemeClr w14:val="tx1"/>
            </w14:solidFill>
          </w14:textFill>
        </w:rPr>
        <w:t>整体支出绩效评价基础数据表</w:t>
      </w:r>
    </w:p>
    <w:p w14:paraId="3B068E94">
      <w:pPr>
        <w:spacing w:line="115" w:lineRule="exact"/>
        <w:rPr>
          <w:color w:val="000000" w:themeColor="text1"/>
          <w14:textFill>
            <w14:solidFill>
              <w14:schemeClr w14:val="tx1"/>
            </w14:solidFill>
          </w14:textFill>
        </w:rPr>
      </w:pPr>
    </w:p>
    <w:tbl>
      <w:tblPr>
        <w:tblStyle w:val="8"/>
        <w:tblW w:w="9669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850"/>
        <w:gridCol w:w="825"/>
        <w:gridCol w:w="990"/>
        <w:gridCol w:w="1140"/>
        <w:gridCol w:w="1185"/>
        <w:gridCol w:w="810"/>
        <w:gridCol w:w="869"/>
      </w:tblGrid>
      <w:tr w14:paraId="7F5632A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</w:trPr>
        <w:tc>
          <w:tcPr>
            <w:tcW w:w="3850" w:type="dxa"/>
            <w:tcBorders>
              <w:bottom w:val="nil"/>
            </w:tcBorders>
            <w:noWrap w:val="0"/>
            <w:vAlign w:val="center"/>
          </w:tcPr>
          <w:p w14:paraId="58D2D2F7">
            <w:pPr>
              <w:spacing w:before="33" w:line="198" w:lineRule="auto"/>
              <w:ind w:right="118" w:rightChars="0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预算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单位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名称</w:t>
            </w:r>
          </w:p>
        </w:tc>
        <w:tc>
          <w:tcPr>
            <w:tcW w:w="5819" w:type="dxa"/>
            <w:gridSpan w:val="6"/>
            <w:noWrap w:val="0"/>
            <w:vAlign w:val="top"/>
          </w:tcPr>
          <w:p w14:paraId="218ACAD4">
            <w:pPr>
              <w:spacing w:before="103" w:line="219" w:lineRule="auto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岳阳市沿湖风光带管理中心</w:t>
            </w:r>
          </w:p>
        </w:tc>
      </w:tr>
      <w:tr w14:paraId="143D1DC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5" w:hRule="atLeast"/>
        </w:trPr>
        <w:tc>
          <w:tcPr>
            <w:tcW w:w="3850" w:type="dxa"/>
            <w:vMerge w:val="restart"/>
            <w:tcBorders>
              <w:bottom w:val="nil"/>
            </w:tcBorders>
            <w:noWrap w:val="0"/>
            <w:vAlign w:val="top"/>
          </w:tcPr>
          <w:p w14:paraId="0934ECF9">
            <w:pPr>
              <w:spacing w:before="262" w:line="219" w:lineRule="auto"/>
              <w:ind w:left="575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财政供养人员情况(人)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7BB234BA">
            <w:pPr>
              <w:spacing w:before="103" w:line="219" w:lineRule="auto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3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编制数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770C10D9">
            <w:pPr>
              <w:spacing w:before="83" w:line="219" w:lineRule="auto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2022年实际在职人数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6E4D3689">
            <w:pPr>
              <w:spacing w:before="103" w:line="219" w:lineRule="auto"/>
              <w:ind w:left="708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控制率</w:t>
            </w:r>
          </w:p>
        </w:tc>
      </w:tr>
      <w:tr w14:paraId="01EB4F8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vMerge w:val="continue"/>
            <w:tcBorders>
              <w:top w:val="nil"/>
            </w:tcBorders>
            <w:noWrap w:val="0"/>
            <w:vAlign w:val="top"/>
          </w:tcPr>
          <w:p w14:paraId="74276068">
            <w:pPr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815" w:type="dxa"/>
            <w:gridSpan w:val="2"/>
            <w:noWrap w:val="0"/>
            <w:vAlign w:val="top"/>
          </w:tcPr>
          <w:p w14:paraId="2A14137C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8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39F8C43C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4D11977A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112.50%</w:t>
            </w:r>
          </w:p>
        </w:tc>
      </w:tr>
      <w:tr w14:paraId="5A7BD95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</w:trPr>
        <w:tc>
          <w:tcPr>
            <w:tcW w:w="3850" w:type="dxa"/>
            <w:noWrap w:val="0"/>
            <w:vAlign w:val="top"/>
          </w:tcPr>
          <w:p w14:paraId="1BF5159F">
            <w:pPr>
              <w:spacing w:before="140" w:line="202" w:lineRule="auto"/>
              <w:ind w:left="6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4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经费控制情况(万元)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7D573852">
            <w:pPr>
              <w:spacing w:before="119" w:line="219" w:lineRule="auto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2021年决算数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14B14049">
            <w:pPr>
              <w:spacing w:before="119" w:line="219" w:lineRule="auto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2022年预算数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2B2C55E7">
            <w:pPr>
              <w:spacing w:before="76" w:line="219" w:lineRule="auto"/>
              <w:jc w:val="center"/>
              <w:rPr>
                <w:rFonts w:hint="eastAsia" w:asciiTheme="majorEastAsia" w:hAnsiTheme="majorEastAsia" w:eastAsiaTheme="majorEastAsia" w:cstheme="majorEastAsia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b w:val="0"/>
                <w:bCs w:val="0"/>
                <w:color w:val="000000" w:themeColor="text1"/>
                <w:spacing w:val="-4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2022年决算数</w:t>
            </w:r>
          </w:p>
        </w:tc>
      </w:tr>
      <w:tr w14:paraId="59F7A77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 w14:paraId="0D17601C">
            <w:pPr>
              <w:spacing w:before="141" w:line="202" w:lineRule="auto"/>
              <w:ind w:left="11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三公经费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126BF73A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5.85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783E519B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0.10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22A73948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</w:tr>
      <w:tr w14:paraId="7759935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 w14:paraId="6C8EC411">
            <w:pPr>
              <w:spacing w:before="149" w:line="193" w:lineRule="auto"/>
              <w:ind w:left="41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1、公务用车购置和维护经费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3A805E83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5.50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37F3CAF9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322A2B26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</w:tr>
      <w:tr w14:paraId="34236B9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 w14:paraId="5249B56A">
            <w:pPr>
              <w:spacing w:before="81" w:line="219" w:lineRule="auto"/>
              <w:ind w:left="81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其中：公车购置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7B6AEC0D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0C696343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6AB5F2CC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</w:tr>
      <w:tr w14:paraId="7929993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3850" w:type="dxa"/>
            <w:noWrap w:val="0"/>
            <w:vAlign w:val="top"/>
          </w:tcPr>
          <w:p w14:paraId="07AFB31A">
            <w:pPr>
              <w:spacing w:before="91" w:line="219" w:lineRule="auto"/>
              <w:ind w:left="142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公车运行维护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486F960F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5.50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4E01D36C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74343FF1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</w:tr>
      <w:tr w14:paraId="7691564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3850" w:type="dxa"/>
            <w:noWrap w:val="0"/>
            <w:vAlign w:val="top"/>
          </w:tcPr>
          <w:p w14:paraId="7F6A461F">
            <w:pPr>
              <w:spacing w:before="81" w:line="220" w:lineRule="auto"/>
              <w:ind w:left="3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2、出国经费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254598D5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3DD474C6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5EB9BC1C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</w:tr>
      <w:tr w14:paraId="6A7F636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 w14:paraId="6FDE22C1">
            <w:pPr>
              <w:spacing w:before="82" w:line="219" w:lineRule="auto"/>
              <w:ind w:left="3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3、公务接待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6E9B5472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0.35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290A0098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4079CD3A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</w:tr>
      <w:tr w14:paraId="38A5EBC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 w14:paraId="18145193">
            <w:pPr>
              <w:spacing w:before="143" w:line="200" w:lineRule="auto"/>
              <w:ind w:left="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9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项目支出：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32CC8929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160.71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678F9E2A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3061D13E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</w:tr>
      <w:tr w14:paraId="1E60325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  <w:noWrap w:val="0"/>
            <w:vAlign w:val="top"/>
          </w:tcPr>
          <w:p w14:paraId="6D60B164">
            <w:pPr>
              <w:spacing w:before="133" w:line="200" w:lineRule="auto"/>
              <w:ind w:left="3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1、业务工作经费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4688F00F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160.71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15625D16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262C1635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</w:tr>
      <w:tr w14:paraId="58523BF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3850" w:type="dxa"/>
            <w:noWrap w:val="0"/>
            <w:vAlign w:val="top"/>
          </w:tcPr>
          <w:p w14:paraId="2F0325CD">
            <w:pPr>
              <w:spacing w:before="143" w:line="209" w:lineRule="auto"/>
              <w:ind w:left="3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2、运行维护经费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65F1B079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038DCCBE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21674F4D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</w:tr>
      <w:tr w14:paraId="43D5114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3850" w:type="dxa"/>
            <w:noWrap w:val="0"/>
            <w:vAlign w:val="top"/>
          </w:tcPr>
          <w:p w14:paraId="050B6B8E">
            <w:pPr>
              <w:spacing w:before="93" w:line="219" w:lineRule="auto"/>
              <w:ind w:firstLine="488" w:firstLineChars="200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3、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区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级专项资金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(一个专项一行)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1CEC3A1E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199EC406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1A9824A0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</w:tr>
      <w:tr w14:paraId="50D54B2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 w14:paraId="29F2C94E">
            <w:pPr>
              <w:spacing w:before="85" w:line="220" w:lineRule="auto"/>
              <w:ind w:firstLine="492" w:firstLineChars="200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4、上级转移支付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(一个专项一行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）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5BF95176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0A524572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2D30B9B1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</w:tr>
      <w:tr w14:paraId="66577A0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 w14:paraId="035A3106">
            <w:pPr>
              <w:spacing w:before="85" w:line="220" w:lineRule="auto"/>
              <w:ind w:left="9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公用经费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4A29B0C8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20.53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5B5F76F3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14.40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4150B4C9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130.69</w:t>
            </w:r>
          </w:p>
        </w:tc>
      </w:tr>
      <w:tr w14:paraId="5BB5899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 w14:paraId="7EC51586">
            <w:pPr>
              <w:spacing w:before="85" w:line="219" w:lineRule="auto"/>
              <w:ind w:left="3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其中：办公经费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1ED3BCEF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top"/>
          </w:tcPr>
          <w:p w14:paraId="143D3DEE"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9" w:type="dxa"/>
            <w:gridSpan w:val="2"/>
            <w:noWrap w:val="0"/>
            <w:vAlign w:val="top"/>
          </w:tcPr>
          <w:p w14:paraId="793D1A8C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4A05904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 w14:paraId="0A46D67B">
            <w:pPr>
              <w:spacing w:before="85" w:line="219" w:lineRule="auto"/>
              <w:ind w:left="384"/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办公费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3CA408DD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0.90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653A65A1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3.50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067BA51B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4.48</w:t>
            </w:r>
          </w:p>
        </w:tc>
      </w:tr>
      <w:tr w14:paraId="054DDC1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  <w:noWrap w:val="0"/>
            <w:vAlign w:val="top"/>
          </w:tcPr>
          <w:p w14:paraId="25D828D5">
            <w:pPr>
              <w:spacing w:before="135" w:line="198" w:lineRule="auto"/>
              <w:ind w:left="111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水费、电费、差旅费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3510E9B4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top"/>
          </w:tcPr>
          <w:p w14:paraId="6435D1BF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9" w:type="dxa"/>
            <w:gridSpan w:val="2"/>
            <w:noWrap w:val="0"/>
            <w:vAlign w:val="top"/>
          </w:tcPr>
          <w:p w14:paraId="299F824F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3.22</w:t>
            </w:r>
          </w:p>
        </w:tc>
      </w:tr>
      <w:tr w14:paraId="3D73DC1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 w14:paraId="5044F906">
            <w:pPr>
              <w:spacing w:before="144" w:line="198" w:lineRule="auto"/>
              <w:ind w:left="1124"/>
              <w:jc w:val="left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会议费、培训费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、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印刷费、手续费、邮电费、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7B6EBB81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top"/>
          </w:tcPr>
          <w:p w14:paraId="27CFAC51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1.05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62D8373D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3.52</w:t>
            </w:r>
          </w:p>
        </w:tc>
      </w:tr>
      <w:tr w14:paraId="0DC1DA5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 w14:paraId="120DDB69">
            <w:pPr>
              <w:spacing w:before="144" w:line="198" w:lineRule="auto"/>
              <w:ind w:left="1124"/>
              <w:jc w:val="left"/>
              <w:rPr>
                <w:rFonts w:hint="default" w:asciiTheme="majorEastAsia" w:hAnsiTheme="majorEastAsia" w:eastAsiaTheme="majorEastAsia" w:cstheme="majorEastAsia"/>
                <w:color w:val="000000" w:themeColor="text1"/>
                <w:spacing w:val="-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委托业务费、劳务费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289A50DA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0.10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4AD58229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9" w:type="dxa"/>
            <w:gridSpan w:val="2"/>
            <w:noWrap w:val="0"/>
            <w:vAlign w:val="top"/>
          </w:tcPr>
          <w:p w14:paraId="2CBC4C27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64.54</w:t>
            </w:r>
          </w:p>
        </w:tc>
      </w:tr>
      <w:tr w14:paraId="7131407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 w14:paraId="267FB123">
            <w:pPr>
              <w:spacing w:before="144" w:line="198" w:lineRule="auto"/>
              <w:ind w:left="1124"/>
              <w:jc w:val="left"/>
              <w:rPr>
                <w:rFonts w:hint="default" w:asciiTheme="majorEastAsia" w:hAnsiTheme="majorEastAsia" w:eastAsiaTheme="majorEastAsia" w:cstheme="majorEastAsia"/>
                <w:color w:val="000000" w:themeColor="text1"/>
                <w:spacing w:val="-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工会经费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0CC91ABA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2.32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15BB705C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2.00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6B3A6E77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5.32</w:t>
            </w:r>
          </w:p>
        </w:tc>
      </w:tr>
      <w:tr w14:paraId="5B94D3E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 w14:paraId="53F1F30D">
            <w:pPr>
              <w:spacing w:before="144" w:line="198" w:lineRule="auto"/>
              <w:ind w:left="1124"/>
              <w:jc w:val="left"/>
              <w:rPr>
                <w:rFonts w:hint="default" w:asciiTheme="majorEastAsia" w:hAnsiTheme="majorEastAsia" w:eastAsiaTheme="majorEastAsia" w:cstheme="majorEastAsia"/>
                <w:color w:val="000000" w:themeColor="text1"/>
                <w:spacing w:val="-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其他交通费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6426E575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3.01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5AD6687D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47D8C51B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</w:tr>
      <w:tr w14:paraId="435FBB4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 w14:paraId="3950B9C7">
            <w:pPr>
              <w:spacing w:before="144" w:line="198" w:lineRule="auto"/>
              <w:ind w:left="1124"/>
              <w:jc w:val="left"/>
              <w:rPr>
                <w:rFonts w:hint="default" w:asciiTheme="majorEastAsia" w:hAnsiTheme="majorEastAsia" w:eastAsiaTheme="majorEastAsia" w:cstheme="majorEastAsia"/>
                <w:color w:val="000000" w:themeColor="text1"/>
                <w:spacing w:val="-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其他商品和服务支出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34D77FEA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14.20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4C4BCBE2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2.65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51155CB9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35.22</w:t>
            </w:r>
          </w:p>
        </w:tc>
      </w:tr>
      <w:tr w14:paraId="2C0F26A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 w14:paraId="3AA869AE">
            <w:pPr>
              <w:spacing w:before="144" w:line="198" w:lineRule="auto"/>
              <w:ind w:left="1124"/>
              <w:jc w:val="left"/>
              <w:rPr>
                <w:rFonts w:hint="default" w:asciiTheme="majorEastAsia" w:hAnsiTheme="majorEastAsia" w:eastAsiaTheme="majorEastAsia" w:cstheme="majorEastAsia"/>
                <w:color w:val="000000" w:themeColor="text1"/>
                <w:spacing w:val="-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公务接待费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0ECD5565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16789F85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0.10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54A2BCDC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</w:tr>
      <w:tr w14:paraId="3FB01C5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 w14:paraId="66D7EA36">
            <w:pPr>
              <w:spacing w:before="144" w:line="198" w:lineRule="auto"/>
              <w:ind w:left="1124"/>
              <w:jc w:val="left"/>
              <w:rPr>
                <w:rFonts w:hint="default" w:asciiTheme="majorEastAsia" w:hAnsiTheme="majorEastAsia" w:eastAsiaTheme="majorEastAsia" w:cstheme="majorEastAsia"/>
                <w:color w:val="000000" w:themeColor="text1"/>
                <w:spacing w:val="-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被装购置费、专用燃料费、维护费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00405C3D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top"/>
          </w:tcPr>
          <w:p w14:paraId="11E494A8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0.50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685E3F72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2.52</w:t>
            </w:r>
          </w:p>
        </w:tc>
      </w:tr>
      <w:tr w14:paraId="5C18078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 w14:paraId="440CE55A">
            <w:pPr>
              <w:spacing w:before="144" w:line="198" w:lineRule="auto"/>
              <w:ind w:left="1124"/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pacing w:val="-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物业费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5918DEC6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top"/>
          </w:tcPr>
          <w:p w14:paraId="4C067681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4.60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59408E51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11.87</w:t>
            </w:r>
          </w:p>
        </w:tc>
      </w:tr>
      <w:tr w14:paraId="3A3D101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  <w:noWrap w:val="0"/>
            <w:vAlign w:val="top"/>
          </w:tcPr>
          <w:p w14:paraId="4E0F3945">
            <w:pPr>
              <w:spacing w:before="145" w:line="189" w:lineRule="auto"/>
              <w:ind w:left="10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政府采购金额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6AC7D4B1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76.86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2A94D399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14.40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15620D65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14.40</w:t>
            </w:r>
          </w:p>
        </w:tc>
      </w:tr>
      <w:tr w14:paraId="06CEBEE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 w14:paraId="7E9C3F72">
            <w:pPr>
              <w:spacing w:before="145" w:line="198" w:lineRule="auto"/>
              <w:ind w:left="11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部门基本支出预算调整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641055C0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6D22F4AC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164AE847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</w:tr>
      <w:tr w14:paraId="73F4F83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59" w:hRule="atLeast"/>
        </w:trPr>
        <w:tc>
          <w:tcPr>
            <w:tcW w:w="3850" w:type="dxa"/>
            <w:vMerge w:val="restart"/>
            <w:tcBorders>
              <w:bottom w:val="nil"/>
            </w:tcBorders>
            <w:noWrap w:val="0"/>
            <w:vAlign w:val="center"/>
          </w:tcPr>
          <w:p w14:paraId="4A338240">
            <w:pPr>
              <w:spacing w:before="65" w:line="39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1"/>
                <w:position w:val="14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楼堂馆所控制情况</w:t>
            </w:r>
          </w:p>
          <w:p w14:paraId="18754CA1">
            <w:pPr>
              <w:spacing w:line="219" w:lineRule="auto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(2022年完工项目)</w:t>
            </w:r>
          </w:p>
        </w:tc>
        <w:tc>
          <w:tcPr>
            <w:tcW w:w="825" w:type="dxa"/>
            <w:noWrap w:val="0"/>
            <w:vAlign w:val="center"/>
          </w:tcPr>
          <w:p w14:paraId="04FA9E0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批复规模</w:t>
            </w:r>
          </w:p>
          <w:p w14:paraId="5FACAD6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(m²)</w:t>
            </w:r>
          </w:p>
        </w:tc>
        <w:tc>
          <w:tcPr>
            <w:tcW w:w="990" w:type="dxa"/>
            <w:noWrap w:val="0"/>
            <w:vAlign w:val="center"/>
          </w:tcPr>
          <w:p w14:paraId="2F4004C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实际规</w:t>
            </w:r>
          </w:p>
          <w:p w14:paraId="46596F5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模(m²)</w:t>
            </w:r>
          </w:p>
        </w:tc>
        <w:tc>
          <w:tcPr>
            <w:tcW w:w="1140" w:type="dxa"/>
            <w:noWrap w:val="0"/>
            <w:vAlign w:val="center"/>
          </w:tcPr>
          <w:p w14:paraId="1366DC3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规模控制率</w:t>
            </w:r>
          </w:p>
        </w:tc>
        <w:tc>
          <w:tcPr>
            <w:tcW w:w="1185" w:type="dxa"/>
            <w:noWrap w:val="0"/>
            <w:vAlign w:val="center"/>
          </w:tcPr>
          <w:p w14:paraId="2BDFF16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预算投资</w:t>
            </w:r>
          </w:p>
          <w:p w14:paraId="235296E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(万元)</w:t>
            </w:r>
          </w:p>
        </w:tc>
        <w:tc>
          <w:tcPr>
            <w:tcW w:w="810" w:type="dxa"/>
            <w:noWrap w:val="0"/>
            <w:vAlign w:val="center"/>
          </w:tcPr>
          <w:p w14:paraId="3F096AF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实际</w:t>
            </w:r>
          </w:p>
          <w:p w14:paraId="0FCAB6D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投资</w:t>
            </w:r>
          </w:p>
          <w:p w14:paraId="5C8F459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(万元)</w:t>
            </w:r>
          </w:p>
        </w:tc>
        <w:tc>
          <w:tcPr>
            <w:tcW w:w="869" w:type="dxa"/>
            <w:noWrap w:val="0"/>
            <w:vAlign w:val="center"/>
          </w:tcPr>
          <w:p w14:paraId="1702C7E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投资概</w:t>
            </w:r>
          </w:p>
          <w:p w14:paraId="54299BA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算控制</w:t>
            </w:r>
          </w:p>
          <w:p w14:paraId="3EC005D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率</w:t>
            </w:r>
          </w:p>
        </w:tc>
      </w:tr>
      <w:tr w14:paraId="56EA5DA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  <w:vMerge w:val="continue"/>
            <w:tcBorders>
              <w:top w:val="nil"/>
            </w:tcBorders>
            <w:noWrap w:val="0"/>
            <w:vAlign w:val="top"/>
          </w:tcPr>
          <w:p w14:paraId="77D58409">
            <w:pPr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25" w:type="dxa"/>
            <w:noWrap w:val="0"/>
            <w:vAlign w:val="top"/>
          </w:tcPr>
          <w:p w14:paraId="511C88FE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990" w:type="dxa"/>
            <w:noWrap w:val="0"/>
            <w:vAlign w:val="top"/>
          </w:tcPr>
          <w:p w14:paraId="3B28AC91"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top"/>
          </w:tcPr>
          <w:p w14:paraId="10F8A37D"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85" w:type="dxa"/>
            <w:noWrap w:val="0"/>
            <w:vAlign w:val="top"/>
          </w:tcPr>
          <w:p w14:paraId="2BC3CA1D"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10" w:type="dxa"/>
            <w:noWrap w:val="0"/>
            <w:vAlign w:val="top"/>
          </w:tcPr>
          <w:p w14:paraId="5C9CC7B2"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69" w:type="dxa"/>
            <w:noWrap w:val="0"/>
            <w:vAlign w:val="top"/>
          </w:tcPr>
          <w:p w14:paraId="7BAD9FCD"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7334CE0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3850" w:type="dxa"/>
            <w:noWrap w:val="0"/>
            <w:vAlign w:val="top"/>
          </w:tcPr>
          <w:p w14:paraId="409CFBF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厉行节约保障措施</w:t>
            </w:r>
          </w:p>
        </w:tc>
        <w:tc>
          <w:tcPr>
            <w:tcW w:w="5819" w:type="dxa"/>
            <w:gridSpan w:val="6"/>
            <w:noWrap w:val="0"/>
            <w:vAlign w:val="top"/>
          </w:tcPr>
          <w:p w14:paraId="6FF7144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 w14:paraId="68D15CC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10" w:lineRule="exact"/>
        <w:ind w:left="0"/>
        <w:textAlignment w:val="auto"/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14:textFill>
            <w14:solidFill>
              <w14:schemeClr w14:val="tx1"/>
            </w14:solidFill>
          </w14:textFill>
        </w:rPr>
      </w:pP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14:textFill>
            <w14:solidFill>
              <w14:schemeClr w14:val="tx1"/>
            </w14:solidFill>
          </w14:textFill>
        </w:rPr>
        <w:t>说明：“项目支出”需要填报基本支出以外的所有项目支出情况，“公用经费”填报基本支出中的一般商品和服务支出。</w:t>
      </w:r>
    </w:p>
    <w:p w14:paraId="02C824B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rFonts w:hint="default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14:textFill>
            <w14:solidFill>
              <w14:schemeClr w14:val="tx1"/>
            </w14:solidFill>
          </w14:textFill>
        </w:rPr>
        <w:t>填表人：</w:t>
      </w: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:lang w:val="en-US" w:eastAsia="zh-CN"/>
          <w14:textFill>
            <w14:solidFill>
              <w14:schemeClr w14:val="tx1"/>
            </w14:solidFill>
          </w14:textFill>
        </w:rPr>
        <w:t>彭向红</w:t>
      </w: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14:textFill>
            <w14:solidFill>
              <w14:schemeClr w14:val="tx1"/>
            </w14:solidFill>
          </w14:textFill>
        </w:rPr>
        <w:t xml:space="preserve">  联系电话：</w:t>
      </w: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:lang w:val="en-US" w:eastAsia="zh-CN"/>
          <w14:textFill>
            <w14:solidFill>
              <w14:schemeClr w14:val="tx1"/>
            </w14:solidFill>
          </w14:textFill>
        </w:rPr>
        <w:t>8634378</w:t>
      </w: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14:textFill>
            <w14:solidFill>
              <w14:schemeClr w14:val="tx1"/>
            </w14:solidFill>
          </w14:textFill>
        </w:rPr>
        <w:t xml:space="preserve">    单位负责人签字：</w:t>
      </w: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:lang w:val="en-US" w:eastAsia="zh-CN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14:textFill>
            <w14:solidFill>
              <w14:schemeClr w14:val="tx1"/>
            </w14:solidFill>
          </w14:textFill>
        </w:rPr>
        <w:t>填报日期：</w:t>
      </w: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:lang w:val="en-US" w:eastAsia="zh-CN"/>
          <w14:textFill>
            <w14:solidFill>
              <w14:schemeClr w14:val="tx1"/>
            </w14:solidFill>
          </w14:textFill>
        </w:rPr>
        <w:t>2023.06.12</w:t>
      </w:r>
    </w:p>
    <w:p w14:paraId="553CF71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sectPr>
          <w:footerReference r:id="rId3" w:type="default"/>
          <w:pgSz w:w="11906" w:h="16838"/>
          <w:pgMar w:top="1134" w:right="1417" w:bottom="1134" w:left="1134" w:header="851" w:footer="992" w:gutter="0"/>
          <w:pgNumType w:fmt="decimal"/>
          <w:cols w:space="0" w:num="1"/>
          <w:rtlGutter w:val="0"/>
          <w:docGrid w:type="lines" w:linePitch="312" w:charSpace="0"/>
        </w:sectPr>
      </w:pPr>
    </w:p>
    <w:p w14:paraId="322A393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default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附件</w:t>
      </w: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</w:t>
      </w:r>
    </w:p>
    <w:p w14:paraId="01C72E3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firstLine="0" w:firstLine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14:textFill>
            <w14:solidFill>
              <w14:schemeClr w14:val="tx1"/>
            </w14:solidFill>
          </w14:textFill>
        </w:rPr>
        <w:t>2022年度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:lang w:eastAsia="zh-CN"/>
          <w14:textFill>
            <w14:solidFill>
              <w14:schemeClr w14:val="tx1"/>
            </w14:solidFill>
          </w14:textFill>
        </w:rPr>
        <w:t>预算单位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14:textFill>
            <w14:solidFill>
              <w14:schemeClr w14:val="tx1"/>
            </w14:solidFill>
          </w14:textFill>
        </w:rPr>
        <w:t>整体支出绩效自评表</w:t>
      </w:r>
    </w:p>
    <w:p w14:paraId="0138FA7C">
      <w:pPr>
        <w:spacing w:line="168" w:lineRule="exact"/>
        <w:rPr>
          <w:color w:val="000000" w:themeColor="text1"/>
          <w14:textFill>
            <w14:solidFill>
              <w14:schemeClr w14:val="tx1"/>
            </w14:solidFill>
          </w14:textFill>
        </w:rPr>
      </w:pPr>
    </w:p>
    <w:tbl>
      <w:tblPr>
        <w:tblStyle w:val="8"/>
        <w:tblW w:w="9835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84"/>
        <w:gridCol w:w="1079"/>
        <w:gridCol w:w="1029"/>
        <w:gridCol w:w="1269"/>
        <w:gridCol w:w="1319"/>
        <w:gridCol w:w="1259"/>
        <w:gridCol w:w="719"/>
        <w:gridCol w:w="802"/>
        <w:gridCol w:w="1275"/>
      </w:tblGrid>
      <w:tr w14:paraId="380B4B0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4" w:hRule="atLeast"/>
        </w:trPr>
        <w:tc>
          <w:tcPr>
            <w:tcW w:w="1084" w:type="dxa"/>
            <w:noWrap w:val="0"/>
            <w:vAlign w:val="top"/>
          </w:tcPr>
          <w:p w14:paraId="7841195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8" w:lineRule="auto"/>
              <w:ind w:left="0" w:right="0" w:firstLine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预算</w:t>
            </w:r>
            <w:r>
              <w:rPr>
                <w:rFonts w:hint="eastAsia" w:ascii="宋体" w:hAnsi="宋体" w:eastAsia="宋体" w:cs="宋体"/>
                <w:color w:val="000000" w:themeColor="text1"/>
                <w:spacing w:val="2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单位</w:t>
            </w:r>
            <w:r>
              <w:rPr>
                <w:rFonts w:hint="eastAsia" w:ascii="宋体" w:hAnsi="宋体" w:eastAsia="宋体" w:cs="宋体"/>
                <w:color w:val="000000" w:themeColor="text1"/>
                <w:spacing w:val="2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宋体" w:hAnsi="宋体" w:eastAsia="宋体" w:cs="宋体"/>
                <w:color w:val="000000" w:themeColor="text1"/>
                <w:spacing w:val="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名称</w:t>
            </w:r>
          </w:p>
        </w:tc>
        <w:tc>
          <w:tcPr>
            <w:tcW w:w="8751" w:type="dxa"/>
            <w:gridSpan w:val="8"/>
            <w:noWrap w:val="0"/>
            <w:vAlign w:val="top"/>
          </w:tcPr>
          <w:p w14:paraId="2B69E722">
            <w:pPr>
              <w:jc w:val="center"/>
              <w:rPr>
                <w:rFonts w:hint="default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岳阳市沿湖风光带管理中心</w:t>
            </w:r>
          </w:p>
        </w:tc>
      </w:tr>
      <w:tr w14:paraId="3CC92C0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restart"/>
            <w:tcBorders>
              <w:bottom w:val="nil"/>
            </w:tcBorders>
            <w:noWrap w:val="0"/>
            <w:vAlign w:val="top"/>
          </w:tcPr>
          <w:p w14:paraId="0242D92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18" w:lineRule="auto"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3AAA95D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 w:firstLine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position w:val="4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年度预</w:t>
            </w:r>
          </w:p>
          <w:p w14:paraId="3E033FE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 w:firstLine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算申请</w:t>
            </w:r>
          </w:p>
          <w:p w14:paraId="7335560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 w:firstLine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1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(万元)</w:t>
            </w:r>
          </w:p>
        </w:tc>
        <w:tc>
          <w:tcPr>
            <w:tcW w:w="2108" w:type="dxa"/>
            <w:gridSpan w:val="2"/>
            <w:noWrap w:val="0"/>
            <w:vAlign w:val="center"/>
          </w:tcPr>
          <w:p w14:paraId="65DB344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 w14:paraId="1E40FF3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年初预算数</w:t>
            </w:r>
          </w:p>
        </w:tc>
        <w:tc>
          <w:tcPr>
            <w:tcW w:w="1319" w:type="dxa"/>
            <w:noWrap w:val="0"/>
            <w:vAlign w:val="center"/>
          </w:tcPr>
          <w:p w14:paraId="739FCD5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全年预算数</w:t>
            </w:r>
          </w:p>
        </w:tc>
        <w:tc>
          <w:tcPr>
            <w:tcW w:w="1259" w:type="dxa"/>
            <w:noWrap w:val="0"/>
            <w:vAlign w:val="center"/>
          </w:tcPr>
          <w:p w14:paraId="0DF3D86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全年执行数</w:t>
            </w:r>
          </w:p>
        </w:tc>
        <w:tc>
          <w:tcPr>
            <w:tcW w:w="719" w:type="dxa"/>
            <w:noWrap w:val="0"/>
            <w:vAlign w:val="center"/>
          </w:tcPr>
          <w:p w14:paraId="370F4C5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802" w:type="dxa"/>
            <w:noWrap w:val="0"/>
            <w:vAlign w:val="center"/>
          </w:tcPr>
          <w:p w14:paraId="370F063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执行率</w:t>
            </w:r>
          </w:p>
        </w:tc>
        <w:tc>
          <w:tcPr>
            <w:tcW w:w="1275" w:type="dxa"/>
            <w:noWrap w:val="0"/>
            <w:vAlign w:val="center"/>
          </w:tcPr>
          <w:p w14:paraId="4431F5F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得分</w:t>
            </w:r>
          </w:p>
        </w:tc>
      </w:tr>
      <w:tr w14:paraId="0AF53C7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12028E1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08" w:type="dxa"/>
            <w:gridSpan w:val="2"/>
            <w:noWrap w:val="0"/>
            <w:vAlign w:val="center"/>
          </w:tcPr>
          <w:p w14:paraId="62F5D4B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3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年度资金总额</w:t>
            </w:r>
          </w:p>
        </w:tc>
        <w:tc>
          <w:tcPr>
            <w:tcW w:w="1269" w:type="dxa"/>
            <w:noWrap w:val="0"/>
            <w:vAlign w:val="center"/>
          </w:tcPr>
          <w:p w14:paraId="69CD50F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122.37</w:t>
            </w:r>
          </w:p>
        </w:tc>
        <w:tc>
          <w:tcPr>
            <w:tcW w:w="1319" w:type="dxa"/>
            <w:noWrap w:val="0"/>
            <w:vAlign w:val="center"/>
          </w:tcPr>
          <w:p w14:paraId="4B55F51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265.61</w:t>
            </w:r>
          </w:p>
        </w:tc>
        <w:tc>
          <w:tcPr>
            <w:tcW w:w="1259" w:type="dxa"/>
            <w:noWrap w:val="0"/>
            <w:vAlign w:val="center"/>
          </w:tcPr>
          <w:p w14:paraId="20B69A2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265.61</w:t>
            </w:r>
          </w:p>
        </w:tc>
        <w:tc>
          <w:tcPr>
            <w:tcW w:w="719" w:type="dxa"/>
            <w:noWrap w:val="0"/>
            <w:vAlign w:val="center"/>
          </w:tcPr>
          <w:p w14:paraId="26CA60A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47" w:lineRule="exact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position w:val="-3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802" w:type="dxa"/>
            <w:noWrap w:val="0"/>
            <w:vAlign w:val="center"/>
          </w:tcPr>
          <w:p w14:paraId="7B7ADF5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1275" w:type="dxa"/>
            <w:noWrap w:val="0"/>
            <w:vAlign w:val="center"/>
          </w:tcPr>
          <w:p w14:paraId="732E216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</w:tr>
      <w:tr w14:paraId="2AF62F1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18E361D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696" w:type="dxa"/>
            <w:gridSpan w:val="4"/>
            <w:noWrap w:val="0"/>
            <w:vAlign w:val="center"/>
          </w:tcPr>
          <w:p w14:paraId="445211F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3" w:lineRule="auto"/>
              <w:ind w:left="0" w:firstLine="210" w:firstLineChars="100"/>
              <w:jc w:val="left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按收入性质分：</w:t>
            </w:r>
          </w:p>
        </w:tc>
        <w:tc>
          <w:tcPr>
            <w:tcW w:w="4055" w:type="dxa"/>
            <w:gridSpan w:val="4"/>
            <w:noWrap w:val="0"/>
            <w:vAlign w:val="center"/>
          </w:tcPr>
          <w:p w14:paraId="3005FA8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3" w:lineRule="auto"/>
              <w:ind w:left="0" w:firstLine="210" w:firstLineChars="100"/>
              <w:jc w:val="left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按支出性质分：</w:t>
            </w:r>
          </w:p>
        </w:tc>
      </w:tr>
      <w:tr w14:paraId="5194405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2C56AE7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696" w:type="dxa"/>
            <w:gridSpan w:val="4"/>
            <w:noWrap w:val="0"/>
            <w:vAlign w:val="center"/>
          </w:tcPr>
          <w:p w14:paraId="06E042F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3" w:lineRule="auto"/>
              <w:ind w:left="0" w:firstLine="210" w:firstLineChars="100"/>
              <w:jc w:val="left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其中： 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一般公共预算：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122.27</w:t>
            </w:r>
          </w:p>
        </w:tc>
        <w:tc>
          <w:tcPr>
            <w:tcW w:w="4055" w:type="dxa"/>
            <w:gridSpan w:val="4"/>
            <w:noWrap w:val="0"/>
            <w:vAlign w:val="center"/>
          </w:tcPr>
          <w:p w14:paraId="62AFC5C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 w:firstLine="210" w:firstLineChars="100"/>
              <w:jc w:val="left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其中：基本支出：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265.61</w:t>
            </w:r>
          </w:p>
        </w:tc>
      </w:tr>
      <w:tr w14:paraId="4021D87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6724015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696" w:type="dxa"/>
            <w:gridSpan w:val="4"/>
            <w:noWrap w:val="0"/>
            <w:vAlign w:val="center"/>
          </w:tcPr>
          <w:p w14:paraId="3D76CA3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2" w:lineRule="auto"/>
              <w:ind w:left="0" w:firstLine="1050" w:firstLineChars="500"/>
              <w:jc w:val="left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政府性基金拨款：</w:t>
            </w:r>
          </w:p>
        </w:tc>
        <w:tc>
          <w:tcPr>
            <w:tcW w:w="4055" w:type="dxa"/>
            <w:gridSpan w:val="4"/>
            <w:noWrap w:val="0"/>
            <w:vAlign w:val="center"/>
          </w:tcPr>
          <w:p w14:paraId="7619E3F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firstLine="840" w:firstLineChars="400"/>
              <w:jc w:val="left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项目支出：</w:t>
            </w:r>
          </w:p>
        </w:tc>
      </w:tr>
      <w:tr w14:paraId="530A686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521E7B8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696" w:type="dxa"/>
            <w:gridSpan w:val="4"/>
            <w:noWrap w:val="0"/>
            <w:vAlign w:val="center"/>
          </w:tcPr>
          <w:p w14:paraId="151206C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ind w:left="0" w:firstLine="1050" w:firstLineChars="500"/>
              <w:jc w:val="left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纳入专户管理的非税收入拨款：</w:t>
            </w:r>
          </w:p>
        </w:tc>
        <w:tc>
          <w:tcPr>
            <w:tcW w:w="4055" w:type="dxa"/>
            <w:gridSpan w:val="4"/>
            <w:noWrap w:val="0"/>
            <w:vAlign w:val="center"/>
          </w:tcPr>
          <w:p w14:paraId="3652A78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left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7F5E229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continue"/>
            <w:tcBorders>
              <w:top w:val="nil"/>
            </w:tcBorders>
            <w:noWrap w:val="0"/>
            <w:vAlign w:val="top"/>
          </w:tcPr>
          <w:p w14:paraId="5D5E47D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696" w:type="dxa"/>
            <w:gridSpan w:val="4"/>
            <w:noWrap w:val="0"/>
            <w:vAlign w:val="center"/>
          </w:tcPr>
          <w:p w14:paraId="4EBC19D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ind w:left="0" w:firstLine="1050" w:firstLineChars="500"/>
              <w:jc w:val="left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其他资金：</w:t>
            </w:r>
          </w:p>
        </w:tc>
        <w:tc>
          <w:tcPr>
            <w:tcW w:w="4055" w:type="dxa"/>
            <w:gridSpan w:val="4"/>
            <w:noWrap w:val="0"/>
            <w:vAlign w:val="center"/>
          </w:tcPr>
          <w:p w14:paraId="49BE2B5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left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3420A58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restart"/>
            <w:tcBorders>
              <w:bottom w:val="nil"/>
            </w:tcBorders>
            <w:noWrap w:val="0"/>
            <w:vAlign w:val="top"/>
          </w:tcPr>
          <w:p w14:paraId="4B681E5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1" w:lineRule="auto"/>
              <w:ind w:left="0" w:right="0" w:firstLine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7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年度总体</w:t>
            </w:r>
            <w:r>
              <w:rPr>
                <w:rFonts w:ascii="宋体" w:hAnsi="宋体" w:eastAsia="宋体" w:cs="宋体"/>
                <w:color w:val="000000" w:themeColor="text1"/>
                <w:spacing w:val="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宋体" w:hAnsi="宋体" w:eastAsia="宋体" w:cs="宋体"/>
                <w:color w:val="000000" w:themeColor="text1"/>
                <w:spacing w:val="-19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目</w:t>
            </w:r>
            <w:r>
              <w:rPr>
                <w:rFonts w:ascii="宋体" w:hAnsi="宋体" w:eastAsia="宋体" w:cs="宋体"/>
                <w:color w:val="000000" w:themeColor="text1"/>
                <w:spacing w:val="-35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宋体" w:hAnsi="宋体" w:eastAsia="宋体" w:cs="宋体"/>
                <w:color w:val="000000" w:themeColor="text1"/>
                <w:spacing w:val="-19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标</w:t>
            </w:r>
          </w:p>
        </w:tc>
        <w:tc>
          <w:tcPr>
            <w:tcW w:w="4696" w:type="dxa"/>
            <w:gridSpan w:val="4"/>
            <w:noWrap w:val="0"/>
            <w:vAlign w:val="center"/>
          </w:tcPr>
          <w:p w14:paraId="4B0CC75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1" w:lineRule="auto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预期目标</w:t>
            </w:r>
          </w:p>
        </w:tc>
        <w:tc>
          <w:tcPr>
            <w:tcW w:w="4055" w:type="dxa"/>
            <w:gridSpan w:val="4"/>
            <w:noWrap w:val="0"/>
            <w:vAlign w:val="center"/>
          </w:tcPr>
          <w:p w14:paraId="1641949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1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实际完成情况</w:t>
            </w:r>
          </w:p>
        </w:tc>
      </w:tr>
      <w:tr w14:paraId="67D1D27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continue"/>
            <w:tcBorders>
              <w:top w:val="nil"/>
            </w:tcBorders>
            <w:noWrap w:val="0"/>
            <w:vAlign w:val="top"/>
          </w:tcPr>
          <w:p w14:paraId="2D9F784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696" w:type="dxa"/>
            <w:gridSpan w:val="4"/>
            <w:noWrap w:val="0"/>
            <w:vAlign w:val="center"/>
          </w:tcPr>
          <w:p w14:paraId="7FE91C3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122.37</w:t>
            </w:r>
          </w:p>
        </w:tc>
        <w:tc>
          <w:tcPr>
            <w:tcW w:w="4055" w:type="dxa"/>
            <w:gridSpan w:val="4"/>
            <w:noWrap w:val="0"/>
            <w:vAlign w:val="center"/>
          </w:tcPr>
          <w:p w14:paraId="38EB480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265.61</w:t>
            </w:r>
          </w:p>
        </w:tc>
      </w:tr>
      <w:tr w14:paraId="45CCAFA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9" w:hRule="atLeast"/>
        </w:trPr>
        <w:tc>
          <w:tcPr>
            <w:tcW w:w="1084" w:type="dxa"/>
            <w:vMerge w:val="restart"/>
            <w:tcBorders>
              <w:bottom w:val="nil"/>
            </w:tcBorders>
            <w:noWrap w:val="0"/>
            <w:textDirection w:val="tbRlV"/>
            <w:vAlign w:val="top"/>
          </w:tcPr>
          <w:p w14:paraId="0600B84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7" w:lineRule="auto"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6A142E0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7" w:lineRule="auto"/>
              <w:ind w:left="0" w:right="0" w:firstLine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绩效指标</w:t>
            </w:r>
          </w:p>
        </w:tc>
        <w:tc>
          <w:tcPr>
            <w:tcW w:w="1079" w:type="dxa"/>
            <w:noWrap w:val="0"/>
            <w:vAlign w:val="center"/>
          </w:tcPr>
          <w:p w14:paraId="76AB2A5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一级指标</w:t>
            </w:r>
          </w:p>
        </w:tc>
        <w:tc>
          <w:tcPr>
            <w:tcW w:w="1029" w:type="dxa"/>
            <w:noWrap w:val="0"/>
            <w:vAlign w:val="center"/>
          </w:tcPr>
          <w:p w14:paraId="6499FEB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二级指标</w:t>
            </w:r>
          </w:p>
        </w:tc>
        <w:tc>
          <w:tcPr>
            <w:tcW w:w="1269" w:type="dxa"/>
            <w:noWrap w:val="0"/>
            <w:vAlign w:val="center"/>
          </w:tcPr>
          <w:p w14:paraId="406BFC8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三级指标</w:t>
            </w:r>
          </w:p>
        </w:tc>
        <w:tc>
          <w:tcPr>
            <w:tcW w:w="1319" w:type="dxa"/>
            <w:noWrap w:val="0"/>
            <w:vAlign w:val="center"/>
          </w:tcPr>
          <w:p w14:paraId="57FC428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年度指标值</w:t>
            </w:r>
          </w:p>
        </w:tc>
        <w:tc>
          <w:tcPr>
            <w:tcW w:w="1259" w:type="dxa"/>
            <w:noWrap w:val="0"/>
            <w:vAlign w:val="center"/>
          </w:tcPr>
          <w:p w14:paraId="3C27099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实际完成值</w:t>
            </w:r>
          </w:p>
        </w:tc>
        <w:tc>
          <w:tcPr>
            <w:tcW w:w="719" w:type="dxa"/>
            <w:noWrap w:val="0"/>
            <w:vAlign w:val="center"/>
          </w:tcPr>
          <w:p w14:paraId="6DD178D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802" w:type="dxa"/>
            <w:noWrap w:val="0"/>
            <w:vAlign w:val="center"/>
          </w:tcPr>
          <w:p w14:paraId="23064EA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得分</w:t>
            </w:r>
          </w:p>
        </w:tc>
        <w:tc>
          <w:tcPr>
            <w:tcW w:w="1275" w:type="dxa"/>
            <w:noWrap w:val="0"/>
            <w:vAlign w:val="center"/>
          </w:tcPr>
          <w:p w14:paraId="3E3E03B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1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偏差原因分析</w:t>
            </w:r>
          </w:p>
          <w:p w14:paraId="66062FE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及改进措施</w:t>
            </w:r>
          </w:p>
        </w:tc>
      </w:tr>
      <w:tr w14:paraId="398898C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4C50BBDE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restart"/>
            <w:tcBorders>
              <w:bottom w:val="nil"/>
            </w:tcBorders>
            <w:noWrap w:val="0"/>
            <w:vAlign w:val="center"/>
          </w:tcPr>
          <w:p w14:paraId="0224505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9" w:lineRule="auto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1B52747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9" w:lineRule="auto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0F583E9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70" w:lineRule="auto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1793609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70" w:lineRule="auto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783726A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1" w:lineRule="exact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2"/>
                <w:position w:val="2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产出指标</w:t>
            </w:r>
          </w:p>
          <w:p w14:paraId="7D04C37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9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(50分)</w:t>
            </w:r>
          </w:p>
        </w:tc>
        <w:tc>
          <w:tcPr>
            <w:tcW w:w="1029" w:type="dxa"/>
            <w:vMerge w:val="restart"/>
            <w:tcBorders>
              <w:bottom w:val="nil"/>
            </w:tcBorders>
            <w:noWrap w:val="0"/>
            <w:vAlign w:val="center"/>
          </w:tcPr>
          <w:p w14:paraId="6F8A479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数量指标</w:t>
            </w:r>
          </w:p>
        </w:tc>
        <w:tc>
          <w:tcPr>
            <w:tcW w:w="1269" w:type="dxa"/>
            <w:noWrap w:val="0"/>
            <w:vAlign w:val="center"/>
          </w:tcPr>
          <w:p w14:paraId="61882E4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14"/>
                <w:szCs w:val="1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14"/>
                <w:szCs w:val="14"/>
              </w:rPr>
              <w:t>沿湖路专项整治工作</w:t>
            </w:r>
          </w:p>
        </w:tc>
        <w:tc>
          <w:tcPr>
            <w:tcW w:w="1319" w:type="dxa"/>
            <w:noWrap w:val="0"/>
            <w:vAlign w:val="center"/>
          </w:tcPr>
          <w:p w14:paraId="4C7E50E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14"/>
                <w:szCs w:val="1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14"/>
                <w:szCs w:val="14"/>
              </w:rPr>
              <w:t>≧20次</w:t>
            </w:r>
          </w:p>
        </w:tc>
        <w:tc>
          <w:tcPr>
            <w:tcW w:w="1259" w:type="dxa"/>
            <w:noWrap w:val="0"/>
            <w:vAlign w:val="center"/>
          </w:tcPr>
          <w:p w14:paraId="6993E21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left"/>
              <w:textAlignment w:val="auto"/>
              <w:rPr>
                <w:rFonts w:ascii="Arial"/>
                <w:color w:val="000000" w:themeColor="text1"/>
                <w:sz w:val="14"/>
                <w:szCs w:val="1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14"/>
                <w:szCs w:val="14"/>
              </w:rPr>
              <w:t>在沿湖路开展专项整治行动20多次，沿湖路环境秩序明显好转。加强乱倒渣土整治，共查处乱倒渣土车辆8台，督促清除建筑垃圾20余吨；结合“六联六包”行动，深入吉家湖社区查处违规倾倒垃圾车辆4台，有效遏制了沿湖路周边和吉家湖社区违规乱倒行为</w:t>
            </w:r>
          </w:p>
        </w:tc>
        <w:tc>
          <w:tcPr>
            <w:tcW w:w="719" w:type="dxa"/>
            <w:noWrap w:val="0"/>
            <w:vAlign w:val="center"/>
          </w:tcPr>
          <w:p w14:paraId="38F2C48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802" w:type="dxa"/>
            <w:noWrap w:val="0"/>
            <w:vAlign w:val="center"/>
          </w:tcPr>
          <w:p w14:paraId="5F824FD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1275" w:type="dxa"/>
            <w:noWrap w:val="0"/>
            <w:vAlign w:val="center"/>
          </w:tcPr>
          <w:p w14:paraId="5193114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73834DD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3F1EF708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72F046B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691D5F6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 w14:paraId="7569CC6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14"/>
                <w:szCs w:val="1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14"/>
                <w:szCs w:val="14"/>
              </w:rPr>
              <w:t>开展志愿者活动</w:t>
            </w:r>
          </w:p>
        </w:tc>
        <w:tc>
          <w:tcPr>
            <w:tcW w:w="1319" w:type="dxa"/>
            <w:noWrap w:val="0"/>
            <w:vAlign w:val="center"/>
          </w:tcPr>
          <w:p w14:paraId="7105579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14"/>
                <w:szCs w:val="1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14"/>
                <w:szCs w:val="14"/>
              </w:rPr>
              <w:t>≧20次</w:t>
            </w:r>
          </w:p>
        </w:tc>
        <w:tc>
          <w:tcPr>
            <w:tcW w:w="1259" w:type="dxa"/>
            <w:noWrap w:val="0"/>
            <w:vAlign w:val="center"/>
          </w:tcPr>
          <w:p w14:paraId="0C8F270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left"/>
              <w:textAlignment w:val="auto"/>
              <w:rPr>
                <w:rFonts w:ascii="Arial"/>
                <w:color w:val="000000" w:themeColor="text1"/>
                <w:sz w:val="14"/>
                <w:szCs w:val="1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14"/>
                <w:szCs w:val="14"/>
              </w:rPr>
              <w:t>全年共劝导不文明行为385余人次，</w:t>
            </w:r>
            <w:r>
              <w:rPr>
                <w:rFonts w:hint="eastAsia" w:ascii="仿宋_GB2312" w:eastAsia="仿宋_GB2312" w:cs="宋体"/>
                <w:kern w:val="0"/>
                <w:sz w:val="14"/>
                <w:szCs w:val="14"/>
              </w:rPr>
              <w:t>捡到并归还手机、背包等钱物</w:t>
            </w:r>
            <w:r>
              <w:rPr>
                <w:rFonts w:ascii="仿宋_GB2312" w:eastAsia="仿宋_GB2312" w:cs="宋体"/>
                <w:kern w:val="0"/>
                <w:sz w:val="14"/>
                <w:szCs w:val="14"/>
              </w:rPr>
              <w:t>20</w:t>
            </w:r>
            <w:r>
              <w:rPr>
                <w:rFonts w:hint="eastAsia" w:ascii="仿宋_GB2312" w:eastAsia="仿宋_GB2312" w:cs="宋体"/>
                <w:kern w:val="0"/>
                <w:sz w:val="14"/>
                <w:szCs w:val="14"/>
              </w:rPr>
              <w:t>多次，价值逾</w:t>
            </w:r>
            <w:r>
              <w:rPr>
                <w:rFonts w:ascii="仿宋_GB2312" w:eastAsia="仿宋_GB2312" w:cs="宋体"/>
                <w:kern w:val="0"/>
                <w:sz w:val="14"/>
                <w:szCs w:val="14"/>
              </w:rPr>
              <w:t>5</w:t>
            </w:r>
            <w:r>
              <w:rPr>
                <w:rFonts w:hint="eastAsia" w:ascii="仿宋_GB2312" w:eastAsia="仿宋_GB2312" w:cs="宋体"/>
                <w:kern w:val="0"/>
                <w:sz w:val="14"/>
                <w:szCs w:val="14"/>
              </w:rPr>
              <w:t>万多元</w:t>
            </w:r>
          </w:p>
        </w:tc>
        <w:tc>
          <w:tcPr>
            <w:tcW w:w="719" w:type="dxa"/>
            <w:noWrap w:val="0"/>
            <w:vAlign w:val="center"/>
          </w:tcPr>
          <w:p w14:paraId="281910C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802" w:type="dxa"/>
            <w:noWrap w:val="0"/>
            <w:vAlign w:val="center"/>
          </w:tcPr>
          <w:p w14:paraId="582EB0D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1275" w:type="dxa"/>
            <w:noWrap w:val="0"/>
            <w:vAlign w:val="center"/>
          </w:tcPr>
          <w:p w14:paraId="77353B5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0322BDA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37C2DA07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23428BF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</w:tcBorders>
            <w:noWrap w:val="0"/>
            <w:vAlign w:val="center"/>
          </w:tcPr>
          <w:p w14:paraId="67C5E01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 w14:paraId="1AEE08B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left"/>
              <w:textAlignment w:val="auto"/>
              <w:rPr>
                <w:rFonts w:hint="eastAsia" w:ascii="Arial" w:eastAsia="仿宋_GB2312"/>
                <w:color w:val="000000" w:themeColor="text1"/>
                <w:sz w:val="14"/>
                <w:szCs w:val="1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4"/>
                <w:szCs w:val="14"/>
              </w:rPr>
              <w:t>两大迎检任务专项督查和自建房安全排查</w:t>
            </w:r>
          </w:p>
        </w:tc>
        <w:tc>
          <w:tcPr>
            <w:tcW w:w="1319" w:type="dxa"/>
            <w:noWrap w:val="0"/>
            <w:vAlign w:val="center"/>
          </w:tcPr>
          <w:p w14:paraId="3CA725C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left"/>
              <w:textAlignment w:val="auto"/>
              <w:rPr>
                <w:rFonts w:hint="eastAsia" w:ascii="仿宋_GB2312" w:eastAsia="仿宋_GB2312"/>
                <w:sz w:val="14"/>
                <w:szCs w:val="14"/>
              </w:rPr>
            </w:pPr>
            <w:r>
              <w:rPr>
                <w:rFonts w:hint="eastAsia" w:ascii="仿宋_GB2312" w:eastAsia="仿宋_GB2312"/>
                <w:sz w:val="14"/>
                <w:szCs w:val="14"/>
              </w:rPr>
              <w:t>专项督查≧30次</w:t>
            </w:r>
          </w:p>
          <w:p w14:paraId="6C970AC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left"/>
              <w:textAlignment w:val="auto"/>
              <w:rPr>
                <w:rFonts w:ascii="Arial"/>
                <w:color w:val="000000" w:themeColor="text1"/>
                <w:sz w:val="14"/>
                <w:szCs w:val="1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eastAsia="仿宋_GB2312"/>
                <w:sz w:val="14"/>
                <w:szCs w:val="14"/>
              </w:rPr>
              <w:t>安全排查≧300栋</w:t>
            </w:r>
          </w:p>
        </w:tc>
        <w:tc>
          <w:tcPr>
            <w:tcW w:w="1259" w:type="dxa"/>
            <w:noWrap w:val="0"/>
            <w:vAlign w:val="center"/>
          </w:tcPr>
          <w:p w14:paraId="5ED396F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left"/>
              <w:textAlignment w:val="auto"/>
              <w:rPr>
                <w:rFonts w:ascii="Arial"/>
                <w:color w:val="000000" w:themeColor="text1"/>
                <w:sz w:val="14"/>
                <w:szCs w:val="1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eastAsia="仿宋_GB2312"/>
                <w:sz w:val="14"/>
                <w:szCs w:val="14"/>
              </w:rPr>
              <w:t>开展专项督查34次，排查、整改问题130多条，督促管理养护作业单位及产权单位更换围档590平方米，创卫宣传标语6处，整改各类问题230条次，排查了吉家湖社区内380多栋自建房，协助社区健全完善了自建房台账</w:t>
            </w:r>
          </w:p>
        </w:tc>
        <w:tc>
          <w:tcPr>
            <w:tcW w:w="719" w:type="dxa"/>
            <w:noWrap w:val="0"/>
            <w:vAlign w:val="center"/>
          </w:tcPr>
          <w:p w14:paraId="50EF125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802" w:type="dxa"/>
            <w:noWrap w:val="0"/>
            <w:vAlign w:val="center"/>
          </w:tcPr>
          <w:p w14:paraId="735582C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275" w:type="dxa"/>
            <w:noWrap w:val="0"/>
            <w:vAlign w:val="center"/>
          </w:tcPr>
          <w:p w14:paraId="3C0DFB0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182BA83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5B6FF275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6E145AB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restart"/>
            <w:tcBorders>
              <w:bottom w:val="nil"/>
            </w:tcBorders>
            <w:noWrap w:val="0"/>
            <w:vAlign w:val="center"/>
          </w:tcPr>
          <w:p w14:paraId="35D3C06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质量指标</w:t>
            </w:r>
          </w:p>
        </w:tc>
        <w:tc>
          <w:tcPr>
            <w:tcW w:w="1269" w:type="dxa"/>
            <w:noWrap w:val="0"/>
            <w:vAlign w:val="center"/>
          </w:tcPr>
          <w:p w14:paraId="11FEC64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left"/>
              <w:textAlignment w:val="auto"/>
              <w:rPr>
                <w:rFonts w:ascii="Arial"/>
                <w:color w:val="000000" w:themeColor="text1"/>
                <w:sz w:val="14"/>
                <w:szCs w:val="1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14"/>
                <w:szCs w:val="14"/>
              </w:rPr>
              <w:t>道路污染控制率、覆盖程度</w:t>
            </w:r>
          </w:p>
        </w:tc>
        <w:tc>
          <w:tcPr>
            <w:tcW w:w="1319" w:type="dxa"/>
            <w:noWrap w:val="0"/>
            <w:vAlign w:val="center"/>
          </w:tcPr>
          <w:p w14:paraId="09D0A45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left"/>
              <w:textAlignment w:val="auto"/>
              <w:rPr>
                <w:rFonts w:ascii="Arial"/>
                <w:color w:val="000000" w:themeColor="text1"/>
                <w:sz w:val="14"/>
                <w:szCs w:val="1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楷体" w:eastAsia="仿宋_GB2312" w:cs="宋体"/>
                <w:kern w:val="0"/>
                <w:sz w:val="14"/>
                <w:szCs w:val="14"/>
              </w:rPr>
              <w:t>≧95%</w:t>
            </w:r>
          </w:p>
        </w:tc>
        <w:tc>
          <w:tcPr>
            <w:tcW w:w="1259" w:type="dxa"/>
            <w:noWrap w:val="0"/>
            <w:vAlign w:val="center"/>
          </w:tcPr>
          <w:p w14:paraId="3A23717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left"/>
              <w:textAlignment w:val="auto"/>
              <w:rPr>
                <w:rFonts w:ascii="Arial"/>
                <w:color w:val="000000" w:themeColor="text1"/>
                <w:sz w:val="14"/>
                <w:szCs w:val="1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楷体" w:eastAsia="仿宋_GB2312" w:cs="宋体"/>
                <w:kern w:val="0"/>
                <w:sz w:val="14"/>
                <w:szCs w:val="14"/>
              </w:rPr>
              <w:t>100%</w:t>
            </w:r>
          </w:p>
        </w:tc>
        <w:tc>
          <w:tcPr>
            <w:tcW w:w="719" w:type="dxa"/>
            <w:noWrap w:val="0"/>
            <w:vAlign w:val="center"/>
          </w:tcPr>
          <w:p w14:paraId="066AB8C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802" w:type="dxa"/>
            <w:noWrap w:val="0"/>
            <w:vAlign w:val="center"/>
          </w:tcPr>
          <w:p w14:paraId="7D795B3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275" w:type="dxa"/>
            <w:noWrap w:val="0"/>
            <w:vAlign w:val="center"/>
          </w:tcPr>
          <w:p w14:paraId="4F3C6EA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3D1C035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4FAC7A1F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2601542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5DEB6FF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 w14:paraId="351EB59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left"/>
              <w:textAlignment w:val="auto"/>
              <w:rPr>
                <w:rFonts w:ascii="Arial"/>
                <w:color w:val="000000" w:themeColor="text1"/>
                <w:sz w:val="14"/>
                <w:szCs w:val="1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14"/>
                <w:szCs w:val="14"/>
              </w:rPr>
              <w:t>智慧城管平台热线办结率</w:t>
            </w:r>
          </w:p>
        </w:tc>
        <w:tc>
          <w:tcPr>
            <w:tcW w:w="1319" w:type="dxa"/>
            <w:noWrap w:val="0"/>
            <w:vAlign w:val="center"/>
          </w:tcPr>
          <w:p w14:paraId="17EF2F5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left"/>
              <w:textAlignment w:val="auto"/>
              <w:rPr>
                <w:rFonts w:ascii="Arial"/>
                <w:color w:val="000000" w:themeColor="text1"/>
                <w:sz w:val="14"/>
                <w:szCs w:val="1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楷体" w:eastAsia="仿宋_GB2312" w:cs="宋体"/>
                <w:kern w:val="0"/>
                <w:sz w:val="14"/>
                <w:szCs w:val="14"/>
              </w:rPr>
              <w:t>≧95%</w:t>
            </w:r>
          </w:p>
        </w:tc>
        <w:tc>
          <w:tcPr>
            <w:tcW w:w="1259" w:type="dxa"/>
            <w:noWrap w:val="0"/>
            <w:vAlign w:val="center"/>
          </w:tcPr>
          <w:p w14:paraId="5D38102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left"/>
              <w:textAlignment w:val="auto"/>
              <w:rPr>
                <w:rFonts w:ascii="Arial"/>
                <w:color w:val="000000" w:themeColor="text1"/>
                <w:sz w:val="14"/>
                <w:szCs w:val="1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楷体" w:eastAsia="仿宋_GB2312" w:cs="宋体"/>
                <w:kern w:val="0"/>
                <w:sz w:val="14"/>
                <w:szCs w:val="14"/>
              </w:rPr>
              <w:t>100%</w:t>
            </w:r>
          </w:p>
        </w:tc>
        <w:tc>
          <w:tcPr>
            <w:tcW w:w="719" w:type="dxa"/>
            <w:noWrap w:val="0"/>
            <w:vAlign w:val="center"/>
          </w:tcPr>
          <w:p w14:paraId="65CC697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802" w:type="dxa"/>
            <w:noWrap w:val="0"/>
            <w:vAlign w:val="center"/>
          </w:tcPr>
          <w:p w14:paraId="3C6FD97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275" w:type="dxa"/>
            <w:noWrap w:val="0"/>
            <w:vAlign w:val="center"/>
          </w:tcPr>
          <w:p w14:paraId="07F4CEC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15CC545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08630772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5D591FC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</w:tcBorders>
            <w:noWrap w:val="0"/>
            <w:vAlign w:val="center"/>
          </w:tcPr>
          <w:p w14:paraId="31E688E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 w14:paraId="4718FBC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14"/>
                <w:szCs w:val="1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14"/>
                <w:szCs w:val="14"/>
              </w:rPr>
              <w:t>大气防治与环境治理完成率</w:t>
            </w:r>
          </w:p>
        </w:tc>
        <w:tc>
          <w:tcPr>
            <w:tcW w:w="1319" w:type="dxa"/>
            <w:noWrap w:val="0"/>
            <w:vAlign w:val="center"/>
          </w:tcPr>
          <w:p w14:paraId="70C8259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14"/>
                <w:szCs w:val="1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楷体" w:eastAsia="仿宋_GB2312" w:cs="宋体"/>
                <w:kern w:val="0"/>
                <w:sz w:val="14"/>
                <w:szCs w:val="14"/>
              </w:rPr>
              <w:t>≧95%</w:t>
            </w:r>
          </w:p>
        </w:tc>
        <w:tc>
          <w:tcPr>
            <w:tcW w:w="1259" w:type="dxa"/>
            <w:noWrap w:val="0"/>
            <w:vAlign w:val="center"/>
          </w:tcPr>
          <w:p w14:paraId="24EC961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14"/>
                <w:szCs w:val="1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楷体" w:eastAsia="仿宋_GB2312" w:cs="宋体"/>
                <w:kern w:val="0"/>
                <w:sz w:val="14"/>
                <w:szCs w:val="14"/>
              </w:rPr>
              <w:t>100%</w:t>
            </w:r>
          </w:p>
        </w:tc>
        <w:tc>
          <w:tcPr>
            <w:tcW w:w="719" w:type="dxa"/>
            <w:noWrap w:val="0"/>
            <w:vAlign w:val="center"/>
          </w:tcPr>
          <w:p w14:paraId="2CFA958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19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9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802" w:type="dxa"/>
            <w:noWrap w:val="0"/>
            <w:vAlign w:val="center"/>
          </w:tcPr>
          <w:p w14:paraId="5000236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19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9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275" w:type="dxa"/>
            <w:noWrap w:val="0"/>
            <w:vAlign w:val="center"/>
          </w:tcPr>
          <w:p w14:paraId="03F9092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19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75822EE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3417698B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04EC0F3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tcBorders>
              <w:bottom w:val="nil"/>
            </w:tcBorders>
            <w:noWrap w:val="0"/>
            <w:vAlign w:val="center"/>
          </w:tcPr>
          <w:p w14:paraId="2EE4D8B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时效指标</w:t>
            </w:r>
          </w:p>
        </w:tc>
        <w:tc>
          <w:tcPr>
            <w:tcW w:w="1269" w:type="dxa"/>
            <w:noWrap w:val="0"/>
            <w:vAlign w:val="center"/>
          </w:tcPr>
          <w:p w14:paraId="212F8D1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14"/>
                <w:szCs w:val="1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14"/>
                <w:szCs w:val="14"/>
              </w:rPr>
              <w:t>2022年内完成各项工作任务</w:t>
            </w:r>
          </w:p>
        </w:tc>
        <w:tc>
          <w:tcPr>
            <w:tcW w:w="1319" w:type="dxa"/>
            <w:noWrap w:val="0"/>
            <w:vAlign w:val="center"/>
          </w:tcPr>
          <w:p w14:paraId="6215B79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14"/>
                <w:szCs w:val="1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14"/>
                <w:szCs w:val="14"/>
              </w:rPr>
              <w:t>2022年</w:t>
            </w:r>
          </w:p>
        </w:tc>
        <w:tc>
          <w:tcPr>
            <w:tcW w:w="1259" w:type="dxa"/>
            <w:noWrap w:val="0"/>
            <w:vAlign w:val="center"/>
          </w:tcPr>
          <w:p w14:paraId="20F9630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14"/>
                <w:szCs w:val="1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14"/>
                <w:szCs w:val="14"/>
              </w:rPr>
              <w:t>2022年</w:t>
            </w:r>
          </w:p>
        </w:tc>
        <w:tc>
          <w:tcPr>
            <w:tcW w:w="719" w:type="dxa"/>
            <w:noWrap w:val="0"/>
            <w:vAlign w:val="center"/>
          </w:tcPr>
          <w:p w14:paraId="4C12142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802" w:type="dxa"/>
            <w:noWrap w:val="0"/>
            <w:vAlign w:val="center"/>
          </w:tcPr>
          <w:p w14:paraId="7954D2A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275" w:type="dxa"/>
            <w:noWrap w:val="0"/>
            <w:vAlign w:val="center"/>
          </w:tcPr>
          <w:p w14:paraId="3EA376E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04AD635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7C0E7F26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46A1558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tcBorders>
              <w:bottom w:val="nil"/>
            </w:tcBorders>
            <w:noWrap w:val="0"/>
            <w:vAlign w:val="center"/>
          </w:tcPr>
          <w:p w14:paraId="5A13181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成本指标</w:t>
            </w:r>
          </w:p>
        </w:tc>
        <w:tc>
          <w:tcPr>
            <w:tcW w:w="1269" w:type="dxa"/>
            <w:noWrap w:val="0"/>
            <w:vAlign w:val="center"/>
          </w:tcPr>
          <w:p w14:paraId="51DE40C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leftChars="0"/>
              <w:jc w:val="center"/>
              <w:textAlignment w:val="auto"/>
              <w:rPr>
                <w:rFonts w:ascii="Arial" w:hAnsiTheme="minorHAnsi" w:eastAsiaTheme="minorEastAsia" w:cstheme="minorBidi"/>
                <w:color w:val="000000" w:themeColor="text1"/>
                <w:kern w:val="2"/>
                <w:sz w:val="14"/>
                <w:szCs w:val="1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14"/>
                <w:szCs w:val="14"/>
              </w:rPr>
              <w:t>控制在预算金额之内</w:t>
            </w:r>
          </w:p>
        </w:tc>
        <w:tc>
          <w:tcPr>
            <w:tcW w:w="1319" w:type="dxa"/>
            <w:noWrap w:val="0"/>
            <w:vAlign w:val="center"/>
          </w:tcPr>
          <w:p w14:paraId="0A51C6D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leftChars="0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14"/>
                <w:szCs w:val="1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14"/>
                <w:szCs w:val="14"/>
                <w:lang w:val="en-US" w:eastAsia="zh-CN"/>
              </w:rPr>
              <w:t>122.37万</w:t>
            </w:r>
          </w:p>
        </w:tc>
        <w:tc>
          <w:tcPr>
            <w:tcW w:w="1259" w:type="dxa"/>
            <w:noWrap w:val="0"/>
            <w:vAlign w:val="center"/>
          </w:tcPr>
          <w:p w14:paraId="07591EE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leftChars="0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14"/>
                <w:szCs w:val="1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14"/>
                <w:szCs w:val="14"/>
                <w:lang w:val="en-US" w:eastAsia="zh-CN"/>
              </w:rPr>
              <w:t>265.60万</w:t>
            </w:r>
          </w:p>
        </w:tc>
        <w:tc>
          <w:tcPr>
            <w:tcW w:w="719" w:type="dxa"/>
            <w:noWrap w:val="0"/>
            <w:vAlign w:val="center"/>
          </w:tcPr>
          <w:p w14:paraId="1F6C891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leftChars="0"/>
              <w:jc w:val="center"/>
              <w:textAlignment w:val="auto"/>
              <w:rPr>
                <w:rFonts w:hint="default" w:ascii="Arial" w:hAnsiTheme="minorHAnsi" w:eastAsiaTheme="minorEastAsia" w:cstheme="minorBidi"/>
                <w:color w:val="000000" w:themeColor="text1"/>
                <w:kern w:val="2"/>
                <w:sz w:val="20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802" w:type="dxa"/>
            <w:noWrap w:val="0"/>
            <w:vAlign w:val="center"/>
          </w:tcPr>
          <w:p w14:paraId="4326D40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leftChars="0"/>
              <w:jc w:val="center"/>
              <w:textAlignment w:val="auto"/>
              <w:rPr>
                <w:rFonts w:hint="default" w:ascii="Arial" w:hAnsiTheme="minorHAnsi" w:eastAsiaTheme="minorEastAsia" w:cstheme="minorBidi"/>
                <w:color w:val="000000" w:themeColor="text1"/>
                <w:kern w:val="2"/>
                <w:sz w:val="20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275" w:type="dxa"/>
            <w:noWrap w:val="0"/>
            <w:vAlign w:val="center"/>
          </w:tcPr>
          <w:p w14:paraId="06A8319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left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14"/>
                <w:szCs w:val="14"/>
              </w:rPr>
              <w:t>本单位为21年市级下沉单位，22年年初预算只有人员经费122.37万（岳楼22年财政预算书214-215页），全年项目支出金额80.80万由区财政统一安排所有下沉单位拨付（岳楼22年财政预算书38页，预算项目：城市管理综合专项）。</w:t>
            </w:r>
          </w:p>
        </w:tc>
      </w:tr>
      <w:tr w14:paraId="6A43858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307E4934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5B00AD7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restart"/>
            <w:tcBorders>
              <w:bottom w:val="nil"/>
            </w:tcBorders>
            <w:noWrap w:val="0"/>
            <w:vAlign w:val="center"/>
          </w:tcPr>
          <w:p w14:paraId="7E11E7C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2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社会效</w:t>
            </w:r>
          </w:p>
          <w:p w14:paraId="60AB944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69" w:type="dxa"/>
            <w:noWrap w:val="0"/>
            <w:vAlign w:val="center"/>
          </w:tcPr>
          <w:p w14:paraId="12A22B9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left"/>
              <w:textAlignment w:val="auto"/>
              <w:rPr>
                <w:rFonts w:ascii="Arial"/>
                <w:color w:val="000000" w:themeColor="text1"/>
                <w:sz w:val="14"/>
                <w:szCs w:val="1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14"/>
                <w:szCs w:val="14"/>
              </w:rPr>
              <w:t>维护管辖区卫生，保证岳阳市社会面貌整齐</w:t>
            </w:r>
          </w:p>
        </w:tc>
        <w:tc>
          <w:tcPr>
            <w:tcW w:w="1319" w:type="dxa"/>
            <w:noWrap w:val="0"/>
            <w:vAlign w:val="center"/>
          </w:tcPr>
          <w:p w14:paraId="2FAF4C3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14"/>
                <w:szCs w:val="1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14"/>
                <w:szCs w:val="14"/>
              </w:rPr>
              <w:t>有效改善</w:t>
            </w:r>
          </w:p>
        </w:tc>
        <w:tc>
          <w:tcPr>
            <w:tcW w:w="1259" w:type="dxa"/>
            <w:noWrap w:val="0"/>
            <w:vAlign w:val="center"/>
          </w:tcPr>
          <w:p w14:paraId="3194FF7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14"/>
                <w:szCs w:val="1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14"/>
                <w:szCs w:val="14"/>
              </w:rPr>
              <w:t>有效改善</w:t>
            </w:r>
          </w:p>
        </w:tc>
        <w:tc>
          <w:tcPr>
            <w:tcW w:w="719" w:type="dxa"/>
            <w:noWrap w:val="0"/>
            <w:vAlign w:val="center"/>
          </w:tcPr>
          <w:p w14:paraId="127AF92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802" w:type="dxa"/>
            <w:noWrap w:val="0"/>
            <w:vAlign w:val="center"/>
          </w:tcPr>
          <w:p w14:paraId="352EE78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275" w:type="dxa"/>
            <w:noWrap w:val="0"/>
            <w:vAlign w:val="center"/>
          </w:tcPr>
          <w:p w14:paraId="39FE731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224BA85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5A2F312F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0F3A758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478BEB3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 w14:paraId="614DD33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left"/>
              <w:textAlignment w:val="auto"/>
              <w:rPr>
                <w:rFonts w:ascii="Arial"/>
                <w:color w:val="000000" w:themeColor="text1"/>
                <w:sz w:val="14"/>
                <w:szCs w:val="1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14"/>
                <w:szCs w:val="14"/>
              </w:rPr>
              <w:t>持续维护巴陵广场秩序，确保优良设施完好，维护市容秩序，改善道路通行效率</w:t>
            </w:r>
          </w:p>
        </w:tc>
        <w:tc>
          <w:tcPr>
            <w:tcW w:w="1319" w:type="dxa"/>
            <w:noWrap w:val="0"/>
            <w:vAlign w:val="center"/>
          </w:tcPr>
          <w:p w14:paraId="5A94493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14"/>
                <w:szCs w:val="1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14"/>
                <w:szCs w:val="14"/>
              </w:rPr>
              <w:t>有效改善</w:t>
            </w:r>
          </w:p>
        </w:tc>
        <w:tc>
          <w:tcPr>
            <w:tcW w:w="1259" w:type="dxa"/>
            <w:noWrap w:val="0"/>
            <w:vAlign w:val="center"/>
          </w:tcPr>
          <w:p w14:paraId="30049C9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14"/>
                <w:szCs w:val="1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14"/>
                <w:szCs w:val="14"/>
              </w:rPr>
              <w:t>有效改善</w:t>
            </w:r>
          </w:p>
        </w:tc>
        <w:tc>
          <w:tcPr>
            <w:tcW w:w="719" w:type="dxa"/>
            <w:noWrap w:val="0"/>
            <w:vAlign w:val="center"/>
          </w:tcPr>
          <w:p w14:paraId="1B01012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802" w:type="dxa"/>
            <w:noWrap w:val="0"/>
            <w:vAlign w:val="center"/>
          </w:tcPr>
          <w:p w14:paraId="11ECF60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275" w:type="dxa"/>
            <w:noWrap w:val="0"/>
            <w:vAlign w:val="center"/>
          </w:tcPr>
          <w:p w14:paraId="1F19600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406269A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2E00D4C1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6DAF2A9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restart"/>
            <w:tcBorders>
              <w:bottom w:val="nil"/>
            </w:tcBorders>
            <w:noWrap w:val="0"/>
            <w:vAlign w:val="center"/>
          </w:tcPr>
          <w:p w14:paraId="49B8850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7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生态效</w:t>
            </w:r>
          </w:p>
          <w:p w14:paraId="0DDF37C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69" w:type="dxa"/>
            <w:noWrap w:val="0"/>
            <w:vAlign w:val="center"/>
          </w:tcPr>
          <w:p w14:paraId="391C874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14"/>
                <w:szCs w:val="1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14"/>
                <w:szCs w:val="14"/>
              </w:rPr>
              <w:t>开展扬尘污染整治，持续监管空气质量</w:t>
            </w:r>
          </w:p>
        </w:tc>
        <w:tc>
          <w:tcPr>
            <w:tcW w:w="1319" w:type="dxa"/>
            <w:noWrap w:val="0"/>
            <w:vAlign w:val="center"/>
          </w:tcPr>
          <w:p w14:paraId="27BA4E0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14"/>
                <w:szCs w:val="1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14"/>
                <w:szCs w:val="14"/>
              </w:rPr>
              <w:t>有效改善</w:t>
            </w:r>
          </w:p>
        </w:tc>
        <w:tc>
          <w:tcPr>
            <w:tcW w:w="1259" w:type="dxa"/>
            <w:noWrap w:val="0"/>
            <w:vAlign w:val="center"/>
          </w:tcPr>
          <w:p w14:paraId="302CEB9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14"/>
                <w:szCs w:val="1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14"/>
                <w:szCs w:val="14"/>
              </w:rPr>
              <w:t>有效改善</w:t>
            </w:r>
          </w:p>
        </w:tc>
        <w:tc>
          <w:tcPr>
            <w:tcW w:w="719" w:type="dxa"/>
            <w:noWrap w:val="0"/>
            <w:vAlign w:val="center"/>
          </w:tcPr>
          <w:p w14:paraId="5F3F8FC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802" w:type="dxa"/>
            <w:noWrap w:val="0"/>
            <w:vAlign w:val="center"/>
          </w:tcPr>
          <w:p w14:paraId="5712F39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275" w:type="dxa"/>
            <w:noWrap w:val="0"/>
            <w:vAlign w:val="center"/>
          </w:tcPr>
          <w:p w14:paraId="2A88592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43DB2B3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2B4D1871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725F67A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2948E95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 w14:paraId="339336E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left"/>
              <w:textAlignment w:val="auto"/>
              <w:rPr>
                <w:rFonts w:ascii="Arial"/>
                <w:color w:val="000000" w:themeColor="text1"/>
                <w:sz w:val="14"/>
                <w:szCs w:val="1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14"/>
                <w:szCs w:val="14"/>
              </w:rPr>
              <w:t>有效遏制沿湖路周边和吉家湖社区违规乱倒行为，保持市容秩序良好</w:t>
            </w:r>
          </w:p>
        </w:tc>
        <w:tc>
          <w:tcPr>
            <w:tcW w:w="1319" w:type="dxa"/>
            <w:noWrap w:val="0"/>
            <w:vAlign w:val="center"/>
          </w:tcPr>
          <w:p w14:paraId="1F6C652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14"/>
                <w:szCs w:val="1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14"/>
                <w:szCs w:val="14"/>
              </w:rPr>
              <w:t>有效改善</w:t>
            </w:r>
          </w:p>
        </w:tc>
        <w:tc>
          <w:tcPr>
            <w:tcW w:w="1259" w:type="dxa"/>
            <w:noWrap w:val="0"/>
            <w:vAlign w:val="center"/>
          </w:tcPr>
          <w:p w14:paraId="6220819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14"/>
                <w:szCs w:val="1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14"/>
                <w:szCs w:val="14"/>
              </w:rPr>
              <w:t>有效改善</w:t>
            </w:r>
          </w:p>
        </w:tc>
        <w:tc>
          <w:tcPr>
            <w:tcW w:w="719" w:type="dxa"/>
            <w:noWrap w:val="0"/>
            <w:vAlign w:val="center"/>
          </w:tcPr>
          <w:p w14:paraId="1721B55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802" w:type="dxa"/>
            <w:noWrap w:val="0"/>
            <w:vAlign w:val="center"/>
          </w:tcPr>
          <w:p w14:paraId="3B86092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1275" w:type="dxa"/>
            <w:noWrap w:val="0"/>
            <w:vAlign w:val="center"/>
          </w:tcPr>
          <w:p w14:paraId="574B6F2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18B2362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3D91590D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37B32D6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tcBorders>
              <w:bottom w:val="nil"/>
            </w:tcBorders>
            <w:noWrap w:val="0"/>
            <w:vAlign w:val="center"/>
          </w:tcPr>
          <w:p w14:paraId="1BBCA97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3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可持续影</w:t>
            </w:r>
          </w:p>
          <w:p w14:paraId="72E205C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响指标</w:t>
            </w:r>
          </w:p>
        </w:tc>
        <w:tc>
          <w:tcPr>
            <w:tcW w:w="3847" w:type="dxa"/>
            <w:gridSpan w:val="3"/>
            <w:noWrap w:val="0"/>
            <w:vAlign w:val="center"/>
          </w:tcPr>
          <w:p w14:paraId="0435BAA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14"/>
                <w:szCs w:val="1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14"/>
                <w:szCs w:val="14"/>
              </w:rPr>
              <w:t>开展专项督查34次，排查、整改问题130多条，督促管理养护作业单位及产权单位更换围档590平方米，创卫宣传标语6处，整改各类问题230条次</w:t>
            </w:r>
          </w:p>
        </w:tc>
        <w:tc>
          <w:tcPr>
            <w:tcW w:w="719" w:type="dxa"/>
            <w:noWrap w:val="0"/>
            <w:vAlign w:val="center"/>
          </w:tcPr>
          <w:p w14:paraId="5EBC687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802" w:type="dxa"/>
            <w:noWrap w:val="0"/>
            <w:vAlign w:val="center"/>
          </w:tcPr>
          <w:p w14:paraId="5DB52D4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275" w:type="dxa"/>
            <w:noWrap w:val="0"/>
            <w:vAlign w:val="center"/>
          </w:tcPr>
          <w:p w14:paraId="4C8863A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10EF1F5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72396FB9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tcBorders>
              <w:bottom w:val="nil"/>
            </w:tcBorders>
            <w:noWrap w:val="0"/>
            <w:vAlign w:val="center"/>
          </w:tcPr>
          <w:p w14:paraId="08EAABE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4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满意度</w:t>
            </w:r>
          </w:p>
          <w:p w14:paraId="4109E1C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指标</w:t>
            </w:r>
          </w:p>
          <w:p w14:paraId="33FE0CA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9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(10分)</w:t>
            </w:r>
          </w:p>
        </w:tc>
        <w:tc>
          <w:tcPr>
            <w:tcW w:w="1029" w:type="dxa"/>
            <w:tcBorders>
              <w:bottom w:val="nil"/>
            </w:tcBorders>
            <w:noWrap w:val="0"/>
            <w:vAlign w:val="center"/>
          </w:tcPr>
          <w:p w14:paraId="735FE92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2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服务对象</w:t>
            </w:r>
          </w:p>
          <w:p w14:paraId="3B07F06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满意度指</w:t>
            </w:r>
          </w:p>
          <w:p w14:paraId="3D87975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标</w:t>
            </w:r>
          </w:p>
        </w:tc>
        <w:tc>
          <w:tcPr>
            <w:tcW w:w="1269" w:type="dxa"/>
            <w:noWrap w:val="0"/>
            <w:vAlign w:val="center"/>
          </w:tcPr>
          <w:p w14:paraId="603B7C5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14"/>
                <w:szCs w:val="1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14"/>
                <w:szCs w:val="14"/>
              </w:rPr>
              <w:t>社会公众或服务对象满意度</w:t>
            </w:r>
          </w:p>
        </w:tc>
        <w:tc>
          <w:tcPr>
            <w:tcW w:w="1319" w:type="dxa"/>
            <w:noWrap w:val="0"/>
            <w:vAlign w:val="center"/>
          </w:tcPr>
          <w:p w14:paraId="49F8453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14"/>
                <w:szCs w:val="1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14"/>
                <w:szCs w:val="14"/>
              </w:rPr>
              <w:t>满意度</w:t>
            </w:r>
            <w:r>
              <w:rPr>
                <w:rFonts w:hint="eastAsia" w:ascii="宋体" w:hAnsi="宋体" w:cs="宋体"/>
                <w:color w:val="000000"/>
                <w:sz w:val="14"/>
                <w:szCs w:val="14"/>
              </w:rPr>
              <w:t>≧90%</w:t>
            </w:r>
            <w:r>
              <w:rPr>
                <w:rFonts w:hint="eastAsia" w:ascii="仿宋_GB2312" w:hAnsi="仿宋_GB2312" w:eastAsia="仿宋_GB2312" w:cs="仿宋_GB2312"/>
                <w:color w:val="000000"/>
                <w:sz w:val="14"/>
                <w:szCs w:val="14"/>
              </w:rPr>
              <w:t xml:space="preserve">  </w:t>
            </w:r>
          </w:p>
        </w:tc>
        <w:tc>
          <w:tcPr>
            <w:tcW w:w="1259" w:type="dxa"/>
            <w:noWrap w:val="0"/>
            <w:vAlign w:val="center"/>
          </w:tcPr>
          <w:p w14:paraId="15D4938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14"/>
                <w:szCs w:val="1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14"/>
                <w:szCs w:val="14"/>
              </w:rPr>
              <w:t>满意度</w:t>
            </w:r>
            <w:r>
              <w:rPr>
                <w:rFonts w:hint="eastAsia" w:ascii="宋体" w:hAnsi="宋体" w:cs="宋体"/>
                <w:color w:val="000000"/>
                <w:sz w:val="14"/>
                <w:szCs w:val="14"/>
              </w:rPr>
              <w:t>≧9</w:t>
            </w:r>
            <w:r>
              <w:rPr>
                <w:rFonts w:hint="eastAsia" w:ascii="宋体" w:hAnsi="宋体" w:cs="宋体"/>
                <w:color w:val="000000"/>
                <w:sz w:val="14"/>
                <w:szCs w:val="14"/>
                <w:lang w:val="en-US" w:eastAsia="zh-CN"/>
              </w:rPr>
              <w:t>5</w:t>
            </w:r>
            <w:r>
              <w:rPr>
                <w:rFonts w:hint="eastAsia" w:ascii="宋体" w:hAnsi="宋体" w:cs="宋体"/>
                <w:color w:val="000000"/>
                <w:sz w:val="14"/>
                <w:szCs w:val="14"/>
              </w:rPr>
              <w:t>%</w:t>
            </w:r>
            <w:r>
              <w:rPr>
                <w:rFonts w:hint="eastAsia" w:ascii="仿宋_GB2312" w:hAnsi="仿宋_GB2312" w:eastAsia="仿宋_GB2312" w:cs="仿宋_GB2312"/>
                <w:color w:val="000000"/>
                <w:sz w:val="14"/>
                <w:szCs w:val="14"/>
              </w:rPr>
              <w:t xml:space="preserve">  </w:t>
            </w:r>
          </w:p>
        </w:tc>
        <w:tc>
          <w:tcPr>
            <w:tcW w:w="719" w:type="dxa"/>
            <w:noWrap w:val="0"/>
            <w:vAlign w:val="center"/>
          </w:tcPr>
          <w:p w14:paraId="69FD26C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802" w:type="dxa"/>
            <w:noWrap w:val="0"/>
            <w:vAlign w:val="center"/>
          </w:tcPr>
          <w:p w14:paraId="1EF76D7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275" w:type="dxa"/>
            <w:noWrap w:val="0"/>
            <w:vAlign w:val="center"/>
          </w:tcPr>
          <w:p w14:paraId="0317A5F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6A5808A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5" w:hRule="atLeast"/>
        </w:trPr>
        <w:tc>
          <w:tcPr>
            <w:tcW w:w="7039" w:type="dxa"/>
            <w:gridSpan w:val="6"/>
            <w:noWrap w:val="0"/>
            <w:vAlign w:val="center"/>
          </w:tcPr>
          <w:p w14:paraId="6438B63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1" w:lineRule="exact"/>
              <w:ind w:left="0" w:firstLine="3274"/>
              <w:jc w:val="center"/>
              <w:textAlignment w:val="auto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drawing>
                <wp:inline distT="0" distB="0" distL="114300" distR="114300">
                  <wp:extent cx="297815" cy="158750"/>
                  <wp:effectExtent l="0" t="0" r="6985" b="13335"/>
                  <wp:docPr id="1" name="图片 1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图片 1"/>
                          <pic:cNvPicPr/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7815" cy="158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9" w:type="dxa"/>
            <w:noWrap w:val="0"/>
            <w:vAlign w:val="center"/>
          </w:tcPr>
          <w:p w14:paraId="59774FF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6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100</w:t>
            </w:r>
          </w:p>
        </w:tc>
        <w:tc>
          <w:tcPr>
            <w:tcW w:w="802" w:type="dxa"/>
            <w:noWrap w:val="0"/>
            <w:vAlign w:val="center"/>
          </w:tcPr>
          <w:p w14:paraId="2AFFFB4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97</w:t>
            </w:r>
          </w:p>
        </w:tc>
        <w:tc>
          <w:tcPr>
            <w:tcW w:w="1275" w:type="dxa"/>
            <w:noWrap w:val="0"/>
            <w:vAlign w:val="center"/>
          </w:tcPr>
          <w:p w14:paraId="20C48BC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 w14:paraId="54F20C3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-22"/>
          <w:position w:val="-1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仿宋"/>
          <w:color w:val="000000" w:themeColor="text1"/>
          <w:spacing w:val="-22"/>
          <w:sz w:val="22"/>
          <w:szCs w:val="22"/>
          <w14:textFill>
            <w14:solidFill>
              <w14:schemeClr w14:val="tx1"/>
            </w14:solidFill>
          </w14:textFill>
        </w:rPr>
        <w:t>填表人：</w:t>
      </w:r>
      <w:r>
        <w:rPr>
          <w:rFonts w:hint="eastAsia" w:ascii="仿宋" w:hAnsi="仿宋" w:eastAsia="仿宋" w:cs="仿宋"/>
          <w:color w:val="000000" w:themeColor="text1"/>
          <w:spacing w:val="-22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  <w:t>彭向红</w:t>
      </w:r>
      <w:r>
        <w:rPr>
          <w:rFonts w:ascii="仿宋" w:hAnsi="仿宋" w:eastAsia="仿宋" w:cs="仿宋"/>
          <w:color w:val="000000" w:themeColor="text1"/>
          <w:spacing w:val="9"/>
          <w:sz w:val="22"/>
          <w:szCs w:val="2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ascii="仿宋" w:hAnsi="仿宋" w:eastAsia="仿宋" w:cs="仿宋"/>
          <w:color w:val="000000" w:themeColor="text1"/>
          <w:spacing w:val="3"/>
          <w:sz w:val="22"/>
          <w:szCs w:val="2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ascii="仿宋" w:hAnsi="仿宋" w:eastAsia="仿宋" w:cs="仿宋"/>
          <w:color w:val="000000" w:themeColor="text1"/>
          <w:spacing w:val="-22"/>
          <w:sz w:val="22"/>
          <w:szCs w:val="2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"/>
          <w:color w:val="000000" w:themeColor="text1"/>
          <w:spacing w:val="-22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  <w:t>8634378</w:t>
      </w:r>
      <w:r>
        <w:rPr>
          <w:rFonts w:ascii="仿宋" w:hAnsi="仿宋" w:eastAsia="仿宋" w:cs="仿宋"/>
          <w:color w:val="000000" w:themeColor="text1"/>
          <w:spacing w:val="2"/>
          <w:sz w:val="22"/>
          <w:szCs w:val="22"/>
          <w14:textFill>
            <w14:solidFill>
              <w14:schemeClr w14:val="tx1"/>
            </w14:solidFill>
          </w14:textFill>
        </w:rPr>
        <w:t xml:space="preserve">       </w:t>
      </w:r>
      <w:r>
        <w:rPr>
          <w:rFonts w:ascii="仿宋" w:hAnsi="仿宋" w:eastAsia="仿宋" w:cs="仿宋"/>
          <w:color w:val="000000" w:themeColor="text1"/>
          <w:spacing w:val="-22"/>
          <w:position w:val="-1"/>
          <w:sz w:val="22"/>
          <w:szCs w:val="22"/>
          <w14:textFill>
            <w14:solidFill>
              <w14:schemeClr w14:val="tx1"/>
            </w14:solidFill>
          </w14:textFill>
        </w:rPr>
        <w:t>单位负责人签字：</w:t>
      </w:r>
      <w:r>
        <w:rPr>
          <w:rFonts w:hint="eastAsia" w:ascii="仿宋" w:hAnsi="仿宋" w:eastAsia="仿宋" w:cs="仿宋"/>
          <w:color w:val="000000" w:themeColor="text1"/>
          <w:spacing w:val="-22"/>
          <w:position w:val="-1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  <w:t xml:space="preserve">                </w:t>
      </w:r>
      <w:r>
        <w:rPr>
          <w:rFonts w:ascii="仿宋" w:hAnsi="仿宋" w:eastAsia="仿宋" w:cs="仿宋"/>
          <w:color w:val="000000" w:themeColor="text1"/>
          <w:spacing w:val="9"/>
          <w:sz w:val="22"/>
          <w:szCs w:val="2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仿宋"/>
          <w:color w:val="000000" w:themeColor="text1"/>
          <w:spacing w:val="-22"/>
          <w:sz w:val="22"/>
          <w:szCs w:val="22"/>
          <w14:textFill>
            <w14:solidFill>
              <w14:schemeClr w14:val="tx1"/>
            </w14:solidFill>
          </w14:textFill>
        </w:rPr>
        <w:t>填报日期：</w:t>
      </w:r>
      <w:r>
        <w:rPr>
          <w:rFonts w:ascii="仿宋" w:hAnsi="仿宋" w:eastAsia="仿宋" w:cs="仿宋"/>
          <w:color w:val="000000" w:themeColor="text1"/>
          <w:spacing w:val="3"/>
          <w:sz w:val="22"/>
          <w:szCs w:val="2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color w:val="000000" w:themeColor="text1"/>
          <w:spacing w:val="3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  <w:t>2023.06.14</w:t>
      </w:r>
    </w:p>
    <w:p w14:paraId="009C64E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  <w:sectPr>
          <w:footerReference r:id="rId4" w:type="default"/>
          <w:pgSz w:w="11906" w:h="16838"/>
          <w:pgMar w:top="1134" w:right="1417" w:bottom="1134" w:left="1134" w:header="851" w:footer="992" w:gutter="0"/>
          <w:pgNumType w:fmt="decimal"/>
          <w:cols w:space="0" w:num="1"/>
          <w:rtlGutter w:val="0"/>
          <w:docGrid w:type="lines" w:linePitch="312" w:charSpace="0"/>
        </w:sectPr>
      </w:pPr>
    </w:p>
    <w:p w14:paraId="305A433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default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default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附件</w:t>
      </w: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3</w:t>
      </w:r>
    </w:p>
    <w:p w14:paraId="73CC82B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firstLine="0" w:firstLineChars="0"/>
        <w:jc w:val="center"/>
        <w:textAlignment w:val="auto"/>
        <w:rPr>
          <w:rFonts w:hint="default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:lang w:val="en-US" w:eastAsia="zh-CN"/>
          <w14:textFill>
            <w14:solidFill>
              <w14:schemeClr w14:val="tx1"/>
            </w14:solidFill>
          </w14:textFill>
        </w:rPr>
      </w:pPr>
    </w:p>
    <w:p w14:paraId="436DADB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firstLine="0" w:firstLine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default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2022年度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岳阳市沿湖风光带管理中心</w:t>
      </w:r>
    </w:p>
    <w:p w14:paraId="00D9860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firstLine="0" w:firstLineChars="0"/>
        <w:jc w:val="center"/>
        <w:textAlignment w:val="auto"/>
        <w:rPr>
          <w:rFonts w:hint="default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default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单位整体支出绩效自评报告</w:t>
      </w:r>
    </w:p>
    <w:p w14:paraId="2B20493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37F22C1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1B13239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00ACCB3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305B9AE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3418A54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480839A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4C78BFE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7D4DBB3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2D55871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1829ECF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480193F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3E3CAB7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0AFE008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3CF81C3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6E52DB7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0112D8B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22BF6FE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54A589C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28CC83C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269CFBA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3DDB187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7B7A139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3F774BB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2D952AC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1AB7A47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6F13081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center"/>
        <w:textAlignment w:val="auto"/>
        <w:rPr>
          <w:rFonts w:hint="eastAsia" w:ascii="楷体_GB2312" w:hAnsi="楷体_GB2312" w:eastAsia="楷体_GB2312" w:cs="楷体_GB2312"/>
          <w:color w:val="000000" w:themeColor="text1"/>
          <w:spacing w:val="0"/>
          <w:position w:val="0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_GB2312" w:hAnsi="楷体_GB2312" w:eastAsia="楷体_GB2312" w:cs="楷体_GB2312"/>
          <w:color w:val="000000" w:themeColor="text1"/>
          <w:spacing w:val="0"/>
          <w:position w:val="0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  <w:t>部门(单位)名称：   ( 盖 章 )</w:t>
      </w:r>
    </w:p>
    <w:p w14:paraId="7612E38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center"/>
        <w:textAlignment w:val="auto"/>
        <w:rPr>
          <w:rFonts w:hint="eastAsia" w:ascii="楷体_GB2312" w:hAnsi="楷体_GB2312" w:eastAsia="楷体_GB2312" w:cs="楷体_GB2312"/>
          <w:color w:val="000000" w:themeColor="text1"/>
          <w:spacing w:val="0"/>
          <w:position w:val="0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_GB2312" w:hAnsi="楷体_GB2312" w:eastAsia="楷体_GB2312" w:cs="楷体_GB2312"/>
          <w:color w:val="000000" w:themeColor="text1"/>
          <w:spacing w:val="0"/>
          <w:position w:val="0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  <w:t>2023年 6 月  14日</w:t>
      </w:r>
    </w:p>
    <w:p w14:paraId="68C28E2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65286DD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66C144E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43F245C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031BB25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left="0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2022年度岳阳楼区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岳阳市沿湖风光带管理中心</w:t>
      </w:r>
      <w:r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单位整体支出绩效自评报告</w:t>
      </w:r>
    </w:p>
    <w:p w14:paraId="1C1A553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7F2FC56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332FC61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6C8F4D55"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单位基本情况</w:t>
      </w:r>
    </w:p>
    <w:p w14:paraId="53EB80D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岳阳市沿湖风光带管理中心是全额财政拨款事业单位编制。在职全额编制人数8人，实际人数9人。内设综合股、文秘股两个职能股室。 </w:t>
      </w:r>
    </w:p>
    <w:p w14:paraId="50D2D34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岳阳市沿湖风光带管理中心主要职能有：负责对相关管理和养护单位的日常工作进行督查和考核。负责沿湖风光带范围内破占道行为和户外广告管理。负责对沿湖风光带范围内违反城市管理法规的行为进行查处。负责沿湖风光带范围内市政设施的维护和管理。根据园林绿化、环境卫生等行业标准，负责制定沿湖风光带范围内日常管理工作标准及考评细则。</w:t>
      </w:r>
    </w:p>
    <w:p w14:paraId="6A6F5B7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二、一般公共预算支出情况</w:t>
      </w:r>
    </w:p>
    <w:p w14:paraId="2443949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3" w:firstLineChars="200"/>
        <w:jc w:val="left"/>
        <w:textAlignment w:val="auto"/>
        <w:rPr>
          <w:rFonts w:hint="eastAsia" w:ascii="楷体_GB2312" w:hAnsi="楷体_GB2312" w:eastAsia="楷体_GB2312" w:cs="楷体_GB2312"/>
          <w:b/>
          <w:bCs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_GB2312" w:hAnsi="楷体_GB2312" w:eastAsia="楷体_GB2312" w:cs="楷体_GB2312"/>
          <w:b/>
          <w:bCs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(一)基本支出情况</w:t>
      </w:r>
    </w:p>
    <w:p w14:paraId="0BBC0610">
      <w:pPr>
        <w:spacing w:line="560" w:lineRule="exact"/>
        <w:ind w:firstLine="640" w:firstLineChars="200"/>
        <w:rPr>
          <w:rFonts w:hint="eastAsia" w:ascii="楷体_GB2312" w:hAnsi="楷体_GB2312" w:eastAsia="楷体_GB2312" w:cs="楷体_GB2312"/>
          <w:b/>
          <w:bCs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Cs/>
          <w:sz w:val="32"/>
          <w:szCs w:val="32"/>
        </w:rPr>
        <w:t>202</w:t>
      </w:r>
      <w:r>
        <w:rPr>
          <w:rFonts w:hint="eastAsia" w:ascii="仿宋_GB2312" w:hAnsi="仿宋_GB2312" w:eastAsia="仿宋_GB2312" w:cs="仿宋_GB2312"/>
          <w:bCs/>
          <w:sz w:val="32"/>
          <w:szCs w:val="32"/>
          <w:lang w:val="en-US" w:eastAsia="zh-CN"/>
        </w:rPr>
        <w:t>2</w:t>
      </w:r>
      <w:r>
        <w:rPr>
          <w:rFonts w:hint="eastAsia" w:ascii="仿宋_GB2312" w:hAnsi="仿宋_GB2312" w:eastAsia="仿宋_GB2312" w:cs="仿宋_GB2312"/>
          <w:bCs/>
          <w:sz w:val="32"/>
          <w:szCs w:val="32"/>
        </w:rPr>
        <w:t>年度，单位基本支出</w:t>
      </w:r>
      <w:r>
        <w:rPr>
          <w:rFonts w:hint="eastAsia" w:ascii="仿宋_GB2312" w:hAnsi="仿宋_GB2312" w:eastAsia="仿宋_GB2312" w:cs="仿宋_GB2312"/>
          <w:bCs/>
          <w:sz w:val="32"/>
          <w:szCs w:val="32"/>
          <w:lang w:val="en-US" w:eastAsia="zh-CN"/>
        </w:rPr>
        <w:t>256.60</w:t>
      </w:r>
      <w:r>
        <w:rPr>
          <w:rFonts w:hint="eastAsia" w:ascii="仿宋_GB2312" w:hAnsi="仿宋_GB2312" w:eastAsia="仿宋_GB2312" w:cs="仿宋_GB2312"/>
          <w:bCs/>
          <w:sz w:val="32"/>
          <w:szCs w:val="32"/>
        </w:rPr>
        <w:t>万元，其中人员支出</w:t>
      </w:r>
      <w:r>
        <w:rPr>
          <w:rFonts w:hint="eastAsia" w:ascii="仿宋_GB2312" w:hAnsi="仿宋_GB2312" w:eastAsia="仿宋_GB2312" w:cs="仿宋_GB2312"/>
          <w:bCs/>
          <w:sz w:val="32"/>
          <w:szCs w:val="32"/>
          <w:lang w:val="en-US" w:eastAsia="zh-CN"/>
        </w:rPr>
        <w:t>134.92</w:t>
      </w:r>
      <w:r>
        <w:rPr>
          <w:rFonts w:hint="eastAsia" w:ascii="仿宋_GB2312" w:hAnsi="仿宋_GB2312" w:eastAsia="仿宋_GB2312" w:cs="仿宋_GB2312"/>
          <w:bCs/>
          <w:sz w:val="32"/>
          <w:szCs w:val="32"/>
        </w:rPr>
        <w:t>万元，公用支出</w:t>
      </w:r>
      <w:r>
        <w:rPr>
          <w:rFonts w:hint="eastAsia" w:ascii="仿宋_GB2312" w:hAnsi="仿宋_GB2312" w:eastAsia="仿宋_GB2312" w:cs="仿宋_GB2312"/>
          <w:bCs/>
          <w:sz w:val="32"/>
          <w:szCs w:val="32"/>
          <w:lang w:val="en-US" w:eastAsia="zh-CN"/>
        </w:rPr>
        <w:t>130.69</w:t>
      </w:r>
      <w:r>
        <w:rPr>
          <w:rFonts w:hint="eastAsia" w:ascii="仿宋_GB2312" w:hAnsi="仿宋_GB2312" w:eastAsia="仿宋_GB2312" w:cs="仿宋_GB2312"/>
          <w:bCs/>
          <w:sz w:val="32"/>
          <w:szCs w:val="32"/>
        </w:rPr>
        <w:t>万元。本年度公务接待费支出0</w:t>
      </w:r>
      <w:r>
        <w:rPr>
          <w:rFonts w:hint="eastAsia" w:ascii="仿宋_GB2312" w:hAnsi="仿宋_GB2312" w:eastAsia="仿宋_GB2312" w:cs="仿宋_GB2312"/>
          <w:bCs/>
          <w:sz w:val="32"/>
          <w:szCs w:val="32"/>
          <w:lang w:val="en-US" w:eastAsia="zh-CN"/>
        </w:rPr>
        <w:t>.20</w:t>
      </w:r>
      <w:r>
        <w:rPr>
          <w:rFonts w:hint="eastAsia" w:ascii="仿宋_GB2312" w:hAnsi="仿宋_GB2312" w:eastAsia="仿宋_GB2312" w:cs="仿宋_GB2312"/>
          <w:bCs/>
          <w:sz w:val="32"/>
          <w:szCs w:val="32"/>
        </w:rPr>
        <w:t>万元,公务用车运行维护费支出0万元，均控制在预算之内。</w:t>
      </w:r>
    </w:p>
    <w:p w14:paraId="71A5D0A2"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3" w:firstLineChars="200"/>
        <w:jc w:val="left"/>
        <w:textAlignment w:val="auto"/>
        <w:rPr>
          <w:rFonts w:hint="eastAsia" w:ascii="楷体_GB2312" w:hAnsi="楷体_GB2312" w:eastAsia="楷体_GB2312" w:cs="楷体_GB2312"/>
          <w:b/>
          <w:bCs/>
          <w:color w:val="000000" w:themeColor="text1"/>
          <w:spacing w:val="0"/>
          <w:position w:val="0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_GB2312" w:hAnsi="楷体_GB2312" w:eastAsia="楷体_GB2312" w:cs="楷体_GB2312"/>
          <w:b/>
          <w:bCs/>
          <w:color w:val="000000" w:themeColor="text1"/>
          <w:spacing w:val="0"/>
          <w:position w:val="0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  <w:t>项目支出情况</w:t>
      </w:r>
    </w:p>
    <w:p w14:paraId="462EE234">
      <w:pPr>
        <w:spacing w:line="560" w:lineRule="exact"/>
        <w:ind w:firstLine="640" w:firstLineChars="200"/>
        <w:rPr>
          <w:rFonts w:hint="default" w:ascii="仿宋_GB2312" w:hAnsi="仿宋_GB2312" w:eastAsia="仿宋_GB2312" w:cs="仿宋_GB2312"/>
          <w:bCs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Cs/>
          <w:sz w:val="32"/>
          <w:szCs w:val="32"/>
          <w:lang w:val="en-US" w:eastAsia="zh-CN"/>
        </w:rPr>
        <w:t>本单位为2021年市管单位下沉区管，原管养的巴陵广场移交至岳阳市城投集团管养范围缩减，项目支出经费由区财政统一安排所有下沉单位项目支出。</w:t>
      </w:r>
    </w:p>
    <w:p w14:paraId="560D93F9">
      <w:pPr>
        <w:spacing w:line="560" w:lineRule="exact"/>
        <w:ind w:firstLine="640" w:firstLineChars="200"/>
        <w:rPr>
          <w:rFonts w:hint="default" w:ascii="楷体_GB2312" w:hAnsi="楷体_GB2312" w:eastAsia="楷体_GB2312" w:cs="楷体_GB2312"/>
          <w:b/>
          <w:bCs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Cs/>
          <w:sz w:val="32"/>
          <w:szCs w:val="32"/>
        </w:rPr>
        <w:t>结合本单位实际情况修订了</w:t>
      </w:r>
      <w:bookmarkStart w:id="0" w:name="_Toc32445"/>
      <w:r>
        <w:rPr>
          <w:rFonts w:hint="eastAsia" w:ascii="仿宋_GB2312" w:hAnsi="仿宋_GB2312" w:eastAsia="仿宋_GB2312" w:cs="仿宋_GB2312"/>
          <w:bCs/>
          <w:sz w:val="32"/>
          <w:szCs w:val="32"/>
        </w:rPr>
        <w:t>内控管理制度，依据《预算业务管理制度》、《政府采购业务管理制度》</w:t>
      </w:r>
      <w:bookmarkEnd w:id="0"/>
      <w:r>
        <w:rPr>
          <w:rFonts w:hint="eastAsia" w:ascii="仿宋_GB2312" w:hAnsi="仿宋_GB2312" w:eastAsia="仿宋_GB2312" w:cs="仿宋_GB2312"/>
          <w:bCs/>
          <w:sz w:val="32"/>
          <w:szCs w:val="32"/>
        </w:rPr>
        <w:t>，从预算管理职责，预算编制，预算审批与分解下达流程，预算的执行、控制与调整，决算与绩效评价等方面对专项资金进行管理，做到专项资金预算编制有目标、预算执行有监控、预算完成有评价、评价结果有反馈、反馈结果有应用。</w:t>
      </w:r>
    </w:p>
    <w:p w14:paraId="26A7DC98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三、政府性基金预算支出情况</w:t>
      </w:r>
    </w:p>
    <w:p w14:paraId="39A4D3A6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200"/>
        <w:jc w:val="left"/>
        <w:textAlignment w:val="auto"/>
        <w:rPr>
          <w:rFonts w:hint="default" w:ascii="仿宋_GB2312" w:hAnsi="仿宋_GB2312" w:eastAsia="仿宋_GB2312" w:cs="仿宋_GB2312"/>
          <w:bCs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_GB2312" w:eastAsia="仿宋_GB2312" w:cs="仿宋_GB2312"/>
          <w:bCs/>
          <w:sz w:val="32"/>
          <w:szCs w:val="32"/>
          <w:lang w:val="en-US" w:eastAsia="zh-CN"/>
        </w:rPr>
        <w:t>本单位无政府性基金预算支出情况。</w:t>
      </w:r>
    </w:p>
    <w:p w14:paraId="2A259DC5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kern w:val="2"/>
          <w:position w:val="0"/>
          <w:sz w:val="32"/>
          <w:szCs w:val="32"/>
          <w:lang w:val="en-US" w:eastAsia="zh-CN" w:bidi="ar-SA"/>
          <w14:textFill>
            <w14:solidFill>
              <w14:schemeClr w14:val="tx1"/>
            </w14:solidFill>
          </w14:textFill>
        </w:rPr>
        <w:t>四、</w:t>
      </w: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国有资本经营预算支出情况</w:t>
      </w:r>
    </w:p>
    <w:p w14:paraId="3963B740"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 xml:space="preserve">      </w:t>
      </w:r>
      <w:r>
        <w:rPr>
          <w:rFonts w:hint="eastAsia" w:ascii="仿宋_GB2312" w:hAnsi="仿宋_GB2312" w:eastAsia="仿宋_GB2312" w:cs="仿宋_GB2312"/>
          <w:bCs/>
          <w:sz w:val="32"/>
          <w:szCs w:val="32"/>
          <w:lang w:val="en-US" w:eastAsia="zh-CN"/>
        </w:rPr>
        <w:t>本单位无国有资本经营预算支出情况。</w:t>
      </w:r>
    </w:p>
    <w:p w14:paraId="15F637E9">
      <w:pPr>
        <w:keepNext w:val="0"/>
        <w:keepLines w:val="0"/>
        <w:pageBreakBefore w:val="0"/>
        <w:widowControl w:val="0"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firstLine="640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社会保险基金预算支出情况</w:t>
      </w:r>
    </w:p>
    <w:p w14:paraId="26D04933"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default" w:ascii="仿宋_GB2312" w:hAnsi="仿宋_GB2312" w:eastAsia="仿宋_GB2312" w:cs="仿宋_GB2312"/>
          <w:bCs/>
          <w:sz w:val="32"/>
          <w:szCs w:val="32"/>
          <w:lang w:val="en-US" w:eastAsia="zh-CN"/>
        </w:rPr>
      </w:pPr>
      <w:r>
        <w:rPr>
          <w:rFonts w:hint="eastAsia"/>
          <w:lang w:val="en-US" w:eastAsia="zh-CN"/>
        </w:rPr>
        <w:t xml:space="preserve">      </w:t>
      </w:r>
      <w:r>
        <w:rPr>
          <w:rFonts w:hint="eastAsia" w:ascii="仿宋_GB2312" w:hAnsi="仿宋_GB2312" w:eastAsia="仿宋_GB2312" w:cs="仿宋_GB2312"/>
          <w:bCs/>
          <w:sz w:val="32"/>
          <w:szCs w:val="32"/>
          <w:lang w:val="en-US" w:eastAsia="zh-CN"/>
        </w:rPr>
        <w:t>本单位无社会保险基金预算支出情况。</w:t>
      </w:r>
    </w:p>
    <w:p w14:paraId="717EFC5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firstLine="640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六、部门整体支出绩效情况</w:t>
      </w:r>
    </w:p>
    <w:p w14:paraId="0D1527C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3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/>
          <w:bCs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（一）日常管理稳定高效。一是</w:t>
      </w: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巴陵广场秩序优良。虽然明知巴陵广场在6月份要完成移交，但我们始终坚持精细化管理，人性化服务和标准化作业，确保了巴陵广场在我中心管辖期间秩序优良、形象完好。保持绿地养护力度，修剪草坪、花、灌木近65000平方米，清理枯枝1100多根，补植草坪、灌木890多平方米，更新花坛、花箱鲜花15000余盆。保持设施完好率，疏浚了雨水沟，更换了给排水管道、阀门等基础设施；修补破损地面、栏杆30余处，坐椅20多套，广场的景观和设施始终保持完好。保持市容秩序良好，对流动摊贩采取持续的高压严管态势，截至移交前，累计规范周边35家商户经营行为3825例次，清理流动摊贩2068人次。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开展志愿者活动</w:t>
      </w:r>
      <w:r>
        <w:rPr>
          <w:rFonts w:hint="eastAsia" w:ascii="仿宋_GB2312" w:hAnsi="仿宋_GB2312" w:eastAsia="仿宋_GB2312" w:cs="仿宋_GB2312"/>
          <w:sz w:val="32"/>
          <w:szCs w:val="32"/>
        </w:rPr>
        <w:t>共劝导不文明行为385余人次，捡到并归还手机、背包等钱物20多次，价值逾5万多元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。</w:t>
      </w: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同时，开展噪声整治，通过划定活动区域、规定活动时间、严控活动音量，加大巡查频次和力度等措施，巴陵广场噪声扰民的问题得到有效改善。确保了巴陵广场在管辖时环境优美、秩序优良设施完好，移交时平稳顺利。</w:t>
      </w:r>
      <w:r>
        <w:rPr>
          <w:rFonts w:hint="eastAsia" w:ascii="仿宋_GB2312" w:hAnsi="仿宋_GB2312" w:eastAsia="仿宋_GB2312" w:cs="仿宋_GB2312"/>
          <w:b/>
          <w:bCs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二是</w:t>
      </w: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路段管理持续向好。在沿湖路开展专项整治行动20多次，沿湖路环境秩序明显好转。加强乱倒渣土整治，共查处乱倒渣土车辆8台，督促清除建筑垃圾20余吨；结合“六联六包”行动，深入吉家湖社区查处违规倾倒垃圾车辆4台，有效遏制了沿湖路周边和吉家湖社区违规乱倒行为。开展扬尘污染整治，组织定期巡查和不定期突查，对沿湖路工地、水泥搅拌厂进行动态跟踪监督，督促覆盖、冲洗建材运输车辆及出入路面50多次；监督指导占道、破道施工作业围挡230米、覆盖基建材料3850平方米，查处撒漏车辆16台次，沿湖路建设领域扬尘现象明显好转。规范停车秩序，对沿线车辆停放情况进行统计分析，结合停放环境及能行能力等因素，施划了60个规范停车位，通过现场规劝、引导和强制拖移等方式，对乱停乱放车辆进行规范，车辆特别是摩托车乱停放现象明显减少，市容秩序和道路通行效率有效改善。</w:t>
      </w:r>
    </w:p>
    <w:p w14:paraId="3731621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3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/>
          <w:bCs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（二）重点工作卓有成效。一是</w:t>
      </w: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抓实两大迎检任务和重大接待活动。对照国家卫生城市复审和全国文明城市复查要求，主动作为，细化责任，狠抓落实，开展专项督查34次，排查、整改问题130多条，督促管理养护作业单位及产权单位更换围档590平方米，创卫宣传标语6处，整改各类问题230条次。同时，实行网格化管理，将所有工作人员全部下到责任网格内，实行定人、定岗、定责、定奖惩的工作机制，死盯、死守各自责任区域，做到万无一失，实现了重大检查接待“零失误，零失分”的目标。</w:t>
      </w:r>
      <w:r>
        <w:rPr>
          <w:rFonts w:hint="eastAsia" w:ascii="仿宋_GB2312" w:hAnsi="仿宋_GB2312" w:eastAsia="仿宋_GB2312" w:cs="仿宋_GB2312"/>
          <w:b/>
          <w:bCs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二是</w:t>
      </w: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圆满完成自建房安全排查。采取班子成员轮流带队，组织全体工作人员，与社区干部结队分片包干，挨家入户的方式，排查了吉家湖社区内380多栋自建房，协助社区健全完善了自建房台账。</w:t>
      </w:r>
      <w:r>
        <w:rPr>
          <w:rFonts w:hint="eastAsia" w:ascii="仿宋_GB2312" w:hAnsi="仿宋_GB2312" w:eastAsia="仿宋_GB2312" w:cs="仿宋_GB2312"/>
          <w:b/>
          <w:bCs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三是</w:t>
      </w: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疫情防控积极有效。全面落实落细疫情防控措施，加强人员管理，建立人员防控台账，对全体工作人员、来访人员的健康码、行程码和体温进行监测，同时，督促工作人员定期开展核酸检测，确保我中心所有人员的健康和安全。</w:t>
      </w:r>
    </w:p>
    <w:p w14:paraId="5A33783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3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/>
          <w:bCs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（三）队伍建设规范有效。一是</w:t>
      </w: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强化党建引领。以“三表率一模范”政治机关建设为抓手，推进中心党组织“四亮”主题活动，共组织各类理论学习、专题党课10多次，开展各类谈心谈话10余人次，加强党员综合管理考核，促进党员在“核心引领区”和“首善之区”建设中发挥更大作用。</w:t>
      </w:r>
      <w:r>
        <w:rPr>
          <w:rFonts w:hint="eastAsia" w:ascii="仿宋_GB2312" w:hAnsi="仿宋_GB2312" w:eastAsia="仿宋_GB2312" w:cs="仿宋_GB2312"/>
          <w:b/>
          <w:bCs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二是</w:t>
      </w: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完善内部管理。中心结合“清廉机关”建设，对中心廉政风险点、制度等进行全面梳理，将中心公务车辆纳入楼区管理平台监管，完善了《车辆管理制度》《财务管理制度》《工作人员行为规范》等7项规定，内部控制更加严谨规范。中心大到巴陵广场资产移交、沿湖路岗亭建设，小到办公用品采购，一律严格按照“三重一大”相关规定和政府采购程序执行。</w:t>
      </w:r>
      <w:r>
        <w:rPr>
          <w:rFonts w:hint="eastAsia" w:ascii="仿宋_GB2312" w:hAnsi="仿宋_GB2312" w:eastAsia="仿宋_GB2312" w:cs="仿宋_GB2312"/>
          <w:b/>
          <w:bCs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三是</w:t>
      </w: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健全群团组织。结合中心实际，完成了中心工会小组的转接工作，使干部职工的工会关系、会员管理及工会福利得到完善和保障。</w:t>
      </w:r>
    </w:p>
    <w:p w14:paraId="56652EA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3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/>
          <w:bCs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（三）意识形态工作取得实效。</w:t>
      </w: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坚持把习近平总书记关于意识形态工作最新论述，党中央和省委、市委、区委关于意识形态工作的决策部署及时纳入理论中心组学习内容；严格落实“三审制”，建立了发稿“三审”制度，健全“三审”台账记录；结合意识形态分析研判制度，开展各类谈心谈话15人次，有效解决了巴陵广场管理权移交后，部分队员离职、转岗带来的情绪困惑和经济顾虑，为中心工作提供了强有力的精神支撑和组织保障。确保了队员离职转岗相关手续办理平稳顺利推进。</w:t>
      </w: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七、存在的问题及原因分析</w:t>
      </w:r>
    </w:p>
    <w:p w14:paraId="1BA8354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楷体" w:eastAsia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bCs/>
          <w:sz w:val="32"/>
          <w:szCs w:val="32"/>
          <w:lang w:eastAsia="zh-CN"/>
        </w:rPr>
        <w:t xml:space="preserve">近年来，沿湖路周边开发建设规模较大，渣土车、建材运输车辆带泥上路现象时有发生，给沿湖路环境整治带来了一定的压力。 </w:t>
      </w:r>
      <w:r>
        <w:rPr>
          <w:rFonts w:hint="eastAsia" w:ascii="仿宋_GB2312" w:hAnsi="楷体" w:eastAsia="仿宋_GB2312"/>
          <w:sz w:val="28"/>
          <w:szCs w:val="28"/>
        </w:rPr>
        <w:t xml:space="preserve">            </w:t>
      </w:r>
    </w:p>
    <w:p w14:paraId="76281676">
      <w:pPr>
        <w:keepNext w:val="0"/>
        <w:keepLines w:val="0"/>
        <w:pageBreakBefore w:val="0"/>
        <w:widowControl w:val="0"/>
        <w:numPr>
          <w:ilvl w:val="0"/>
          <w:numId w:val="4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700" w:leftChars="0" w:firstLine="0" w:firstLineChars="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下一步改进措施</w:t>
      </w:r>
    </w:p>
    <w:p w14:paraId="2FA274F8">
      <w:pPr>
        <w:spacing w:line="600" w:lineRule="exact"/>
        <w:ind w:firstLine="420" w:firstLineChars="200"/>
        <w:rPr>
          <w:rFonts w:hint="eastAsia" w:ascii="仿宋_GB2312" w:hAnsi="仿宋_GB2312" w:eastAsia="仿宋_GB2312" w:cs="仿宋_GB2312"/>
          <w:bCs/>
          <w:sz w:val="32"/>
          <w:szCs w:val="32"/>
          <w:lang w:eastAsia="zh-CN"/>
        </w:rPr>
      </w:pPr>
      <w:r>
        <w:rPr>
          <w:rFonts w:hint="eastAsia"/>
          <w:lang w:val="en-US" w:eastAsia="zh-CN"/>
        </w:rPr>
        <w:t xml:space="preserve">   </w:t>
      </w:r>
      <w:r>
        <w:rPr>
          <w:rFonts w:hint="eastAsia" w:ascii="仿宋_GB2312" w:hAnsi="仿宋_GB2312" w:eastAsia="仿宋_GB2312" w:cs="仿宋_GB2312"/>
          <w:b/>
          <w:bCs w:val="0"/>
          <w:sz w:val="32"/>
          <w:szCs w:val="32"/>
          <w:lang w:eastAsia="zh-CN"/>
        </w:rPr>
        <w:t xml:space="preserve"> (</w:t>
      </w:r>
      <w:r>
        <w:rPr>
          <w:rFonts w:hint="eastAsia" w:ascii="仿宋_GB2312" w:hAnsi="仿宋_GB2312" w:eastAsia="仿宋_GB2312" w:cs="仿宋_GB2312"/>
          <w:b/>
          <w:bCs w:val="0"/>
          <w:sz w:val="32"/>
          <w:szCs w:val="32"/>
          <w:lang w:val="en-US" w:eastAsia="zh-CN"/>
        </w:rPr>
        <w:t>一</w:t>
      </w:r>
      <w:r>
        <w:rPr>
          <w:rFonts w:hint="eastAsia" w:ascii="仿宋_GB2312" w:hAnsi="仿宋_GB2312" w:eastAsia="仿宋_GB2312" w:cs="仿宋_GB2312"/>
          <w:b/>
          <w:bCs w:val="0"/>
          <w:sz w:val="32"/>
          <w:szCs w:val="32"/>
          <w:lang w:eastAsia="zh-CN"/>
        </w:rPr>
        <w:t xml:space="preserve">) </w:t>
      </w:r>
      <w:r>
        <w:rPr>
          <w:rFonts w:hint="eastAsia" w:ascii="仿宋_GB2312" w:hAnsi="仿宋_GB2312" w:eastAsia="仿宋_GB2312" w:cs="仿宋_GB2312"/>
          <w:bCs/>
          <w:sz w:val="32"/>
          <w:szCs w:val="32"/>
          <w:lang w:eastAsia="zh-CN"/>
        </w:rPr>
        <w:t>针对沿湖路渣土车、建材运输车辆带泥上路时有发生的现象，我中心将深入沿湖路搅拌水泥生产企业、建设工地和周边社区、物业，开展法规宣传工作，督促建设单位对建设工地出入口进行硬化，减少污染现象的发生。</w:t>
      </w:r>
    </w:p>
    <w:p w14:paraId="7E6EEF9C">
      <w:pPr>
        <w:spacing w:line="600" w:lineRule="exact"/>
        <w:ind w:firstLine="643" w:firstLineChars="200"/>
        <w:rPr>
          <w:rFonts w:hint="default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 w:val="0"/>
          <w:sz w:val="32"/>
          <w:szCs w:val="32"/>
          <w:lang w:eastAsia="zh-CN"/>
        </w:rPr>
        <w:t>（</w:t>
      </w:r>
      <w:r>
        <w:rPr>
          <w:rFonts w:hint="eastAsia" w:ascii="仿宋_GB2312" w:hAnsi="仿宋_GB2312" w:eastAsia="仿宋_GB2312" w:cs="仿宋_GB2312"/>
          <w:b/>
          <w:bCs w:val="0"/>
          <w:sz w:val="32"/>
          <w:szCs w:val="32"/>
          <w:lang w:val="en-US" w:eastAsia="zh-CN"/>
        </w:rPr>
        <w:t>二</w:t>
      </w:r>
      <w:r>
        <w:rPr>
          <w:rFonts w:hint="eastAsia" w:ascii="仿宋_GB2312" w:hAnsi="仿宋_GB2312" w:eastAsia="仿宋_GB2312" w:cs="仿宋_GB2312"/>
          <w:b/>
          <w:bCs w:val="0"/>
          <w:sz w:val="32"/>
          <w:szCs w:val="32"/>
          <w:lang w:eastAsia="zh-CN"/>
        </w:rPr>
        <w:t>）</w:t>
      </w:r>
      <w:r>
        <w:rPr>
          <w:rFonts w:hint="eastAsia" w:ascii="仿宋_GB2312" w:hAnsi="仿宋_GB2312" w:eastAsia="仿宋_GB2312" w:cs="仿宋_GB2312"/>
          <w:bCs/>
          <w:sz w:val="32"/>
          <w:szCs w:val="32"/>
          <w:lang w:eastAsia="zh-CN"/>
        </w:rPr>
        <w:t>加强预算的约束力，响应政府压缩一般性财政支出的号召，做到专款专用，提高经费使用效益。</w:t>
      </w:r>
    </w:p>
    <w:p w14:paraId="4190FE3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九、部门整体支出绩效自评结果拟应用和公开情况</w:t>
      </w:r>
    </w:p>
    <w:p w14:paraId="68C58D2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default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本单位无其他需要说明的情况。</w:t>
      </w:r>
    </w:p>
    <w:p w14:paraId="0C564BC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 w14:paraId="4C56775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 w14:paraId="486F6B0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报告需要以下附件：</w:t>
      </w:r>
    </w:p>
    <w:p w14:paraId="6E2B1BE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1、部门整体支出绩效评价基础数据表</w:t>
      </w:r>
    </w:p>
    <w:p w14:paraId="72B4CD3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2、部门整体支出绩效自评表</w:t>
      </w:r>
    </w:p>
    <w:p w14:paraId="4E1BCF3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3、项目支出绩效自评表(一个一级项目支出一张表)</w:t>
      </w:r>
    </w:p>
    <w:p w14:paraId="2148005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4、政府性基金预算支出情况表</w:t>
      </w:r>
    </w:p>
    <w:p w14:paraId="2D5C55F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5、国有资本经营预算支出情况表</w:t>
      </w:r>
    </w:p>
    <w:p w14:paraId="7A64E79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6、社会保险基金预算支出情况表</w:t>
      </w:r>
    </w:p>
    <w:p w14:paraId="5055037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 w14:paraId="17AEF34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 w14:paraId="65A68C8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 w14:paraId="0855D16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 w14:paraId="7524298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 w14:paraId="70F6F6C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 w14:paraId="515E050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 w14:paraId="6814AAA8">
      <w:pPr>
        <w:spacing w:before="169" w:line="776" w:lineRule="exact"/>
        <w:ind w:left="372"/>
        <w:rPr>
          <w:rFonts w:hint="eastAsia" w:ascii="宋体" w:hAnsi="宋体" w:eastAsia="宋体" w:cs="宋体"/>
          <w:b/>
          <w:bCs/>
          <w:color w:val="000000" w:themeColor="text1"/>
          <w:spacing w:val="19"/>
          <w:position w:val="17"/>
          <w:sz w:val="36"/>
          <w:szCs w:val="36"/>
          <w:lang w:eastAsia="zh-CN"/>
          <w14:textFill>
            <w14:solidFill>
              <w14:schemeClr w14:val="tx1"/>
            </w14:solidFill>
          </w14:textFill>
        </w:rPr>
        <w:sectPr>
          <w:pgSz w:w="11906" w:h="16838"/>
          <w:pgMar w:top="1701" w:right="1701" w:bottom="1701" w:left="1701" w:header="851" w:footer="992" w:gutter="0"/>
          <w:pgNumType w:fmt="decimal"/>
          <w:cols w:space="0" w:num="1"/>
          <w:rtlGutter w:val="0"/>
          <w:docGrid w:type="lines" w:linePitch="312" w:charSpace="0"/>
        </w:sectPr>
      </w:pPr>
    </w:p>
    <w:p w14:paraId="594EFBB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default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附件4</w:t>
      </w:r>
    </w:p>
    <w:p w14:paraId="07669DB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left="0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2022年度项目支出绩效自评表</w:t>
      </w:r>
    </w:p>
    <w:tbl>
      <w:tblPr>
        <w:tblStyle w:val="8"/>
        <w:tblW w:w="9580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75"/>
        <w:gridCol w:w="1080"/>
        <w:gridCol w:w="1080"/>
        <w:gridCol w:w="1229"/>
        <w:gridCol w:w="1131"/>
        <w:gridCol w:w="1140"/>
        <w:gridCol w:w="685"/>
        <w:gridCol w:w="795"/>
        <w:gridCol w:w="1365"/>
      </w:tblGrid>
      <w:tr w14:paraId="5B5C72A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606" w:hRule="atLeast"/>
        </w:trPr>
        <w:tc>
          <w:tcPr>
            <w:tcW w:w="1075" w:type="dxa"/>
            <w:noWrap w:val="0"/>
            <w:vAlign w:val="center"/>
          </w:tcPr>
          <w:p w14:paraId="5D20A2B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6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项目支出</w:t>
            </w:r>
          </w:p>
          <w:p w14:paraId="203F27A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6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名称</w:t>
            </w:r>
          </w:p>
        </w:tc>
        <w:tc>
          <w:tcPr>
            <w:tcW w:w="8505" w:type="dxa"/>
            <w:gridSpan w:val="8"/>
            <w:noWrap w:val="0"/>
            <w:vAlign w:val="center"/>
          </w:tcPr>
          <w:p w14:paraId="56A1B9F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岳阳市沿湖风光带管理中心</w:t>
            </w:r>
            <w:bookmarkStart w:id="1" w:name="_GoBack"/>
            <w:bookmarkEnd w:id="1"/>
          </w:p>
        </w:tc>
      </w:tr>
      <w:tr w14:paraId="730BF86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6" w:hRule="atLeast"/>
        </w:trPr>
        <w:tc>
          <w:tcPr>
            <w:tcW w:w="1075" w:type="dxa"/>
            <w:noWrap w:val="0"/>
            <w:vAlign w:val="center"/>
          </w:tcPr>
          <w:p w14:paraId="1F2ECB3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2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主管部门</w:t>
            </w:r>
          </w:p>
        </w:tc>
        <w:tc>
          <w:tcPr>
            <w:tcW w:w="4520" w:type="dxa"/>
            <w:gridSpan w:val="4"/>
            <w:noWrap w:val="0"/>
            <w:vAlign w:val="center"/>
          </w:tcPr>
          <w:p w14:paraId="41EA5E8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 w14:paraId="43F7A2C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实施单位</w:t>
            </w:r>
          </w:p>
        </w:tc>
        <w:tc>
          <w:tcPr>
            <w:tcW w:w="2845" w:type="dxa"/>
            <w:gridSpan w:val="3"/>
            <w:noWrap w:val="0"/>
            <w:vAlign w:val="center"/>
          </w:tcPr>
          <w:p w14:paraId="579CCE9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74B26CF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1" w:hRule="atLeast"/>
        </w:trPr>
        <w:tc>
          <w:tcPr>
            <w:tcW w:w="1075" w:type="dxa"/>
            <w:vMerge w:val="restart"/>
            <w:tcBorders>
              <w:bottom w:val="nil"/>
            </w:tcBorders>
            <w:noWrap w:val="0"/>
            <w:vAlign w:val="center"/>
          </w:tcPr>
          <w:p w14:paraId="1F417A3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4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414D4AE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5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3E4DA9A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项目资金</w:t>
            </w:r>
          </w:p>
          <w:p w14:paraId="2218137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(万元)</w:t>
            </w:r>
          </w:p>
        </w:tc>
        <w:tc>
          <w:tcPr>
            <w:tcW w:w="2160" w:type="dxa"/>
            <w:gridSpan w:val="2"/>
            <w:noWrap w:val="0"/>
            <w:vAlign w:val="center"/>
          </w:tcPr>
          <w:p w14:paraId="1B98BD4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 w14:paraId="171BDF1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年初</w:t>
            </w:r>
          </w:p>
          <w:p w14:paraId="24B35E5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预算数</w:t>
            </w:r>
          </w:p>
        </w:tc>
        <w:tc>
          <w:tcPr>
            <w:tcW w:w="1131" w:type="dxa"/>
            <w:noWrap w:val="0"/>
            <w:vAlign w:val="center"/>
          </w:tcPr>
          <w:p w14:paraId="57BCB17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全年</w:t>
            </w:r>
          </w:p>
          <w:p w14:paraId="2101E4F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预算数</w:t>
            </w:r>
          </w:p>
        </w:tc>
        <w:tc>
          <w:tcPr>
            <w:tcW w:w="1140" w:type="dxa"/>
            <w:noWrap w:val="0"/>
            <w:vAlign w:val="center"/>
          </w:tcPr>
          <w:p w14:paraId="56B3FC9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全年</w:t>
            </w:r>
          </w:p>
          <w:p w14:paraId="5BBF3F5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执行数</w:t>
            </w:r>
          </w:p>
        </w:tc>
        <w:tc>
          <w:tcPr>
            <w:tcW w:w="685" w:type="dxa"/>
            <w:noWrap w:val="0"/>
            <w:vAlign w:val="center"/>
          </w:tcPr>
          <w:p w14:paraId="4C186FA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795" w:type="dxa"/>
            <w:noWrap w:val="0"/>
            <w:vAlign w:val="center"/>
          </w:tcPr>
          <w:p w14:paraId="700F0CA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执行率</w:t>
            </w:r>
          </w:p>
        </w:tc>
        <w:tc>
          <w:tcPr>
            <w:tcW w:w="1365" w:type="dxa"/>
            <w:noWrap w:val="0"/>
            <w:vAlign w:val="center"/>
          </w:tcPr>
          <w:p w14:paraId="7CE8608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得分</w:t>
            </w:r>
          </w:p>
        </w:tc>
      </w:tr>
      <w:tr w14:paraId="1F95827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19C41AE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noWrap w:val="0"/>
            <w:vAlign w:val="center"/>
          </w:tcPr>
          <w:p w14:paraId="646D8B2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年度资金总额</w:t>
            </w:r>
          </w:p>
        </w:tc>
        <w:tc>
          <w:tcPr>
            <w:tcW w:w="1229" w:type="dxa"/>
            <w:noWrap w:val="0"/>
            <w:vAlign w:val="center"/>
          </w:tcPr>
          <w:p w14:paraId="2035117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1131" w:type="dxa"/>
            <w:noWrap w:val="0"/>
            <w:vAlign w:val="center"/>
          </w:tcPr>
          <w:p w14:paraId="3FC1B9B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1140" w:type="dxa"/>
            <w:noWrap w:val="0"/>
            <w:vAlign w:val="center"/>
          </w:tcPr>
          <w:p w14:paraId="32B783A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685" w:type="dxa"/>
            <w:noWrap w:val="0"/>
            <w:vAlign w:val="center"/>
          </w:tcPr>
          <w:p w14:paraId="011D47E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5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position w:val="-2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/</w:t>
            </w:r>
          </w:p>
        </w:tc>
        <w:tc>
          <w:tcPr>
            <w:tcW w:w="795" w:type="dxa"/>
            <w:noWrap w:val="0"/>
            <w:vAlign w:val="center"/>
          </w:tcPr>
          <w:p w14:paraId="6DA186F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/</w:t>
            </w:r>
          </w:p>
        </w:tc>
        <w:tc>
          <w:tcPr>
            <w:tcW w:w="1365" w:type="dxa"/>
            <w:noWrap w:val="0"/>
            <w:vAlign w:val="center"/>
          </w:tcPr>
          <w:p w14:paraId="586FAD3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/</w:t>
            </w:r>
          </w:p>
        </w:tc>
      </w:tr>
      <w:tr w14:paraId="331F96F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7BD5025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noWrap w:val="0"/>
            <w:vAlign w:val="center"/>
          </w:tcPr>
          <w:p w14:paraId="5319C07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其中：当年财政拨款</w:t>
            </w:r>
          </w:p>
        </w:tc>
        <w:tc>
          <w:tcPr>
            <w:tcW w:w="1229" w:type="dxa"/>
            <w:noWrap w:val="0"/>
            <w:vAlign w:val="center"/>
          </w:tcPr>
          <w:p w14:paraId="24EE174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 w14:paraId="5664819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 w14:paraId="714A4C9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 w14:paraId="798980D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6D82647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7315648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13BE8B2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4FE9784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noWrap w:val="0"/>
            <w:vAlign w:val="center"/>
          </w:tcPr>
          <w:p w14:paraId="41F1075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 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上年结转资金</w:t>
            </w:r>
          </w:p>
        </w:tc>
        <w:tc>
          <w:tcPr>
            <w:tcW w:w="1229" w:type="dxa"/>
            <w:noWrap w:val="0"/>
            <w:vAlign w:val="center"/>
          </w:tcPr>
          <w:p w14:paraId="5B3FDBF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 w14:paraId="0B6EA71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 w14:paraId="5B52BC0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 w14:paraId="10B4E42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490A59D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47EF0C9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2D1BFBC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</w:tcBorders>
            <w:noWrap w:val="0"/>
            <w:vAlign w:val="center"/>
          </w:tcPr>
          <w:p w14:paraId="75CCFA0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noWrap w:val="0"/>
            <w:vAlign w:val="center"/>
          </w:tcPr>
          <w:p w14:paraId="5C058E9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其他资金</w:t>
            </w:r>
          </w:p>
        </w:tc>
        <w:tc>
          <w:tcPr>
            <w:tcW w:w="1229" w:type="dxa"/>
            <w:noWrap w:val="0"/>
            <w:vAlign w:val="center"/>
          </w:tcPr>
          <w:p w14:paraId="3A30938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 w14:paraId="7157ACD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 w14:paraId="48C145D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 w14:paraId="2BFA916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125314E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1A8C693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6024CE7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restart"/>
            <w:tcBorders>
              <w:bottom w:val="nil"/>
            </w:tcBorders>
            <w:noWrap w:val="0"/>
            <w:vAlign w:val="center"/>
          </w:tcPr>
          <w:p w14:paraId="701C3AD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6" w:lineRule="auto"/>
              <w:ind w:left="0" w:right="0" w:hanging="20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年度总体</w:t>
            </w:r>
          </w:p>
          <w:p w14:paraId="28DC12B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6" w:lineRule="auto"/>
              <w:ind w:left="0" w:right="0" w:hanging="20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目标</w:t>
            </w:r>
          </w:p>
        </w:tc>
        <w:tc>
          <w:tcPr>
            <w:tcW w:w="4520" w:type="dxa"/>
            <w:gridSpan w:val="4"/>
            <w:noWrap w:val="0"/>
            <w:vAlign w:val="center"/>
          </w:tcPr>
          <w:p w14:paraId="6D2078F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预期目标</w:t>
            </w:r>
          </w:p>
        </w:tc>
        <w:tc>
          <w:tcPr>
            <w:tcW w:w="3985" w:type="dxa"/>
            <w:gridSpan w:val="4"/>
            <w:noWrap w:val="0"/>
            <w:vAlign w:val="center"/>
          </w:tcPr>
          <w:p w14:paraId="6F9385C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实际完成情况</w:t>
            </w:r>
          </w:p>
        </w:tc>
      </w:tr>
      <w:tr w14:paraId="2FF0221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</w:trPr>
        <w:tc>
          <w:tcPr>
            <w:tcW w:w="1075" w:type="dxa"/>
            <w:vMerge w:val="continue"/>
            <w:tcBorders>
              <w:top w:val="nil"/>
            </w:tcBorders>
            <w:noWrap w:val="0"/>
            <w:vAlign w:val="center"/>
          </w:tcPr>
          <w:p w14:paraId="70F0040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520" w:type="dxa"/>
            <w:gridSpan w:val="4"/>
            <w:noWrap w:val="0"/>
            <w:vAlign w:val="center"/>
          </w:tcPr>
          <w:p w14:paraId="75514CC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985" w:type="dxa"/>
            <w:gridSpan w:val="4"/>
            <w:noWrap w:val="0"/>
            <w:vAlign w:val="center"/>
          </w:tcPr>
          <w:p w14:paraId="78F1C61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6437997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3" w:hRule="atLeast"/>
        </w:trPr>
        <w:tc>
          <w:tcPr>
            <w:tcW w:w="1075" w:type="dxa"/>
            <w:vMerge w:val="restart"/>
            <w:tcBorders>
              <w:bottom w:val="nil"/>
            </w:tcBorders>
            <w:noWrap w:val="0"/>
            <w:textDirection w:val="tbRlV"/>
            <w:vAlign w:val="center"/>
          </w:tcPr>
          <w:p w14:paraId="7B69CE1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7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绩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效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标</w:t>
            </w:r>
          </w:p>
        </w:tc>
        <w:tc>
          <w:tcPr>
            <w:tcW w:w="1080" w:type="dxa"/>
            <w:noWrap w:val="0"/>
            <w:vAlign w:val="center"/>
          </w:tcPr>
          <w:p w14:paraId="09E043A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一级指标</w:t>
            </w:r>
          </w:p>
        </w:tc>
        <w:tc>
          <w:tcPr>
            <w:tcW w:w="1080" w:type="dxa"/>
            <w:noWrap w:val="0"/>
            <w:vAlign w:val="center"/>
          </w:tcPr>
          <w:p w14:paraId="5C572B9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二级指标</w:t>
            </w:r>
          </w:p>
        </w:tc>
        <w:tc>
          <w:tcPr>
            <w:tcW w:w="1229" w:type="dxa"/>
            <w:noWrap w:val="0"/>
            <w:vAlign w:val="center"/>
          </w:tcPr>
          <w:p w14:paraId="6454079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三级指标</w:t>
            </w:r>
          </w:p>
        </w:tc>
        <w:tc>
          <w:tcPr>
            <w:tcW w:w="1131" w:type="dxa"/>
            <w:noWrap w:val="0"/>
            <w:vAlign w:val="center"/>
          </w:tcPr>
          <w:p w14:paraId="6F6B0AB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</w:t>
            </w:r>
          </w:p>
          <w:p w14:paraId="10B408A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指标值</w:t>
            </w:r>
          </w:p>
        </w:tc>
        <w:tc>
          <w:tcPr>
            <w:tcW w:w="1140" w:type="dxa"/>
            <w:noWrap w:val="0"/>
            <w:vAlign w:val="center"/>
          </w:tcPr>
          <w:p w14:paraId="6E494E6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实际</w:t>
            </w:r>
          </w:p>
          <w:p w14:paraId="4F3A057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完成值</w:t>
            </w:r>
          </w:p>
        </w:tc>
        <w:tc>
          <w:tcPr>
            <w:tcW w:w="685" w:type="dxa"/>
            <w:noWrap w:val="0"/>
            <w:vAlign w:val="center"/>
          </w:tcPr>
          <w:p w14:paraId="728162B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795" w:type="dxa"/>
            <w:noWrap w:val="0"/>
            <w:vAlign w:val="center"/>
          </w:tcPr>
          <w:p w14:paraId="43006C0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得分</w:t>
            </w:r>
          </w:p>
        </w:tc>
        <w:tc>
          <w:tcPr>
            <w:tcW w:w="1365" w:type="dxa"/>
            <w:noWrap w:val="0"/>
            <w:vAlign w:val="center"/>
          </w:tcPr>
          <w:p w14:paraId="437B435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hanging="9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偏差原因分析 及改进措施</w:t>
            </w:r>
          </w:p>
        </w:tc>
      </w:tr>
      <w:tr w14:paraId="56AFA5F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7C0D67F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 w14:paraId="6325332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6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60357FC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7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23C9D8D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7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16BE985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7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06A585A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position w:val="2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产出指标</w:t>
            </w:r>
          </w:p>
          <w:p w14:paraId="2FCDDAC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(50分)</w:t>
            </w: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 w14:paraId="157E048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数量指标</w:t>
            </w:r>
          </w:p>
        </w:tc>
        <w:tc>
          <w:tcPr>
            <w:tcW w:w="1229" w:type="dxa"/>
            <w:noWrap w:val="0"/>
            <w:vAlign w:val="center"/>
          </w:tcPr>
          <w:p w14:paraId="138BA6F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 w14:paraId="592476F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 w14:paraId="1FED032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 w14:paraId="1C08353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067E852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234C66B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65F8C39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652343B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2938F7C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62A8542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 w14:paraId="2915876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 w14:paraId="6FFF516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 w14:paraId="321193F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 w14:paraId="00039DE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670232E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05C6E62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79F4F40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1A63CFD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13CCE9E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 w14:paraId="1FB81E7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 w14:paraId="779B750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 w14:paraId="0205716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 w14:paraId="3DE39F0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 w14:paraId="0F1A4DC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532EF8F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3DEA6DA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6870978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33B725C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1A5C1D5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 w14:paraId="6635CE5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质量指标</w:t>
            </w:r>
          </w:p>
        </w:tc>
        <w:tc>
          <w:tcPr>
            <w:tcW w:w="1229" w:type="dxa"/>
            <w:noWrap w:val="0"/>
            <w:vAlign w:val="center"/>
          </w:tcPr>
          <w:p w14:paraId="6187422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 w14:paraId="22C2457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 w14:paraId="005C1D9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 w14:paraId="4C68DE1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049FE71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2A2A210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73FB7D9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716CCD2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1B609F6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7715615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 w14:paraId="60BA0C8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 w14:paraId="789F209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 w14:paraId="50D2DAE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 w14:paraId="0E7DC08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7D886F7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1272EA5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6960D9B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5AB4285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6C4692B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 w14:paraId="73EB243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 w14:paraId="644DF10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 w14:paraId="2F83AB5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 w14:paraId="0CDB809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 w14:paraId="394C7F1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10CDBA8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742B88B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325447C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6D3EC27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7378A60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 w14:paraId="3D8D838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时效指标</w:t>
            </w:r>
          </w:p>
        </w:tc>
        <w:tc>
          <w:tcPr>
            <w:tcW w:w="1229" w:type="dxa"/>
            <w:noWrap w:val="0"/>
            <w:vAlign w:val="center"/>
          </w:tcPr>
          <w:p w14:paraId="7505146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 w14:paraId="5497E85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 w14:paraId="3E262EC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 w14:paraId="58E621E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6E628D3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3625FD3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08EDFFF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2C9AEB5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78800A3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5B9C20D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 w14:paraId="24EEC98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 w14:paraId="4EFC777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 w14:paraId="06A6EB3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 w14:paraId="742A3C3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27F1D1B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1EAEFC6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341BDEB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5412A38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4FC6400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 w14:paraId="327A8F9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 w14:paraId="090716E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 w14:paraId="304B6D9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 w14:paraId="0BAAC6E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 w14:paraId="699EBC6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38718FF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2281B5A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0AC031A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5FD3697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62D8B8C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 w14:paraId="2397A5B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成本指标</w:t>
            </w:r>
          </w:p>
        </w:tc>
        <w:tc>
          <w:tcPr>
            <w:tcW w:w="1229" w:type="dxa"/>
            <w:noWrap w:val="0"/>
            <w:vAlign w:val="center"/>
          </w:tcPr>
          <w:p w14:paraId="4A3151C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 w14:paraId="10D1479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 w14:paraId="51F6018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 w14:paraId="5D77FC9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6005A2E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251C2B4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6E1A336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3079CAF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0D3EF4F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192D2C0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 w14:paraId="55E4F0D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 w14:paraId="27EEF8B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 w14:paraId="66283D3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 w14:paraId="693D2FF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0E14A6A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1F356AA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43EE662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5C71AD0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 w14:paraId="29CF116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 w14:paraId="179758C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 w14:paraId="6248912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 w14:paraId="024F9F3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 w14:paraId="6EC081D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 w14:paraId="75E5482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548F328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62E8C08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0A57E4F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0D1C1E6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 w14:paraId="4F40C41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4DDD696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1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0F53F68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1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08A4BEF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9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position w:val="2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效益指标</w:t>
            </w:r>
          </w:p>
          <w:p w14:paraId="783F989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(30分)</w:t>
            </w: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 w14:paraId="4316330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position w:val="4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经济效</w:t>
            </w:r>
          </w:p>
          <w:p w14:paraId="3289FDE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29" w:type="dxa"/>
            <w:noWrap w:val="0"/>
            <w:vAlign w:val="center"/>
          </w:tcPr>
          <w:p w14:paraId="7E7F944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 w14:paraId="2083FCB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 w14:paraId="2DDA9AD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 w14:paraId="55DC504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0C0C64C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33F6A10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4C8666E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4F4288A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37D114D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5D2E43C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 w14:paraId="6504D7C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 w14:paraId="561DEF2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 w14:paraId="495A096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 w14:paraId="18827F9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1D46A69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1298683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5D233EE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4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14236E5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2D79CC3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 w14:paraId="12EFE8B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 w14:paraId="41A1195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 w14:paraId="0F3CB67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 w14:paraId="35B9EFF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 w14:paraId="7ACB79D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12530CB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7207CB2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1EC5B5D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66DDB43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228A622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 w14:paraId="0C90E2C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社会效</w:t>
            </w:r>
          </w:p>
          <w:p w14:paraId="6BA8757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29" w:type="dxa"/>
            <w:noWrap w:val="0"/>
            <w:vAlign w:val="center"/>
          </w:tcPr>
          <w:p w14:paraId="7E4B3C4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 w14:paraId="2F518D2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 w14:paraId="79C6248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 w14:paraId="1A29DBE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1BFA393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5D7B3F2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3940C79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56BF022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4121310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3B7CA58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 w14:paraId="2FF5E61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 w14:paraId="326450A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 w14:paraId="08419C9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 w14:paraId="331EB86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6AEC5B5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20DFA64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00FDDDC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0F2F4B4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732A839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 w14:paraId="08119D5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 w14:paraId="354927A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 w14:paraId="2307A45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 w14:paraId="1991E49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 w14:paraId="16148AD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106277D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524DD98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03DE431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5904D3F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6E4621B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 w14:paraId="73E53ED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7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生态效</w:t>
            </w:r>
          </w:p>
          <w:p w14:paraId="55489EC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29" w:type="dxa"/>
            <w:noWrap w:val="0"/>
            <w:vAlign w:val="center"/>
          </w:tcPr>
          <w:p w14:paraId="350F098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 w14:paraId="7737B8B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 w14:paraId="0DAFCB1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 w14:paraId="5159A83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368DDC3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6E04C0D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2B17BE6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4158EA2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421A69A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2C1E670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 w14:paraId="1BE8735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 w14:paraId="3192F9C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 w14:paraId="67DCCBF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 w14:paraId="75792E3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5F138C8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3CE3ABB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4EF88A5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58F8C8B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7905CC2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 w14:paraId="5B6D42A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 w14:paraId="5D42C50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 w14:paraId="1177B4F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 w14:paraId="7988022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 w14:paraId="3C1F66D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1742838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145E5DF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7CA951F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35B0BA4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3C78E7B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 w14:paraId="520738E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6" w:lineRule="auto"/>
              <w:ind w:left="0" w:right="0" w:hanging="9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可持续</w:t>
            </w:r>
          </w:p>
          <w:p w14:paraId="2BCFE22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6" w:lineRule="auto"/>
              <w:ind w:left="0" w:right="0" w:hanging="9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影响指标</w:t>
            </w:r>
          </w:p>
        </w:tc>
        <w:tc>
          <w:tcPr>
            <w:tcW w:w="1229" w:type="dxa"/>
            <w:noWrap w:val="0"/>
            <w:vAlign w:val="center"/>
          </w:tcPr>
          <w:p w14:paraId="7544F0B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 w14:paraId="7698582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 w14:paraId="6435377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 w14:paraId="4D39A8E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192CDD5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160E0CF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65DE74B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7EE3CD9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1F716B6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3A6D9E9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 w14:paraId="14B09D0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 w14:paraId="7162308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 w14:paraId="19BAA72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 w14:paraId="0CA956E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5B7050A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0A25838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428467D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2E1AB0A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 w14:paraId="755F977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 w14:paraId="369F8D7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 w14:paraId="5CEB98A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 w14:paraId="0E156FA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 w14:paraId="3DAAE06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 w14:paraId="03E0FA2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38E9EF0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0079A50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674AC1F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0DCFFF4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 w14:paraId="00E3C31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满意度</w:t>
            </w:r>
          </w:p>
          <w:p w14:paraId="37A532D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指标</w:t>
            </w:r>
          </w:p>
          <w:p w14:paraId="7BF078E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(10分)</w:t>
            </w: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 w14:paraId="1F59260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服务对象</w:t>
            </w:r>
          </w:p>
          <w:p w14:paraId="08BAB05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满意度</w:t>
            </w:r>
          </w:p>
          <w:p w14:paraId="7DB62EF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指标</w:t>
            </w:r>
          </w:p>
        </w:tc>
        <w:tc>
          <w:tcPr>
            <w:tcW w:w="1229" w:type="dxa"/>
            <w:noWrap w:val="0"/>
            <w:vAlign w:val="center"/>
          </w:tcPr>
          <w:p w14:paraId="593C748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 w14:paraId="0FABB1E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 w14:paraId="00F8505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 w14:paraId="27D333A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73D7874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75D3EAB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4749F92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4BE357E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3922933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18711EB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 w14:paraId="5ECEDDD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 w14:paraId="4591B11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 w14:paraId="10E7C1B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 w14:paraId="4C915CD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2189275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437BD5E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22405A6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3" w:hRule="atLeast"/>
        </w:trPr>
        <w:tc>
          <w:tcPr>
            <w:tcW w:w="1075" w:type="dxa"/>
            <w:vMerge w:val="continue"/>
            <w:tcBorders>
              <w:top w:val="nil"/>
            </w:tcBorders>
            <w:noWrap w:val="0"/>
            <w:textDirection w:val="tbRlV"/>
            <w:vAlign w:val="center"/>
          </w:tcPr>
          <w:p w14:paraId="130F355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 w14:paraId="04BCAB7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 w14:paraId="171B20E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 w14:paraId="3E14705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 w14:paraId="726A742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 w14:paraId="3F1C5F7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 w14:paraId="3DEEDC6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762C026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4B0C5FD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382945A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4" w:hRule="atLeast"/>
        </w:trPr>
        <w:tc>
          <w:tcPr>
            <w:tcW w:w="6735" w:type="dxa"/>
            <w:gridSpan w:val="6"/>
            <w:noWrap w:val="0"/>
            <w:vAlign w:val="center"/>
          </w:tcPr>
          <w:p w14:paraId="0DD400E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left="0" w:right="0" w:firstLine="3145"/>
              <w:jc w:val="center"/>
              <w:textAlignment w:val="auto"/>
              <w:rPr>
                <w:rFonts w:hint="eastAsia" w:eastAsiaTheme="minorEastAsia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总分</w:t>
            </w:r>
          </w:p>
        </w:tc>
        <w:tc>
          <w:tcPr>
            <w:tcW w:w="685" w:type="dxa"/>
            <w:noWrap w:val="0"/>
            <w:vAlign w:val="center"/>
          </w:tcPr>
          <w:p w14:paraId="28D10B7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1" w:lineRule="auto"/>
              <w:ind w:left="0" w:righ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/</w:t>
            </w:r>
          </w:p>
        </w:tc>
        <w:tc>
          <w:tcPr>
            <w:tcW w:w="795" w:type="dxa"/>
            <w:noWrap w:val="0"/>
            <w:vAlign w:val="center"/>
          </w:tcPr>
          <w:p w14:paraId="42C73DB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/</w:t>
            </w:r>
          </w:p>
        </w:tc>
        <w:tc>
          <w:tcPr>
            <w:tcW w:w="1365" w:type="dxa"/>
            <w:noWrap w:val="0"/>
            <w:vAlign w:val="center"/>
          </w:tcPr>
          <w:p w14:paraId="4702994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 w14:paraId="4FC5D50D">
      <w:pPr>
        <w:spacing w:line="252" w:lineRule="auto"/>
        <w:rPr>
          <w:rFonts w:ascii="Arial"/>
          <w:color w:val="000000" w:themeColor="text1"/>
          <w:sz w:val="21"/>
          <w14:textFill>
            <w14:solidFill>
              <w14:schemeClr w14:val="tx1"/>
            </w14:solidFill>
          </w14:textFill>
        </w:rPr>
      </w:pPr>
    </w:p>
    <w:p w14:paraId="253F2E17">
      <w:pPr>
        <w:spacing w:before="75" w:line="230" w:lineRule="auto"/>
        <w:rPr>
          <w:rFonts w:hint="default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sectPr>
          <w:pgSz w:w="11906" w:h="16838"/>
          <w:pgMar w:top="1417" w:right="1417" w:bottom="1417" w:left="1417" w:header="851" w:footer="992" w:gutter="0"/>
          <w:pgNumType w:fmt="decimal"/>
          <w:cols w:space="0" w:num="1"/>
          <w:rtlGutter w:val="0"/>
          <w:docGrid w:type="lines" w:linePitch="312" w:charSpace="0"/>
        </w:sectPr>
      </w:pP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填表人：</w:t>
      </w:r>
      <w:r>
        <w:rPr>
          <w:rFonts w:hint="eastAsia" w:ascii="仿宋" w:hAnsi="仿宋" w:eastAsia="仿宋" w:cs="仿宋"/>
          <w:color w:val="000000" w:themeColor="text1"/>
          <w:spacing w:val="-26"/>
          <w:sz w:val="23"/>
          <w:szCs w:val="23"/>
          <w:lang w:val="en-US" w:eastAsia="zh-CN"/>
          <w14:textFill>
            <w14:solidFill>
              <w14:schemeClr w14:val="tx1"/>
            </w14:solidFill>
          </w14:textFill>
        </w:rPr>
        <w:t>彭向红</w:t>
      </w:r>
      <w:r>
        <w:rPr>
          <w:rFonts w:ascii="仿宋" w:hAnsi="仿宋" w:eastAsia="仿宋" w:cs="仿宋"/>
          <w:color w:val="000000" w:themeColor="text1"/>
          <w:spacing w:val="15"/>
          <w:sz w:val="23"/>
          <w:szCs w:val="23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" w:hAnsi="仿宋" w:eastAsia="仿宋" w:cs="仿宋"/>
          <w:color w:val="000000" w:themeColor="text1"/>
          <w:spacing w:val="4"/>
          <w:sz w:val="23"/>
          <w:szCs w:val="23"/>
          <w14:textFill>
            <w14:solidFill>
              <w14:schemeClr w14:val="tx1"/>
            </w14:solidFill>
          </w14:textFill>
        </w:rPr>
        <w:t xml:space="preserve">   </w:t>
      </w: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"/>
          <w:color w:val="000000" w:themeColor="text1"/>
          <w:spacing w:val="-26"/>
          <w:sz w:val="23"/>
          <w:szCs w:val="23"/>
          <w:lang w:val="en-US" w:eastAsia="zh-CN"/>
          <w14:textFill>
            <w14:solidFill>
              <w14:schemeClr w14:val="tx1"/>
            </w14:solidFill>
          </w14:textFill>
        </w:rPr>
        <w:t>8634378</w:t>
      </w:r>
      <w:r>
        <w:rPr>
          <w:rFonts w:ascii="仿宋" w:hAnsi="仿宋" w:eastAsia="仿宋" w:cs="仿宋"/>
          <w:color w:val="000000" w:themeColor="text1"/>
          <w:spacing w:val="3"/>
          <w:sz w:val="23"/>
          <w:szCs w:val="23"/>
          <w14:textFill>
            <w14:solidFill>
              <w14:schemeClr w14:val="tx1"/>
            </w14:solidFill>
          </w14:textFill>
        </w:rPr>
        <w:t xml:space="preserve">       </w:t>
      </w: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单位负责人签字：</w:t>
      </w:r>
      <w:r>
        <w:rPr>
          <w:rFonts w:hint="eastAsia" w:ascii="仿宋" w:hAnsi="仿宋" w:eastAsia="仿宋" w:cs="仿宋"/>
          <w:color w:val="000000" w:themeColor="text1"/>
          <w:spacing w:val="-26"/>
          <w:sz w:val="23"/>
          <w:szCs w:val="23"/>
          <w:lang w:val="en-US" w:eastAsia="zh-CN"/>
          <w14:textFill>
            <w14:solidFill>
              <w14:schemeClr w14:val="tx1"/>
            </w14:solidFill>
          </w14:textFill>
        </w:rPr>
        <w:t xml:space="preserve">                 </w:t>
      </w:r>
      <w:r>
        <w:rPr>
          <w:rFonts w:ascii="仿宋" w:hAnsi="仿宋" w:eastAsia="仿宋" w:cs="仿宋"/>
          <w:color w:val="000000" w:themeColor="text1"/>
          <w:spacing w:val="15"/>
          <w:sz w:val="23"/>
          <w:szCs w:val="23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填报日期：</w:t>
      </w:r>
      <w:r>
        <w:rPr>
          <w:rFonts w:hint="eastAsia" w:ascii="仿宋" w:hAnsi="仿宋" w:eastAsia="仿宋" w:cs="仿宋"/>
          <w:color w:val="000000" w:themeColor="text1"/>
          <w:spacing w:val="-26"/>
          <w:sz w:val="23"/>
          <w:szCs w:val="23"/>
          <w:lang w:val="en-US" w:eastAsia="zh-CN"/>
          <w14:textFill>
            <w14:solidFill>
              <w14:schemeClr w14:val="tx1"/>
            </w14:solidFill>
          </w14:textFill>
        </w:rPr>
        <w:t>2023.06.13</w:t>
      </w:r>
      <w:r>
        <w:rPr>
          <w:rFonts w:ascii="仿宋" w:hAnsi="仿宋" w:eastAsia="仿宋" w:cs="仿宋"/>
          <w:color w:val="000000" w:themeColor="text1"/>
          <w:spacing w:val="4"/>
          <w:sz w:val="23"/>
          <w:szCs w:val="23"/>
          <w14:textFill>
            <w14:solidFill>
              <w14:schemeClr w14:val="tx1"/>
            </w14:solidFill>
          </w14:textFill>
        </w:rPr>
        <w:t xml:space="preserve"> </w:t>
      </w:r>
    </w:p>
    <w:p w14:paraId="7B9766E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附件5</w:t>
      </w:r>
    </w:p>
    <w:p w14:paraId="3ECEC05D">
      <w:pPr>
        <w:ind w:firstLine="1440" w:firstLineChars="400"/>
        <w:jc w:val="both"/>
        <w:rPr>
          <w:rFonts w:hint="eastAsia" w:eastAsia="方正小标宋简体"/>
          <w:sz w:val="36"/>
          <w:szCs w:val="36"/>
          <w:lang w:eastAsia="zh-CN"/>
        </w:rPr>
      </w:pPr>
    </w:p>
    <w:p w14:paraId="46F3E5C5">
      <w:pPr>
        <w:ind w:firstLine="1440" w:firstLineChars="400"/>
        <w:jc w:val="both"/>
        <w:rPr>
          <w:rFonts w:eastAsia="方正小标宋简体"/>
          <w:spacing w:val="-6"/>
          <w:sz w:val="36"/>
          <w:szCs w:val="36"/>
        </w:rPr>
      </w:pPr>
      <w:r>
        <w:rPr>
          <w:rFonts w:hint="eastAsia" w:eastAsia="方正小标宋简体"/>
          <w:sz w:val="36"/>
          <w:szCs w:val="36"/>
          <w:lang w:eastAsia="zh-CN"/>
        </w:rPr>
        <w:t>区级</w:t>
      </w:r>
      <w:r>
        <w:rPr>
          <w:rFonts w:eastAsia="方正小标宋简体"/>
          <w:sz w:val="36"/>
          <w:szCs w:val="36"/>
        </w:rPr>
        <w:t>预算</w:t>
      </w:r>
      <w:r>
        <w:rPr>
          <w:rFonts w:hint="eastAsia" w:eastAsia="方正小标宋简体"/>
          <w:sz w:val="36"/>
          <w:szCs w:val="36"/>
          <w:lang w:eastAsia="zh-CN"/>
        </w:rPr>
        <w:t>单位</w:t>
      </w:r>
      <w:r>
        <w:rPr>
          <w:rFonts w:eastAsia="方正小标宋简体"/>
          <w:spacing w:val="-6"/>
          <w:sz w:val="36"/>
          <w:szCs w:val="36"/>
        </w:rPr>
        <w:t>绩效自评工作考核评分表</w:t>
      </w:r>
    </w:p>
    <w:tbl>
      <w:tblPr>
        <w:tblStyle w:val="5"/>
        <w:tblW w:w="9510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74"/>
        <w:gridCol w:w="1501"/>
        <w:gridCol w:w="6482"/>
        <w:gridCol w:w="753"/>
      </w:tblGrid>
      <w:tr w14:paraId="396D99F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  <w:tblHeader/>
          <w:jc w:val="center"/>
        </w:trPr>
        <w:tc>
          <w:tcPr>
            <w:tcW w:w="7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D400A2D">
            <w:pPr>
              <w:spacing w:line="240" w:lineRule="exact"/>
              <w:jc w:val="center"/>
              <w:rPr>
                <w:rFonts w:eastAsia="黑体"/>
                <w:szCs w:val="21"/>
              </w:rPr>
            </w:pPr>
            <w:r>
              <w:rPr>
                <w:rFonts w:eastAsia="黑体"/>
                <w:szCs w:val="21"/>
              </w:rPr>
              <w:t>一级指标</w:t>
            </w: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46BC094">
            <w:pPr>
              <w:spacing w:line="240" w:lineRule="exact"/>
              <w:jc w:val="center"/>
              <w:rPr>
                <w:rFonts w:eastAsia="黑体"/>
                <w:szCs w:val="21"/>
              </w:rPr>
            </w:pPr>
            <w:r>
              <w:rPr>
                <w:rFonts w:eastAsia="黑体"/>
                <w:szCs w:val="21"/>
              </w:rPr>
              <w:t>二级指标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3BEAD0C">
            <w:pPr>
              <w:spacing w:line="240" w:lineRule="exact"/>
              <w:jc w:val="center"/>
              <w:rPr>
                <w:rFonts w:eastAsia="黑体"/>
                <w:szCs w:val="21"/>
              </w:rPr>
            </w:pPr>
            <w:r>
              <w:rPr>
                <w:rFonts w:eastAsia="黑体"/>
                <w:szCs w:val="21"/>
              </w:rPr>
              <w:t>评分标准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CAD3092">
            <w:pPr>
              <w:spacing w:line="240" w:lineRule="exact"/>
              <w:jc w:val="center"/>
              <w:rPr>
                <w:rFonts w:eastAsia="黑体"/>
                <w:szCs w:val="21"/>
              </w:rPr>
            </w:pPr>
            <w:r>
              <w:rPr>
                <w:rFonts w:eastAsia="黑体"/>
                <w:szCs w:val="21"/>
              </w:rPr>
              <w:t>评分</w:t>
            </w:r>
          </w:p>
        </w:tc>
      </w:tr>
      <w:tr w14:paraId="449D876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4" w:hRule="atLeast"/>
          <w:jc w:val="center"/>
        </w:trPr>
        <w:tc>
          <w:tcPr>
            <w:tcW w:w="77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204845C">
            <w:pPr>
              <w:spacing w:line="32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实施评价</w:t>
            </w:r>
          </w:p>
          <w:p w14:paraId="59701606">
            <w:pPr>
              <w:spacing w:line="32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  <w:p w14:paraId="6B6ACF82">
            <w:pPr>
              <w:spacing w:line="32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30分</w:t>
            </w: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BFDF560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单位自查</w:t>
            </w:r>
          </w:p>
          <w:p w14:paraId="575B0AD8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（20分）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260EFDE">
            <w:pPr>
              <w:spacing w:line="240" w:lineRule="exact"/>
              <w:ind w:firstLine="210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eastAsia="zh-CN"/>
              </w:rPr>
              <w:t>区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级预算单位都要开展绩效自查，转移支付项目单位都要开展绩效自查，区级主管部门都要汇总本区域转移支付情况；以上各项每发现一个单位没有做相应工作的，扣1分，最多扣20分。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AC23B8A">
            <w:pPr>
              <w:spacing w:line="240" w:lineRule="exact"/>
              <w:rPr>
                <w:rFonts w:hint="default" w:asciiTheme="majorEastAsia" w:hAnsiTheme="majorEastAsia" w:eastAsiaTheme="majorEastAsia" w:cstheme="majorEastAsia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　</w:t>
            </w: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20</w:t>
            </w:r>
          </w:p>
        </w:tc>
      </w:tr>
      <w:tr w14:paraId="148305C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  <w:jc w:val="center"/>
        </w:trPr>
        <w:tc>
          <w:tcPr>
            <w:tcW w:w="77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B0F49D0">
            <w:pPr>
              <w:widowControl/>
              <w:jc w:val="left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</w:tc>
        <w:tc>
          <w:tcPr>
            <w:tcW w:w="15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00FECBD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提交报告</w:t>
            </w:r>
          </w:p>
          <w:p w14:paraId="5357B3B1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（10分）</w:t>
            </w:r>
          </w:p>
        </w:tc>
        <w:tc>
          <w:tcPr>
            <w:tcW w:w="64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5384BBA">
            <w:pPr>
              <w:spacing w:line="240" w:lineRule="exact"/>
              <w:ind w:firstLine="210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按时向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eastAsia="zh-CN"/>
              </w:rPr>
              <w:t>区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财政局报送报告的得10分；每推迟一天报送报告的扣1分，最多扣10分。</w:t>
            </w:r>
          </w:p>
        </w:tc>
        <w:tc>
          <w:tcPr>
            <w:tcW w:w="75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A303706">
            <w:pPr>
              <w:spacing w:line="240" w:lineRule="exact"/>
              <w:jc w:val="center"/>
              <w:rPr>
                <w:rFonts w:hint="default" w:asciiTheme="majorEastAsia" w:hAnsiTheme="majorEastAsia" w:eastAsiaTheme="majorEastAsia" w:cstheme="majorEastAsia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10</w:t>
            </w:r>
          </w:p>
        </w:tc>
      </w:tr>
      <w:tr w14:paraId="0F8CFD7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08" w:hRule="atLeast"/>
          <w:jc w:val="center"/>
        </w:trPr>
        <w:tc>
          <w:tcPr>
            <w:tcW w:w="77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ACA5FA4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自评报告</w:t>
            </w:r>
          </w:p>
          <w:p w14:paraId="7976A7B6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  <w:p w14:paraId="7EB37C97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70</w:t>
            </w: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分</w:t>
            </w: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8A04271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自评报告</w:t>
            </w:r>
          </w:p>
          <w:p w14:paraId="4961890F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的完整性</w:t>
            </w:r>
          </w:p>
          <w:p w14:paraId="3D9A9801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（15分）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CB59C79">
            <w:pPr>
              <w:spacing w:line="240" w:lineRule="exact"/>
              <w:ind w:firstLine="210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1.绩效自评报告正文部分内容齐全的，得8分；否则每少一个部分扣2分，最多扣8分。</w:t>
            </w:r>
          </w:p>
          <w:p w14:paraId="79A433DC">
            <w:pPr>
              <w:spacing w:line="240" w:lineRule="exact"/>
              <w:ind w:firstLine="210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2.绩效自评报告附件部分内容齐全的，得7分；否则每少一个部分扣2分，最多扣7分。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97F0CDB">
            <w:pPr>
              <w:spacing w:line="240" w:lineRule="exact"/>
              <w:jc w:val="both"/>
              <w:rPr>
                <w:rFonts w:hint="default" w:asciiTheme="majorEastAsia" w:hAnsiTheme="majorEastAsia" w:eastAsiaTheme="majorEastAsia" w:cstheme="majorEastAsia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　</w:t>
            </w: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15</w:t>
            </w:r>
          </w:p>
        </w:tc>
      </w:tr>
      <w:tr w14:paraId="248E478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5" w:hRule="atLeast"/>
          <w:jc w:val="center"/>
        </w:trPr>
        <w:tc>
          <w:tcPr>
            <w:tcW w:w="77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97A420D">
            <w:pPr>
              <w:widowControl/>
              <w:jc w:val="left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nil"/>
              <w:right w:val="single" w:color="auto" w:sz="4" w:space="0"/>
            </w:tcBorders>
            <w:noWrap w:val="0"/>
            <w:vAlign w:val="center"/>
          </w:tcPr>
          <w:p w14:paraId="7BCE1059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绩效自评表</w:t>
            </w:r>
          </w:p>
          <w:p w14:paraId="5972693F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val="en-US" w:eastAsia="zh-CN"/>
              </w:rPr>
              <w:t>20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分）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B711C4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420" w:firstLineChars="200"/>
              <w:jc w:val="left"/>
              <w:textAlignment w:val="auto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1.部门整体支出和项目支出绩效指标反映产出、效益、服务对象满意度方面的指标和预算执行率的权重符合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eastAsia="zh-CN"/>
              </w:rPr>
              <w:t>《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岳阳市市级预算部门绩效自评操作规程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eastAsia="zh-CN"/>
              </w:rPr>
              <w:t>》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的，得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val="en-US" w:eastAsia="zh-CN"/>
              </w:rPr>
              <w:t>5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分，否则按比例扣除相应的分数。</w:t>
            </w:r>
          </w:p>
          <w:p w14:paraId="343CFE8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auto"/>
              <w:ind w:firstLine="420" w:firstLineChars="200"/>
              <w:jc w:val="left"/>
              <w:textAlignment w:val="auto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2.部门整体支出和项目支出绩效指标全部细化到三级指标的，得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val="en-US" w:eastAsia="zh-CN"/>
              </w:rPr>
              <w:t>5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分；部分细化的，酌情扣分；没有细化的，不得分。</w:t>
            </w:r>
          </w:p>
          <w:p w14:paraId="01D0BC9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auto"/>
              <w:ind w:firstLine="420" w:firstLineChars="200"/>
              <w:jc w:val="left"/>
              <w:textAlignment w:val="auto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3.部门整体支出和项目支出三级绩效指标内涵明确、具体、可衡量的得5分；突出核心指标，精简实用的得3分；指标与部门整体支出和项目支出密切相关，全面反映产出和效益的得2分；否则每项酌情扣分，最多扣10分。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C5A9E84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18</w:t>
            </w: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　</w:t>
            </w:r>
          </w:p>
        </w:tc>
      </w:tr>
      <w:tr w14:paraId="3210BC1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40" w:hRule="atLeast"/>
          <w:jc w:val="center"/>
        </w:trPr>
        <w:tc>
          <w:tcPr>
            <w:tcW w:w="77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68C21C6">
            <w:pPr>
              <w:widowControl/>
              <w:jc w:val="left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8118587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绩效评价</w:t>
            </w:r>
          </w:p>
          <w:p w14:paraId="450417A8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报告反映</w:t>
            </w:r>
          </w:p>
          <w:p w14:paraId="17B618A2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问题情况</w:t>
            </w:r>
          </w:p>
          <w:p w14:paraId="00CD732D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val="en-US" w:eastAsia="zh-CN"/>
              </w:rPr>
              <w:t>20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分）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3C4867F">
            <w:pPr>
              <w:spacing w:line="240" w:lineRule="exact"/>
              <w:ind w:firstLine="230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pacing w:val="10"/>
                <w:sz w:val="21"/>
                <w:szCs w:val="21"/>
              </w:rPr>
              <w:t>从预算和预算绩效管理，部门履职效能，资金分</w:t>
            </w:r>
            <w:r>
              <w:rPr>
                <w:rFonts w:hint="eastAsia" w:asciiTheme="majorEastAsia" w:hAnsiTheme="majorEastAsia" w:eastAsiaTheme="majorEastAsia" w:cstheme="majorEastAsia"/>
                <w:spacing w:val="9"/>
                <w:sz w:val="21"/>
                <w:szCs w:val="21"/>
              </w:rPr>
              <w:t>配、使用和管理，资产和财务管理，政府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 xml:space="preserve">  </w:t>
            </w:r>
            <w:r>
              <w:rPr>
                <w:rFonts w:hint="eastAsia" w:asciiTheme="majorEastAsia" w:hAnsiTheme="majorEastAsia" w:eastAsiaTheme="majorEastAsia" w:cstheme="majorEastAsia"/>
                <w:spacing w:val="7"/>
                <w:sz w:val="21"/>
                <w:szCs w:val="21"/>
              </w:rPr>
              <w:t>采购等方面归纳问题、分析原因全面的，得20分；反映问题、分析原因较</w:t>
            </w:r>
            <w:r>
              <w:rPr>
                <w:rFonts w:hint="eastAsia" w:asciiTheme="majorEastAsia" w:hAnsiTheme="majorEastAsia" w:eastAsiaTheme="majorEastAsia" w:cstheme="majorEastAsia"/>
                <w:spacing w:val="6"/>
                <w:sz w:val="21"/>
                <w:szCs w:val="21"/>
              </w:rPr>
              <w:t>全面的，得16—</w:t>
            </w:r>
            <w:r>
              <w:rPr>
                <w:rFonts w:hint="eastAsia" w:asciiTheme="majorEastAsia" w:hAnsiTheme="majorEastAsia" w:eastAsiaTheme="majorEastAsia" w:cstheme="majorEastAsia"/>
                <w:spacing w:val="-73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6"/>
                <w:sz w:val="21"/>
                <w:szCs w:val="21"/>
              </w:rPr>
              <w:t>18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12"/>
                <w:sz w:val="21"/>
                <w:szCs w:val="21"/>
              </w:rPr>
              <w:t>分；反映问题、分析原因不全面的，得13—</w:t>
            </w:r>
            <w:r>
              <w:rPr>
                <w:rFonts w:hint="eastAsia" w:asciiTheme="majorEastAsia" w:hAnsiTheme="majorEastAsia" w:eastAsiaTheme="majorEastAsia" w:cstheme="majorEastAsia"/>
                <w:spacing w:val="-68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12"/>
                <w:sz w:val="21"/>
                <w:szCs w:val="21"/>
              </w:rPr>
              <w:t>15分；问题未归纳</w:t>
            </w:r>
            <w:r>
              <w:rPr>
                <w:rFonts w:hint="eastAsia" w:asciiTheme="majorEastAsia" w:hAnsiTheme="majorEastAsia" w:eastAsiaTheme="majorEastAsia" w:cstheme="majorEastAsia"/>
                <w:spacing w:val="11"/>
                <w:sz w:val="21"/>
                <w:szCs w:val="21"/>
              </w:rPr>
              <w:t>且过于简单的，得10—</w:t>
            </w:r>
            <w:r>
              <w:rPr>
                <w:rFonts w:hint="eastAsia" w:asciiTheme="majorEastAsia" w:hAnsiTheme="majorEastAsia" w:eastAsiaTheme="majorEastAsia" w:cstheme="majorEastAsia"/>
                <w:spacing w:val="-68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11"/>
                <w:sz w:val="21"/>
                <w:szCs w:val="21"/>
              </w:rPr>
              <w:t>12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 xml:space="preserve">  </w:t>
            </w:r>
            <w:r>
              <w:rPr>
                <w:rFonts w:hint="eastAsia" w:asciiTheme="majorEastAsia" w:hAnsiTheme="majorEastAsia" w:eastAsiaTheme="majorEastAsia" w:cstheme="majorEastAsia"/>
                <w:spacing w:val="13"/>
                <w:sz w:val="21"/>
                <w:szCs w:val="21"/>
              </w:rPr>
              <w:t>分；只提出资金不足问题的不得分；其他情况酌情扣分，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BAA6971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18</w:t>
            </w: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　</w:t>
            </w:r>
          </w:p>
        </w:tc>
      </w:tr>
      <w:tr w14:paraId="0B49F48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13" w:hRule="atLeast"/>
          <w:jc w:val="center"/>
        </w:trPr>
        <w:tc>
          <w:tcPr>
            <w:tcW w:w="77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382B737">
            <w:pPr>
              <w:widowControl/>
              <w:jc w:val="left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31E2BC2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针对问题</w:t>
            </w:r>
          </w:p>
          <w:p w14:paraId="2B45D64C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提出可行性建议的情况</w:t>
            </w:r>
          </w:p>
          <w:p w14:paraId="728CD787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（15分）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FC5FD45">
            <w:pPr>
              <w:spacing w:line="240" w:lineRule="exact"/>
              <w:ind w:firstLine="216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pacing w:val="3"/>
                <w:sz w:val="21"/>
                <w:szCs w:val="21"/>
              </w:rPr>
              <w:t>建议与问题对应且全面的得15分，建议比较全面的得12—</w:t>
            </w:r>
            <w:r>
              <w:rPr>
                <w:rFonts w:hint="eastAsia" w:asciiTheme="majorEastAsia" w:hAnsiTheme="majorEastAsia" w:eastAsiaTheme="majorEastAsia" w:cstheme="majorEastAsia"/>
                <w:spacing w:val="-55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3"/>
                <w:sz w:val="21"/>
                <w:szCs w:val="21"/>
              </w:rPr>
              <w:t>14分，建议不全面的得9—</w:t>
            </w:r>
            <w:r>
              <w:rPr>
                <w:rFonts w:hint="eastAsia" w:asciiTheme="majorEastAsia" w:hAnsiTheme="majorEastAsia" w:eastAsiaTheme="majorEastAsia" w:cstheme="majorEastAsia"/>
                <w:spacing w:val="-72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3"/>
                <w:sz w:val="21"/>
                <w:szCs w:val="21"/>
              </w:rPr>
              <w:t>11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 xml:space="preserve">   </w:t>
            </w:r>
            <w:r>
              <w:rPr>
                <w:rFonts w:hint="eastAsia" w:asciiTheme="majorEastAsia" w:hAnsiTheme="majorEastAsia" w:eastAsiaTheme="majorEastAsia" w:cstheme="majorEastAsia"/>
                <w:spacing w:val="2"/>
                <w:sz w:val="21"/>
                <w:szCs w:val="21"/>
              </w:rPr>
              <w:t>分，建议过于简单的得6—8分，只提出加大资金投入建议的不得分；其他情况酌情扣分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03D1857">
            <w:pPr>
              <w:spacing w:line="240" w:lineRule="exact"/>
              <w:jc w:val="both"/>
              <w:rPr>
                <w:rFonts w:hint="default" w:asciiTheme="majorEastAsia" w:hAnsiTheme="majorEastAsia" w:eastAsiaTheme="majorEastAsia" w:cstheme="majorEastAsia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　</w:t>
            </w: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14</w:t>
            </w:r>
          </w:p>
        </w:tc>
      </w:tr>
      <w:tr w14:paraId="578C2D2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  <w:jc w:val="center"/>
        </w:trPr>
        <w:tc>
          <w:tcPr>
            <w:tcW w:w="7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9356EFD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合计</w:t>
            </w:r>
          </w:p>
        </w:tc>
        <w:tc>
          <w:tcPr>
            <w:tcW w:w="15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5780D36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100分</w:t>
            </w:r>
          </w:p>
        </w:tc>
        <w:tc>
          <w:tcPr>
            <w:tcW w:w="64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DFA345B">
            <w:pPr>
              <w:spacing w:line="240" w:lineRule="exact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60F8212">
            <w:pPr>
              <w:spacing w:line="240" w:lineRule="exact"/>
              <w:rPr>
                <w:rFonts w:hint="default" w:asciiTheme="majorEastAsia" w:hAnsiTheme="majorEastAsia" w:eastAsiaTheme="majorEastAsia" w:cstheme="majorEastAsia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　</w:t>
            </w: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95</w:t>
            </w:r>
          </w:p>
        </w:tc>
      </w:tr>
    </w:tbl>
    <w:p w14:paraId="507C67B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sectPr>
      <w:pgSz w:w="11906" w:h="16838"/>
      <w:pgMar w:top="1701" w:right="1701" w:bottom="1701" w:left="1701" w:header="851" w:footer="992" w:gutter="0"/>
      <w:pgNumType w:fmt="decimal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altName w:val="方正舒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78EAA78">
    <w:pPr>
      <w:spacing w:line="14" w:lineRule="auto"/>
      <w:rPr>
        <w:rFonts w:ascii="Arial"/>
        <w:sz w:val="2"/>
      </w:rPr>
    </w:pPr>
    <w:r>
      <w:rPr>
        <w:sz w:val="2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4F340ED4">
                          <w:pPr>
                            <w:pStyle w:val="3"/>
                          </w:pP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>7</w: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4F340ED4">
                    <w:pPr>
                      <w:pStyle w:val="3"/>
                    </w:pP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>7</w: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E93E9BD">
    <w:pPr>
      <w:spacing w:line="14" w:lineRule="auto"/>
      <w:rPr>
        <w:rFonts w:ascii="Arial"/>
        <w:sz w:val="2"/>
      </w:rPr>
    </w:pPr>
    <w:r>
      <w:rPr>
        <w:sz w:val="2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5" name="文本框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62F29517">
                          <w:pPr>
                            <w:pStyle w:val="3"/>
                          </w:pP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>7</w: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f46tET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62F29517">
                    <w:pPr>
                      <w:pStyle w:val="3"/>
                    </w:pP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>7</w: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9DC9ED20"/>
    <w:multiLevelType w:val="singleLevel"/>
    <w:tmpl w:val="9DC9ED20"/>
    <w:lvl w:ilvl="0" w:tentative="0">
      <w:start w:val="5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B2166794"/>
    <w:multiLevelType w:val="singleLevel"/>
    <w:tmpl w:val="B2166794"/>
    <w:lvl w:ilvl="0" w:tentative="0">
      <w:start w:val="8"/>
      <w:numFmt w:val="chineseCounting"/>
      <w:suff w:val="nothing"/>
      <w:lvlText w:val="%1、"/>
      <w:lvlJc w:val="left"/>
      <w:pPr>
        <w:ind w:left="700" w:leftChars="0" w:firstLine="0" w:firstLineChars="0"/>
      </w:pPr>
      <w:rPr>
        <w:rFonts w:hint="eastAsia"/>
      </w:rPr>
    </w:lvl>
  </w:abstractNum>
  <w:abstractNum w:abstractNumId="2">
    <w:nsid w:val="33CA9455"/>
    <w:multiLevelType w:val="singleLevel"/>
    <w:tmpl w:val="33CA9455"/>
    <w:lvl w:ilvl="0" w:tentative="0">
      <w:start w:val="2"/>
      <w:numFmt w:val="chineseCounting"/>
      <w:lvlText w:val="(%1)"/>
      <w:lvlJc w:val="left"/>
      <w:pPr>
        <w:tabs>
          <w:tab w:val="left" w:pos="312"/>
        </w:tabs>
      </w:pPr>
      <w:rPr>
        <w:rFonts w:hint="eastAsia"/>
      </w:rPr>
    </w:lvl>
  </w:abstractNum>
  <w:abstractNum w:abstractNumId="3">
    <w:nsid w:val="6BAFFE41"/>
    <w:multiLevelType w:val="singleLevel"/>
    <w:tmpl w:val="6BAFFE41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FmZWIzNDg2MmIzZjExOTIzMmViNTBmYTMwYTk0ZWYifQ=="/>
  </w:docVars>
  <w:rsids>
    <w:rsidRoot w:val="53FC3987"/>
    <w:rsid w:val="000A3765"/>
    <w:rsid w:val="001D7282"/>
    <w:rsid w:val="0039081D"/>
    <w:rsid w:val="005E6ECB"/>
    <w:rsid w:val="00744EA1"/>
    <w:rsid w:val="009419CA"/>
    <w:rsid w:val="00955854"/>
    <w:rsid w:val="009C7330"/>
    <w:rsid w:val="00A00FBB"/>
    <w:rsid w:val="00BF0721"/>
    <w:rsid w:val="00C03795"/>
    <w:rsid w:val="00CE3756"/>
    <w:rsid w:val="00D27A74"/>
    <w:rsid w:val="00E831C8"/>
    <w:rsid w:val="00EF287A"/>
    <w:rsid w:val="00FD6BED"/>
    <w:rsid w:val="01057CDE"/>
    <w:rsid w:val="010B4A82"/>
    <w:rsid w:val="01192786"/>
    <w:rsid w:val="01201E6A"/>
    <w:rsid w:val="012D57C0"/>
    <w:rsid w:val="01457029"/>
    <w:rsid w:val="014900E3"/>
    <w:rsid w:val="014F5749"/>
    <w:rsid w:val="01521E95"/>
    <w:rsid w:val="01727F7E"/>
    <w:rsid w:val="01764DBE"/>
    <w:rsid w:val="01806F8C"/>
    <w:rsid w:val="0182483A"/>
    <w:rsid w:val="01863406"/>
    <w:rsid w:val="018D011E"/>
    <w:rsid w:val="019614B0"/>
    <w:rsid w:val="019C71AC"/>
    <w:rsid w:val="01BF03AA"/>
    <w:rsid w:val="01C33E74"/>
    <w:rsid w:val="01DF3C26"/>
    <w:rsid w:val="01EE0A2C"/>
    <w:rsid w:val="0200044D"/>
    <w:rsid w:val="020654E4"/>
    <w:rsid w:val="020C72F8"/>
    <w:rsid w:val="02121B7C"/>
    <w:rsid w:val="021813DE"/>
    <w:rsid w:val="021B6B30"/>
    <w:rsid w:val="02363BD8"/>
    <w:rsid w:val="023809F7"/>
    <w:rsid w:val="02431066"/>
    <w:rsid w:val="02595CF1"/>
    <w:rsid w:val="025C47D6"/>
    <w:rsid w:val="0263675C"/>
    <w:rsid w:val="02656E75"/>
    <w:rsid w:val="027431E5"/>
    <w:rsid w:val="02B544DB"/>
    <w:rsid w:val="02CB5D99"/>
    <w:rsid w:val="02F61D91"/>
    <w:rsid w:val="02FC4679"/>
    <w:rsid w:val="02FE5E0A"/>
    <w:rsid w:val="0347190C"/>
    <w:rsid w:val="034760CE"/>
    <w:rsid w:val="03487959"/>
    <w:rsid w:val="03505BE1"/>
    <w:rsid w:val="036D41A2"/>
    <w:rsid w:val="037F229C"/>
    <w:rsid w:val="03911277"/>
    <w:rsid w:val="039A540B"/>
    <w:rsid w:val="03BD010E"/>
    <w:rsid w:val="03E2685C"/>
    <w:rsid w:val="03E66326"/>
    <w:rsid w:val="03FF6E0F"/>
    <w:rsid w:val="0404259A"/>
    <w:rsid w:val="04051601"/>
    <w:rsid w:val="04150B3B"/>
    <w:rsid w:val="04327F62"/>
    <w:rsid w:val="04344800"/>
    <w:rsid w:val="04593B76"/>
    <w:rsid w:val="045F666C"/>
    <w:rsid w:val="0460075C"/>
    <w:rsid w:val="04613BEE"/>
    <w:rsid w:val="0462054D"/>
    <w:rsid w:val="04675C34"/>
    <w:rsid w:val="046C0B29"/>
    <w:rsid w:val="04816E5C"/>
    <w:rsid w:val="048924DD"/>
    <w:rsid w:val="04914D95"/>
    <w:rsid w:val="0495144B"/>
    <w:rsid w:val="04AC07A1"/>
    <w:rsid w:val="04C63115"/>
    <w:rsid w:val="04CF5236"/>
    <w:rsid w:val="04CF5AF0"/>
    <w:rsid w:val="04D24FF1"/>
    <w:rsid w:val="04DE1BAB"/>
    <w:rsid w:val="04E411E4"/>
    <w:rsid w:val="04F37BBA"/>
    <w:rsid w:val="05085366"/>
    <w:rsid w:val="05145F64"/>
    <w:rsid w:val="054037EF"/>
    <w:rsid w:val="054E7FFF"/>
    <w:rsid w:val="05621117"/>
    <w:rsid w:val="058C5045"/>
    <w:rsid w:val="059C7C89"/>
    <w:rsid w:val="05A50C70"/>
    <w:rsid w:val="05B525CA"/>
    <w:rsid w:val="05C4448F"/>
    <w:rsid w:val="05E616EC"/>
    <w:rsid w:val="06146BAF"/>
    <w:rsid w:val="06286BB6"/>
    <w:rsid w:val="06405E9C"/>
    <w:rsid w:val="064D5380"/>
    <w:rsid w:val="064E0F6B"/>
    <w:rsid w:val="06617309"/>
    <w:rsid w:val="06650E6A"/>
    <w:rsid w:val="06854A05"/>
    <w:rsid w:val="068B5259"/>
    <w:rsid w:val="06986D10"/>
    <w:rsid w:val="06A14716"/>
    <w:rsid w:val="06C90184"/>
    <w:rsid w:val="06C9437B"/>
    <w:rsid w:val="06ED564C"/>
    <w:rsid w:val="06F22A7B"/>
    <w:rsid w:val="07023424"/>
    <w:rsid w:val="07043735"/>
    <w:rsid w:val="0725074E"/>
    <w:rsid w:val="07313C60"/>
    <w:rsid w:val="07331F0A"/>
    <w:rsid w:val="076971BD"/>
    <w:rsid w:val="076D43AE"/>
    <w:rsid w:val="077323CA"/>
    <w:rsid w:val="0775145F"/>
    <w:rsid w:val="07967DE0"/>
    <w:rsid w:val="07970994"/>
    <w:rsid w:val="07B913B4"/>
    <w:rsid w:val="07BA1C6A"/>
    <w:rsid w:val="07BD44A3"/>
    <w:rsid w:val="07CE6155"/>
    <w:rsid w:val="07E11DA2"/>
    <w:rsid w:val="07E40515"/>
    <w:rsid w:val="07EE6091"/>
    <w:rsid w:val="08017E70"/>
    <w:rsid w:val="0805190B"/>
    <w:rsid w:val="082A5F7E"/>
    <w:rsid w:val="08391F38"/>
    <w:rsid w:val="083A18D9"/>
    <w:rsid w:val="0848472A"/>
    <w:rsid w:val="084D20E7"/>
    <w:rsid w:val="08674899"/>
    <w:rsid w:val="08754155"/>
    <w:rsid w:val="087B77E7"/>
    <w:rsid w:val="087D3D34"/>
    <w:rsid w:val="0889236C"/>
    <w:rsid w:val="088E051E"/>
    <w:rsid w:val="08935A7B"/>
    <w:rsid w:val="08A91E6C"/>
    <w:rsid w:val="08BA1B19"/>
    <w:rsid w:val="08D059DD"/>
    <w:rsid w:val="08DC08E7"/>
    <w:rsid w:val="092D1C9E"/>
    <w:rsid w:val="09377E5E"/>
    <w:rsid w:val="09383E9F"/>
    <w:rsid w:val="0939426E"/>
    <w:rsid w:val="09504F8C"/>
    <w:rsid w:val="09616470"/>
    <w:rsid w:val="096C1F5A"/>
    <w:rsid w:val="096C76C1"/>
    <w:rsid w:val="09906B28"/>
    <w:rsid w:val="09912E95"/>
    <w:rsid w:val="099C1A23"/>
    <w:rsid w:val="09A948AF"/>
    <w:rsid w:val="09AC2A76"/>
    <w:rsid w:val="09B04837"/>
    <w:rsid w:val="09C95891"/>
    <w:rsid w:val="09D8005F"/>
    <w:rsid w:val="0A002E0D"/>
    <w:rsid w:val="0A140987"/>
    <w:rsid w:val="0A241A5C"/>
    <w:rsid w:val="0A2E3566"/>
    <w:rsid w:val="0A393280"/>
    <w:rsid w:val="0A5F2F6C"/>
    <w:rsid w:val="0A670B4E"/>
    <w:rsid w:val="0A6945CA"/>
    <w:rsid w:val="0A851E03"/>
    <w:rsid w:val="0A985A6F"/>
    <w:rsid w:val="0AA808AF"/>
    <w:rsid w:val="0ABD142C"/>
    <w:rsid w:val="0AC644AE"/>
    <w:rsid w:val="0ACB61B4"/>
    <w:rsid w:val="0ACD4157"/>
    <w:rsid w:val="0AE964B0"/>
    <w:rsid w:val="0B163034"/>
    <w:rsid w:val="0B1F5B6D"/>
    <w:rsid w:val="0B2F4AF7"/>
    <w:rsid w:val="0B3312B6"/>
    <w:rsid w:val="0B4064B3"/>
    <w:rsid w:val="0B6E529C"/>
    <w:rsid w:val="0B701D27"/>
    <w:rsid w:val="0B7245CE"/>
    <w:rsid w:val="0B943886"/>
    <w:rsid w:val="0B9C3CD1"/>
    <w:rsid w:val="0BB324D8"/>
    <w:rsid w:val="0BB672C7"/>
    <w:rsid w:val="0BC07BBF"/>
    <w:rsid w:val="0BC429EF"/>
    <w:rsid w:val="0BCE65D1"/>
    <w:rsid w:val="0BD60937"/>
    <w:rsid w:val="0BD912A4"/>
    <w:rsid w:val="0BE135FA"/>
    <w:rsid w:val="0BEE4F6B"/>
    <w:rsid w:val="0C03261E"/>
    <w:rsid w:val="0C0439FA"/>
    <w:rsid w:val="0C0B17DF"/>
    <w:rsid w:val="0C0F382B"/>
    <w:rsid w:val="0C160980"/>
    <w:rsid w:val="0C1B4EF7"/>
    <w:rsid w:val="0C1C297E"/>
    <w:rsid w:val="0C1D4988"/>
    <w:rsid w:val="0C297E69"/>
    <w:rsid w:val="0C55038F"/>
    <w:rsid w:val="0C6B7DF9"/>
    <w:rsid w:val="0C6E2A56"/>
    <w:rsid w:val="0C7A708D"/>
    <w:rsid w:val="0CCA7495"/>
    <w:rsid w:val="0CD16BA2"/>
    <w:rsid w:val="0CD745A0"/>
    <w:rsid w:val="0CDE4E30"/>
    <w:rsid w:val="0D012A51"/>
    <w:rsid w:val="0D094F84"/>
    <w:rsid w:val="0D280615"/>
    <w:rsid w:val="0D2C07EB"/>
    <w:rsid w:val="0D2F57DE"/>
    <w:rsid w:val="0D353632"/>
    <w:rsid w:val="0D392C4E"/>
    <w:rsid w:val="0D482FA9"/>
    <w:rsid w:val="0D4A4299"/>
    <w:rsid w:val="0D5F1E28"/>
    <w:rsid w:val="0D671080"/>
    <w:rsid w:val="0D783B34"/>
    <w:rsid w:val="0D81754C"/>
    <w:rsid w:val="0DBE6AB7"/>
    <w:rsid w:val="0DBF116A"/>
    <w:rsid w:val="0DC00E38"/>
    <w:rsid w:val="0DC8400B"/>
    <w:rsid w:val="0DD34552"/>
    <w:rsid w:val="0DE03EAA"/>
    <w:rsid w:val="0DE12394"/>
    <w:rsid w:val="0DF36262"/>
    <w:rsid w:val="0E1E619E"/>
    <w:rsid w:val="0E267F81"/>
    <w:rsid w:val="0E365DE9"/>
    <w:rsid w:val="0E4822EE"/>
    <w:rsid w:val="0E4E185D"/>
    <w:rsid w:val="0E522FBE"/>
    <w:rsid w:val="0E5D141B"/>
    <w:rsid w:val="0E8648D6"/>
    <w:rsid w:val="0E8C08DC"/>
    <w:rsid w:val="0E8E43C0"/>
    <w:rsid w:val="0E964CBE"/>
    <w:rsid w:val="0EB05323"/>
    <w:rsid w:val="0EBE40CB"/>
    <w:rsid w:val="0EC36A56"/>
    <w:rsid w:val="0EC62499"/>
    <w:rsid w:val="0ECE4E6F"/>
    <w:rsid w:val="0EDA5C56"/>
    <w:rsid w:val="0EFE4287"/>
    <w:rsid w:val="0F0D525E"/>
    <w:rsid w:val="0F2A2A37"/>
    <w:rsid w:val="0F2E6C95"/>
    <w:rsid w:val="0F4675CA"/>
    <w:rsid w:val="0F471A79"/>
    <w:rsid w:val="0F500384"/>
    <w:rsid w:val="0F5B4015"/>
    <w:rsid w:val="0F6071C8"/>
    <w:rsid w:val="0F7B0394"/>
    <w:rsid w:val="0F8230D7"/>
    <w:rsid w:val="0FA00CB6"/>
    <w:rsid w:val="0FA434D3"/>
    <w:rsid w:val="0FB471F7"/>
    <w:rsid w:val="0FBF2FB7"/>
    <w:rsid w:val="0FC95C51"/>
    <w:rsid w:val="0FC965F5"/>
    <w:rsid w:val="0FCD6B4B"/>
    <w:rsid w:val="0FCF7138"/>
    <w:rsid w:val="0FD35AB6"/>
    <w:rsid w:val="0FE017B9"/>
    <w:rsid w:val="0FE04B17"/>
    <w:rsid w:val="0FEC2891"/>
    <w:rsid w:val="0FF71EB7"/>
    <w:rsid w:val="10225AB2"/>
    <w:rsid w:val="102D74F0"/>
    <w:rsid w:val="103C47DA"/>
    <w:rsid w:val="103D5CB0"/>
    <w:rsid w:val="1043497A"/>
    <w:rsid w:val="104B6B58"/>
    <w:rsid w:val="105552F6"/>
    <w:rsid w:val="108449FF"/>
    <w:rsid w:val="108B34B0"/>
    <w:rsid w:val="109E2943"/>
    <w:rsid w:val="10C8346E"/>
    <w:rsid w:val="10FE6AB1"/>
    <w:rsid w:val="1112624E"/>
    <w:rsid w:val="11153798"/>
    <w:rsid w:val="111C08B1"/>
    <w:rsid w:val="11297158"/>
    <w:rsid w:val="114B2C9B"/>
    <w:rsid w:val="115D78BB"/>
    <w:rsid w:val="116001E2"/>
    <w:rsid w:val="11793618"/>
    <w:rsid w:val="11813452"/>
    <w:rsid w:val="11913DD4"/>
    <w:rsid w:val="11961E43"/>
    <w:rsid w:val="11987ED2"/>
    <w:rsid w:val="119969A0"/>
    <w:rsid w:val="11A91B68"/>
    <w:rsid w:val="11B76464"/>
    <w:rsid w:val="11BC2DF3"/>
    <w:rsid w:val="11C43676"/>
    <w:rsid w:val="11EA3CA0"/>
    <w:rsid w:val="11F403BB"/>
    <w:rsid w:val="11FA6A1C"/>
    <w:rsid w:val="120B6973"/>
    <w:rsid w:val="12155876"/>
    <w:rsid w:val="12183A1B"/>
    <w:rsid w:val="122A11A6"/>
    <w:rsid w:val="123D1BD2"/>
    <w:rsid w:val="123E6D4D"/>
    <w:rsid w:val="125613C2"/>
    <w:rsid w:val="125D4EF7"/>
    <w:rsid w:val="12637C4E"/>
    <w:rsid w:val="127030C8"/>
    <w:rsid w:val="12B310FA"/>
    <w:rsid w:val="12B7582D"/>
    <w:rsid w:val="12C621E8"/>
    <w:rsid w:val="12CF0716"/>
    <w:rsid w:val="12D95227"/>
    <w:rsid w:val="12E33197"/>
    <w:rsid w:val="12EE1C9C"/>
    <w:rsid w:val="12F863E6"/>
    <w:rsid w:val="13094CA6"/>
    <w:rsid w:val="132156D8"/>
    <w:rsid w:val="132911E2"/>
    <w:rsid w:val="133868AE"/>
    <w:rsid w:val="135133AE"/>
    <w:rsid w:val="13914897"/>
    <w:rsid w:val="139B3587"/>
    <w:rsid w:val="13A55CD5"/>
    <w:rsid w:val="13B654E3"/>
    <w:rsid w:val="13B819E6"/>
    <w:rsid w:val="13BC4189"/>
    <w:rsid w:val="13C169EC"/>
    <w:rsid w:val="13CA717D"/>
    <w:rsid w:val="13CE022A"/>
    <w:rsid w:val="13DF25B8"/>
    <w:rsid w:val="13E2403C"/>
    <w:rsid w:val="14047D3B"/>
    <w:rsid w:val="141A00EA"/>
    <w:rsid w:val="143A1FCF"/>
    <w:rsid w:val="14430D66"/>
    <w:rsid w:val="14477E65"/>
    <w:rsid w:val="14710CBF"/>
    <w:rsid w:val="14791934"/>
    <w:rsid w:val="147D213D"/>
    <w:rsid w:val="14A04833"/>
    <w:rsid w:val="14B12779"/>
    <w:rsid w:val="14B37576"/>
    <w:rsid w:val="14F4219E"/>
    <w:rsid w:val="150135C1"/>
    <w:rsid w:val="151C632A"/>
    <w:rsid w:val="152E4EB1"/>
    <w:rsid w:val="153E3566"/>
    <w:rsid w:val="154034C3"/>
    <w:rsid w:val="156B6CDB"/>
    <w:rsid w:val="15726626"/>
    <w:rsid w:val="15820278"/>
    <w:rsid w:val="15914EE6"/>
    <w:rsid w:val="15A42FA4"/>
    <w:rsid w:val="15A6418F"/>
    <w:rsid w:val="15A9411A"/>
    <w:rsid w:val="15AA091B"/>
    <w:rsid w:val="15BC6BD3"/>
    <w:rsid w:val="15CF095E"/>
    <w:rsid w:val="15DA784E"/>
    <w:rsid w:val="15DB017B"/>
    <w:rsid w:val="15E6370B"/>
    <w:rsid w:val="15E835FB"/>
    <w:rsid w:val="15E84717"/>
    <w:rsid w:val="160F0091"/>
    <w:rsid w:val="16144614"/>
    <w:rsid w:val="163E3AB2"/>
    <w:rsid w:val="165E3F72"/>
    <w:rsid w:val="166D0110"/>
    <w:rsid w:val="167050F1"/>
    <w:rsid w:val="16713DA7"/>
    <w:rsid w:val="16797776"/>
    <w:rsid w:val="16952546"/>
    <w:rsid w:val="16AB3FBF"/>
    <w:rsid w:val="16AC1654"/>
    <w:rsid w:val="16B12C6E"/>
    <w:rsid w:val="16BF0789"/>
    <w:rsid w:val="16CD5BA2"/>
    <w:rsid w:val="16D42F73"/>
    <w:rsid w:val="16DA34D2"/>
    <w:rsid w:val="16DA4E41"/>
    <w:rsid w:val="16F042AC"/>
    <w:rsid w:val="16F626B5"/>
    <w:rsid w:val="16FB005D"/>
    <w:rsid w:val="16FC4F3B"/>
    <w:rsid w:val="171630EB"/>
    <w:rsid w:val="17435DB3"/>
    <w:rsid w:val="174849B3"/>
    <w:rsid w:val="175075E0"/>
    <w:rsid w:val="175D3461"/>
    <w:rsid w:val="175F4C67"/>
    <w:rsid w:val="175F580B"/>
    <w:rsid w:val="17665207"/>
    <w:rsid w:val="17794395"/>
    <w:rsid w:val="178D50A9"/>
    <w:rsid w:val="178F0FE3"/>
    <w:rsid w:val="17B85018"/>
    <w:rsid w:val="17E339CC"/>
    <w:rsid w:val="17F33C57"/>
    <w:rsid w:val="181D4FAC"/>
    <w:rsid w:val="182B38C1"/>
    <w:rsid w:val="18351597"/>
    <w:rsid w:val="18353961"/>
    <w:rsid w:val="18474510"/>
    <w:rsid w:val="184F1D16"/>
    <w:rsid w:val="1852374B"/>
    <w:rsid w:val="185629F1"/>
    <w:rsid w:val="18685D91"/>
    <w:rsid w:val="188F0DAB"/>
    <w:rsid w:val="18905464"/>
    <w:rsid w:val="18910B5C"/>
    <w:rsid w:val="18A62960"/>
    <w:rsid w:val="18BD3DC4"/>
    <w:rsid w:val="18C149F3"/>
    <w:rsid w:val="18D233DB"/>
    <w:rsid w:val="18DC433F"/>
    <w:rsid w:val="18DD0C18"/>
    <w:rsid w:val="18DE4BF6"/>
    <w:rsid w:val="18EC1CA5"/>
    <w:rsid w:val="18F23C9D"/>
    <w:rsid w:val="18F554AB"/>
    <w:rsid w:val="18FE49D5"/>
    <w:rsid w:val="190F3527"/>
    <w:rsid w:val="19100497"/>
    <w:rsid w:val="19183CAC"/>
    <w:rsid w:val="193964B7"/>
    <w:rsid w:val="19521C94"/>
    <w:rsid w:val="195657BB"/>
    <w:rsid w:val="196B19EB"/>
    <w:rsid w:val="19717C66"/>
    <w:rsid w:val="198E7C2B"/>
    <w:rsid w:val="199945D5"/>
    <w:rsid w:val="199B5065"/>
    <w:rsid w:val="19D37D58"/>
    <w:rsid w:val="19DD0438"/>
    <w:rsid w:val="1A0A04E6"/>
    <w:rsid w:val="1A187AC0"/>
    <w:rsid w:val="1A213466"/>
    <w:rsid w:val="1A3F3F76"/>
    <w:rsid w:val="1A4B4BAE"/>
    <w:rsid w:val="1A5F35C0"/>
    <w:rsid w:val="1A8006B2"/>
    <w:rsid w:val="1A8D640E"/>
    <w:rsid w:val="1A974192"/>
    <w:rsid w:val="1ACA62AD"/>
    <w:rsid w:val="1ADA675E"/>
    <w:rsid w:val="1AE11CDA"/>
    <w:rsid w:val="1B113A6D"/>
    <w:rsid w:val="1B144B8D"/>
    <w:rsid w:val="1B17013D"/>
    <w:rsid w:val="1B1B14D3"/>
    <w:rsid w:val="1B1F6AF1"/>
    <w:rsid w:val="1B250DAE"/>
    <w:rsid w:val="1B2A34EB"/>
    <w:rsid w:val="1B2B0F4C"/>
    <w:rsid w:val="1B2D2734"/>
    <w:rsid w:val="1B3860E1"/>
    <w:rsid w:val="1B3F36F6"/>
    <w:rsid w:val="1B422830"/>
    <w:rsid w:val="1B4B369E"/>
    <w:rsid w:val="1B5271D4"/>
    <w:rsid w:val="1B6D7C0D"/>
    <w:rsid w:val="1B84594F"/>
    <w:rsid w:val="1B884364"/>
    <w:rsid w:val="1BA912AB"/>
    <w:rsid w:val="1BC74329"/>
    <w:rsid w:val="1BC90A36"/>
    <w:rsid w:val="1BD0347B"/>
    <w:rsid w:val="1BD40AF3"/>
    <w:rsid w:val="1BD802A4"/>
    <w:rsid w:val="1BDF236A"/>
    <w:rsid w:val="1C0435DD"/>
    <w:rsid w:val="1C044A22"/>
    <w:rsid w:val="1C0500B1"/>
    <w:rsid w:val="1C165874"/>
    <w:rsid w:val="1C1D4C3D"/>
    <w:rsid w:val="1C212C7F"/>
    <w:rsid w:val="1C4C28F3"/>
    <w:rsid w:val="1C71314E"/>
    <w:rsid w:val="1C82672C"/>
    <w:rsid w:val="1C89138D"/>
    <w:rsid w:val="1C8E76D2"/>
    <w:rsid w:val="1C937172"/>
    <w:rsid w:val="1C975C4B"/>
    <w:rsid w:val="1CA27BB1"/>
    <w:rsid w:val="1CAF7DCF"/>
    <w:rsid w:val="1CB07D7A"/>
    <w:rsid w:val="1CDA4D56"/>
    <w:rsid w:val="1CF810AC"/>
    <w:rsid w:val="1D0B3755"/>
    <w:rsid w:val="1D124C24"/>
    <w:rsid w:val="1D2C6C65"/>
    <w:rsid w:val="1D402518"/>
    <w:rsid w:val="1D4E7169"/>
    <w:rsid w:val="1D554265"/>
    <w:rsid w:val="1D69344A"/>
    <w:rsid w:val="1D6B31E8"/>
    <w:rsid w:val="1D6B7F83"/>
    <w:rsid w:val="1D776C3D"/>
    <w:rsid w:val="1D95321A"/>
    <w:rsid w:val="1DB85E5C"/>
    <w:rsid w:val="1DC46662"/>
    <w:rsid w:val="1DCA5E3A"/>
    <w:rsid w:val="1DCF5405"/>
    <w:rsid w:val="1DD75183"/>
    <w:rsid w:val="1DDE2626"/>
    <w:rsid w:val="1DFD7C50"/>
    <w:rsid w:val="1E080AB5"/>
    <w:rsid w:val="1E0E0D58"/>
    <w:rsid w:val="1E2A197B"/>
    <w:rsid w:val="1E35255F"/>
    <w:rsid w:val="1E3C5A5F"/>
    <w:rsid w:val="1E475D36"/>
    <w:rsid w:val="1E4E24A0"/>
    <w:rsid w:val="1E502588"/>
    <w:rsid w:val="1E53413D"/>
    <w:rsid w:val="1E550992"/>
    <w:rsid w:val="1E5A7A32"/>
    <w:rsid w:val="1E671817"/>
    <w:rsid w:val="1E6C3B44"/>
    <w:rsid w:val="1E7A4122"/>
    <w:rsid w:val="1E8879EE"/>
    <w:rsid w:val="1EB95D76"/>
    <w:rsid w:val="1EC54236"/>
    <w:rsid w:val="1ED464CA"/>
    <w:rsid w:val="1EDA5DF7"/>
    <w:rsid w:val="1EED4A44"/>
    <w:rsid w:val="1EF65DF7"/>
    <w:rsid w:val="1EFA39EA"/>
    <w:rsid w:val="1F00206F"/>
    <w:rsid w:val="1F0177DA"/>
    <w:rsid w:val="1F18467A"/>
    <w:rsid w:val="1F232A42"/>
    <w:rsid w:val="1F2645A8"/>
    <w:rsid w:val="1F4B71B8"/>
    <w:rsid w:val="1F4C39A9"/>
    <w:rsid w:val="1F5665AD"/>
    <w:rsid w:val="1F692382"/>
    <w:rsid w:val="1F8815CD"/>
    <w:rsid w:val="1F8D1995"/>
    <w:rsid w:val="1F935BDD"/>
    <w:rsid w:val="1F9730E6"/>
    <w:rsid w:val="1FDE0273"/>
    <w:rsid w:val="1FEF73C9"/>
    <w:rsid w:val="20020491"/>
    <w:rsid w:val="203C7C11"/>
    <w:rsid w:val="20421AEB"/>
    <w:rsid w:val="20471AED"/>
    <w:rsid w:val="20487E48"/>
    <w:rsid w:val="20666EBF"/>
    <w:rsid w:val="206F239E"/>
    <w:rsid w:val="2086258B"/>
    <w:rsid w:val="20A45C99"/>
    <w:rsid w:val="20AD18F5"/>
    <w:rsid w:val="20B77D0F"/>
    <w:rsid w:val="20BB288C"/>
    <w:rsid w:val="20D06EB4"/>
    <w:rsid w:val="20E40557"/>
    <w:rsid w:val="20EF04D3"/>
    <w:rsid w:val="210C69CF"/>
    <w:rsid w:val="21107C1A"/>
    <w:rsid w:val="213018E1"/>
    <w:rsid w:val="21392BC1"/>
    <w:rsid w:val="21431802"/>
    <w:rsid w:val="21463D2C"/>
    <w:rsid w:val="2151198F"/>
    <w:rsid w:val="2172070D"/>
    <w:rsid w:val="217B2C80"/>
    <w:rsid w:val="217D2EA2"/>
    <w:rsid w:val="21851E83"/>
    <w:rsid w:val="21861507"/>
    <w:rsid w:val="219020E3"/>
    <w:rsid w:val="21916EE8"/>
    <w:rsid w:val="219A308D"/>
    <w:rsid w:val="219F5834"/>
    <w:rsid w:val="21A35D48"/>
    <w:rsid w:val="21B143D5"/>
    <w:rsid w:val="21C12688"/>
    <w:rsid w:val="21CC4855"/>
    <w:rsid w:val="21E233A3"/>
    <w:rsid w:val="21E23F6C"/>
    <w:rsid w:val="21E345FD"/>
    <w:rsid w:val="22171E1E"/>
    <w:rsid w:val="22383B4D"/>
    <w:rsid w:val="22466CD3"/>
    <w:rsid w:val="225D1D49"/>
    <w:rsid w:val="225D33C8"/>
    <w:rsid w:val="226239FE"/>
    <w:rsid w:val="22626562"/>
    <w:rsid w:val="226A76AE"/>
    <w:rsid w:val="22733EB6"/>
    <w:rsid w:val="22906578"/>
    <w:rsid w:val="22973E77"/>
    <w:rsid w:val="22AB58F3"/>
    <w:rsid w:val="22C13FD4"/>
    <w:rsid w:val="22C24771"/>
    <w:rsid w:val="22CB0895"/>
    <w:rsid w:val="231527D7"/>
    <w:rsid w:val="23185AD8"/>
    <w:rsid w:val="23336451"/>
    <w:rsid w:val="23474320"/>
    <w:rsid w:val="23492735"/>
    <w:rsid w:val="235B5F37"/>
    <w:rsid w:val="235C3EA6"/>
    <w:rsid w:val="23604810"/>
    <w:rsid w:val="237A7609"/>
    <w:rsid w:val="23BE4330"/>
    <w:rsid w:val="23BF0A62"/>
    <w:rsid w:val="23C263BB"/>
    <w:rsid w:val="23D04F68"/>
    <w:rsid w:val="23D50A64"/>
    <w:rsid w:val="23FC0268"/>
    <w:rsid w:val="240B4621"/>
    <w:rsid w:val="241061D3"/>
    <w:rsid w:val="24114322"/>
    <w:rsid w:val="24122F3C"/>
    <w:rsid w:val="24181A61"/>
    <w:rsid w:val="241A4D23"/>
    <w:rsid w:val="244328F6"/>
    <w:rsid w:val="245032E9"/>
    <w:rsid w:val="24536196"/>
    <w:rsid w:val="24626203"/>
    <w:rsid w:val="247573F6"/>
    <w:rsid w:val="247A4BE7"/>
    <w:rsid w:val="24806762"/>
    <w:rsid w:val="24814D5C"/>
    <w:rsid w:val="24831C33"/>
    <w:rsid w:val="248601CB"/>
    <w:rsid w:val="24917BA8"/>
    <w:rsid w:val="24981483"/>
    <w:rsid w:val="249B0370"/>
    <w:rsid w:val="24A24AC6"/>
    <w:rsid w:val="24B93055"/>
    <w:rsid w:val="24C252E5"/>
    <w:rsid w:val="24C93BB5"/>
    <w:rsid w:val="24D02E03"/>
    <w:rsid w:val="24F86BC7"/>
    <w:rsid w:val="250F44FD"/>
    <w:rsid w:val="2514288A"/>
    <w:rsid w:val="256609A5"/>
    <w:rsid w:val="25781237"/>
    <w:rsid w:val="257A6914"/>
    <w:rsid w:val="2588530F"/>
    <w:rsid w:val="25963C8A"/>
    <w:rsid w:val="25AB3731"/>
    <w:rsid w:val="25B464A2"/>
    <w:rsid w:val="25BA0209"/>
    <w:rsid w:val="25BB4BF0"/>
    <w:rsid w:val="25E62DA9"/>
    <w:rsid w:val="25F465E7"/>
    <w:rsid w:val="25F6641C"/>
    <w:rsid w:val="25F74FA1"/>
    <w:rsid w:val="25FC3091"/>
    <w:rsid w:val="25FD11FA"/>
    <w:rsid w:val="25FF3210"/>
    <w:rsid w:val="2611098A"/>
    <w:rsid w:val="264221C6"/>
    <w:rsid w:val="265D3370"/>
    <w:rsid w:val="26666555"/>
    <w:rsid w:val="268B7C99"/>
    <w:rsid w:val="268C4A4A"/>
    <w:rsid w:val="269A7501"/>
    <w:rsid w:val="26A3584F"/>
    <w:rsid w:val="26A66B0A"/>
    <w:rsid w:val="26A73989"/>
    <w:rsid w:val="26A86D42"/>
    <w:rsid w:val="26C30557"/>
    <w:rsid w:val="26CB2EBC"/>
    <w:rsid w:val="26CB4B73"/>
    <w:rsid w:val="26E34A7B"/>
    <w:rsid w:val="26E9756C"/>
    <w:rsid w:val="26FA4570"/>
    <w:rsid w:val="271011C1"/>
    <w:rsid w:val="27217FF0"/>
    <w:rsid w:val="27242893"/>
    <w:rsid w:val="273612F4"/>
    <w:rsid w:val="27445146"/>
    <w:rsid w:val="277602F5"/>
    <w:rsid w:val="278038CA"/>
    <w:rsid w:val="27C33BB0"/>
    <w:rsid w:val="27C55F98"/>
    <w:rsid w:val="27CC0CD0"/>
    <w:rsid w:val="27D071BC"/>
    <w:rsid w:val="27D4538F"/>
    <w:rsid w:val="27DE15AE"/>
    <w:rsid w:val="27E03A2F"/>
    <w:rsid w:val="280D297A"/>
    <w:rsid w:val="28276A98"/>
    <w:rsid w:val="285710C8"/>
    <w:rsid w:val="285C4BAF"/>
    <w:rsid w:val="285D0F42"/>
    <w:rsid w:val="28703320"/>
    <w:rsid w:val="289539A5"/>
    <w:rsid w:val="289F019A"/>
    <w:rsid w:val="28CC6ED5"/>
    <w:rsid w:val="28F010D9"/>
    <w:rsid w:val="28F05C88"/>
    <w:rsid w:val="29082E70"/>
    <w:rsid w:val="291343EF"/>
    <w:rsid w:val="29166F16"/>
    <w:rsid w:val="294D5371"/>
    <w:rsid w:val="295A5964"/>
    <w:rsid w:val="29626133"/>
    <w:rsid w:val="29702C6A"/>
    <w:rsid w:val="298756CC"/>
    <w:rsid w:val="29A81FA5"/>
    <w:rsid w:val="29AB297C"/>
    <w:rsid w:val="29C535D7"/>
    <w:rsid w:val="29C65905"/>
    <w:rsid w:val="29DA5777"/>
    <w:rsid w:val="29DF2425"/>
    <w:rsid w:val="2A0E6FDD"/>
    <w:rsid w:val="2A142C99"/>
    <w:rsid w:val="2A1E4871"/>
    <w:rsid w:val="2A214539"/>
    <w:rsid w:val="2A367BB2"/>
    <w:rsid w:val="2A3D54FD"/>
    <w:rsid w:val="2A410FE5"/>
    <w:rsid w:val="2A4173A1"/>
    <w:rsid w:val="2A596631"/>
    <w:rsid w:val="2A5A05BF"/>
    <w:rsid w:val="2A5F2983"/>
    <w:rsid w:val="2A601F6F"/>
    <w:rsid w:val="2A7A07C0"/>
    <w:rsid w:val="2AB17620"/>
    <w:rsid w:val="2AB30FEA"/>
    <w:rsid w:val="2AB657B1"/>
    <w:rsid w:val="2AE07913"/>
    <w:rsid w:val="2AEA3FC0"/>
    <w:rsid w:val="2AEA4AC4"/>
    <w:rsid w:val="2B0E64B5"/>
    <w:rsid w:val="2B166BF6"/>
    <w:rsid w:val="2B2B0DE1"/>
    <w:rsid w:val="2B3E1E16"/>
    <w:rsid w:val="2B5D0E3B"/>
    <w:rsid w:val="2B5E2134"/>
    <w:rsid w:val="2B6F3EEE"/>
    <w:rsid w:val="2B70774D"/>
    <w:rsid w:val="2B7D446F"/>
    <w:rsid w:val="2B8D4A3E"/>
    <w:rsid w:val="2BCC1BD6"/>
    <w:rsid w:val="2BDF0CFB"/>
    <w:rsid w:val="2BE234F2"/>
    <w:rsid w:val="2BE33AA6"/>
    <w:rsid w:val="2BE40B44"/>
    <w:rsid w:val="2BEF68A7"/>
    <w:rsid w:val="2BF22DBE"/>
    <w:rsid w:val="2BF73785"/>
    <w:rsid w:val="2C0F30B3"/>
    <w:rsid w:val="2C1235EB"/>
    <w:rsid w:val="2C162BEC"/>
    <w:rsid w:val="2C2F0BC4"/>
    <w:rsid w:val="2C391765"/>
    <w:rsid w:val="2C3D18DD"/>
    <w:rsid w:val="2C3D5EB9"/>
    <w:rsid w:val="2C416A03"/>
    <w:rsid w:val="2C4C0F0A"/>
    <w:rsid w:val="2C5254C3"/>
    <w:rsid w:val="2C532EF2"/>
    <w:rsid w:val="2C5C500F"/>
    <w:rsid w:val="2C6E3526"/>
    <w:rsid w:val="2C6F1E54"/>
    <w:rsid w:val="2C993631"/>
    <w:rsid w:val="2C9B7E11"/>
    <w:rsid w:val="2CAF1058"/>
    <w:rsid w:val="2CB32C99"/>
    <w:rsid w:val="2CBC36F5"/>
    <w:rsid w:val="2CC907F0"/>
    <w:rsid w:val="2CCC5126"/>
    <w:rsid w:val="2CF756B7"/>
    <w:rsid w:val="2CF9252D"/>
    <w:rsid w:val="2CF97782"/>
    <w:rsid w:val="2D107154"/>
    <w:rsid w:val="2D143281"/>
    <w:rsid w:val="2D1C79F8"/>
    <w:rsid w:val="2D324177"/>
    <w:rsid w:val="2D5A7835"/>
    <w:rsid w:val="2D6578A0"/>
    <w:rsid w:val="2D7343C9"/>
    <w:rsid w:val="2DE44256"/>
    <w:rsid w:val="2DE557EB"/>
    <w:rsid w:val="2E0E6D42"/>
    <w:rsid w:val="2E0F4249"/>
    <w:rsid w:val="2E2F0A58"/>
    <w:rsid w:val="2E447583"/>
    <w:rsid w:val="2E4B4467"/>
    <w:rsid w:val="2E5520B9"/>
    <w:rsid w:val="2E63548C"/>
    <w:rsid w:val="2E640C1C"/>
    <w:rsid w:val="2E6B523D"/>
    <w:rsid w:val="2E7A08F9"/>
    <w:rsid w:val="2E7B33BD"/>
    <w:rsid w:val="2E836803"/>
    <w:rsid w:val="2E96363C"/>
    <w:rsid w:val="2EB86707"/>
    <w:rsid w:val="2EC92184"/>
    <w:rsid w:val="2ECD27F6"/>
    <w:rsid w:val="2F0E1C14"/>
    <w:rsid w:val="2F366FC1"/>
    <w:rsid w:val="2F5034C7"/>
    <w:rsid w:val="2F866106"/>
    <w:rsid w:val="2FA3249D"/>
    <w:rsid w:val="2FC05B92"/>
    <w:rsid w:val="2FDE3BE4"/>
    <w:rsid w:val="2FEC1413"/>
    <w:rsid w:val="2FEF5C51"/>
    <w:rsid w:val="301F1E0F"/>
    <w:rsid w:val="302E6295"/>
    <w:rsid w:val="303329F0"/>
    <w:rsid w:val="303818E5"/>
    <w:rsid w:val="303F1851"/>
    <w:rsid w:val="303F79AD"/>
    <w:rsid w:val="30492212"/>
    <w:rsid w:val="304C3A2B"/>
    <w:rsid w:val="30596318"/>
    <w:rsid w:val="306F339C"/>
    <w:rsid w:val="30762710"/>
    <w:rsid w:val="30814CF1"/>
    <w:rsid w:val="308E4163"/>
    <w:rsid w:val="30C20BA4"/>
    <w:rsid w:val="30C478ED"/>
    <w:rsid w:val="30EC01FB"/>
    <w:rsid w:val="30F54D00"/>
    <w:rsid w:val="31026564"/>
    <w:rsid w:val="310A5122"/>
    <w:rsid w:val="312107CD"/>
    <w:rsid w:val="31210CA8"/>
    <w:rsid w:val="31215285"/>
    <w:rsid w:val="312D0344"/>
    <w:rsid w:val="31346C1B"/>
    <w:rsid w:val="314A407E"/>
    <w:rsid w:val="317038BB"/>
    <w:rsid w:val="317958D0"/>
    <w:rsid w:val="318D218C"/>
    <w:rsid w:val="31964319"/>
    <w:rsid w:val="319A32FE"/>
    <w:rsid w:val="31A53AB7"/>
    <w:rsid w:val="31A801F9"/>
    <w:rsid w:val="31C57FB2"/>
    <w:rsid w:val="31C932E2"/>
    <w:rsid w:val="31F61F62"/>
    <w:rsid w:val="320358D0"/>
    <w:rsid w:val="32052FE4"/>
    <w:rsid w:val="320B77FD"/>
    <w:rsid w:val="321976B1"/>
    <w:rsid w:val="321D6876"/>
    <w:rsid w:val="3220390C"/>
    <w:rsid w:val="322B51BC"/>
    <w:rsid w:val="322F26BF"/>
    <w:rsid w:val="32313F22"/>
    <w:rsid w:val="32643522"/>
    <w:rsid w:val="326470BA"/>
    <w:rsid w:val="32744A8B"/>
    <w:rsid w:val="32753DA5"/>
    <w:rsid w:val="32886DB3"/>
    <w:rsid w:val="32895C45"/>
    <w:rsid w:val="32A43D99"/>
    <w:rsid w:val="32B141E0"/>
    <w:rsid w:val="32B44D2D"/>
    <w:rsid w:val="32C90A49"/>
    <w:rsid w:val="32FA2D7F"/>
    <w:rsid w:val="32FC6C4E"/>
    <w:rsid w:val="33085CC5"/>
    <w:rsid w:val="33262CBA"/>
    <w:rsid w:val="332B323C"/>
    <w:rsid w:val="332E3189"/>
    <w:rsid w:val="335B62EC"/>
    <w:rsid w:val="335E79BA"/>
    <w:rsid w:val="3360061D"/>
    <w:rsid w:val="336549AB"/>
    <w:rsid w:val="33782709"/>
    <w:rsid w:val="3392025F"/>
    <w:rsid w:val="33A8285D"/>
    <w:rsid w:val="33AC1E29"/>
    <w:rsid w:val="33B17041"/>
    <w:rsid w:val="33B202F3"/>
    <w:rsid w:val="33B20F64"/>
    <w:rsid w:val="33EE53FA"/>
    <w:rsid w:val="33FD7485"/>
    <w:rsid w:val="34012F1B"/>
    <w:rsid w:val="34467089"/>
    <w:rsid w:val="34523AB5"/>
    <w:rsid w:val="346B4B47"/>
    <w:rsid w:val="346E4F77"/>
    <w:rsid w:val="34762AAC"/>
    <w:rsid w:val="348402A8"/>
    <w:rsid w:val="34B510BB"/>
    <w:rsid w:val="34BB2714"/>
    <w:rsid w:val="34C25EF7"/>
    <w:rsid w:val="34D20F28"/>
    <w:rsid w:val="34E22DC0"/>
    <w:rsid w:val="350233D4"/>
    <w:rsid w:val="35195F01"/>
    <w:rsid w:val="35313A72"/>
    <w:rsid w:val="35493C91"/>
    <w:rsid w:val="355C0228"/>
    <w:rsid w:val="357800DF"/>
    <w:rsid w:val="358527FB"/>
    <w:rsid w:val="358B5BCF"/>
    <w:rsid w:val="359A77E8"/>
    <w:rsid w:val="35A1790B"/>
    <w:rsid w:val="35A45B99"/>
    <w:rsid w:val="35B01090"/>
    <w:rsid w:val="35DD2073"/>
    <w:rsid w:val="35DF75FB"/>
    <w:rsid w:val="35EB21A5"/>
    <w:rsid w:val="35F52D00"/>
    <w:rsid w:val="35FF153A"/>
    <w:rsid w:val="3606622C"/>
    <w:rsid w:val="36077316"/>
    <w:rsid w:val="3613278E"/>
    <w:rsid w:val="36356D4F"/>
    <w:rsid w:val="36405687"/>
    <w:rsid w:val="36414112"/>
    <w:rsid w:val="365F3D60"/>
    <w:rsid w:val="36645530"/>
    <w:rsid w:val="367851C1"/>
    <w:rsid w:val="369510BC"/>
    <w:rsid w:val="36973632"/>
    <w:rsid w:val="36A30194"/>
    <w:rsid w:val="36D21A02"/>
    <w:rsid w:val="37104DEB"/>
    <w:rsid w:val="372D0977"/>
    <w:rsid w:val="37337382"/>
    <w:rsid w:val="374D5647"/>
    <w:rsid w:val="374F42A7"/>
    <w:rsid w:val="37506DBE"/>
    <w:rsid w:val="3759338C"/>
    <w:rsid w:val="37654002"/>
    <w:rsid w:val="378E3E66"/>
    <w:rsid w:val="37C244FC"/>
    <w:rsid w:val="37D95C79"/>
    <w:rsid w:val="37E81F7B"/>
    <w:rsid w:val="38026A1B"/>
    <w:rsid w:val="38197832"/>
    <w:rsid w:val="383903C6"/>
    <w:rsid w:val="383C423B"/>
    <w:rsid w:val="38415136"/>
    <w:rsid w:val="386C1D38"/>
    <w:rsid w:val="387A25A5"/>
    <w:rsid w:val="38963295"/>
    <w:rsid w:val="389D2F53"/>
    <w:rsid w:val="38A945B7"/>
    <w:rsid w:val="38CC2A09"/>
    <w:rsid w:val="38D677A2"/>
    <w:rsid w:val="38D770AE"/>
    <w:rsid w:val="38F70050"/>
    <w:rsid w:val="38FC33FC"/>
    <w:rsid w:val="38FD0E84"/>
    <w:rsid w:val="38FF1B5B"/>
    <w:rsid w:val="390273B1"/>
    <w:rsid w:val="39153767"/>
    <w:rsid w:val="39225CA9"/>
    <w:rsid w:val="3923070B"/>
    <w:rsid w:val="392C49BB"/>
    <w:rsid w:val="39381E2B"/>
    <w:rsid w:val="3942282F"/>
    <w:rsid w:val="3953338B"/>
    <w:rsid w:val="396B7002"/>
    <w:rsid w:val="396C2A15"/>
    <w:rsid w:val="39AC01F9"/>
    <w:rsid w:val="39B73BAC"/>
    <w:rsid w:val="39B7517F"/>
    <w:rsid w:val="39BA3B51"/>
    <w:rsid w:val="39C20795"/>
    <w:rsid w:val="39E90E2B"/>
    <w:rsid w:val="39E94D86"/>
    <w:rsid w:val="39F1638E"/>
    <w:rsid w:val="3A001C79"/>
    <w:rsid w:val="3A1513BA"/>
    <w:rsid w:val="3A2E618D"/>
    <w:rsid w:val="3A4109A1"/>
    <w:rsid w:val="3A742C8C"/>
    <w:rsid w:val="3A7B2702"/>
    <w:rsid w:val="3A896EEE"/>
    <w:rsid w:val="3AAA2893"/>
    <w:rsid w:val="3ABB15C7"/>
    <w:rsid w:val="3AD8279E"/>
    <w:rsid w:val="3AE73EDB"/>
    <w:rsid w:val="3B08641D"/>
    <w:rsid w:val="3B1C7A19"/>
    <w:rsid w:val="3B2B5582"/>
    <w:rsid w:val="3B4234D4"/>
    <w:rsid w:val="3B7622BA"/>
    <w:rsid w:val="3B7C1C88"/>
    <w:rsid w:val="3B8107C8"/>
    <w:rsid w:val="3B8972AA"/>
    <w:rsid w:val="3BA219B8"/>
    <w:rsid w:val="3BA96003"/>
    <w:rsid w:val="3BC61A51"/>
    <w:rsid w:val="3BE14893"/>
    <w:rsid w:val="3BE8265C"/>
    <w:rsid w:val="3BE92A35"/>
    <w:rsid w:val="3BEB460F"/>
    <w:rsid w:val="3BEF1DA2"/>
    <w:rsid w:val="3BF64635"/>
    <w:rsid w:val="3BF956C3"/>
    <w:rsid w:val="3C0E5CDB"/>
    <w:rsid w:val="3C4D3B02"/>
    <w:rsid w:val="3C5B1D89"/>
    <w:rsid w:val="3C85498F"/>
    <w:rsid w:val="3C8946A5"/>
    <w:rsid w:val="3CA372A1"/>
    <w:rsid w:val="3CA600E0"/>
    <w:rsid w:val="3CB765A9"/>
    <w:rsid w:val="3CBA4326"/>
    <w:rsid w:val="3CBC0BE3"/>
    <w:rsid w:val="3CC614DA"/>
    <w:rsid w:val="3CD01DA9"/>
    <w:rsid w:val="3CDA38F5"/>
    <w:rsid w:val="3CDD517D"/>
    <w:rsid w:val="3CE33FC3"/>
    <w:rsid w:val="3CEA3B31"/>
    <w:rsid w:val="3CF9401E"/>
    <w:rsid w:val="3CFC6325"/>
    <w:rsid w:val="3D093C71"/>
    <w:rsid w:val="3D1A22C0"/>
    <w:rsid w:val="3D294B1B"/>
    <w:rsid w:val="3D2B034D"/>
    <w:rsid w:val="3D5A60CA"/>
    <w:rsid w:val="3D9F4364"/>
    <w:rsid w:val="3DA702BF"/>
    <w:rsid w:val="3DB92106"/>
    <w:rsid w:val="3DCF457D"/>
    <w:rsid w:val="3DF169A7"/>
    <w:rsid w:val="3DF2399F"/>
    <w:rsid w:val="3DF40FE4"/>
    <w:rsid w:val="3E0519AD"/>
    <w:rsid w:val="3E4A1D40"/>
    <w:rsid w:val="3E4C287B"/>
    <w:rsid w:val="3E633FD2"/>
    <w:rsid w:val="3E6F32D2"/>
    <w:rsid w:val="3E742C66"/>
    <w:rsid w:val="3E7E19E7"/>
    <w:rsid w:val="3E8572BF"/>
    <w:rsid w:val="3E917B82"/>
    <w:rsid w:val="3E9656A5"/>
    <w:rsid w:val="3E997463"/>
    <w:rsid w:val="3E9F7600"/>
    <w:rsid w:val="3ECD5479"/>
    <w:rsid w:val="3ED62B90"/>
    <w:rsid w:val="3EE34DD3"/>
    <w:rsid w:val="3EF434CC"/>
    <w:rsid w:val="3EFB6FF7"/>
    <w:rsid w:val="3EFF0A75"/>
    <w:rsid w:val="3F1054CE"/>
    <w:rsid w:val="3F2534F3"/>
    <w:rsid w:val="3F3A1B65"/>
    <w:rsid w:val="3F3A5EB9"/>
    <w:rsid w:val="3F522210"/>
    <w:rsid w:val="3F544AF6"/>
    <w:rsid w:val="3F5C361D"/>
    <w:rsid w:val="3F5E64F5"/>
    <w:rsid w:val="3F656E2C"/>
    <w:rsid w:val="3F6D5029"/>
    <w:rsid w:val="3F92376D"/>
    <w:rsid w:val="3F9C1CD6"/>
    <w:rsid w:val="3FB035B9"/>
    <w:rsid w:val="3FC45A80"/>
    <w:rsid w:val="3FDE13B9"/>
    <w:rsid w:val="3FE029F1"/>
    <w:rsid w:val="3FE457AE"/>
    <w:rsid w:val="3FE57701"/>
    <w:rsid w:val="400C4E03"/>
    <w:rsid w:val="40126EBB"/>
    <w:rsid w:val="401A4D54"/>
    <w:rsid w:val="40262C07"/>
    <w:rsid w:val="404209E3"/>
    <w:rsid w:val="40451C67"/>
    <w:rsid w:val="404A1B2B"/>
    <w:rsid w:val="404A601E"/>
    <w:rsid w:val="404C52F4"/>
    <w:rsid w:val="405C0FC1"/>
    <w:rsid w:val="40733CBA"/>
    <w:rsid w:val="407A4DF7"/>
    <w:rsid w:val="40B16CC2"/>
    <w:rsid w:val="40B81BAD"/>
    <w:rsid w:val="40BB2365"/>
    <w:rsid w:val="40D23962"/>
    <w:rsid w:val="40D61BC8"/>
    <w:rsid w:val="40DC4F1D"/>
    <w:rsid w:val="40DF2097"/>
    <w:rsid w:val="40E71ABD"/>
    <w:rsid w:val="413C11C7"/>
    <w:rsid w:val="41447F0E"/>
    <w:rsid w:val="414733E0"/>
    <w:rsid w:val="41566753"/>
    <w:rsid w:val="416A21FA"/>
    <w:rsid w:val="416B09D7"/>
    <w:rsid w:val="417D1E08"/>
    <w:rsid w:val="417D5552"/>
    <w:rsid w:val="4188208C"/>
    <w:rsid w:val="419B51EE"/>
    <w:rsid w:val="41B11897"/>
    <w:rsid w:val="41C57D35"/>
    <w:rsid w:val="41F34606"/>
    <w:rsid w:val="4200399D"/>
    <w:rsid w:val="420E20BD"/>
    <w:rsid w:val="421647B9"/>
    <w:rsid w:val="42263E3B"/>
    <w:rsid w:val="422C70F1"/>
    <w:rsid w:val="423C6CFA"/>
    <w:rsid w:val="42442693"/>
    <w:rsid w:val="426D06CD"/>
    <w:rsid w:val="428D1B97"/>
    <w:rsid w:val="42B608A5"/>
    <w:rsid w:val="42BC6C8F"/>
    <w:rsid w:val="42C5446D"/>
    <w:rsid w:val="42E94337"/>
    <w:rsid w:val="43031943"/>
    <w:rsid w:val="431327F1"/>
    <w:rsid w:val="43182DB2"/>
    <w:rsid w:val="4368794F"/>
    <w:rsid w:val="436D0FB5"/>
    <w:rsid w:val="437518D1"/>
    <w:rsid w:val="438D1E49"/>
    <w:rsid w:val="43B23B98"/>
    <w:rsid w:val="43C80076"/>
    <w:rsid w:val="43D8550E"/>
    <w:rsid w:val="43DC0C7D"/>
    <w:rsid w:val="43EA69D8"/>
    <w:rsid w:val="44356D2F"/>
    <w:rsid w:val="44390E25"/>
    <w:rsid w:val="44433468"/>
    <w:rsid w:val="44437F9F"/>
    <w:rsid w:val="444F5C68"/>
    <w:rsid w:val="44613E6E"/>
    <w:rsid w:val="446A5324"/>
    <w:rsid w:val="447E7804"/>
    <w:rsid w:val="44943661"/>
    <w:rsid w:val="44A05C5C"/>
    <w:rsid w:val="44AC7417"/>
    <w:rsid w:val="44B16853"/>
    <w:rsid w:val="450D5FAD"/>
    <w:rsid w:val="45172F07"/>
    <w:rsid w:val="451D5184"/>
    <w:rsid w:val="452F3716"/>
    <w:rsid w:val="453C65FD"/>
    <w:rsid w:val="454B256E"/>
    <w:rsid w:val="455D76E4"/>
    <w:rsid w:val="45646F33"/>
    <w:rsid w:val="45671007"/>
    <w:rsid w:val="456C331B"/>
    <w:rsid w:val="45A26739"/>
    <w:rsid w:val="45B07140"/>
    <w:rsid w:val="45C43431"/>
    <w:rsid w:val="45EE3358"/>
    <w:rsid w:val="46066722"/>
    <w:rsid w:val="461976C3"/>
    <w:rsid w:val="461C0664"/>
    <w:rsid w:val="463D42BA"/>
    <w:rsid w:val="46521A41"/>
    <w:rsid w:val="465D50F1"/>
    <w:rsid w:val="46771C91"/>
    <w:rsid w:val="467F06A4"/>
    <w:rsid w:val="4694259D"/>
    <w:rsid w:val="46A64B43"/>
    <w:rsid w:val="46AA5A85"/>
    <w:rsid w:val="46AC6264"/>
    <w:rsid w:val="46C01696"/>
    <w:rsid w:val="46C52BE0"/>
    <w:rsid w:val="46D118AB"/>
    <w:rsid w:val="46F30AEE"/>
    <w:rsid w:val="47123940"/>
    <w:rsid w:val="47204C1C"/>
    <w:rsid w:val="4726595C"/>
    <w:rsid w:val="47600773"/>
    <w:rsid w:val="47661F26"/>
    <w:rsid w:val="476E25F3"/>
    <w:rsid w:val="47783B12"/>
    <w:rsid w:val="477D5156"/>
    <w:rsid w:val="477F2265"/>
    <w:rsid w:val="47890AD6"/>
    <w:rsid w:val="478D2FF6"/>
    <w:rsid w:val="478F6037"/>
    <w:rsid w:val="4798720D"/>
    <w:rsid w:val="47BF7C9C"/>
    <w:rsid w:val="47C2246C"/>
    <w:rsid w:val="47CA5F05"/>
    <w:rsid w:val="47DA1720"/>
    <w:rsid w:val="47E11737"/>
    <w:rsid w:val="47E77D53"/>
    <w:rsid w:val="47EE48C0"/>
    <w:rsid w:val="47F35E3E"/>
    <w:rsid w:val="47FB766F"/>
    <w:rsid w:val="48064E6E"/>
    <w:rsid w:val="4808575C"/>
    <w:rsid w:val="480B439D"/>
    <w:rsid w:val="482F10F4"/>
    <w:rsid w:val="48606A0B"/>
    <w:rsid w:val="486D78BB"/>
    <w:rsid w:val="48915636"/>
    <w:rsid w:val="48985F31"/>
    <w:rsid w:val="48AC6E35"/>
    <w:rsid w:val="48BD43A0"/>
    <w:rsid w:val="48C96968"/>
    <w:rsid w:val="48F84416"/>
    <w:rsid w:val="490874C4"/>
    <w:rsid w:val="491A6A98"/>
    <w:rsid w:val="491D4AAF"/>
    <w:rsid w:val="4926292B"/>
    <w:rsid w:val="49371235"/>
    <w:rsid w:val="494324F6"/>
    <w:rsid w:val="49455D20"/>
    <w:rsid w:val="497B341F"/>
    <w:rsid w:val="49B415EE"/>
    <w:rsid w:val="49B63FD6"/>
    <w:rsid w:val="49BF4D00"/>
    <w:rsid w:val="49D1562B"/>
    <w:rsid w:val="49DE1EF5"/>
    <w:rsid w:val="49E579C4"/>
    <w:rsid w:val="49EA2381"/>
    <w:rsid w:val="49F43753"/>
    <w:rsid w:val="49F54A10"/>
    <w:rsid w:val="49F94CE9"/>
    <w:rsid w:val="49FE0E45"/>
    <w:rsid w:val="4A040938"/>
    <w:rsid w:val="4A11169A"/>
    <w:rsid w:val="4A212635"/>
    <w:rsid w:val="4A2175B6"/>
    <w:rsid w:val="4A4260CB"/>
    <w:rsid w:val="4A611E1A"/>
    <w:rsid w:val="4A7055A6"/>
    <w:rsid w:val="4A9C47ED"/>
    <w:rsid w:val="4AA71D5E"/>
    <w:rsid w:val="4AAA6CA9"/>
    <w:rsid w:val="4AE008D2"/>
    <w:rsid w:val="4B0B3617"/>
    <w:rsid w:val="4B2815DF"/>
    <w:rsid w:val="4B473F5E"/>
    <w:rsid w:val="4B49191E"/>
    <w:rsid w:val="4B507FB2"/>
    <w:rsid w:val="4B647620"/>
    <w:rsid w:val="4B695935"/>
    <w:rsid w:val="4B7A55E6"/>
    <w:rsid w:val="4B82653E"/>
    <w:rsid w:val="4B894031"/>
    <w:rsid w:val="4B8C1A83"/>
    <w:rsid w:val="4B946154"/>
    <w:rsid w:val="4BB12731"/>
    <w:rsid w:val="4BE10A59"/>
    <w:rsid w:val="4BE123D1"/>
    <w:rsid w:val="4C0A534C"/>
    <w:rsid w:val="4C0F01F9"/>
    <w:rsid w:val="4C270B31"/>
    <w:rsid w:val="4C3202E6"/>
    <w:rsid w:val="4C6370A1"/>
    <w:rsid w:val="4C736886"/>
    <w:rsid w:val="4C7F7CEF"/>
    <w:rsid w:val="4C821AA7"/>
    <w:rsid w:val="4CA43125"/>
    <w:rsid w:val="4CAC2A11"/>
    <w:rsid w:val="4CB01CB9"/>
    <w:rsid w:val="4CCD33EA"/>
    <w:rsid w:val="4CCF426B"/>
    <w:rsid w:val="4CFE069C"/>
    <w:rsid w:val="4D033F9C"/>
    <w:rsid w:val="4D055E23"/>
    <w:rsid w:val="4D2433AC"/>
    <w:rsid w:val="4D4A4A28"/>
    <w:rsid w:val="4D5D7D7F"/>
    <w:rsid w:val="4D625C01"/>
    <w:rsid w:val="4D8F350E"/>
    <w:rsid w:val="4D924E46"/>
    <w:rsid w:val="4D9877E4"/>
    <w:rsid w:val="4DBD22E7"/>
    <w:rsid w:val="4DC73507"/>
    <w:rsid w:val="4DDA6A5F"/>
    <w:rsid w:val="4DDB7205"/>
    <w:rsid w:val="4DDF772B"/>
    <w:rsid w:val="4DEB15AD"/>
    <w:rsid w:val="4DF87443"/>
    <w:rsid w:val="4E370600"/>
    <w:rsid w:val="4E435024"/>
    <w:rsid w:val="4E4E7E80"/>
    <w:rsid w:val="4E534A5B"/>
    <w:rsid w:val="4E5C5562"/>
    <w:rsid w:val="4E5F69A8"/>
    <w:rsid w:val="4E655726"/>
    <w:rsid w:val="4E754A02"/>
    <w:rsid w:val="4E95725E"/>
    <w:rsid w:val="4E9A6CF9"/>
    <w:rsid w:val="4EA65FD0"/>
    <w:rsid w:val="4ED33DCB"/>
    <w:rsid w:val="4EE34782"/>
    <w:rsid w:val="4EE63F4F"/>
    <w:rsid w:val="4F007E65"/>
    <w:rsid w:val="4F0A1AF8"/>
    <w:rsid w:val="4F203D73"/>
    <w:rsid w:val="4F27252E"/>
    <w:rsid w:val="4F323E26"/>
    <w:rsid w:val="4F3913E8"/>
    <w:rsid w:val="4F501419"/>
    <w:rsid w:val="4F594DAC"/>
    <w:rsid w:val="4F6C3F07"/>
    <w:rsid w:val="4F830574"/>
    <w:rsid w:val="4F8D5FB6"/>
    <w:rsid w:val="4F9753D7"/>
    <w:rsid w:val="4FA54804"/>
    <w:rsid w:val="4FBF34BA"/>
    <w:rsid w:val="4FCA2B98"/>
    <w:rsid w:val="4FCB218A"/>
    <w:rsid w:val="4FCE7BAE"/>
    <w:rsid w:val="4FFE4A87"/>
    <w:rsid w:val="500344EA"/>
    <w:rsid w:val="500B7B4C"/>
    <w:rsid w:val="503C3296"/>
    <w:rsid w:val="504B0F0D"/>
    <w:rsid w:val="50527689"/>
    <w:rsid w:val="506633AA"/>
    <w:rsid w:val="507237E3"/>
    <w:rsid w:val="50911DB8"/>
    <w:rsid w:val="50943033"/>
    <w:rsid w:val="509D389C"/>
    <w:rsid w:val="50A642FD"/>
    <w:rsid w:val="50AF647F"/>
    <w:rsid w:val="50BB317D"/>
    <w:rsid w:val="50D06E68"/>
    <w:rsid w:val="50D37C72"/>
    <w:rsid w:val="50E466DC"/>
    <w:rsid w:val="50EA1869"/>
    <w:rsid w:val="50FD00F4"/>
    <w:rsid w:val="50FF056E"/>
    <w:rsid w:val="510F2A7F"/>
    <w:rsid w:val="512746EF"/>
    <w:rsid w:val="51283E4C"/>
    <w:rsid w:val="51291D35"/>
    <w:rsid w:val="512B3A7F"/>
    <w:rsid w:val="51414399"/>
    <w:rsid w:val="515D5FD6"/>
    <w:rsid w:val="516A7012"/>
    <w:rsid w:val="51721A38"/>
    <w:rsid w:val="517D016D"/>
    <w:rsid w:val="51A45867"/>
    <w:rsid w:val="51AD7250"/>
    <w:rsid w:val="51CF1465"/>
    <w:rsid w:val="51D1247D"/>
    <w:rsid w:val="51EC4955"/>
    <w:rsid w:val="51F067B7"/>
    <w:rsid w:val="52077D46"/>
    <w:rsid w:val="52187D0D"/>
    <w:rsid w:val="52361B9C"/>
    <w:rsid w:val="52362A26"/>
    <w:rsid w:val="523B0BAD"/>
    <w:rsid w:val="524B7169"/>
    <w:rsid w:val="5250515D"/>
    <w:rsid w:val="526921DD"/>
    <w:rsid w:val="5297132B"/>
    <w:rsid w:val="529F28D8"/>
    <w:rsid w:val="529F6FBB"/>
    <w:rsid w:val="52C076EC"/>
    <w:rsid w:val="52C25708"/>
    <w:rsid w:val="52C315CC"/>
    <w:rsid w:val="52CD10CA"/>
    <w:rsid w:val="52EB6F11"/>
    <w:rsid w:val="52F0249E"/>
    <w:rsid w:val="5353575F"/>
    <w:rsid w:val="535B2E70"/>
    <w:rsid w:val="535C4E8B"/>
    <w:rsid w:val="536278AA"/>
    <w:rsid w:val="53673357"/>
    <w:rsid w:val="53676B5F"/>
    <w:rsid w:val="536E21FF"/>
    <w:rsid w:val="5385006E"/>
    <w:rsid w:val="538A4A6D"/>
    <w:rsid w:val="53B45677"/>
    <w:rsid w:val="53DD2466"/>
    <w:rsid w:val="53E34323"/>
    <w:rsid w:val="53FC3987"/>
    <w:rsid w:val="5427381E"/>
    <w:rsid w:val="543B788E"/>
    <w:rsid w:val="54447CBB"/>
    <w:rsid w:val="545062A7"/>
    <w:rsid w:val="545C3555"/>
    <w:rsid w:val="54617320"/>
    <w:rsid w:val="547A28DC"/>
    <w:rsid w:val="54827775"/>
    <w:rsid w:val="54AC5134"/>
    <w:rsid w:val="54DE6078"/>
    <w:rsid w:val="54E86EBD"/>
    <w:rsid w:val="54F2526E"/>
    <w:rsid w:val="55075D9B"/>
    <w:rsid w:val="55184BBF"/>
    <w:rsid w:val="551874CA"/>
    <w:rsid w:val="551E6A56"/>
    <w:rsid w:val="552006D3"/>
    <w:rsid w:val="55301CB3"/>
    <w:rsid w:val="55327054"/>
    <w:rsid w:val="553A26BA"/>
    <w:rsid w:val="5556054C"/>
    <w:rsid w:val="55862A42"/>
    <w:rsid w:val="55990578"/>
    <w:rsid w:val="55A56891"/>
    <w:rsid w:val="55AC66CB"/>
    <w:rsid w:val="55C33131"/>
    <w:rsid w:val="55CD7903"/>
    <w:rsid w:val="55E172A0"/>
    <w:rsid w:val="55E24605"/>
    <w:rsid w:val="55F81C60"/>
    <w:rsid w:val="55FA0F14"/>
    <w:rsid w:val="56097F90"/>
    <w:rsid w:val="56133E90"/>
    <w:rsid w:val="56474D43"/>
    <w:rsid w:val="564C1D1D"/>
    <w:rsid w:val="565F1E2E"/>
    <w:rsid w:val="56670F45"/>
    <w:rsid w:val="566F1BE2"/>
    <w:rsid w:val="567B004B"/>
    <w:rsid w:val="56825178"/>
    <w:rsid w:val="568F784B"/>
    <w:rsid w:val="569C0124"/>
    <w:rsid w:val="56A17AE8"/>
    <w:rsid w:val="56C9634D"/>
    <w:rsid w:val="56D41BE8"/>
    <w:rsid w:val="56EC7A5D"/>
    <w:rsid w:val="56F4599D"/>
    <w:rsid w:val="570D0322"/>
    <w:rsid w:val="57180ACE"/>
    <w:rsid w:val="571B61B6"/>
    <w:rsid w:val="57213E7D"/>
    <w:rsid w:val="5723561B"/>
    <w:rsid w:val="572362C9"/>
    <w:rsid w:val="572F37C6"/>
    <w:rsid w:val="5736629C"/>
    <w:rsid w:val="57540996"/>
    <w:rsid w:val="57802A35"/>
    <w:rsid w:val="578C3658"/>
    <w:rsid w:val="57B66918"/>
    <w:rsid w:val="57BD6FCE"/>
    <w:rsid w:val="57D214D2"/>
    <w:rsid w:val="57DA1A42"/>
    <w:rsid w:val="58002D08"/>
    <w:rsid w:val="58057728"/>
    <w:rsid w:val="581D1F94"/>
    <w:rsid w:val="582872BA"/>
    <w:rsid w:val="5829318A"/>
    <w:rsid w:val="582D7EE9"/>
    <w:rsid w:val="583343BB"/>
    <w:rsid w:val="583439B3"/>
    <w:rsid w:val="583B5787"/>
    <w:rsid w:val="586759C7"/>
    <w:rsid w:val="58C07CA9"/>
    <w:rsid w:val="58DE5A38"/>
    <w:rsid w:val="58FA7B16"/>
    <w:rsid w:val="58FB22A6"/>
    <w:rsid w:val="59003437"/>
    <w:rsid w:val="59182EE7"/>
    <w:rsid w:val="5921212C"/>
    <w:rsid w:val="59395687"/>
    <w:rsid w:val="596F472F"/>
    <w:rsid w:val="5974345D"/>
    <w:rsid w:val="597534AA"/>
    <w:rsid w:val="59951C91"/>
    <w:rsid w:val="59982867"/>
    <w:rsid w:val="59A11ED6"/>
    <w:rsid w:val="59AB0DFC"/>
    <w:rsid w:val="59C1557F"/>
    <w:rsid w:val="59C8615E"/>
    <w:rsid w:val="59E771C2"/>
    <w:rsid w:val="59E84659"/>
    <w:rsid w:val="59FF2575"/>
    <w:rsid w:val="5A344FB0"/>
    <w:rsid w:val="5A360707"/>
    <w:rsid w:val="5A482568"/>
    <w:rsid w:val="5A5755C9"/>
    <w:rsid w:val="5A5A13C0"/>
    <w:rsid w:val="5A772EA3"/>
    <w:rsid w:val="5A7D29E6"/>
    <w:rsid w:val="5A821401"/>
    <w:rsid w:val="5A8A2B4B"/>
    <w:rsid w:val="5A9F5080"/>
    <w:rsid w:val="5AAB6618"/>
    <w:rsid w:val="5AC52E1B"/>
    <w:rsid w:val="5AE91049"/>
    <w:rsid w:val="5AEF582B"/>
    <w:rsid w:val="5B0B5334"/>
    <w:rsid w:val="5B1B7ACD"/>
    <w:rsid w:val="5B247C71"/>
    <w:rsid w:val="5B2A406A"/>
    <w:rsid w:val="5B2B06FA"/>
    <w:rsid w:val="5B392BD6"/>
    <w:rsid w:val="5B561D67"/>
    <w:rsid w:val="5B774FD6"/>
    <w:rsid w:val="5B814790"/>
    <w:rsid w:val="5B82237F"/>
    <w:rsid w:val="5B824855"/>
    <w:rsid w:val="5B856A19"/>
    <w:rsid w:val="5B88245B"/>
    <w:rsid w:val="5B8A0D7A"/>
    <w:rsid w:val="5B8B0F7C"/>
    <w:rsid w:val="5B9E05AD"/>
    <w:rsid w:val="5BAD55B3"/>
    <w:rsid w:val="5BBB1AC4"/>
    <w:rsid w:val="5BE11C63"/>
    <w:rsid w:val="5BF24E07"/>
    <w:rsid w:val="5BFB55EA"/>
    <w:rsid w:val="5C15792E"/>
    <w:rsid w:val="5C1A5869"/>
    <w:rsid w:val="5C2404DB"/>
    <w:rsid w:val="5C290BF2"/>
    <w:rsid w:val="5C4E1E1E"/>
    <w:rsid w:val="5C4F343B"/>
    <w:rsid w:val="5C6A79EB"/>
    <w:rsid w:val="5C912690"/>
    <w:rsid w:val="5C970365"/>
    <w:rsid w:val="5C9F632F"/>
    <w:rsid w:val="5CCB04A2"/>
    <w:rsid w:val="5CCD7E04"/>
    <w:rsid w:val="5CD51F6A"/>
    <w:rsid w:val="5CD6026B"/>
    <w:rsid w:val="5CE319F6"/>
    <w:rsid w:val="5CE42846"/>
    <w:rsid w:val="5CE9406B"/>
    <w:rsid w:val="5D0656E1"/>
    <w:rsid w:val="5D566DF5"/>
    <w:rsid w:val="5D5736EC"/>
    <w:rsid w:val="5D592213"/>
    <w:rsid w:val="5D7067ED"/>
    <w:rsid w:val="5D77660D"/>
    <w:rsid w:val="5D7A7C97"/>
    <w:rsid w:val="5D8A240A"/>
    <w:rsid w:val="5D8A4019"/>
    <w:rsid w:val="5D9907FA"/>
    <w:rsid w:val="5DCD4FAD"/>
    <w:rsid w:val="5DD45E20"/>
    <w:rsid w:val="5DD77F01"/>
    <w:rsid w:val="5DF376B4"/>
    <w:rsid w:val="5DF974C4"/>
    <w:rsid w:val="5E150E16"/>
    <w:rsid w:val="5E156702"/>
    <w:rsid w:val="5E2C3CE8"/>
    <w:rsid w:val="5E480DBB"/>
    <w:rsid w:val="5E532C32"/>
    <w:rsid w:val="5E6B78B9"/>
    <w:rsid w:val="5E72530D"/>
    <w:rsid w:val="5E7B3471"/>
    <w:rsid w:val="5E811840"/>
    <w:rsid w:val="5EAC620C"/>
    <w:rsid w:val="5EB56E43"/>
    <w:rsid w:val="5EDB6E5E"/>
    <w:rsid w:val="5F050603"/>
    <w:rsid w:val="5F0F5BF5"/>
    <w:rsid w:val="5F1070E5"/>
    <w:rsid w:val="5F137093"/>
    <w:rsid w:val="5F475DFB"/>
    <w:rsid w:val="5F4A6912"/>
    <w:rsid w:val="5FA342D5"/>
    <w:rsid w:val="5FA40581"/>
    <w:rsid w:val="5FBF418B"/>
    <w:rsid w:val="5FC03F1C"/>
    <w:rsid w:val="5FC128D4"/>
    <w:rsid w:val="5FC577B3"/>
    <w:rsid w:val="5FFB751D"/>
    <w:rsid w:val="5FFC1DCE"/>
    <w:rsid w:val="602423C7"/>
    <w:rsid w:val="603F2394"/>
    <w:rsid w:val="604407B5"/>
    <w:rsid w:val="60487E62"/>
    <w:rsid w:val="605A5C34"/>
    <w:rsid w:val="60630B92"/>
    <w:rsid w:val="606E4C0D"/>
    <w:rsid w:val="60935B47"/>
    <w:rsid w:val="60C76F62"/>
    <w:rsid w:val="60CE1254"/>
    <w:rsid w:val="60D321CB"/>
    <w:rsid w:val="60D467A9"/>
    <w:rsid w:val="60EA12BA"/>
    <w:rsid w:val="60EB3CE8"/>
    <w:rsid w:val="61034470"/>
    <w:rsid w:val="61041400"/>
    <w:rsid w:val="6108421E"/>
    <w:rsid w:val="610C08D6"/>
    <w:rsid w:val="610C6290"/>
    <w:rsid w:val="611504BF"/>
    <w:rsid w:val="61233B56"/>
    <w:rsid w:val="6129287D"/>
    <w:rsid w:val="6132559A"/>
    <w:rsid w:val="61535DEE"/>
    <w:rsid w:val="6166167A"/>
    <w:rsid w:val="617020C2"/>
    <w:rsid w:val="61755B39"/>
    <w:rsid w:val="617A0C46"/>
    <w:rsid w:val="618B1EF3"/>
    <w:rsid w:val="61A33787"/>
    <w:rsid w:val="61A568D9"/>
    <w:rsid w:val="61A66AB4"/>
    <w:rsid w:val="61BC38FA"/>
    <w:rsid w:val="61BE0E4F"/>
    <w:rsid w:val="61C85E7F"/>
    <w:rsid w:val="61CD78CF"/>
    <w:rsid w:val="61DA14FE"/>
    <w:rsid w:val="61E53D34"/>
    <w:rsid w:val="61E73697"/>
    <w:rsid w:val="61EE3162"/>
    <w:rsid w:val="61F62056"/>
    <w:rsid w:val="620208E6"/>
    <w:rsid w:val="620E46C5"/>
    <w:rsid w:val="620F37AC"/>
    <w:rsid w:val="621536B2"/>
    <w:rsid w:val="621C707C"/>
    <w:rsid w:val="621E0130"/>
    <w:rsid w:val="62271A32"/>
    <w:rsid w:val="6245212D"/>
    <w:rsid w:val="624B2E9D"/>
    <w:rsid w:val="62504ABA"/>
    <w:rsid w:val="62510C1A"/>
    <w:rsid w:val="62607DE0"/>
    <w:rsid w:val="62757089"/>
    <w:rsid w:val="62AE05DB"/>
    <w:rsid w:val="62B60A29"/>
    <w:rsid w:val="62BA5EE7"/>
    <w:rsid w:val="62F04E93"/>
    <w:rsid w:val="62F14EED"/>
    <w:rsid w:val="62FF3767"/>
    <w:rsid w:val="63074094"/>
    <w:rsid w:val="63256E52"/>
    <w:rsid w:val="6337684E"/>
    <w:rsid w:val="63403C73"/>
    <w:rsid w:val="6351410B"/>
    <w:rsid w:val="635D4427"/>
    <w:rsid w:val="635F082F"/>
    <w:rsid w:val="63710CD7"/>
    <w:rsid w:val="639A0C81"/>
    <w:rsid w:val="63A00543"/>
    <w:rsid w:val="63BE2991"/>
    <w:rsid w:val="63D672A4"/>
    <w:rsid w:val="63E900E8"/>
    <w:rsid w:val="63F105D2"/>
    <w:rsid w:val="64003000"/>
    <w:rsid w:val="64020FD8"/>
    <w:rsid w:val="640B49C1"/>
    <w:rsid w:val="64156CD8"/>
    <w:rsid w:val="64413D22"/>
    <w:rsid w:val="64470699"/>
    <w:rsid w:val="644B6CD5"/>
    <w:rsid w:val="646253D3"/>
    <w:rsid w:val="64627D01"/>
    <w:rsid w:val="6473435B"/>
    <w:rsid w:val="64864D44"/>
    <w:rsid w:val="64A01013"/>
    <w:rsid w:val="64B16AAB"/>
    <w:rsid w:val="64C76164"/>
    <w:rsid w:val="64D3186F"/>
    <w:rsid w:val="64EF2266"/>
    <w:rsid w:val="64F33559"/>
    <w:rsid w:val="64FD2EEA"/>
    <w:rsid w:val="64FF1ABC"/>
    <w:rsid w:val="650E3520"/>
    <w:rsid w:val="654069DE"/>
    <w:rsid w:val="65413B3E"/>
    <w:rsid w:val="654B3E81"/>
    <w:rsid w:val="655555A6"/>
    <w:rsid w:val="655F14F0"/>
    <w:rsid w:val="65660277"/>
    <w:rsid w:val="656E6D13"/>
    <w:rsid w:val="65990AED"/>
    <w:rsid w:val="65A63707"/>
    <w:rsid w:val="65A80F59"/>
    <w:rsid w:val="65AA319F"/>
    <w:rsid w:val="65AC5539"/>
    <w:rsid w:val="65BB595A"/>
    <w:rsid w:val="65F22562"/>
    <w:rsid w:val="65F65692"/>
    <w:rsid w:val="660C7338"/>
    <w:rsid w:val="66407FD5"/>
    <w:rsid w:val="665346CA"/>
    <w:rsid w:val="6661498D"/>
    <w:rsid w:val="666B3926"/>
    <w:rsid w:val="668C5B9C"/>
    <w:rsid w:val="66A421AD"/>
    <w:rsid w:val="66C77BCC"/>
    <w:rsid w:val="66CF58C8"/>
    <w:rsid w:val="66D00FF0"/>
    <w:rsid w:val="66E50A5C"/>
    <w:rsid w:val="66E5305A"/>
    <w:rsid w:val="66FA0A76"/>
    <w:rsid w:val="670314C2"/>
    <w:rsid w:val="670A28DD"/>
    <w:rsid w:val="671F2137"/>
    <w:rsid w:val="67256725"/>
    <w:rsid w:val="672C3BD3"/>
    <w:rsid w:val="67441F0C"/>
    <w:rsid w:val="674465E9"/>
    <w:rsid w:val="67594618"/>
    <w:rsid w:val="675B3954"/>
    <w:rsid w:val="676B6466"/>
    <w:rsid w:val="67954429"/>
    <w:rsid w:val="67C47F84"/>
    <w:rsid w:val="67D85572"/>
    <w:rsid w:val="67DD10E7"/>
    <w:rsid w:val="67E51A4F"/>
    <w:rsid w:val="67E81C89"/>
    <w:rsid w:val="67F16AAB"/>
    <w:rsid w:val="67FC2A34"/>
    <w:rsid w:val="68022928"/>
    <w:rsid w:val="68163291"/>
    <w:rsid w:val="68244FDF"/>
    <w:rsid w:val="682634A6"/>
    <w:rsid w:val="68335612"/>
    <w:rsid w:val="683D75EE"/>
    <w:rsid w:val="683F6341"/>
    <w:rsid w:val="68413BF7"/>
    <w:rsid w:val="684A3899"/>
    <w:rsid w:val="68516552"/>
    <w:rsid w:val="685D249D"/>
    <w:rsid w:val="68600066"/>
    <w:rsid w:val="6861776A"/>
    <w:rsid w:val="687222C2"/>
    <w:rsid w:val="6879445C"/>
    <w:rsid w:val="687A5897"/>
    <w:rsid w:val="687D194E"/>
    <w:rsid w:val="68945561"/>
    <w:rsid w:val="689D6C87"/>
    <w:rsid w:val="68A05E34"/>
    <w:rsid w:val="68A4599C"/>
    <w:rsid w:val="68AD0074"/>
    <w:rsid w:val="68D4182F"/>
    <w:rsid w:val="68DA458B"/>
    <w:rsid w:val="68E565D8"/>
    <w:rsid w:val="68ED4DA7"/>
    <w:rsid w:val="68FC5EBD"/>
    <w:rsid w:val="69122538"/>
    <w:rsid w:val="69194FE8"/>
    <w:rsid w:val="691F4315"/>
    <w:rsid w:val="69544350"/>
    <w:rsid w:val="69703FA0"/>
    <w:rsid w:val="69997B9C"/>
    <w:rsid w:val="69A84304"/>
    <w:rsid w:val="69B52A42"/>
    <w:rsid w:val="69B67148"/>
    <w:rsid w:val="69BE4DB3"/>
    <w:rsid w:val="69CF0E91"/>
    <w:rsid w:val="69CF0ED8"/>
    <w:rsid w:val="69D52B56"/>
    <w:rsid w:val="69D54DDD"/>
    <w:rsid w:val="69E028D2"/>
    <w:rsid w:val="69E874BD"/>
    <w:rsid w:val="69F54308"/>
    <w:rsid w:val="6A0A7A54"/>
    <w:rsid w:val="6A2622A1"/>
    <w:rsid w:val="6A35577F"/>
    <w:rsid w:val="6A3A22EA"/>
    <w:rsid w:val="6A3F2D1D"/>
    <w:rsid w:val="6A592054"/>
    <w:rsid w:val="6A777087"/>
    <w:rsid w:val="6A820574"/>
    <w:rsid w:val="6A99048F"/>
    <w:rsid w:val="6AA077DB"/>
    <w:rsid w:val="6AA47C92"/>
    <w:rsid w:val="6AB909BB"/>
    <w:rsid w:val="6ABA0C51"/>
    <w:rsid w:val="6ABD020C"/>
    <w:rsid w:val="6ADD6D64"/>
    <w:rsid w:val="6B0F06C2"/>
    <w:rsid w:val="6B2B6878"/>
    <w:rsid w:val="6B633F4F"/>
    <w:rsid w:val="6B70680D"/>
    <w:rsid w:val="6B816F14"/>
    <w:rsid w:val="6B8A298B"/>
    <w:rsid w:val="6B8A779B"/>
    <w:rsid w:val="6BAD6C20"/>
    <w:rsid w:val="6BB456BB"/>
    <w:rsid w:val="6BB62A44"/>
    <w:rsid w:val="6BD81D0A"/>
    <w:rsid w:val="6BE052CE"/>
    <w:rsid w:val="6BF2692A"/>
    <w:rsid w:val="6BF358A4"/>
    <w:rsid w:val="6C051F4E"/>
    <w:rsid w:val="6C096C12"/>
    <w:rsid w:val="6C1A5960"/>
    <w:rsid w:val="6C417EB8"/>
    <w:rsid w:val="6C613F45"/>
    <w:rsid w:val="6C756221"/>
    <w:rsid w:val="6C7B08BB"/>
    <w:rsid w:val="6C816AF9"/>
    <w:rsid w:val="6C846694"/>
    <w:rsid w:val="6CA841D2"/>
    <w:rsid w:val="6CB10385"/>
    <w:rsid w:val="6CDF0F3A"/>
    <w:rsid w:val="6CE47854"/>
    <w:rsid w:val="6D0D25B8"/>
    <w:rsid w:val="6D490A6B"/>
    <w:rsid w:val="6D582A6D"/>
    <w:rsid w:val="6D604FD1"/>
    <w:rsid w:val="6D635FBA"/>
    <w:rsid w:val="6D6534EB"/>
    <w:rsid w:val="6D6C0EA8"/>
    <w:rsid w:val="6D732F9C"/>
    <w:rsid w:val="6D9239A2"/>
    <w:rsid w:val="6DB664EE"/>
    <w:rsid w:val="6DBC6250"/>
    <w:rsid w:val="6DC64BAC"/>
    <w:rsid w:val="6E037AD7"/>
    <w:rsid w:val="6E056523"/>
    <w:rsid w:val="6E074EC9"/>
    <w:rsid w:val="6E160E52"/>
    <w:rsid w:val="6E2E569B"/>
    <w:rsid w:val="6E4064F1"/>
    <w:rsid w:val="6E4E39FC"/>
    <w:rsid w:val="6E5545BD"/>
    <w:rsid w:val="6E5D1964"/>
    <w:rsid w:val="6E614B19"/>
    <w:rsid w:val="6E616F13"/>
    <w:rsid w:val="6E7369B5"/>
    <w:rsid w:val="6E7B5CAB"/>
    <w:rsid w:val="6EAA56FE"/>
    <w:rsid w:val="6EAD6116"/>
    <w:rsid w:val="6EB37B5B"/>
    <w:rsid w:val="6EBE6FBB"/>
    <w:rsid w:val="6ED70BA2"/>
    <w:rsid w:val="6EDB7671"/>
    <w:rsid w:val="6EF77260"/>
    <w:rsid w:val="6F2302E3"/>
    <w:rsid w:val="6F314C13"/>
    <w:rsid w:val="6F382FA6"/>
    <w:rsid w:val="6F391F60"/>
    <w:rsid w:val="6F694006"/>
    <w:rsid w:val="6F6C5490"/>
    <w:rsid w:val="6F761900"/>
    <w:rsid w:val="6FA71AD5"/>
    <w:rsid w:val="6FAF2607"/>
    <w:rsid w:val="6FD47D24"/>
    <w:rsid w:val="6FE17D06"/>
    <w:rsid w:val="6FF536DD"/>
    <w:rsid w:val="6FFD71B3"/>
    <w:rsid w:val="700D2412"/>
    <w:rsid w:val="70112883"/>
    <w:rsid w:val="70243856"/>
    <w:rsid w:val="703F2471"/>
    <w:rsid w:val="704B4131"/>
    <w:rsid w:val="70531ED5"/>
    <w:rsid w:val="705A528C"/>
    <w:rsid w:val="7068062C"/>
    <w:rsid w:val="707F47B3"/>
    <w:rsid w:val="70954F53"/>
    <w:rsid w:val="70A94A40"/>
    <w:rsid w:val="70D80F32"/>
    <w:rsid w:val="70D97C76"/>
    <w:rsid w:val="70F76E40"/>
    <w:rsid w:val="711337D0"/>
    <w:rsid w:val="713173E8"/>
    <w:rsid w:val="71420658"/>
    <w:rsid w:val="7143472C"/>
    <w:rsid w:val="71440341"/>
    <w:rsid w:val="71531561"/>
    <w:rsid w:val="71597148"/>
    <w:rsid w:val="716D089C"/>
    <w:rsid w:val="71715206"/>
    <w:rsid w:val="71743A1D"/>
    <w:rsid w:val="71774D56"/>
    <w:rsid w:val="71901CEF"/>
    <w:rsid w:val="719438F4"/>
    <w:rsid w:val="719D7F3F"/>
    <w:rsid w:val="71B55DFD"/>
    <w:rsid w:val="71B834E8"/>
    <w:rsid w:val="71D0750E"/>
    <w:rsid w:val="71D803D1"/>
    <w:rsid w:val="71E501C6"/>
    <w:rsid w:val="71F40A44"/>
    <w:rsid w:val="7202163F"/>
    <w:rsid w:val="723B04C8"/>
    <w:rsid w:val="724E6817"/>
    <w:rsid w:val="72600D68"/>
    <w:rsid w:val="72604620"/>
    <w:rsid w:val="726B02C1"/>
    <w:rsid w:val="726D2C67"/>
    <w:rsid w:val="729A0F74"/>
    <w:rsid w:val="72F03574"/>
    <w:rsid w:val="72F77CB6"/>
    <w:rsid w:val="731438BD"/>
    <w:rsid w:val="733155C8"/>
    <w:rsid w:val="73422D3C"/>
    <w:rsid w:val="73625723"/>
    <w:rsid w:val="737007D9"/>
    <w:rsid w:val="738B5B50"/>
    <w:rsid w:val="73AA53A0"/>
    <w:rsid w:val="73B04F6B"/>
    <w:rsid w:val="73D20D1A"/>
    <w:rsid w:val="73E168D2"/>
    <w:rsid w:val="73E873C4"/>
    <w:rsid w:val="73F07AA4"/>
    <w:rsid w:val="74010DBC"/>
    <w:rsid w:val="74054701"/>
    <w:rsid w:val="740D2C3F"/>
    <w:rsid w:val="74135925"/>
    <w:rsid w:val="742827DB"/>
    <w:rsid w:val="742D6CA9"/>
    <w:rsid w:val="742E58A2"/>
    <w:rsid w:val="74525628"/>
    <w:rsid w:val="745F06BF"/>
    <w:rsid w:val="746C713B"/>
    <w:rsid w:val="748D2368"/>
    <w:rsid w:val="749217E0"/>
    <w:rsid w:val="74B22D8C"/>
    <w:rsid w:val="74C26B38"/>
    <w:rsid w:val="74C55FC1"/>
    <w:rsid w:val="74CC7EC1"/>
    <w:rsid w:val="74DA7552"/>
    <w:rsid w:val="74E41FDD"/>
    <w:rsid w:val="74EF6361"/>
    <w:rsid w:val="74F347DF"/>
    <w:rsid w:val="74FA7FE6"/>
    <w:rsid w:val="74FD4A9B"/>
    <w:rsid w:val="751D43A6"/>
    <w:rsid w:val="75453AE1"/>
    <w:rsid w:val="75573AC9"/>
    <w:rsid w:val="75595449"/>
    <w:rsid w:val="758B283A"/>
    <w:rsid w:val="75BD313A"/>
    <w:rsid w:val="75BF6D3D"/>
    <w:rsid w:val="75DC1EF4"/>
    <w:rsid w:val="75E50837"/>
    <w:rsid w:val="75EF5520"/>
    <w:rsid w:val="75F63713"/>
    <w:rsid w:val="76143A54"/>
    <w:rsid w:val="7637074A"/>
    <w:rsid w:val="763B63B0"/>
    <w:rsid w:val="764772A3"/>
    <w:rsid w:val="767B7960"/>
    <w:rsid w:val="769A6195"/>
    <w:rsid w:val="76A44430"/>
    <w:rsid w:val="76A71FBB"/>
    <w:rsid w:val="76AA5D81"/>
    <w:rsid w:val="76AB50DC"/>
    <w:rsid w:val="76BB3C83"/>
    <w:rsid w:val="76C80EC7"/>
    <w:rsid w:val="76F73D47"/>
    <w:rsid w:val="77006E1F"/>
    <w:rsid w:val="77032A24"/>
    <w:rsid w:val="771670C1"/>
    <w:rsid w:val="772C16E9"/>
    <w:rsid w:val="77683E14"/>
    <w:rsid w:val="77734EA5"/>
    <w:rsid w:val="77A06542"/>
    <w:rsid w:val="77A922C9"/>
    <w:rsid w:val="77AC049C"/>
    <w:rsid w:val="77B23714"/>
    <w:rsid w:val="77BB772D"/>
    <w:rsid w:val="77D43FD2"/>
    <w:rsid w:val="77FA155A"/>
    <w:rsid w:val="781137AD"/>
    <w:rsid w:val="781D13FA"/>
    <w:rsid w:val="782817E9"/>
    <w:rsid w:val="78555C26"/>
    <w:rsid w:val="78640057"/>
    <w:rsid w:val="78810787"/>
    <w:rsid w:val="78826969"/>
    <w:rsid w:val="788E3AAC"/>
    <w:rsid w:val="78B515B5"/>
    <w:rsid w:val="78C21620"/>
    <w:rsid w:val="78CE2D76"/>
    <w:rsid w:val="78EE2375"/>
    <w:rsid w:val="78FA244C"/>
    <w:rsid w:val="78FE1B78"/>
    <w:rsid w:val="79024116"/>
    <w:rsid w:val="790B5E4F"/>
    <w:rsid w:val="790D572F"/>
    <w:rsid w:val="79233654"/>
    <w:rsid w:val="79455569"/>
    <w:rsid w:val="79470AE2"/>
    <w:rsid w:val="795123A8"/>
    <w:rsid w:val="79535AC3"/>
    <w:rsid w:val="79620961"/>
    <w:rsid w:val="79987ED2"/>
    <w:rsid w:val="79AE1AE3"/>
    <w:rsid w:val="79AE77FB"/>
    <w:rsid w:val="79B85AA8"/>
    <w:rsid w:val="79C342A8"/>
    <w:rsid w:val="79C34F9F"/>
    <w:rsid w:val="79C81B6A"/>
    <w:rsid w:val="79E83652"/>
    <w:rsid w:val="79EF6059"/>
    <w:rsid w:val="7A074D7D"/>
    <w:rsid w:val="7A1053E1"/>
    <w:rsid w:val="7A17618B"/>
    <w:rsid w:val="7A1E05C7"/>
    <w:rsid w:val="7A3F1ABF"/>
    <w:rsid w:val="7A413A99"/>
    <w:rsid w:val="7A4642A9"/>
    <w:rsid w:val="7A4B6B30"/>
    <w:rsid w:val="7A5D3D51"/>
    <w:rsid w:val="7A5F0CF7"/>
    <w:rsid w:val="7A675EA5"/>
    <w:rsid w:val="7A6B3865"/>
    <w:rsid w:val="7A7041ED"/>
    <w:rsid w:val="7A832390"/>
    <w:rsid w:val="7A92679C"/>
    <w:rsid w:val="7A955810"/>
    <w:rsid w:val="7A985E92"/>
    <w:rsid w:val="7A9C2E47"/>
    <w:rsid w:val="7A9E009C"/>
    <w:rsid w:val="7AC019FF"/>
    <w:rsid w:val="7ACA6FB9"/>
    <w:rsid w:val="7AF46C5F"/>
    <w:rsid w:val="7AF91BCC"/>
    <w:rsid w:val="7B0C5BAE"/>
    <w:rsid w:val="7B2374FE"/>
    <w:rsid w:val="7B34342A"/>
    <w:rsid w:val="7B3873CB"/>
    <w:rsid w:val="7B496993"/>
    <w:rsid w:val="7B783675"/>
    <w:rsid w:val="7B796807"/>
    <w:rsid w:val="7BAC2D3A"/>
    <w:rsid w:val="7BAE3C97"/>
    <w:rsid w:val="7BB16076"/>
    <w:rsid w:val="7BB46DB9"/>
    <w:rsid w:val="7BC02341"/>
    <w:rsid w:val="7BD74454"/>
    <w:rsid w:val="7BE96DEC"/>
    <w:rsid w:val="7C021A51"/>
    <w:rsid w:val="7C033C13"/>
    <w:rsid w:val="7C041A0F"/>
    <w:rsid w:val="7C110306"/>
    <w:rsid w:val="7C212B8A"/>
    <w:rsid w:val="7C8464A1"/>
    <w:rsid w:val="7C9D2D7B"/>
    <w:rsid w:val="7CA26867"/>
    <w:rsid w:val="7CB43A8E"/>
    <w:rsid w:val="7CC106AB"/>
    <w:rsid w:val="7CDF4250"/>
    <w:rsid w:val="7D09113D"/>
    <w:rsid w:val="7D157A0E"/>
    <w:rsid w:val="7D1658AD"/>
    <w:rsid w:val="7D1D4159"/>
    <w:rsid w:val="7D243099"/>
    <w:rsid w:val="7D4B3993"/>
    <w:rsid w:val="7D5F5E30"/>
    <w:rsid w:val="7D6C208F"/>
    <w:rsid w:val="7D897D56"/>
    <w:rsid w:val="7D9B14E5"/>
    <w:rsid w:val="7DAA42B2"/>
    <w:rsid w:val="7DAA569A"/>
    <w:rsid w:val="7DB1501E"/>
    <w:rsid w:val="7DB676D9"/>
    <w:rsid w:val="7DBE16CF"/>
    <w:rsid w:val="7DC37DE3"/>
    <w:rsid w:val="7DD45912"/>
    <w:rsid w:val="7E0D4E8F"/>
    <w:rsid w:val="7E107D04"/>
    <w:rsid w:val="7E202441"/>
    <w:rsid w:val="7E4B691E"/>
    <w:rsid w:val="7E616C7B"/>
    <w:rsid w:val="7E733A70"/>
    <w:rsid w:val="7E8A0780"/>
    <w:rsid w:val="7EA574A2"/>
    <w:rsid w:val="7EBB0DC0"/>
    <w:rsid w:val="7EC42E15"/>
    <w:rsid w:val="7EC50C54"/>
    <w:rsid w:val="7ED11A3C"/>
    <w:rsid w:val="7ED91C72"/>
    <w:rsid w:val="7EEB5BB3"/>
    <w:rsid w:val="7F1568D7"/>
    <w:rsid w:val="7F2E0D24"/>
    <w:rsid w:val="7F312E91"/>
    <w:rsid w:val="7F33645C"/>
    <w:rsid w:val="7F4E4DC2"/>
    <w:rsid w:val="7F66205C"/>
    <w:rsid w:val="7FA8327A"/>
    <w:rsid w:val="7FB32EED"/>
    <w:rsid w:val="7FB6358D"/>
    <w:rsid w:val="7FE076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qFormat="1" w:unhideWhenUsed="0" w:uiPriority="99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oa heading"/>
    <w:next w:val="1"/>
    <w:qFormat/>
    <w:uiPriority w:val="99"/>
    <w:pPr>
      <w:widowControl w:val="0"/>
      <w:spacing w:before="120" w:after="200" w:line="276" w:lineRule="auto"/>
      <w:jc w:val="both"/>
    </w:pPr>
    <w:rPr>
      <w:rFonts w:ascii="Arial" w:hAnsi="Arial" w:eastAsia="宋体" w:cs="Times New Roman"/>
      <w:kern w:val="2"/>
      <w:sz w:val="24"/>
      <w:szCs w:val="21"/>
      <w:lang w:val="en-US" w:eastAsia="zh-CN" w:bidi="ar-SA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customStyle="1" w:styleId="8">
    <w:name w:val="Table Normal"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numbering" Target="numbering.xml"/><Relationship Id="rId7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14</Pages>
  <Words>5360</Words>
  <Characters>5924</Characters>
  <Lines>0</Lines>
  <Paragraphs>0</Paragraphs>
  <TotalTime>0</TotalTime>
  <ScaleCrop>false</ScaleCrop>
  <LinksUpToDate>false</LinksUpToDate>
  <CharactersWithSpaces>6091</CharactersWithSpaces>
  <Application>WPS Office_12.1.0.18608_F1E327BC-269C-435d-A152-05C5408002CA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2023-04-23T08:56:00Z</dcterms:created>
  <dc:creator>新一天</dc:creator>
  <cp:lastModifiedBy>阿朵</cp:lastModifiedBy>
  <cp:lastPrinted>2023-05-26T08:11:00Z</cp:lastPrinted>
  <dcterms:modified xsi:type="dcterms:W3CDTF">2024-10-16T02:14:02Z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DDB39102470A4B2FBC0649938522DCFC_13</vt:lpwstr>
  </property>
</Properties>
</file>