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pPr>
              <w:spacing w:before="103" w:line="219" w:lineRule="auto"/>
              <w:jc w:val="cente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中共岳阳市岳阳楼区委巡察工作领导小组办公室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center"/>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center"/>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center"/>
          </w:tcPr>
          <w:p>
            <w:pPr>
              <w:spacing w:before="103" w:line="219" w:lineRule="auto"/>
              <w:ind w:left="708"/>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16</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center"/>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8.57</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8.57</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125.00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125.00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64.88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26.40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13.41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30.95</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54.69</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54.69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232.13</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174.19</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278.05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24"/>
          <w:szCs w:val="24"/>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246"/>
        <w:gridCol w:w="1332"/>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中共岳阳市岳阳楼区委巡察工作领导小组办公室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299.19</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326.72</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326.72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326.72</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278.05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48.67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区委巡察办贯彻落实党中央关于巡察工作的方针政策和决策部署，全面落实省委、市委、区委关于巡察工作的部署，在履行职责过程中坚持和加强对巡察工作的集中统一领导。主要职责是：（一）向区委巡察工作领导小组、市委巡察工作领导小组办公室报告巡察工作情况，传达贯彻中央、省委、市委、和市委巡察工作领导小组、区委和区委巡察工作领导小组的决策和部署。（二）承担巡察工作有关的政策研究、制度建设等工作。（三）统筹、协调、指导区委巡察组开展工作。（四）对区委和区委巡察工作领导小组决定的事项及巡察移交事项进行督办。（五）配合有关部门对巡察工作人员进行培训、考核、监督和管理。（六）负责本单位的信访维稳和安全生产工作；完成区委和区委巡察工作领导小组交办的其它任务</w:t>
            </w:r>
          </w:p>
        </w:tc>
        <w:tc>
          <w:tcPr>
            <w:tcW w:w="41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70" w:lineRule="auto"/>
              <w:ind w:left="0"/>
              <w:jc w:val="both"/>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巡察支部和巡察临时支部共开展集中学习次数</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15次</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二十大会议</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1次</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“三重一大”会议</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3次</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开展常规巡察、专项巡察</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7次</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巡察处理问题</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434个</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434个</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调研指导工作，巡察现场办公会议</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10次</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巡察人员培训率</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巡察办案率</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项目完成率</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2022年度</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2022年度</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成本控制</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299.19</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326.72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本年实际支出超出预算，预算不够细致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违规资金上缴</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增强了人民群众获得感、幸福感、安全感</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有所增强</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有所增强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lang w:val="en-US" w:eastAsia="zh-CN"/>
                <w14:textFill>
                  <w14:solidFill>
                    <w14:schemeClr w14:val="tx1"/>
                  </w14:solidFill>
                </w14:textFill>
              </w:rPr>
            </w:pP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lang w:val="en-US" w:eastAsia="zh-CN"/>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净化党内政治生态，打造依法行政、廉洁从政常态长效机制</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有所提高</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服务群众满意度</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≥90%</w:t>
            </w:r>
          </w:p>
        </w:tc>
        <w:tc>
          <w:tcPr>
            <w:tcW w:w="133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2022年度中共岳阳市岳阳楼区委巡察工作领导小组办公室整体支出绩效自评报告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2023年6月30</w:t>
      </w:r>
      <w:bookmarkStart w:id="0" w:name="_GoBack"/>
      <w:bookmarkEnd w:id="0"/>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2022年度中共岳阳市岳阳楼区委巡察工作领导小组办公室整体支出绩效自评报告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p>
    <w:p>
      <w:pPr>
        <w:spacing w:line="560" w:lineRule="exact"/>
        <w:ind w:firstLine="56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auto"/>
          <w:spacing w:val="0"/>
          <w:sz w:val="28"/>
          <w:szCs w:val="28"/>
          <w:shd w:val="clear" w:color="auto" w:fill="FFFFFF"/>
        </w:rPr>
        <w:t>巡察工作是</w:t>
      </w:r>
      <w:r>
        <w:rPr>
          <w:rFonts w:hint="eastAsia" w:ascii="仿宋_GB2312" w:hAnsi="仿宋_GB2312" w:eastAsia="仿宋_GB2312" w:cs="仿宋_GB2312"/>
          <w:i w:val="0"/>
          <w:caps w:val="0"/>
          <w:color w:val="auto"/>
          <w:spacing w:val="0"/>
          <w:sz w:val="28"/>
          <w:szCs w:val="28"/>
          <w:shd w:val="clear" w:color="auto" w:fill="FFFFFF"/>
        </w:rPr>
        <w:fldChar w:fldCharType="begin"/>
      </w:r>
      <w:r>
        <w:rPr>
          <w:rFonts w:hint="eastAsia" w:ascii="仿宋_GB2312" w:hAnsi="仿宋_GB2312" w:eastAsia="仿宋_GB2312" w:cs="仿宋_GB2312"/>
          <w:i w:val="0"/>
          <w:caps w:val="0"/>
          <w:color w:val="auto"/>
          <w:spacing w:val="0"/>
          <w:sz w:val="28"/>
          <w:szCs w:val="28"/>
          <w:shd w:val="clear" w:color="auto" w:fill="FFFFFF"/>
        </w:rPr>
        <w:instrText xml:space="preserve"> HYPERLINK "https://www.baidu.com/s?wd=%E5%8F%8D%E8%85%90%E5%80%A1%E5%BB%89&amp;tn=SE_PcZhidaonwhc_ngpagmjz&amp;rsv_dl=gh_pc_zhidao" \t "https://zhidao.baidu.com/question/_blank" </w:instrText>
      </w:r>
      <w:r>
        <w:rPr>
          <w:rFonts w:hint="eastAsia" w:ascii="仿宋_GB2312" w:hAnsi="仿宋_GB2312" w:eastAsia="仿宋_GB2312" w:cs="仿宋_GB2312"/>
          <w:i w:val="0"/>
          <w:caps w:val="0"/>
          <w:color w:val="auto"/>
          <w:spacing w:val="0"/>
          <w:sz w:val="28"/>
          <w:szCs w:val="28"/>
          <w:shd w:val="clear" w:color="auto" w:fill="FFFFFF"/>
        </w:rPr>
        <w:fldChar w:fldCharType="separate"/>
      </w:r>
      <w:r>
        <w:rPr>
          <w:rFonts w:hint="eastAsia" w:ascii="仿宋_GB2312" w:hAnsi="仿宋_GB2312" w:eastAsia="仿宋_GB2312" w:cs="仿宋_GB2312"/>
          <w:i w:val="0"/>
          <w:caps w:val="0"/>
          <w:color w:val="auto"/>
          <w:spacing w:val="0"/>
          <w:sz w:val="28"/>
          <w:szCs w:val="28"/>
          <w:shd w:val="clear" w:color="auto" w:fill="FFFFFF"/>
        </w:rPr>
        <w:t>反腐倡廉</w:t>
      </w:r>
      <w:r>
        <w:rPr>
          <w:rFonts w:hint="eastAsia" w:ascii="仿宋_GB2312" w:hAnsi="仿宋_GB2312" w:eastAsia="仿宋_GB2312" w:cs="仿宋_GB2312"/>
          <w:i w:val="0"/>
          <w:caps w:val="0"/>
          <w:color w:val="auto"/>
          <w:spacing w:val="0"/>
          <w:sz w:val="28"/>
          <w:szCs w:val="28"/>
          <w:shd w:val="clear" w:color="auto" w:fill="FFFFFF"/>
        </w:rPr>
        <w:fldChar w:fldCharType="end"/>
      </w:r>
      <w:r>
        <w:rPr>
          <w:rFonts w:hint="eastAsia" w:ascii="仿宋_GB2312" w:hAnsi="仿宋_GB2312" w:eastAsia="仿宋_GB2312" w:cs="仿宋_GB2312"/>
          <w:i w:val="0"/>
          <w:caps w:val="0"/>
          <w:color w:val="auto"/>
          <w:spacing w:val="0"/>
          <w:sz w:val="28"/>
          <w:szCs w:val="28"/>
          <w:shd w:val="clear" w:color="auto" w:fill="FFFFFF"/>
        </w:rPr>
        <w:t>，良化各级规关和领导干工作作风的重要措施，其主要目的是发现问题、解决问题、督察督办、形成震慑，巡察工作是</w:t>
      </w:r>
      <w:r>
        <w:rPr>
          <w:rFonts w:hint="eastAsia" w:ascii="仿宋_GB2312" w:hAnsi="仿宋_GB2312" w:eastAsia="仿宋_GB2312" w:cs="仿宋_GB2312"/>
          <w:i w:val="0"/>
          <w:caps w:val="0"/>
          <w:color w:val="auto"/>
          <w:spacing w:val="0"/>
          <w:sz w:val="28"/>
          <w:szCs w:val="28"/>
          <w:shd w:val="clear" w:color="auto" w:fill="FFFFFF"/>
        </w:rPr>
        <w:fldChar w:fldCharType="begin"/>
      </w:r>
      <w:r>
        <w:rPr>
          <w:rFonts w:hint="eastAsia" w:ascii="仿宋_GB2312" w:hAnsi="仿宋_GB2312" w:eastAsia="仿宋_GB2312" w:cs="仿宋_GB2312"/>
          <w:i w:val="0"/>
          <w:caps w:val="0"/>
          <w:color w:val="auto"/>
          <w:spacing w:val="0"/>
          <w:sz w:val="28"/>
          <w:szCs w:val="28"/>
          <w:shd w:val="clear" w:color="auto" w:fill="FFFFFF"/>
        </w:rPr>
        <w:instrText xml:space="preserve"> HYPERLINK "https://www.baidu.com/s?wd=%E5%85%9A%E5%86%85%E7%9B%91%E7%9D%A3&amp;tn=SE_PcZhidaonwhc_ngpagmjz&amp;rsv_dl=gh_pc_zhidao" \t "https://zhidao.baidu.com/question/_blank" </w:instrText>
      </w:r>
      <w:r>
        <w:rPr>
          <w:rFonts w:hint="eastAsia" w:ascii="仿宋_GB2312" w:hAnsi="仿宋_GB2312" w:eastAsia="仿宋_GB2312" w:cs="仿宋_GB2312"/>
          <w:i w:val="0"/>
          <w:caps w:val="0"/>
          <w:color w:val="auto"/>
          <w:spacing w:val="0"/>
          <w:sz w:val="28"/>
          <w:szCs w:val="28"/>
          <w:shd w:val="clear" w:color="auto" w:fill="FFFFFF"/>
        </w:rPr>
        <w:fldChar w:fldCharType="separate"/>
      </w:r>
      <w:r>
        <w:rPr>
          <w:rFonts w:hint="eastAsia" w:ascii="仿宋_GB2312" w:hAnsi="仿宋_GB2312" w:eastAsia="仿宋_GB2312" w:cs="仿宋_GB2312"/>
          <w:i w:val="0"/>
          <w:caps w:val="0"/>
          <w:color w:val="auto"/>
          <w:spacing w:val="0"/>
          <w:sz w:val="28"/>
          <w:szCs w:val="28"/>
          <w:shd w:val="clear" w:color="auto" w:fill="FFFFFF"/>
        </w:rPr>
        <w:t>党内监督</w:t>
      </w:r>
      <w:r>
        <w:rPr>
          <w:rFonts w:hint="eastAsia" w:ascii="仿宋_GB2312" w:hAnsi="仿宋_GB2312" w:eastAsia="仿宋_GB2312" w:cs="仿宋_GB2312"/>
          <w:i w:val="0"/>
          <w:caps w:val="0"/>
          <w:color w:val="auto"/>
          <w:spacing w:val="0"/>
          <w:sz w:val="28"/>
          <w:szCs w:val="28"/>
          <w:shd w:val="clear" w:color="auto" w:fill="FFFFFF"/>
        </w:rPr>
        <w:fldChar w:fldCharType="end"/>
      </w:r>
      <w:r>
        <w:rPr>
          <w:rFonts w:hint="eastAsia" w:ascii="仿宋_GB2312" w:hAnsi="仿宋_GB2312" w:eastAsia="仿宋_GB2312" w:cs="仿宋_GB2312"/>
          <w:i w:val="0"/>
          <w:caps w:val="0"/>
          <w:color w:val="auto"/>
          <w:spacing w:val="0"/>
          <w:sz w:val="28"/>
          <w:szCs w:val="28"/>
          <w:shd w:val="clear" w:color="auto" w:fill="FFFFFF"/>
        </w:rPr>
        <w:t>的重要方式。</w:t>
      </w:r>
      <w:r>
        <w:rPr>
          <w:rFonts w:hint="eastAsia" w:ascii="仿宋_GB2312" w:hAnsi="仿宋_GB2312" w:eastAsia="仿宋_GB2312" w:cs="仿宋_GB2312"/>
          <w:i w:val="0"/>
          <w:caps w:val="0"/>
          <w:color w:val="auto"/>
          <w:spacing w:val="0"/>
          <w:sz w:val="28"/>
          <w:szCs w:val="28"/>
          <w:shd w:val="clear" w:color="auto" w:fill="FFFFFF"/>
          <w:lang w:eastAsia="zh-CN"/>
        </w:rPr>
        <w:t>目前，巡察办、巡察组共</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16</w:t>
      </w:r>
      <w:r>
        <w:rPr>
          <w:rFonts w:hint="eastAsia" w:ascii="仿宋_GB2312" w:hAnsi="仿宋_GB2312" w:eastAsia="仿宋_GB2312" w:cs="仿宋_GB2312"/>
          <w:i w:val="0"/>
          <w:caps w:val="0"/>
          <w:color w:val="auto"/>
          <w:spacing w:val="0"/>
          <w:sz w:val="28"/>
          <w:szCs w:val="28"/>
          <w:shd w:val="clear" w:color="auto" w:fill="FFFFFF"/>
          <w:lang w:val="en-US" w:eastAsia="zh-CN"/>
        </w:rPr>
        <w:t>个编制，现有人数</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16</w:t>
      </w:r>
      <w:r>
        <w:rPr>
          <w:rFonts w:hint="eastAsia" w:ascii="仿宋_GB2312" w:hAnsi="仿宋_GB2312" w:eastAsia="仿宋_GB2312" w:cs="仿宋_GB2312"/>
          <w:i w:val="0"/>
          <w:caps w:val="0"/>
          <w:color w:val="auto"/>
          <w:spacing w:val="0"/>
          <w:sz w:val="28"/>
          <w:szCs w:val="28"/>
          <w:shd w:val="clear" w:color="auto" w:fill="FFFFFF"/>
          <w:lang w:val="en-US" w:eastAsia="zh-CN"/>
        </w:rPr>
        <w:t>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spacing w:line="560" w:lineRule="exact"/>
        <w:ind w:firstLine="560" w:firstLineChars="200"/>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2022年</w:t>
      </w:r>
      <w:r>
        <w:rPr>
          <w:rFonts w:hint="eastAsia" w:ascii="仿宋_GB2312" w:hAnsi="仿宋_GB2312" w:eastAsia="仿宋_GB2312" w:cs="仿宋_GB2312"/>
          <w:i w:val="0"/>
          <w:caps w:val="0"/>
          <w:color w:val="auto"/>
          <w:spacing w:val="0"/>
          <w:sz w:val="28"/>
          <w:szCs w:val="28"/>
          <w:shd w:val="clear" w:color="auto" w:fill="FFFFFF"/>
          <w:lang w:eastAsia="zh-CN"/>
        </w:rPr>
        <w:t>本单位</w:t>
      </w:r>
      <w:r>
        <w:rPr>
          <w:rFonts w:hint="eastAsia" w:ascii="仿宋_GB2312" w:hAnsi="仿宋_GB2312" w:eastAsia="仿宋_GB2312" w:cs="仿宋_GB2312"/>
          <w:i w:val="0"/>
          <w:caps w:val="0"/>
          <w:color w:val="auto"/>
          <w:spacing w:val="0"/>
          <w:sz w:val="28"/>
          <w:szCs w:val="28"/>
          <w:shd w:val="clear" w:color="auto" w:fill="FFFFFF"/>
        </w:rPr>
        <w:t>基本支出</w:t>
      </w:r>
      <w:r>
        <w:rPr>
          <w:rFonts w:hint="eastAsia" w:ascii="仿宋_GB2312" w:hAnsi="仿宋_GB2312" w:eastAsia="仿宋_GB2312" w:cs="仿宋_GB2312"/>
          <w:i w:val="0"/>
          <w:caps w:val="0"/>
          <w:color w:val="auto"/>
          <w:spacing w:val="0"/>
          <w:sz w:val="28"/>
          <w:szCs w:val="28"/>
          <w:shd w:val="clear" w:color="auto" w:fill="FFFFFF"/>
          <w:lang w:val="en-US" w:eastAsia="zh-CN"/>
        </w:rPr>
        <w:t>278.05</w:t>
      </w:r>
      <w:r>
        <w:rPr>
          <w:rFonts w:hint="eastAsia" w:ascii="仿宋_GB2312" w:hAnsi="仿宋_GB2312" w:eastAsia="仿宋_GB2312" w:cs="仿宋_GB2312"/>
          <w:i w:val="0"/>
          <w:caps w:val="0"/>
          <w:color w:val="auto"/>
          <w:spacing w:val="0"/>
          <w:sz w:val="28"/>
          <w:szCs w:val="28"/>
          <w:shd w:val="clear" w:color="auto" w:fill="FFFFFF"/>
        </w:rPr>
        <w:t>万元</w:t>
      </w: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i w:val="0"/>
          <w:caps w:val="0"/>
          <w:color w:val="auto"/>
          <w:spacing w:val="0"/>
          <w:sz w:val="28"/>
          <w:szCs w:val="28"/>
          <w:shd w:val="clear" w:color="auto" w:fill="FFFFFF"/>
        </w:rPr>
        <w:t>其中：人员经费</w:t>
      </w:r>
      <w:r>
        <w:rPr>
          <w:rFonts w:hint="eastAsia" w:ascii="仿宋_GB2312" w:hAnsi="仿宋_GB2312" w:eastAsia="仿宋_GB2312" w:cs="仿宋_GB2312"/>
          <w:i w:val="0"/>
          <w:caps w:val="0"/>
          <w:color w:val="auto"/>
          <w:spacing w:val="0"/>
          <w:sz w:val="28"/>
          <w:szCs w:val="28"/>
          <w:shd w:val="clear" w:color="auto" w:fill="FFFFFF"/>
          <w:lang w:val="en-US" w:eastAsia="zh-CN"/>
        </w:rPr>
        <w:t>238.97</w:t>
      </w:r>
      <w:r>
        <w:rPr>
          <w:rFonts w:hint="eastAsia" w:ascii="仿宋_GB2312" w:hAnsi="仿宋_GB2312" w:eastAsia="仿宋_GB2312" w:cs="仿宋_GB2312"/>
          <w:i w:val="0"/>
          <w:caps w:val="0"/>
          <w:color w:val="auto"/>
          <w:spacing w:val="0"/>
          <w:sz w:val="28"/>
          <w:szCs w:val="28"/>
          <w:shd w:val="clear" w:color="auto" w:fill="FFFFFF"/>
        </w:rPr>
        <w:t>万元，主要包括：基本工资、津贴补贴、奖金、绩效工资、机关事业单位基本养老保险缴费、职业年金缴费、职工基本医疗保险缴费、公务员医疗补助缴费、其他社会保障缴费、住房公积金、其他对个人和家庭的补助；</w:t>
      </w:r>
      <w:r>
        <w:rPr>
          <w:rFonts w:hint="eastAsia" w:ascii="仿宋_GB2312" w:hAnsi="仿宋_GB2312" w:eastAsia="仿宋_GB2312" w:cs="仿宋_GB2312"/>
          <w:i w:val="0"/>
          <w:caps w:val="0"/>
          <w:color w:val="auto"/>
          <w:spacing w:val="0"/>
          <w:sz w:val="28"/>
          <w:szCs w:val="28"/>
          <w:shd w:val="clear" w:color="auto" w:fill="FFFFFF"/>
          <w:lang w:eastAsia="zh-CN"/>
        </w:rPr>
        <w:t>公用经费</w:t>
      </w:r>
      <w:r>
        <w:rPr>
          <w:rFonts w:hint="eastAsia" w:ascii="仿宋_GB2312" w:hAnsi="仿宋_GB2312" w:eastAsia="仿宋_GB2312" w:cs="仿宋_GB2312"/>
          <w:i w:val="0"/>
          <w:caps w:val="0"/>
          <w:color w:val="auto"/>
          <w:spacing w:val="0"/>
          <w:sz w:val="28"/>
          <w:szCs w:val="28"/>
          <w:shd w:val="clear" w:color="auto" w:fill="FFFFFF"/>
          <w:lang w:val="en-US" w:eastAsia="zh-CN"/>
        </w:rPr>
        <w:t>39.08</w:t>
      </w:r>
      <w:r>
        <w:rPr>
          <w:rFonts w:hint="eastAsia" w:ascii="仿宋_GB2312" w:hAnsi="仿宋_GB2312" w:eastAsia="仿宋_GB2312" w:cs="仿宋_GB2312"/>
          <w:i w:val="0"/>
          <w:caps w:val="0"/>
          <w:color w:val="auto"/>
          <w:spacing w:val="0"/>
          <w:sz w:val="28"/>
          <w:szCs w:val="28"/>
          <w:shd w:val="clear" w:color="auto" w:fill="FFFFFF"/>
        </w:rPr>
        <w:t>万元，主要包括：办公费、印刷费、差旅费、公务接待费、劳务费、工会经费、其他交通费用、其他商品和服务支出。</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eastAsia="zh-CN"/>
        </w:rPr>
      </w:pPr>
      <w:r>
        <w:rPr>
          <w:rFonts w:hint="eastAsia" w:ascii="仿宋_GB2312" w:hAnsi="仿宋_GB2312" w:eastAsia="仿宋_GB2312" w:cs="仿宋_GB2312"/>
          <w:i w:val="0"/>
          <w:caps w:val="0"/>
          <w:color w:val="auto"/>
          <w:spacing w:val="0"/>
          <w:sz w:val="28"/>
          <w:szCs w:val="28"/>
          <w:shd w:val="clear" w:color="auto" w:fill="FFFFFF"/>
        </w:rPr>
        <w:t>2022年</w:t>
      </w:r>
      <w:r>
        <w:rPr>
          <w:rFonts w:hint="eastAsia" w:ascii="仿宋_GB2312" w:hAnsi="仿宋_GB2312" w:eastAsia="仿宋_GB2312" w:cs="仿宋_GB2312"/>
          <w:i w:val="0"/>
          <w:caps w:val="0"/>
          <w:color w:val="auto"/>
          <w:spacing w:val="0"/>
          <w:sz w:val="28"/>
          <w:szCs w:val="28"/>
          <w:shd w:val="clear" w:color="auto" w:fill="FFFFFF"/>
          <w:lang w:eastAsia="zh-CN"/>
        </w:rPr>
        <w:t>本单位项目</w:t>
      </w:r>
      <w:r>
        <w:rPr>
          <w:rFonts w:hint="eastAsia" w:ascii="仿宋_GB2312" w:hAnsi="仿宋_GB2312" w:eastAsia="仿宋_GB2312" w:cs="仿宋_GB2312"/>
          <w:i w:val="0"/>
          <w:caps w:val="0"/>
          <w:color w:val="auto"/>
          <w:spacing w:val="0"/>
          <w:sz w:val="28"/>
          <w:szCs w:val="28"/>
          <w:shd w:val="clear" w:color="auto" w:fill="FFFFFF"/>
        </w:rPr>
        <w:t>支出</w:t>
      </w:r>
      <w:r>
        <w:rPr>
          <w:rFonts w:hint="eastAsia" w:ascii="仿宋_GB2312" w:hAnsi="仿宋_GB2312" w:eastAsia="仿宋_GB2312" w:cs="仿宋_GB2312"/>
          <w:i w:val="0"/>
          <w:caps w:val="0"/>
          <w:color w:val="auto"/>
          <w:spacing w:val="0"/>
          <w:sz w:val="28"/>
          <w:szCs w:val="28"/>
          <w:shd w:val="clear" w:color="auto" w:fill="FFFFFF"/>
          <w:lang w:val="en-US" w:eastAsia="zh-CN"/>
        </w:rPr>
        <w:t>48.67</w:t>
      </w:r>
      <w:r>
        <w:rPr>
          <w:rFonts w:hint="eastAsia" w:ascii="仿宋_GB2312" w:hAnsi="仿宋_GB2312" w:eastAsia="仿宋_GB2312" w:cs="仿宋_GB2312"/>
          <w:i w:val="0"/>
          <w:caps w:val="0"/>
          <w:color w:val="auto"/>
          <w:spacing w:val="0"/>
          <w:sz w:val="28"/>
          <w:szCs w:val="28"/>
          <w:shd w:val="clear" w:color="auto" w:fill="FFFFFF"/>
        </w:rPr>
        <w:t>万元</w:t>
      </w:r>
      <w:r>
        <w:rPr>
          <w:rFonts w:hint="eastAsia" w:ascii="仿宋_GB2312" w:hAnsi="仿宋_GB2312" w:eastAsia="仿宋_GB2312" w:cs="仿宋_GB2312"/>
          <w:i w:val="0"/>
          <w:caps w:val="0"/>
          <w:color w:val="auto"/>
          <w:spacing w:val="0"/>
          <w:sz w:val="28"/>
          <w:szCs w:val="28"/>
          <w:shd w:val="clear" w:color="auto" w:fill="FFFFFF"/>
          <w:lang w:eastAsia="zh-CN"/>
        </w:rPr>
        <w:t>，主要用于区委巡察办贯彻落实党中央关于巡察工作的方针政策和决策部署，全面落实省委、市委、区委关于巡察工作的部署，在履行职责过程中坚持和加强对巡察工作的集中统一领导。</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2022年度本单位无政府性基金安排的支出。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ind w:firstLine="56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2022年度本单位无国有资本经营预算支出。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1、提高政治站位，严格履行巡察职责。把巡察工作作为加强党的建设、全面从严治党的一项重要任务切实抓好。确保把全区各级各部门的思想和行动统一到中央和上级党委关于巡视巡察工作部署上来。　　</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突出问题导向，高质量开展巡察工作。突出政治方向，抓精准。巡察组突出“政治巡察”，紧扣“三个聚焦”，紧紧盯住违反党的政治纪律和政治规矩等方面问题，切实发挥巡察政治“显微镜”“探照灯”的作用，用“四个意识”去衡量。突出政治整改，要求被巡察单位从管党治党的政治责任去查找问题，把业务问题放到政治层面去分析、整改。</w:t>
      </w:r>
    </w:p>
    <w:p>
      <w:pPr>
        <w:numPr>
          <w:ilvl w:val="0"/>
          <w:numId w:val="0"/>
        </w:numPr>
        <w:spacing w:line="560" w:lineRule="exact"/>
        <w:ind w:firstLine="560" w:firstLineChars="200"/>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bCs/>
          <w:sz w:val="28"/>
          <w:szCs w:val="28"/>
          <w:lang w:val="en-US" w:eastAsia="zh-CN"/>
        </w:rPr>
        <w:t>3、强化标本兼治，精准发力“后半篇文章”。</w:t>
      </w:r>
      <w:r>
        <w:rPr>
          <w:rFonts w:hint="eastAsia" w:ascii="仿宋_GB2312" w:hAnsi="仿宋_GB2312" w:eastAsia="仿宋_GB2312" w:cs="仿宋_GB2312"/>
          <w:i w:val="0"/>
          <w:caps w:val="0"/>
          <w:color w:val="333333"/>
          <w:spacing w:val="0"/>
          <w:sz w:val="28"/>
          <w:szCs w:val="28"/>
          <w:shd w:val="clear" w:color="auto" w:fill="FFFFFF"/>
        </w:rPr>
        <w:t>一是抓好学习贯彻，确保上下联动精神落实。及时组织巡察办、巡察组主要领导参与市委巡察办组织的上下联动一体化建设的相关培训和学习，并结合实际制定联动实施办法和相关制度，及时组织巡察工作人员召开会议进行精神传达和工作布置，严抓工作落实。二是密切配合市委各项巡察工作的开展，确保巡察实效。</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虽然财政资金使用规范，但也还存在可用财力偏小，不能满足日益增长的财政支出及社会发展需要，资金支出的绩效评价还有待加强等问题，需要我们在今后的工作中不断改进和完善，进一步加强绩效管理，提高财政资金的使用效益。</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1、加强财务管理，严格财务审核。</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2、加强制度建设，夯实绩效管理的基础和平台。</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tabs>
          <w:tab w:val="left" w:pos="870"/>
        </w:tabs>
        <w:spacing w:line="52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本单位</w:t>
      </w:r>
      <w:r>
        <w:rPr>
          <w:rFonts w:hint="eastAsia" w:ascii="仿宋_GB2312" w:hAnsi="Times New Roman" w:eastAsia="仿宋_GB2312" w:cs="Times New Roman"/>
          <w:sz w:val="28"/>
          <w:szCs w:val="28"/>
        </w:rPr>
        <w:t>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3FC3987"/>
    <w:rsid w:val="00074D8A"/>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D35AB"/>
    <w:rsid w:val="01BF03AA"/>
    <w:rsid w:val="01C33E74"/>
    <w:rsid w:val="01DF3C26"/>
    <w:rsid w:val="01EE0A2C"/>
    <w:rsid w:val="0200044D"/>
    <w:rsid w:val="020654E4"/>
    <w:rsid w:val="020C72F8"/>
    <w:rsid w:val="02121B7C"/>
    <w:rsid w:val="021813DE"/>
    <w:rsid w:val="021B6B30"/>
    <w:rsid w:val="02363BD8"/>
    <w:rsid w:val="023809F7"/>
    <w:rsid w:val="023D46EC"/>
    <w:rsid w:val="02431066"/>
    <w:rsid w:val="02595CF1"/>
    <w:rsid w:val="025C47D6"/>
    <w:rsid w:val="02607C81"/>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DE1DED"/>
    <w:rsid w:val="04E411E4"/>
    <w:rsid w:val="04F37BBA"/>
    <w:rsid w:val="05085366"/>
    <w:rsid w:val="05145F64"/>
    <w:rsid w:val="054037EF"/>
    <w:rsid w:val="054E7FFF"/>
    <w:rsid w:val="05621117"/>
    <w:rsid w:val="058C5045"/>
    <w:rsid w:val="059951CC"/>
    <w:rsid w:val="059C7C89"/>
    <w:rsid w:val="05A50C70"/>
    <w:rsid w:val="05AC4062"/>
    <w:rsid w:val="05B11573"/>
    <w:rsid w:val="05B525CA"/>
    <w:rsid w:val="05C4448F"/>
    <w:rsid w:val="05E616EC"/>
    <w:rsid w:val="06146BAF"/>
    <w:rsid w:val="06286BB6"/>
    <w:rsid w:val="06304C93"/>
    <w:rsid w:val="06405E9C"/>
    <w:rsid w:val="064D5380"/>
    <w:rsid w:val="064E0F6B"/>
    <w:rsid w:val="06617309"/>
    <w:rsid w:val="06650E6A"/>
    <w:rsid w:val="06854A05"/>
    <w:rsid w:val="068B5259"/>
    <w:rsid w:val="06986D10"/>
    <w:rsid w:val="06A14716"/>
    <w:rsid w:val="06B867FC"/>
    <w:rsid w:val="06C90184"/>
    <w:rsid w:val="06C9437B"/>
    <w:rsid w:val="06ED564C"/>
    <w:rsid w:val="06F22A7B"/>
    <w:rsid w:val="07023424"/>
    <w:rsid w:val="07043735"/>
    <w:rsid w:val="0725074E"/>
    <w:rsid w:val="07313C60"/>
    <w:rsid w:val="07331F0A"/>
    <w:rsid w:val="076971BD"/>
    <w:rsid w:val="076D43AE"/>
    <w:rsid w:val="077323CA"/>
    <w:rsid w:val="0775145F"/>
    <w:rsid w:val="077A1F3E"/>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9D255B"/>
    <w:rsid w:val="08A91E6C"/>
    <w:rsid w:val="08BA1B19"/>
    <w:rsid w:val="08D059DD"/>
    <w:rsid w:val="08DC08E7"/>
    <w:rsid w:val="092D1C9E"/>
    <w:rsid w:val="09377E5E"/>
    <w:rsid w:val="09383E9F"/>
    <w:rsid w:val="0939426E"/>
    <w:rsid w:val="09504F8C"/>
    <w:rsid w:val="095742E5"/>
    <w:rsid w:val="09616470"/>
    <w:rsid w:val="096C1F5A"/>
    <w:rsid w:val="096C76C1"/>
    <w:rsid w:val="09810E58"/>
    <w:rsid w:val="09906B28"/>
    <w:rsid w:val="09912E95"/>
    <w:rsid w:val="099C1A23"/>
    <w:rsid w:val="09A432A2"/>
    <w:rsid w:val="09A948AF"/>
    <w:rsid w:val="09AC2A76"/>
    <w:rsid w:val="09B04837"/>
    <w:rsid w:val="09C95891"/>
    <w:rsid w:val="09D8005F"/>
    <w:rsid w:val="0A002E0D"/>
    <w:rsid w:val="0A140987"/>
    <w:rsid w:val="0A241A5C"/>
    <w:rsid w:val="0A2E3566"/>
    <w:rsid w:val="0A393280"/>
    <w:rsid w:val="0A5F2F6C"/>
    <w:rsid w:val="0A670B4E"/>
    <w:rsid w:val="0A851E03"/>
    <w:rsid w:val="0A951569"/>
    <w:rsid w:val="0A985A6F"/>
    <w:rsid w:val="0AA808AF"/>
    <w:rsid w:val="0ABD142C"/>
    <w:rsid w:val="0AC644AE"/>
    <w:rsid w:val="0ACB61B4"/>
    <w:rsid w:val="0ACD4157"/>
    <w:rsid w:val="0AD2152B"/>
    <w:rsid w:val="0AE964B0"/>
    <w:rsid w:val="0AFF2E86"/>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84F37"/>
    <w:rsid w:val="0C297E69"/>
    <w:rsid w:val="0C476893"/>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9274F9"/>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1B5DB5"/>
    <w:rsid w:val="0F2A2A37"/>
    <w:rsid w:val="0F2E6C95"/>
    <w:rsid w:val="0F4675CA"/>
    <w:rsid w:val="0F471A79"/>
    <w:rsid w:val="0F500384"/>
    <w:rsid w:val="0F5B4015"/>
    <w:rsid w:val="0F6071C8"/>
    <w:rsid w:val="0F7B0394"/>
    <w:rsid w:val="0FA00CB6"/>
    <w:rsid w:val="0FA434D3"/>
    <w:rsid w:val="0FB44B2D"/>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6E2498"/>
    <w:rsid w:val="108449FF"/>
    <w:rsid w:val="108B34B0"/>
    <w:rsid w:val="108D4A90"/>
    <w:rsid w:val="109E2943"/>
    <w:rsid w:val="10C8346E"/>
    <w:rsid w:val="10FE6AB1"/>
    <w:rsid w:val="10FE773C"/>
    <w:rsid w:val="1112624E"/>
    <w:rsid w:val="11153798"/>
    <w:rsid w:val="11297158"/>
    <w:rsid w:val="114B2C9B"/>
    <w:rsid w:val="115D78BB"/>
    <w:rsid w:val="116001E2"/>
    <w:rsid w:val="11793618"/>
    <w:rsid w:val="11813452"/>
    <w:rsid w:val="11913DD4"/>
    <w:rsid w:val="11961E43"/>
    <w:rsid w:val="11987ED2"/>
    <w:rsid w:val="119969A0"/>
    <w:rsid w:val="11A42091"/>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80001"/>
    <w:rsid w:val="12CF0716"/>
    <w:rsid w:val="12D95227"/>
    <w:rsid w:val="12E33197"/>
    <w:rsid w:val="12EE1C9C"/>
    <w:rsid w:val="12F863E6"/>
    <w:rsid w:val="13094CA6"/>
    <w:rsid w:val="132156D8"/>
    <w:rsid w:val="132911E2"/>
    <w:rsid w:val="132D2761"/>
    <w:rsid w:val="133868AE"/>
    <w:rsid w:val="134639A2"/>
    <w:rsid w:val="135133AE"/>
    <w:rsid w:val="13651CF4"/>
    <w:rsid w:val="13914897"/>
    <w:rsid w:val="13A55CD5"/>
    <w:rsid w:val="13AD6A65"/>
    <w:rsid w:val="13B654E3"/>
    <w:rsid w:val="13B819E6"/>
    <w:rsid w:val="13BC4189"/>
    <w:rsid w:val="13C169EC"/>
    <w:rsid w:val="13CA717D"/>
    <w:rsid w:val="13CE022A"/>
    <w:rsid w:val="13DF25B8"/>
    <w:rsid w:val="13E2403C"/>
    <w:rsid w:val="14047D3B"/>
    <w:rsid w:val="141A00EA"/>
    <w:rsid w:val="143A1FCF"/>
    <w:rsid w:val="14430D66"/>
    <w:rsid w:val="14477E65"/>
    <w:rsid w:val="145A112D"/>
    <w:rsid w:val="14710CBF"/>
    <w:rsid w:val="14791934"/>
    <w:rsid w:val="147D213D"/>
    <w:rsid w:val="14A04833"/>
    <w:rsid w:val="14B12779"/>
    <w:rsid w:val="14B37576"/>
    <w:rsid w:val="14DF0F6E"/>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8298F"/>
    <w:rsid w:val="165E3157"/>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55BDC"/>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D7C5B"/>
    <w:rsid w:val="188F0DAB"/>
    <w:rsid w:val="18905464"/>
    <w:rsid w:val="18910B5C"/>
    <w:rsid w:val="1892155B"/>
    <w:rsid w:val="18A62960"/>
    <w:rsid w:val="18BD3DC4"/>
    <w:rsid w:val="18C149F3"/>
    <w:rsid w:val="18D233DB"/>
    <w:rsid w:val="18DC433F"/>
    <w:rsid w:val="18DD0C18"/>
    <w:rsid w:val="18DE4BF6"/>
    <w:rsid w:val="18EC1CA5"/>
    <w:rsid w:val="18F23C9D"/>
    <w:rsid w:val="18F554AB"/>
    <w:rsid w:val="18FE49D5"/>
    <w:rsid w:val="18FF04F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776A68"/>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3B46D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0420E"/>
    <w:rsid w:val="1DD75183"/>
    <w:rsid w:val="1DDE2626"/>
    <w:rsid w:val="1DFD7C50"/>
    <w:rsid w:val="1E080AB5"/>
    <w:rsid w:val="1E0E0D58"/>
    <w:rsid w:val="1E0E604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300115"/>
    <w:rsid w:val="1F4B71B8"/>
    <w:rsid w:val="1F4C39A9"/>
    <w:rsid w:val="1F5665AD"/>
    <w:rsid w:val="1F692382"/>
    <w:rsid w:val="1F8815CD"/>
    <w:rsid w:val="1F8D1995"/>
    <w:rsid w:val="1F935BDD"/>
    <w:rsid w:val="1F9730E6"/>
    <w:rsid w:val="1FDE0273"/>
    <w:rsid w:val="1FEF73C9"/>
    <w:rsid w:val="1FF540F7"/>
    <w:rsid w:val="20020491"/>
    <w:rsid w:val="203C7C11"/>
    <w:rsid w:val="20421AEB"/>
    <w:rsid w:val="20471AED"/>
    <w:rsid w:val="20487E48"/>
    <w:rsid w:val="20666EBF"/>
    <w:rsid w:val="206F239E"/>
    <w:rsid w:val="2086258B"/>
    <w:rsid w:val="20A45C99"/>
    <w:rsid w:val="20AD18F5"/>
    <w:rsid w:val="20B77D0F"/>
    <w:rsid w:val="20BB288C"/>
    <w:rsid w:val="20D06EB4"/>
    <w:rsid w:val="20DA2C49"/>
    <w:rsid w:val="20E40557"/>
    <w:rsid w:val="20EF04D3"/>
    <w:rsid w:val="210C69CF"/>
    <w:rsid w:val="21107C1A"/>
    <w:rsid w:val="21145B4D"/>
    <w:rsid w:val="213018E1"/>
    <w:rsid w:val="21366A7E"/>
    <w:rsid w:val="21392BC1"/>
    <w:rsid w:val="21431802"/>
    <w:rsid w:val="21463D2C"/>
    <w:rsid w:val="2151198F"/>
    <w:rsid w:val="215A6C10"/>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A0AA8"/>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AE6834"/>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551467"/>
    <w:rsid w:val="24580A57"/>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35E1D"/>
    <w:rsid w:val="250F44FD"/>
    <w:rsid w:val="2514288A"/>
    <w:rsid w:val="251A684D"/>
    <w:rsid w:val="253E5089"/>
    <w:rsid w:val="256609A5"/>
    <w:rsid w:val="25781237"/>
    <w:rsid w:val="257A6914"/>
    <w:rsid w:val="2588530F"/>
    <w:rsid w:val="25963C8A"/>
    <w:rsid w:val="25A16BBC"/>
    <w:rsid w:val="25A876B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4F3DF7"/>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AE18A7"/>
    <w:rsid w:val="29BF5862"/>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BC12D3"/>
    <w:rsid w:val="2AC375D4"/>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EC3EC3"/>
    <w:rsid w:val="2CF756B7"/>
    <w:rsid w:val="2CF9252D"/>
    <w:rsid w:val="2CF97782"/>
    <w:rsid w:val="2D107154"/>
    <w:rsid w:val="2D143281"/>
    <w:rsid w:val="2D1C79F8"/>
    <w:rsid w:val="2D324177"/>
    <w:rsid w:val="2D3A08FF"/>
    <w:rsid w:val="2D5A7835"/>
    <w:rsid w:val="2D6578A0"/>
    <w:rsid w:val="2D7343C9"/>
    <w:rsid w:val="2D937D4C"/>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86707"/>
    <w:rsid w:val="2EC92184"/>
    <w:rsid w:val="2ECD27F6"/>
    <w:rsid w:val="2EF835C5"/>
    <w:rsid w:val="2F0E1C14"/>
    <w:rsid w:val="2F366FC1"/>
    <w:rsid w:val="2F5034C7"/>
    <w:rsid w:val="2F7B237E"/>
    <w:rsid w:val="2F866106"/>
    <w:rsid w:val="2F9B467C"/>
    <w:rsid w:val="2FA3249D"/>
    <w:rsid w:val="2FC05B92"/>
    <w:rsid w:val="2FDE3BE4"/>
    <w:rsid w:val="2FEC1413"/>
    <w:rsid w:val="2FEF5C51"/>
    <w:rsid w:val="301F1E0F"/>
    <w:rsid w:val="302E6295"/>
    <w:rsid w:val="303329F0"/>
    <w:rsid w:val="303818E5"/>
    <w:rsid w:val="303F1851"/>
    <w:rsid w:val="303F79AD"/>
    <w:rsid w:val="30425274"/>
    <w:rsid w:val="30492212"/>
    <w:rsid w:val="304C3A2B"/>
    <w:rsid w:val="30596318"/>
    <w:rsid w:val="306F339C"/>
    <w:rsid w:val="30762710"/>
    <w:rsid w:val="30814CF1"/>
    <w:rsid w:val="308E4163"/>
    <w:rsid w:val="30C20BA4"/>
    <w:rsid w:val="30C478ED"/>
    <w:rsid w:val="30EA562F"/>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D420C7"/>
    <w:rsid w:val="31F61F62"/>
    <w:rsid w:val="320358D0"/>
    <w:rsid w:val="32052FE4"/>
    <w:rsid w:val="320B77FD"/>
    <w:rsid w:val="321976B1"/>
    <w:rsid w:val="321D6876"/>
    <w:rsid w:val="3220390C"/>
    <w:rsid w:val="322B51BC"/>
    <w:rsid w:val="322F26BF"/>
    <w:rsid w:val="32313F22"/>
    <w:rsid w:val="324419E7"/>
    <w:rsid w:val="32643522"/>
    <w:rsid w:val="326470BA"/>
    <w:rsid w:val="32744A8B"/>
    <w:rsid w:val="32753DA5"/>
    <w:rsid w:val="32877139"/>
    <w:rsid w:val="32886DB3"/>
    <w:rsid w:val="32895C45"/>
    <w:rsid w:val="32A43D99"/>
    <w:rsid w:val="32B141E0"/>
    <w:rsid w:val="32B44D2D"/>
    <w:rsid w:val="32C90A49"/>
    <w:rsid w:val="32FA2D7F"/>
    <w:rsid w:val="32FB3683"/>
    <w:rsid w:val="32FC6C4E"/>
    <w:rsid w:val="33085CC5"/>
    <w:rsid w:val="33262CBA"/>
    <w:rsid w:val="332B323C"/>
    <w:rsid w:val="332E3189"/>
    <w:rsid w:val="335B62EC"/>
    <w:rsid w:val="335E79BA"/>
    <w:rsid w:val="3360061D"/>
    <w:rsid w:val="336549AB"/>
    <w:rsid w:val="33782709"/>
    <w:rsid w:val="3392025F"/>
    <w:rsid w:val="33A8285D"/>
    <w:rsid w:val="33A875E2"/>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4B6B44"/>
    <w:rsid w:val="355C0228"/>
    <w:rsid w:val="357800DF"/>
    <w:rsid w:val="358527FB"/>
    <w:rsid w:val="358B5BCF"/>
    <w:rsid w:val="359A77E8"/>
    <w:rsid w:val="35A1790B"/>
    <w:rsid w:val="35A45B99"/>
    <w:rsid w:val="35B01090"/>
    <w:rsid w:val="35DD2073"/>
    <w:rsid w:val="35DF75FB"/>
    <w:rsid w:val="35EB21A5"/>
    <w:rsid w:val="35EF74CF"/>
    <w:rsid w:val="35F52D00"/>
    <w:rsid w:val="35FF153A"/>
    <w:rsid w:val="3606622C"/>
    <w:rsid w:val="36077316"/>
    <w:rsid w:val="3613278E"/>
    <w:rsid w:val="36356D4F"/>
    <w:rsid w:val="36405687"/>
    <w:rsid w:val="36414112"/>
    <w:rsid w:val="365F3D60"/>
    <w:rsid w:val="36645530"/>
    <w:rsid w:val="367851C1"/>
    <w:rsid w:val="368D3DB0"/>
    <w:rsid w:val="369510BC"/>
    <w:rsid w:val="36973632"/>
    <w:rsid w:val="36A30194"/>
    <w:rsid w:val="36D21A02"/>
    <w:rsid w:val="370F4C47"/>
    <w:rsid w:val="37104DEB"/>
    <w:rsid w:val="372D0977"/>
    <w:rsid w:val="37337382"/>
    <w:rsid w:val="374D5647"/>
    <w:rsid w:val="374F42A7"/>
    <w:rsid w:val="37506DBE"/>
    <w:rsid w:val="3759338C"/>
    <w:rsid w:val="37654002"/>
    <w:rsid w:val="378E3E66"/>
    <w:rsid w:val="37C244FC"/>
    <w:rsid w:val="37D9268E"/>
    <w:rsid w:val="37D95C79"/>
    <w:rsid w:val="37E81F7B"/>
    <w:rsid w:val="38026A1B"/>
    <w:rsid w:val="38197832"/>
    <w:rsid w:val="383903C6"/>
    <w:rsid w:val="383C423B"/>
    <w:rsid w:val="38415136"/>
    <w:rsid w:val="38482A15"/>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8B5761"/>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3A6FCB"/>
    <w:rsid w:val="3C4D3B02"/>
    <w:rsid w:val="3C5B1D89"/>
    <w:rsid w:val="3C6B7ACC"/>
    <w:rsid w:val="3C85498F"/>
    <w:rsid w:val="3C8946A5"/>
    <w:rsid w:val="3CA372A1"/>
    <w:rsid w:val="3CA600E0"/>
    <w:rsid w:val="3CB765A9"/>
    <w:rsid w:val="3CBA4326"/>
    <w:rsid w:val="3CBC0BE3"/>
    <w:rsid w:val="3CC614DA"/>
    <w:rsid w:val="3CCA3132"/>
    <w:rsid w:val="3CD01DA9"/>
    <w:rsid w:val="3CDA38F5"/>
    <w:rsid w:val="3CDD517D"/>
    <w:rsid w:val="3CE33FC3"/>
    <w:rsid w:val="3CEA3B31"/>
    <w:rsid w:val="3CF9401E"/>
    <w:rsid w:val="3CFC6325"/>
    <w:rsid w:val="3D093C71"/>
    <w:rsid w:val="3D1A22C0"/>
    <w:rsid w:val="3D294B1B"/>
    <w:rsid w:val="3D2B034D"/>
    <w:rsid w:val="3D5A60CA"/>
    <w:rsid w:val="3D9E1007"/>
    <w:rsid w:val="3D9F4364"/>
    <w:rsid w:val="3DA702BF"/>
    <w:rsid w:val="3DB92106"/>
    <w:rsid w:val="3DCF457D"/>
    <w:rsid w:val="3DF169A7"/>
    <w:rsid w:val="3DF2399F"/>
    <w:rsid w:val="3DF40FE4"/>
    <w:rsid w:val="3E0519AD"/>
    <w:rsid w:val="3E4A1D40"/>
    <w:rsid w:val="3E4C287B"/>
    <w:rsid w:val="3E633FD2"/>
    <w:rsid w:val="3E6B5B61"/>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2D3E3C"/>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15BE7"/>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4FF7003"/>
    <w:rsid w:val="4504461A"/>
    <w:rsid w:val="450D5FAD"/>
    <w:rsid w:val="45172F07"/>
    <w:rsid w:val="451D5184"/>
    <w:rsid w:val="452F3716"/>
    <w:rsid w:val="453C65FD"/>
    <w:rsid w:val="454B256E"/>
    <w:rsid w:val="455D76E4"/>
    <w:rsid w:val="45646F33"/>
    <w:rsid w:val="45671007"/>
    <w:rsid w:val="456C331B"/>
    <w:rsid w:val="45A26739"/>
    <w:rsid w:val="45B07140"/>
    <w:rsid w:val="45B97DC2"/>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08F6"/>
    <w:rsid w:val="478D2FF6"/>
    <w:rsid w:val="478F6037"/>
    <w:rsid w:val="4798720D"/>
    <w:rsid w:val="479C6D8B"/>
    <w:rsid w:val="47BF7C9C"/>
    <w:rsid w:val="47C2246C"/>
    <w:rsid w:val="47CA5F05"/>
    <w:rsid w:val="47DA1720"/>
    <w:rsid w:val="47E11737"/>
    <w:rsid w:val="47E77D53"/>
    <w:rsid w:val="47EE48C0"/>
    <w:rsid w:val="47F22E4F"/>
    <w:rsid w:val="47F35E3E"/>
    <w:rsid w:val="47FB766F"/>
    <w:rsid w:val="48064E6E"/>
    <w:rsid w:val="4808575C"/>
    <w:rsid w:val="480B439D"/>
    <w:rsid w:val="482F10F4"/>
    <w:rsid w:val="486024AF"/>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B73C0"/>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404189"/>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3862A7"/>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0E67C1"/>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0D1250"/>
    <w:rsid w:val="532C7F41"/>
    <w:rsid w:val="5353575F"/>
    <w:rsid w:val="535B2E70"/>
    <w:rsid w:val="535C4E8B"/>
    <w:rsid w:val="536278AA"/>
    <w:rsid w:val="53647C58"/>
    <w:rsid w:val="53673357"/>
    <w:rsid w:val="53676B5F"/>
    <w:rsid w:val="536E21FF"/>
    <w:rsid w:val="5385006E"/>
    <w:rsid w:val="53852D5E"/>
    <w:rsid w:val="538A4A6D"/>
    <w:rsid w:val="53B45677"/>
    <w:rsid w:val="53DD2466"/>
    <w:rsid w:val="53E02CEB"/>
    <w:rsid w:val="53E34323"/>
    <w:rsid w:val="53FC3987"/>
    <w:rsid w:val="5427381E"/>
    <w:rsid w:val="543B788E"/>
    <w:rsid w:val="543F566E"/>
    <w:rsid w:val="54447CBB"/>
    <w:rsid w:val="545062A7"/>
    <w:rsid w:val="545C3555"/>
    <w:rsid w:val="54617320"/>
    <w:rsid w:val="547A28DC"/>
    <w:rsid w:val="54827775"/>
    <w:rsid w:val="54AC5134"/>
    <w:rsid w:val="54DE6078"/>
    <w:rsid w:val="54E86EBD"/>
    <w:rsid w:val="54EF2BF0"/>
    <w:rsid w:val="54F2526E"/>
    <w:rsid w:val="55075D9B"/>
    <w:rsid w:val="55184BBF"/>
    <w:rsid w:val="551874CA"/>
    <w:rsid w:val="551E6A56"/>
    <w:rsid w:val="552006D3"/>
    <w:rsid w:val="552D196B"/>
    <w:rsid w:val="55301CB3"/>
    <w:rsid w:val="55327054"/>
    <w:rsid w:val="553A26BA"/>
    <w:rsid w:val="5556054C"/>
    <w:rsid w:val="55783318"/>
    <w:rsid w:val="55862A42"/>
    <w:rsid w:val="55990578"/>
    <w:rsid w:val="55A56891"/>
    <w:rsid w:val="55AC66CB"/>
    <w:rsid w:val="55BC1550"/>
    <w:rsid w:val="55C33131"/>
    <w:rsid w:val="55CD7903"/>
    <w:rsid w:val="55E172A0"/>
    <w:rsid w:val="55E24605"/>
    <w:rsid w:val="55F81C60"/>
    <w:rsid w:val="55FA0F14"/>
    <w:rsid w:val="56097F90"/>
    <w:rsid w:val="56133E90"/>
    <w:rsid w:val="56474D43"/>
    <w:rsid w:val="564C1D1D"/>
    <w:rsid w:val="565F1E2E"/>
    <w:rsid w:val="56670F45"/>
    <w:rsid w:val="566F1BE2"/>
    <w:rsid w:val="567B004B"/>
    <w:rsid w:val="567F7FA4"/>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94333"/>
    <w:rsid w:val="578C3658"/>
    <w:rsid w:val="5791683E"/>
    <w:rsid w:val="57B66918"/>
    <w:rsid w:val="57BD6FCE"/>
    <w:rsid w:val="57CD4D3F"/>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853B23"/>
    <w:rsid w:val="59951C91"/>
    <w:rsid w:val="59982867"/>
    <w:rsid w:val="59A11ED6"/>
    <w:rsid w:val="59AB0DFC"/>
    <w:rsid w:val="59C1557F"/>
    <w:rsid w:val="59C8615E"/>
    <w:rsid w:val="59D12CC0"/>
    <w:rsid w:val="59E771C2"/>
    <w:rsid w:val="59E84659"/>
    <w:rsid w:val="59F93FA2"/>
    <w:rsid w:val="59FF2575"/>
    <w:rsid w:val="5A344FB0"/>
    <w:rsid w:val="5A360707"/>
    <w:rsid w:val="5A482568"/>
    <w:rsid w:val="5A5755C9"/>
    <w:rsid w:val="5A5836E3"/>
    <w:rsid w:val="5A5A13C0"/>
    <w:rsid w:val="5A772EA3"/>
    <w:rsid w:val="5A7D29E6"/>
    <w:rsid w:val="5A821401"/>
    <w:rsid w:val="5A8A2B4B"/>
    <w:rsid w:val="5A9F5080"/>
    <w:rsid w:val="5AAB6618"/>
    <w:rsid w:val="5AC52E1B"/>
    <w:rsid w:val="5AE91049"/>
    <w:rsid w:val="5AEF582B"/>
    <w:rsid w:val="5B0B5334"/>
    <w:rsid w:val="5B1A1E3F"/>
    <w:rsid w:val="5B1B7ACD"/>
    <w:rsid w:val="5B1F1DFE"/>
    <w:rsid w:val="5B2335F4"/>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BB362E"/>
    <w:rsid w:val="5BE11C63"/>
    <w:rsid w:val="5BF24E07"/>
    <w:rsid w:val="5BFB55EA"/>
    <w:rsid w:val="5C15792E"/>
    <w:rsid w:val="5C1A5869"/>
    <w:rsid w:val="5C2404DB"/>
    <w:rsid w:val="5C290B14"/>
    <w:rsid w:val="5C290BF2"/>
    <w:rsid w:val="5C4E1E1E"/>
    <w:rsid w:val="5C4F343B"/>
    <w:rsid w:val="5C6A79EB"/>
    <w:rsid w:val="5C912690"/>
    <w:rsid w:val="5C970365"/>
    <w:rsid w:val="5C9C45EC"/>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50596"/>
    <w:rsid w:val="5D8A240A"/>
    <w:rsid w:val="5D8A4019"/>
    <w:rsid w:val="5D9407D9"/>
    <w:rsid w:val="5D9907FA"/>
    <w:rsid w:val="5DCD4FAD"/>
    <w:rsid w:val="5DD45E20"/>
    <w:rsid w:val="5DD77F01"/>
    <w:rsid w:val="5DDB0F8C"/>
    <w:rsid w:val="5DF376B4"/>
    <w:rsid w:val="5DF974C4"/>
    <w:rsid w:val="5E150E16"/>
    <w:rsid w:val="5E156702"/>
    <w:rsid w:val="5E280F21"/>
    <w:rsid w:val="5E2C3CE8"/>
    <w:rsid w:val="5E480DBB"/>
    <w:rsid w:val="5E532C32"/>
    <w:rsid w:val="5E6B78B9"/>
    <w:rsid w:val="5E72530D"/>
    <w:rsid w:val="5E7B3471"/>
    <w:rsid w:val="5E811840"/>
    <w:rsid w:val="5E82284C"/>
    <w:rsid w:val="5EAC620C"/>
    <w:rsid w:val="5EB56E43"/>
    <w:rsid w:val="5EDB6E5E"/>
    <w:rsid w:val="5F050603"/>
    <w:rsid w:val="5F0F5BF5"/>
    <w:rsid w:val="5F1070E5"/>
    <w:rsid w:val="5F137093"/>
    <w:rsid w:val="5F40363E"/>
    <w:rsid w:val="5F475DFB"/>
    <w:rsid w:val="5F4A6912"/>
    <w:rsid w:val="5FA342D5"/>
    <w:rsid w:val="5FA40581"/>
    <w:rsid w:val="5FB071B4"/>
    <w:rsid w:val="5FBF418B"/>
    <w:rsid w:val="5FC03F1C"/>
    <w:rsid w:val="5FC128D4"/>
    <w:rsid w:val="5FC577B3"/>
    <w:rsid w:val="5FFB751D"/>
    <w:rsid w:val="5FFC1DCE"/>
    <w:rsid w:val="602423C7"/>
    <w:rsid w:val="603C5150"/>
    <w:rsid w:val="603F2394"/>
    <w:rsid w:val="604364E6"/>
    <w:rsid w:val="604407B5"/>
    <w:rsid w:val="60487E62"/>
    <w:rsid w:val="605A5C34"/>
    <w:rsid w:val="60630B92"/>
    <w:rsid w:val="606E4C0D"/>
    <w:rsid w:val="60935B47"/>
    <w:rsid w:val="60B116A2"/>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5829B2"/>
    <w:rsid w:val="616439F1"/>
    <w:rsid w:val="6166167A"/>
    <w:rsid w:val="617020C2"/>
    <w:rsid w:val="61755B39"/>
    <w:rsid w:val="617A0C46"/>
    <w:rsid w:val="618359D3"/>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177A6E"/>
    <w:rsid w:val="64413D22"/>
    <w:rsid w:val="64470699"/>
    <w:rsid w:val="644B6CD5"/>
    <w:rsid w:val="646253D3"/>
    <w:rsid w:val="64627D01"/>
    <w:rsid w:val="6473435B"/>
    <w:rsid w:val="64864D44"/>
    <w:rsid w:val="6497295D"/>
    <w:rsid w:val="64A01013"/>
    <w:rsid w:val="64C76164"/>
    <w:rsid w:val="64D3186F"/>
    <w:rsid w:val="64EF2266"/>
    <w:rsid w:val="64F25EBC"/>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D4D5B"/>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7D6E22"/>
    <w:rsid w:val="688356D2"/>
    <w:rsid w:val="68945561"/>
    <w:rsid w:val="689D6C87"/>
    <w:rsid w:val="68A05E34"/>
    <w:rsid w:val="68A4599C"/>
    <w:rsid w:val="68AD0074"/>
    <w:rsid w:val="68AF3ACE"/>
    <w:rsid w:val="68D4182F"/>
    <w:rsid w:val="68DA458B"/>
    <w:rsid w:val="68E565D8"/>
    <w:rsid w:val="68ED4DA7"/>
    <w:rsid w:val="68FC5EBD"/>
    <w:rsid w:val="69122538"/>
    <w:rsid w:val="69194FE8"/>
    <w:rsid w:val="691F4315"/>
    <w:rsid w:val="69544350"/>
    <w:rsid w:val="69703FA0"/>
    <w:rsid w:val="699374CC"/>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A933EA"/>
    <w:rsid w:val="6AB909BB"/>
    <w:rsid w:val="6ABA0C51"/>
    <w:rsid w:val="6ABD020C"/>
    <w:rsid w:val="6ADD6D64"/>
    <w:rsid w:val="6B0F06C2"/>
    <w:rsid w:val="6B1271E1"/>
    <w:rsid w:val="6B2B6878"/>
    <w:rsid w:val="6B633F4F"/>
    <w:rsid w:val="6B70680D"/>
    <w:rsid w:val="6B816F14"/>
    <w:rsid w:val="6B8A298B"/>
    <w:rsid w:val="6B8A779B"/>
    <w:rsid w:val="6BAD6C20"/>
    <w:rsid w:val="6BB456BB"/>
    <w:rsid w:val="6BB62A44"/>
    <w:rsid w:val="6BB805D1"/>
    <w:rsid w:val="6BBA26E8"/>
    <w:rsid w:val="6BD81D0A"/>
    <w:rsid w:val="6BE052CE"/>
    <w:rsid w:val="6BF2692A"/>
    <w:rsid w:val="6BF358A4"/>
    <w:rsid w:val="6C051F4E"/>
    <w:rsid w:val="6C096C12"/>
    <w:rsid w:val="6C1A5960"/>
    <w:rsid w:val="6C2471CC"/>
    <w:rsid w:val="6C417EB8"/>
    <w:rsid w:val="6C472EBA"/>
    <w:rsid w:val="6C613F45"/>
    <w:rsid w:val="6C6677E4"/>
    <w:rsid w:val="6C756221"/>
    <w:rsid w:val="6C7B08BB"/>
    <w:rsid w:val="6C816AF9"/>
    <w:rsid w:val="6C846694"/>
    <w:rsid w:val="6CA841D2"/>
    <w:rsid w:val="6CB10385"/>
    <w:rsid w:val="6CC52349"/>
    <w:rsid w:val="6CC62031"/>
    <w:rsid w:val="6CDF0F3A"/>
    <w:rsid w:val="6CE47854"/>
    <w:rsid w:val="6D0D25B8"/>
    <w:rsid w:val="6D490A6B"/>
    <w:rsid w:val="6D582A6D"/>
    <w:rsid w:val="6D604FD1"/>
    <w:rsid w:val="6D635FBA"/>
    <w:rsid w:val="6D6534EB"/>
    <w:rsid w:val="6D6C0EA8"/>
    <w:rsid w:val="6D732F9C"/>
    <w:rsid w:val="6D9239A2"/>
    <w:rsid w:val="6DB664EE"/>
    <w:rsid w:val="6DB8616B"/>
    <w:rsid w:val="6DBC6250"/>
    <w:rsid w:val="6DC64BAC"/>
    <w:rsid w:val="6E037AD7"/>
    <w:rsid w:val="6E056523"/>
    <w:rsid w:val="6E074EC9"/>
    <w:rsid w:val="6E1119D2"/>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22C07"/>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BC6D17"/>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55539E"/>
    <w:rsid w:val="72600D68"/>
    <w:rsid w:val="72604620"/>
    <w:rsid w:val="726B02C1"/>
    <w:rsid w:val="726D2C67"/>
    <w:rsid w:val="728C5ACB"/>
    <w:rsid w:val="729A0F74"/>
    <w:rsid w:val="72F03574"/>
    <w:rsid w:val="72F77CB6"/>
    <w:rsid w:val="72FF004B"/>
    <w:rsid w:val="731438BD"/>
    <w:rsid w:val="733155C8"/>
    <w:rsid w:val="73422D3C"/>
    <w:rsid w:val="73625723"/>
    <w:rsid w:val="737007D9"/>
    <w:rsid w:val="738B5B50"/>
    <w:rsid w:val="73AA53A0"/>
    <w:rsid w:val="73B04F6B"/>
    <w:rsid w:val="73D20D1A"/>
    <w:rsid w:val="73DB2866"/>
    <w:rsid w:val="73E168D2"/>
    <w:rsid w:val="73E873C4"/>
    <w:rsid w:val="73F07AA4"/>
    <w:rsid w:val="74010DBC"/>
    <w:rsid w:val="74054701"/>
    <w:rsid w:val="740D2C3F"/>
    <w:rsid w:val="74135925"/>
    <w:rsid w:val="742827DB"/>
    <w:rsid w:val="742D6CA9"/>
    <w:rsid w:val="742E58A2"/>
    <w:rsid w:val="74525628"/>
    <w:rsid w:val="745F06BF"/>
    <w:rsid w:val="746A1E3C"/>
    <w:rsid w:val="746C713B"/>
    <w:rsid w:val="748D2368"/>
    <w:rsid w:val="749217E0"/>
    <w:rsid w:val="74962C31"/>
    <w:rsid w:val="74B22D8C"/>
    <w:rsid w:val="74C26B38"/>
    <w:rsid w:val="74C55FC1"/>
    <w:rsid w:val="74CC7EC1"/>
    <w:rsid w:val="74DA7552"/>
    <w:rsid w:val="74DF0134"/>
    <w:rsid w:val="74E41FDD"/>
    <w:rsid w:val="74EF6361"/>
    <w:rsid w:val="74F347DF"/>
    <w:rsid w:val="74FA7FE6"/>
    <w:rsid w:val="74FD4A9B"/>
    <w:rsid w:val="7516167C"/>
    <w:rsid w:val="751D43A6"/>
    <w:rsid w:val="75453AE1"/>
    <w:rsid w:val="75573AC9"/>
    <w:rsid w:val="75595449"/>
    <w:rsid w:val="758B283A"/>
    <w:rsid w:val="75B07D22"/>
    <w:rsid w:val="75BD313A"/>
    <w:rsid w:val="75BF6D3D"/>
    <w:rsid w:val="75DC1EF4"/>
    <w:rsid w:val="75E50837"/>
    <w:rsid w:val="75EF5520"/>
    <w:rsid w:val="75F63713"/>
    <w:rsid w:val="760616F0"/>
    <w:rsid w:val="76143A54"/>
    <w:rsid w:val="7637074A"/>
    <w:rsid w:val="763B63B0"/>
    <w:rsid w:val="764772A3"/>
    <w:rsid w:val="767B7960"/>
    <w:rsid w:val="769534B1"/>
    <w:rsid w:val="769A6195"/>
    <w:rsid w:val="76A44430"/>
    <w:rsid w:val="76A71FBB"/>
    <w:rsid w:val="76A74C81"/>
    <w:rsid w:val="76AA5D81"/>
    <w:rsid w:val="76AB50DC"/>
    <w:rsid w:val="76BB3C83"/>
    <w:rsid w:val="76C80EC7"/>
    <w:rsid w:val="76F73D47"/>
    <w:rsid w:val="77006E1F"/>
    <w:rsid w:val="77017493"/>
    <w:rsid w:val="77032A24"/>
    <w:rsid w:val="771670C1"/>
    <w:rsid w:val="772C16E9"/>
    <w:rsid w:val="772C33D8"/>
    <w:rsid w:val="772E7150"/>
    <w:rsid w:val="77683E14"/>
    <w:rsid w:val="77734EA5"/>
    <w:rsid w:val="77A06542"/>
    <w:rsid w:val="77A922C9"/>
    <w:rsid w:val="77AC049C"/>
    <w:rsid w:val="77B23714"/>
    <w:rsid w:val="77BB772D"/>
    <w:rsid w:val="77D43FD2"/>
    <w:rsid w:val="77FA155A"/>
    <w:rsid w:val="781137AD"/>
    <w:rsid w:val="781D13FA"/>
    <w:rsid w:val="782817E9"/>
    <w:rsid w:val="782F4F2E"/>
    <w:rsid w:val="78342545"/>
    <w:rsid w:val="78555C26"/>
    <w:rsid w:val="78640057"/>
    <w:rsid w:val="78810787"/>
    <w:rsid w:val="78826969"/>
    <w:rsid w:val="788E3AAC"/>
    <w:rsid w:val="78B515B5"/>
    <w:rsid w:val="78BC25D4"/>
    <w:rsid w:val="78C21620"/>
    <w:rsid w:val="78CE2D76"/>
    <w:rsid w:val="78EE2375"/>
    <w:rsid w:val="78FA244C"/>
    <w:rsid w:val="78FE1B78"/>
    <w:rsid w:val="79024116"/>
    <w:rsid w:val="790B5E4F"/>
    <w:rsid w:val="790D572F"/>
    <w:rsid w:val="79233654"/>
    <w:rsid w:val="79455569"/>
    <w:rsid w:val="79470AE2"/>
    <w:rsid w:val="795123A8"/>
    <w:rsid w:val="79535AC3"/>
    <w:rsid w:val="79620961"/>
    <w:rsid w:val="79823784"/>
    <w:rsid w:val="79987ED2"/>
    <w:rsid w:val="79AE1AE3"/>
    <w:rsid w:val="79AE77FB"/>
    <w:rsid w:val="79B25E17"/>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674E6"/>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30396B"/>
    <w:rsid w:val="7C8464A1"/>
    <w:rsid w:val="7C9D2D7B"/>
    <w:rsid w:val="7CA26867"/>
    <w:rsid w:val="7CA32436"/>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8A7362"/>
    <w:rsid w:val="7EA574A2"/>
    <w:rsid w:val="7EB138C0"/>
    <w:rsid w:val="7EBB0DC0"/>
    <w:rsid w:val="7EC42E15"/>
    <w:rsid w:val="7EC50C54"/>
    <w:rsid w:val="7ED11A3C"/>
    <w:rsid w:val="7ED91C72"/>
    <w:rsid w:val="7EEB5BB3"/>
    <w:rsid w:val="7F01339C"/>
    <w:rsid w:val="7F016F84"/>
    <w:rsid w:val="7F1568D7"/>
    <w:rsid w:val="7F2E0D24"/>
    <w:rsid w:val="7F312E91"/>
    <w:rsid w:val="7F33645C"/>
    <w:rsid w:val="7F4E4DC2"/>
    <w:rsid w:val="7F66205C"/>
    <w:rsid w:val="7F8B39C1"/>
    <w:rsid w:val="7FA8327A"/>
    <w:rsid w:val="7FB32EED"/>
    <w:rsid w:val="7FB6358D"/>
    <w:rsid w:val="7FE076F1"/>
    <w:rsid w:val="7FF9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color w:val="0000FF"/>
      <w:u w:val="single"/>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3487</Words>
  <Characters>3873</Characters>
  <Lines>0</Lines>
  <Paragraphs>0</Paragraphs>
  <TotalTime>4</TotalTime>
  <ScaleCrop>false</ScaleCrop>
  <LinksUpToDate>false</LinksUpToDate>
  <CharactersWithSpaces>3989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Gat</cp:lastModifiedBy>
  <cp:lastPrinted>2023-05-26T08:11:00Z</cp:lastPrinted>
  <dcterms:modified xsi:type="dcterms:W3CDTF">2023-08-24T02:52:59Z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