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岳阳市岳阳楼区奇家岭敬老院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38.21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缩减日常经费开支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岳阳市岳阳楼区奇家岭敬老院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84.18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159.42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提高资金利用率，优化项目管理，严格执行政策。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资金严格按用途使用，项目管理到位，政策执行有力，有效地发挥了财政资金的使用效率，较圆满地完成了各项工作任务，年终绩效考核取得了很好的成绩。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资金发放到位率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城乡特困供养金标准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=845元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资金利用率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提高预算控制，缩减开支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特困供养对象救助辖区覆盖率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提高辖区内特困供养对象救助覆盖面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特困供养老人健康管理达标率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奇家岭敬老院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2022年度岳阳楼区奇家岭敬老院单位整体支出绩效自评报告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养老、托老和对农村五保老人的赡养、抚养。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（二）机构设置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现有人数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人；离退休8人。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内设机构包括：院委会、办公室、财务室、后勤组、安全组。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奇家岭敬老院2022年度全年支出174.42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159.42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其他资金5万元，</w:t>
      </w:r>
      <w:r>
        <w:rPr>
          <w:rFonts w:hint="eastAsia" w:ascii="仿宋" w:hAnsi="仿宋" w:eastAsia="仿宋" w:cs="仿宋"/>
          <w:sz w:val="32"/>
          <w:szCs w:val="32"/>
        </w:rPr>
        <w:t>政府性基金预算拨款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万元，国有资本经营预算拨款0万元，财政专户管理资金0万元，上级补助收入0万元，事业单位经营收入0万元，上年结转0万元。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基本支出139.42万元，其中：人员经费36.18万元，主要包括：基本工资、津贴补贴、奖金、绩效工资、机关事业单位基本养老保险缴费、职业年金缴费、职工基本医疗保险缴费、其他社会保障缴费、住房公积金、退休费；商品和服务支出103.24万元，主要包括：办公费、水费、电费、工会经费、维修费、其他交通费用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2022年项目支出35万元，其中：业务工作经费支出35万元，主要用于敬老院日常性工作运转开支。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奇家岭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敬老院</w:t>
      </w:r>
      <w:r>
        <w:rPr>
          <w:rFonts w:ascii="Times New Roman" w:hAnsi="Times New Roman" w:eastAsia="仿宋_GB2312" w:cs="Times New Roman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岳阳楼区</w:t>
      </w:r>
      <w:r>
        <w:rPr>
          <w:rFonts w:ascii="Times New Roman" w:hAnsi="Times New Roman" w:eastAsia="仿宋_GB2312" w:cs="Times New Roman"/>
          <w:sz w:val="32"/>
          <w:szCs w:val="32"/>
        </w:rPr>
        <w:t>财政局关于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</w:t>
      </w:r>
      <w:r>
        <w:rPr>
          <w:rFonts w:ascii="Times New Roman" w:hAnsi="Times New Roman" w:eastAsia="仿宋_GB2312" w:cs="Times New Roman"/>
          <w:sz w:val="32"/>
          <w:szCs w:val="32"/>
        </w:rPr>
        <w:t>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展2022</w:t>
      </w:r>
      <w:r>
        <w:rPr>
          <w:rFonts w:ascii="Times New Roman" w:hAnsi="Times New Roman" w:eastAsia="仿宋_GB2312" w:cs="Times New Roman"/>
          <w:sz w:val="32"/>
          <w:szCs w:val="32"/>
        </w:rPr>
        <w:t>年财政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ascii="Times New Roman" w:hAnsi="Times New Roman" w:eastAsia="仿宋_GB2312" w:cs="Times New Roman"/>
          <w:sz w:val="32"/>
          <w:szCs w:val="32"/>
        </w:rPr>
        <w:t>绩效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自评</w:t>
      </w:r>
      <w:r>
        <w:rPr>
          <w:rFonts w:ascii="Times New Roman" w:hAnsi="Times New Roman" w:eastAsia="仿宋_GB2312" w:cs="Times New Roman"/>
          <w:sz w:val="32"/>
          <w:szCs w:val="32"/>
        </w:rPr>
        <w:t>工作的通知》的要求，对部门整体支出绩效进行了全面评价并按时报送。本次绩效评价中，遵循“深度拓展、提升质量、公正公平、着力实效”的工作原则，继续扎实推进财政绩效评价工作深入开展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具体说明如下：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2022年我院支出174.42万元，其中：基本支出139.42万元，占79.93%，项目支出35元，占20.07%。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区财政足额拨付资金，保障了我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院的正常运转。2022年财政资金安排，确保了单位机构正常运转和社会稳定。2022年我院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预决算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的编制依据充分、科学合理、公开公正，内控管理做到了分级负责，各有侧重，动态监管；资金付款请示和审批均做到严格监管。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1.人员配置：本院在职在编仅有1人，其余工作人员均为临聘，且护工工资不高，难以从社会中聘用，人员较为紧张，维持敬老院日常运转较为吃力。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2.预算支出项目具有预测性和不确定性等特点，容易出现项目绩效目标指标设定不规范，造成实际支出与预算编制不符，需要对预算进行调整或年末结转数额过大。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3.项目管理上需要进一步规范，预算执行和绩效运行监控管理工作仍需进一步提高。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（一）向民政局申请调配人员，增加敬老院工作人员人数，提高敬老院日常运转稳定性。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（二）在今后开展预算绩效管理工作时，与各部门要密切配合，将工作任务细化分解、工作目标跟踪到位，根据本院工作情况采取定量方式制定清晰、可衡量的绩效指标。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（三）严格预算执行，严格按照年初制定的绩效目标，有效控制经费范围、合理合规使用资金、按时完成执行进度。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（四）请区财政局进一步加强对单位项目支出绩效评价工作的培训和指导，促进项目支出绩效评价工作更科学有效。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通过绩效评估，发现工作过程中的各环节中存在的问题，从而作为过程控制的依据，便于为之后的管理工作提出借鉴，作为提升管理水平的依据。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我院严格按照年初预算计划执行，控制各项支出，很好地完成了绩效目标，自评分为96分。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岳阳市岳阳楼区奇家岭敬老院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岳阳市岳阳楼区奇家岭敬老院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维持敬老院日常高效运作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敬老院全年资金利用合理，预算控制到位，特困供养对象满意度高，社会影响好。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资金使用效率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社会影响力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3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A37C1"/>
    <w:multiLevelType w:val="singleLevel"/>
    <w:tmpl w:val="AC0A37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03F290"/>
    <w:multiLevelType w:val="singleLevel"/>
    <w:tmpl w:val="0603F2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6AA2D8"/>
    <w:multiLevelType w:val="singleLevel"/>
    <w:tmpl w:val="216AA2D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  <w:docVar w:name="KSO_WPS_MARK_KEY" w:val="c7fc43ba-ada3-4114-9c0a-29057f8b0c3c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375F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D0CE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D60F5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7F55932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512B6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0F0DD7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16DD1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51418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758B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B5243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7A4D1B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3414</Words>
  <Characters>3805</Characters>
  <Lines>0</Lines>
  <Paragraphs>0</Paragraphs>
  <TotalTime>14</TotalTime>
  <ScaleCrop>false</ScaleCrop>
  <LinksUpToDate>false</LinksUpToDate>
  <CharactersWithSpaces>3937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necrolyte</cp:lastModifiedBy>
  <cp:lastPrinted>2023-05-26T08:11:00Z</cp:lastPrinted>
  <dcterms:modified xsi:type="dcterms:W3CDTF">2024-06-26T02:45:21Z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