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pPr>
        <w:spacing w:line="115" w:lineRule="exact"/>
        <w:rPr>
          <w:color w:val="000000" w:themeColor="text1"/>
          <w14:textFill>
            <w14:solidFill>
              <w14:schemeClr w14:val="tx1"/>
            </w14:solidFill>
          </w14:textFill>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pPr>
              <w:spacing w:before="103" w:line="219" w:lineRule="auto"/>
              <w:ind w:left="708"/>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pPr>
            <w:r>
              <w:rPr>
                <w:rFonts w:hint="eastAsia" w:eastAsia="仿宋_GB2312"/>
                <w:sz w:val="32"/>
                <w:szCs w:val="32"/>
                <w:u w:val="none"/>
                <w:lang w:eastAsia="zh-CN"/>
              </w:rPr>
              <w:t>岳阳市岳阳楼区工伤保险服务中心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9</w:t>
            </w: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7</w:t>
            </w:r>
          </w:p>
        </w:tc>
        <w:tc>
          <w:tcPr>
            <w:tcW w:w="1679"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77.78%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3850" w:type="dxa"/>
            <w:noWrap w:val="0"/>
            <w:vAlign w:val="top"/>
          </w:tcPr>
          <w:p>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0.5</w:t>
            </w:r>
          </w:p>
        </w:tc>
        <w:tc>
          <w:tcPr>
            <w:tcW w:w="2325"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0.6</w:t>
            </w:r>
          </w:p>
        </w:tc>
        <w:tc>
          <w:tcPr>
            <w:tcW w:w="1679"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9" w:hRule="atLeast"/>
        </w:trPr>
        <w:tc>
          <w:tcPr>
            <w:tcW w:w="3850" w:type="dxa"/>
            <w:noWrap w:val="0"/>
            <w:vAlign w:val="top"/>
          </w:tcPr>
          <w:p>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3850" w:type="dxa"/>
            <w:noWrap w:val="0"/>
            <w:vAlign w:val="top"/>
          </w:tcPr>
          <w:p>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0.5</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0.6</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3850" w:type="dxa"/>
            <w:noWrap w:val="0"/>
            <w:vAlign w:val="top"/>
          </w:tcPr>
          <w:p>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pP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2325" w:type="dxa"/>
            <w:gridSpan w:val="2"/>
            <w:noWrap w:val="0"/>
            <w:vAlign w:val="top"/>
          </w:tcPr>
          <w:p>
            <w:pP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1679" w:type="dxa"/>
            <w:gridSpan w:val="2"/>
            <w:noWrap w:val="0"/>
            <w:vAlign w:val="top"/>
          </w:tcPr>
          <w:p>
            <w:pP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3850" w:type="dxa"/>
            <w:noWrap w:val="0"/>
            <w:vAlign w:val="top"/>
          </w:tcPr>
          <w:p>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0" w:hRule="atLeast"/>
        </w:trPr>
        <w:tc>
          <w:tcPr>
            <w:tcW w:w="3850" w:type="dxa"/>
            <w:noWrap w:val="0"/>
            <w:vAlign w:val="top"/>
          </w:tcPr>
          <w:p>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3850" w:type="dxa"/>
            <w:noWrap w:val="0"/>
            <w:vAlign w:val="top"/>
          </w:tcPr>
          <w:p>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noWrap w:val="0"/>
            <w:vAlign w:val="top"/>
          </w:tcPr>
          <w:p>
            <w:pPr>
              <w:spacing w:before="85" w:line="220" w:lineRule="auto"/>
              <w:ind w:left="9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67.22</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12.6</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3850" w:type="dxa"/>
            <w:noWrap w:val="0"/>
            <w:vAlign w:val="top"/>
          </w:tcPr>
          <w:p>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36.4</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1.74</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3850" w:type="dxa"/>
            <w:noWrap w:val="0"/>
            <w:vAlign w:val="top"/>
          </w:tcPr>
          <w:p>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1.38</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1.07</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3850" w:type="dxa"/>
            <w:noWrap w:val="0"/>
            <w:vAlign w:val="top"/>
          </w:tcPr>
          <w:p>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0.13</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 w:hRule="atLeast"/>
        </w:trPr>
        <w:tc>
          <w:tcPr>
            <w:tcW w:w="3850" w:type="dxa"/>
            <w:noWrap w:val="0"/>
            <w:vAlign w:val="top"/>
          </w:tcPr>
          <w:p>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auto"/>
                <w:spacing w:val="-1"/>
                <w:sz w:val="24"/>
                <w:szCs w:val="24"/>
              </w:rPr>
              <w:t>政府采购金额</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29.91</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16.6</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33.79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3850" w:type="dxa"/>
            <w:noWrap w:val="0"/>
            <w:vAlign w:val="top"/>
          </w:tcPr>
          <w:p>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850" w:type="dxa"/>
            <w:vMerge w:val="restart"/>
            <w:tcBorders>
              <w:bottom w:val="nil"/>
            </w:tcBorders>
            <w:noWrap w:val="0"/>
            <w:vAlign w:val="center"/>
          </w:tcPr>
          <w:p>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15"/>
                <w:szCs w:val="15"/>
                <w:lang w:val="en-US" w:eastAsia="zh-CN"/>
                <w14:textFill>
                  <w14:solidFill>
                    <w14:schemeClr w14:val="tx1"/>
                  </w14:solidFill>
                </w14:textFill>
              </w:rPr>
              <w:t>1、减少不必要的接待支出，接待支出需有接待函，加班用餐必须先申报再用餐，严格按照接待标准进行接待；2、完善支出申报程序，大额支出需报局领导审批，局领导采购小组审核资金后方可进行；3、严格控制固定资产购销管理。</w:t>
            </w: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w:t>
      </w:r>
      <w:r>
        <w:rPr>
          <w:rFonts w:hint="eastAsia" w:asciiTheme="majorEastAsia" w:hAnsiTheme="majorEastAsia" w:eastAsiaTheme="majorEastAsia" w:cstheme="majorEastAsia"/>
          <w:color w:val="000000" w:themeColor="text1"/>
          <w:spacing w:val="0"/>
          <w:position w:val="0"/>
          <w:sz w:val="23"/>
          <w:szCs w:val="23"/>
          <w:lang w:eastAsia="zh-CN"/>
          <w14:textFill>
            <w14:solidFill>
              <w14:schemeClr w14:val="tx1"/>
            </w14:solidFill>
          </w14:textFill>
        </w:rPr>
        <w:t>陶燕辉</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联系电话： </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13975094556</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李平平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日期：6.12</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pPr>
        <w:spacing w:line="168" w:lineRule="exact"/>
        <w:rPr>
          <w:color w:val="000000" w:themeColor="text1"/>
          <w14:textFill>
            <w14:solidFill>
              <w14:schemeClr w14:val="tx1"/>
            </w14:solidFill>
          </w14:textFill>
        </w:rPr>
      </w:pPr>
    </w:p>
    <w:tbl>
      <w:tblPr>
        <w:tblStyle w:val="8"/>
        <w:tblW w:w="2733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174"/>
        <w:gridCol w:w="1124"/>
        <w:gridCol w:w="1319"/>
        <w:gridCol w:w="1259"/>
        <w:gridCol w:w="719"/>
        <w:gridCol w:w="802"/>
        <w:gridCol w:w="1275"/>
        <w:gridCol w:w="8751"/>
        <w:gridCol w:w="87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trPr>
        <w:tc>
          <w:tcPr>
            <w:tcW w:w="1084" w:type="dxa"/>
            <w:noWrap w:val="0"/>
            <w:vAlign w:val="top"/>
          </w:tcPr>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top"/>
          </w:tcPr>
          <w:p>
            <w:pPr>
              <w:rPr>
                <w:rFonts w:ascii="Arial"/>
                <w:color w:val="000000" w:themeColor="text1"/>
                <w:sz w:val="21"/>
                <w14:textFill>
                  <w14:solidFill>
                    <w14:schemeClr w14:val="tx1"/>
                  </w14:solidFill>
                </w14:textFill>
              </w:rPr>
            </w:pPr>
            <w:r>
              <w:rPr>
                <w:rFonts w:hint="eastAsia" w:eastAsia="仿宋_GB2312"/>
                <w:sz w:val="24"/>
                <w:szCs w:val="24"/>
                <w:u w:val="none"/>
                <w:lang w:eastAsia="zh-CN"/>
              </w:rPr>
              <w:t>岳阳市岳阳楼区工伤保险服务中心</w:t>
            </w:r>
          </w:p>
        </w:tc>
        <w:tc>
          <w:tcPr>
            <w:tcW w:w="8751" w:type="dxa"/>
            <w:noWrap w:val="0"/>
            <w:vAlign w:val="top"/>
          </w:tcPr>
          <w:p>
            <w:pPr>
              <w:rPr>
                <w:rFonts w:hint="eastAsia" w:eastAsia="仿宋_GB2312"/>
                <w:sz w:val="24"/>
                <w:szCs w:val="24"/>
                <w:u w:val="none"/>
                <w:lang w:eastAsia="zh-CN"/>
              </w:rPr>
            </w:pPr>
          </w:p>
        </w:tc>
        <w:tc>
          <w:tcPr>
            <w:tcW w:w="8751" w:type="dxa"/>
            <w:noWrap w:val="0"/>
            <w:vAlign w:val="top"/>
          </w:tcPr>
          <w:p>
            <w:pPr>
              <w:rPr>
                <w:rFonts w:hint="eastAsia" w:eastAsia="仿宋_GB2312"/>
                <w:sz w:val="24"/>
                <w:szCs w:val="24"/>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2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124"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2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124"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113.07</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136.45</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136.45</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position w:val="-3"/>
                <w:sz w:val="20"/>
                <w:szCs w:val="20"/>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w:t>
            </w: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color w:val="000000" w:themeColor="text1"/>
                <w:spacing w:val="0"/>
                <w:sz w:val="20"/>
                <w:lang w:val="en-US" w:eastAsia="zh-CN"/>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color w:val="000000" w:themeColor="text1"/>
                <w:spacing w:val="0"/>
                <w:sz w:val="20"/>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r>
              <w:rPr>
                <w:rFonts w:hint="eastAsia" w:ascii="宋体" w:hAnsi="宋体" w:eastAsia="宋体" w:cs="宋体"/>
                <w:color w:val="000000" w:themeColor="text1"/>
                <w:spacing w:val="0"/>
                <w:sz w:val="21"/>
                <w:szCs w:val="21"/>
                <w:lang w:val="en-US" w:eastAsia="zh-CN"/>
                <w14:textFill>
                  <w14:solidFill>
                    <w14:schemeClr w14:val="tx1"/>
                  </w14:solidFill>
                </w14:textFill>
              </w:rPr>
              <w:t>136.45</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r>
              <w:rPr>
                <w:rFonts w:hint="eastAsia" w:ascii="宋体" w:hAnsi="宋体" w:eastAsia="宋体" w:cs="宋体"/>
                <w:color w:val="000000" w:themeColor="text1"/>
                <w:spacing w:val="0"/>
                <w:sz w:val="21"/>
                <w:szCs w:val="21"/>
                <w:lang w:val="en-US" w:eastAsia="zh-CN"/>
                <w14:textFill>
                  <w14:solidFill>
                    <w14:schemeClr w14:val="tx1"/>
                  </w14:solidFill>
                </w14:textFill>
              </w:rPr>
              <w:t>136.45</w:t>
            </w: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宋体" w:hAnsi="宋体" w:eastAsia="宋体" w:cs="宋体"/>
                <w:color w:val="000000" w:themeColor="text1"/>
                <w:spacing w:val="0"/>
                <w:sz w:val="21"/>
                <w:szCs w:val="21"/>
                <w:lang w:val="en-US" w:eastAsia="zh-CN"/>
                <w14:textFill>
                  <w14:solidFill>
                    <w14:schemeClr w14:val="tx1"/>
                  </w14:solidFill>
                </w14:textFill>
              </w:rPr>
              <w:t>136.45</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auto"/>
                <w:spacing w:val="0"/>
                <w:sz w:val="21"/>
                <w:szCs w:val="21"/>
                <w:lang w:val="en-US" w:eastAsia="zh-CN"/>
              </w:rPr>
            </w:pPr>
            <w:r>
              <w:rPr>
                <w:rFonts w:ascii="宋体" w:hAnsi="宋体" w:eastAsia="宋体" w:cs="宋体"/>
                <w:color w:val="auto"/>
                <w:spacing w:val="0"/>
                <w:sz w:val="21"/>
                <w:szCs w:val="21"/>
              </w:rPr>
              <w:t>其中：基本支出：</w:t>
            </w:r>
            <w:r>
              <w:rPr>
                <w:rFonts w:hint="eastAsia" w:ascii="宋体" w:hAnsi="宋体" w:eastAsia="宋体" w:cs="宋体"/>
                <w:color w:val="auto"/>
                <w:spacing w:val="0"/>
                <w:sz w:val="21"/>
                <w:szCs w:val="21"/>
                <w:lang w:val="en-US" w:eastAsia="zh-CN"/>
              </w:rPr>
              <w:t>136.45</w:t>
            </w: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ascii="宋体" w:hAnsi="宋体" w:eastAsia="宋体" w:cs="宋体"/>
                <w:color w:val="auto"/>
                <w:spacing w:val="0"/>
                <w:sz w:val="21"/>
                <w:szCs w:val="21"/>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ascii="宋体" w:hAnsi="宋体" w:eastAsia="宋体" w:cs="宋体"/>
                <w:color w:val="auto"/>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ascii="宋体" w:hAnsi="宋体" w:eastAsia="宋体" w:cs="宋体"/>
                <w:color w:val="auto"/>
                <w:spacing w:val="0"/>
                <w:sz w:val="21"/>
                <w:szCs w:val="21"/>
              </w:rPr>
            </w:pPr>
            <w:r>
              <w:rPr>
                <w:rFonts w:ascii="宋体" w:hAnsi="宋体" w:eastAsia="宋体" w:cs="宋体"/>
                <w:color w:val="auto"/>
                <w:spacing w:val="0"/>
                <w:sz w:val="21"/>
                <w:szCs w:val="21"/>
              </w:rPr>
              <w:t>项目支出：</w:t>
            </w: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ascii="宋体" w:hAnsi="宋体" w:eastAsia="宋体" w:cs="宋体"/>
                <w:color w:val="auto"/>
                <w:spacing w:val="0"/>
                <w:sz w:val="21"/>
                <w:szCs w:val="21"/>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ascii="宋体" w:hAnsi="宋体" w:eastAsia="宋体" w:cs="宋体"/>
                <w:color w:val="auto"/>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仿宋_GB2312" w:hAnsi="仿宋_GB2312" w:eastAsia="仿宋_GB2312" w:cs="仿宋_GB2312"/>
                <w:color w:val="000000"/>
                <w:sz w:val="15"/>
                <w:szCs w:val="15"/>
                <w:lang w:eastAsia="zh-CN"/>
              </w:rPr>
            </w:pPr>
            <w:r>
              <w:rPr>
                <w:rFonts w:hint="eastAsia" w:ascii="仿宋_GB2312" w:hAnsi="仿宋_GB2312" w:eastAsia="仿宋_GB2312" w:cs="仿宋_GB2312"/>
                <w:color w:val="000000"/>
                <w:sz w:val="15"/>
                <w:szCs w:val="15"/>
                <w:lang w:eastAsia="zh-CN"/>
              </w:rPr>
              <w:t>目标1：负责办理楼区用人单位参加工伤保险业务（3047家）；</w:t>
            </w:r>
          </w:p>
          <w:p>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仿宋_GB2312" w:hAnsi="仿宋_GB2312" w:eastAsia="仿宋_GB2312" w:cs="仿宋_GB2312"/>
                <w:color w:val="000000"/>
                <w:sz w:val="15"/>
                <w:szCs w:val="15"/>
                <w:lang w:eastAsia="zh-CN"/>
              </w:rPr>
            </w:pPr>
            <w:r>
              <w:rPr>
                <w:rFonts w:hint="eastAsia" w:ascii="仿宋_GB2312" w:hAnsi="仿宋_GB2312" w:eastAsia="仿宋_GB2312" w:cs="仿宋_GB2312"/>
                <w:color w:val="000000"/>
                <w:sz w:val="15"/>
                <w:szCs w:val="15"/>
                <w:lang w:eastAsia="zh-CN"/>
              </w:rPr>
              <w:t>目标2.组织参保单位开展工伤预防和安全卫生教育培训工作；</w:t>
            </w:r>
          </w:p>
          <w:p>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ascii="Arial"/>
                <w:color w:val="000000" w:themeColor="text1"/>
                <w:spacing w:val="0"/>
                <w:sz w:val="15"/>
                <w:szCs w:val="15"/>
                <w14:textFill>
                  <w14:solidFill>
                    <w14:schemeClr w14:val="tx1"/>
                  </w14:solidFill>
                </w14:textFill>
              </w:rPr>
            </w:pPr>
            <w:r>
              <w:rPr>
                <w:rFonts w:hint="eastAsia" w:ascii="仿宋_GB2312" w:hAnsi="仿宋_GB2312" w:eastAsia="仿宋_GB2312" w:cs="仿宋_GB2312"/>
                <w:color w:val="000000"/>
                <w:sz w:val="15"/>
                <w:szCs w:val="15"/>
                <w:lang w:eastAsia="zh-CN"/>
              </w:rPr>
              <w:t>目标3.楼区财政拨款的机关事业单位和社区发生的工伤事故的事故勘察工作。</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仿宋_GB2312" w:hAnsi="仿宋_GB2312" w:eastAsia="仿宋_GB2312" w:cs="仿宋_GB2312"/>
                <w:color w:val="000000"/>
                <w:sz w:val="15"/>
                <w:szCs w:val="15"/>
                <w:lang w:eastAsia="zh-CN"/>
              </w:rPr>
            </w:pPr>
            <w:r>
              <w:rPr>
                <w:rFonts w:hint="eastAsia" w:ascii="仿宋_GB2312" w:hAnsi="仿宋_GB2312" w:eastAsia="仿宋_GB2312" w:cs="仿宋_GB2312"/>
                <w:color w:val="000000"/>
                <w:sz w:val="15"/>
                <w:szCs w:val="15"/>
                <w:lang w:eastAsia="zh-CN"/>
              </w:rPr>
              <w:t>目标1：楼区新增工伤保险参保单位共351家，年底全区参保单位累计数达到3047家。</w:t>
            </w:r>
          </w:p>
          <w:p>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ascii="Arial"/>
                <w:color w:val="000000" w:themeColor="text1"/>
                <w:spacing w:val="0"/>
                <w:sz w:val="15"/>
                <w:szCs w:val="15"/>
                <w14:textFill>
                  <w14:solidFill>
                    <w14:schemeClr w14:val="tx1"/>
                  </w14:solidFill>
                </w14:textFill>
              </w:rPr>
            </w:pPr>
            <w:r>
              <w:rPr>
                <w:rFonts w:hint="eastAsia" w:ascii="仿宋_GB2312" w:hAnsi="仿宋_GB2312" w:eastAsia="仿宋_GB2312" w:cs="仿宋_GB2312"/>
                <w:color w:val="000000"/>
                <w:sz w:val="15"/>
                <w:szCs w:val="15"/>
                <w:lang w:eastAsia="zh-CN"/>
              </w:rPr>
              <w:t>目标2：举办了以“春风行动送岗位，工伤保险伴我行”、“工伤预防进街道、共护安全促平安”为主题的街道社区工伤保险集中宣传活动；开启企业单位专场宣传，前往物流、化工、建筑工地、环卫等系统，广泛开展走街入巷和定点上门现场政策宣讲。                                             目标3：开展楼区内工伤事故勘察</w:t>
            </w:r>
            <w:r>
              <w:rPr>
                <w:rFonts w:hint="eastAsia" w:ascii="仿宋_GB2312" w:hAnsi="仿宋_GB2312" w:eastAsia="仿宋_GB2312" w:cs="仿宋_GB2312"/>
                <w:color w:val="000000"/>
                <w:sz w:val="15"/>
                <w:szCs w:val="15"/>
                <w:lang w:val="en-US" w:eastAsia="zh-CN"/>
              </w:rPr>
              <w:t>86</w:t>
            </w:r>
            <w:r>
              <w:rPr>
                <w:rFonts w:hint="eastAsia" w:ascii="仿宋_GB2312" w:hAnsi="仿宋_GB2312" w:eastAsia="仿宋_GB2312" w:cs="仿宋_GB2312"/>
                <w:color w:val="000000"/>
                <w:sz w:val="15"/>
                <w:szCs w:val="15"/>
                <w:lang w:eastAsia="zh-CN"/>
              </w:rPr>
              <w:t>起。勘察工伤案件，事故事实清楚、证据明晰、档案规范。已建立中心事故勘察案件数据库、档案库，拟定工伤事故勘察流程图、风险管控点。</w:t>
            </w: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仿宋_GB2312" w:hAnsi="仿宋_GB2312" w:eastAsia="仿宋_GB2312" w:cs="仿宋_GB2312"/>
                <w:color w:val="000000"/>
                <w:sz w:val="15"/>
                <w:szCs w:val="15"/>
                <w:lang w:eastAsia="zh-CN"/>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仿宋_GB2312" w:hAnsi="仿宋_GB2312" w:eastAsia="仿宋_GB2312" w:cs="仿宋_GB2312"/>
                <w:color w:val="000000"/>
                <w:sz w:val="15"/>
                <w:szCs w:val="15"/>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9" w:hRule="atLeast"/>
        </w:trPr>
        <w:tc>
          <w:tcPr>
            <w:tcW w:w="1084" w:type="dxa"/>
            <w:vMerge w:val="restart"/>
            <w:tcBorders>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12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0"/>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(50分)</w:t>
            </w:r>
          </w:p>
        </w:tc>
        <w:tc>
          <w:tcPr>
            <w:tcW w:w="1174"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2"/>
                <w:sz w:val="18"/>
                <w:szCs w:val="18"/>
                <w14:textFill>
                  <w14:solidFill>
                    <w14:schemeClr w14:val="tx1"/>
                  </w14:solidFill>
                </w14:textFill>
              </w:rPr>
              <w:t>数量指标</w:t>
            </w:r>
          </w:p>
        </w:tc>
        <w:tc>
          <w:tcPr>
            <w:tcW w:w="1124" w:type="dxa"/>
            <w:noWrap w:val="0"/>
            <w:vAlign w:val="center"/>
          </w:tcPr>
          <w:p>
            <w:pPr>
              <w:keepNext w:val="0"/>
              <w:keepLines w:val="0"/>
              <w:widowControl/>
              <w:suppressLineNumbers w:val="0"/>
              <w:jc w:val="center"/>
              <w:textAlignment w:val="center"/>
              <w:rPr>
                <w:rFonts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负责办理楼区用人单位参加工伤保险业务</w:t>
            </w:r>
          </w:p>
        </w:tc>
        <w:tc>
          <w:tcPr>
            <w:tcW w:w="131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3047家</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3047家</w:t>
            </w:r>
          </w:p>
        </w:tc>
        <w:tc>
          <w:tcPr>
            <w:tcW w:w="719"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18"/>
                <w:szCs w:val="18"/>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18"/>
                <w:szCs w:val="18"/>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74"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1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开展工伤预防和安全卫生教育宣传、培训工作</w:t>
            </w:r>
          </w:p>
        </w:tc>
        <w:tc>
          <w:tcPr>
            <w:tcW w:w="1319" w:type="dxa"/>
            <w:noWrap w:val="0"/>
            <w:vAlign w:val="center"/>
          </w:tcPr>
          <w:p>
            <w:pPr>
              <w:keepNext w:val="0"/>
              <w:keepLines w:val="0"/>
              <w:widowControl/>
              <w:suppressLineNumbers w:val="0"/>
              <w:jc w:val="center"/>
              <w:textAlignment w:val="center"/>
              <w:rPr>
                <w:rFonts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9次</w:t>
            </w:r>
          </w:p>
        </w:tc>
        <w:tc>
          <w:tcPr>
            <w:tcW w:w="1259" w:type="dxa"/>
            <w:noWrap w:val="0"/>
            <w:vAlign w:val="center"/>
          </w:tcPr>
          <w:p>
            <w:pPr>
              <w:keepNext w:val="0"/>
              <w:keepLines w:val="0"/>
              <w:widowControl/>
              <w:suppressLineNumbers w:val="0"/>
              <w:jc w:val="center"/>
              <w:textAlignment w:val="center"/>
              <w:rPr>
                <w:rFonts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9次</w:t>
            </w:r>
          </w:p>
        </w:tc>
        <w:tc>
          <w:tcPr>
            <w:tcW w:w="719"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5"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74" w:type="dxa"/>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12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楼区财政拨款的机关事业单位和社区发生的工伤事故的事故勘察工作</w:t>
            </w:r>
          </w:p>
        </w:tc>
        <w:tc>
          <w:tcPr>
            <w:tcW w:w="1319"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86起</w:t>
            </w:r>
          </w:p>
        </w:tc>
        <w:tc>
          <w:tcPr>
            <w:tcW w:w="125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86起</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2"/>
                <w:sz w:val="18"/>
                <w:szCs w:val="18"/>
                <w14:textFill>
                  <w14:solidFill>
                    <w14:schemeClr w14:val="tx1"/>
                  </w14:solidFill>
                </w14:textFill>
              </w:rPr>
            </w:pPr>
            <w:r>
              <w:rPr>
                <w:rFonts w:ascii="宋体" w:hAnsi="宋体" w:eastAsia="宋体" w:cs="宋体"/>
                <w:color w:val="000000" w:themeColor="text1"/>
                <w:spacing w:val="-2"/>
                <w:sz w:val="18"/>
                <w:szCs w:val="18"/>
                <w14:textFill>
                  <w14:solidFill>
                    <w14:schemeClr w14:val="tx1"/>
                  </w14:solidFill>
                </w14:textFill>
              </w:rPr>
              <w:t>质量指标</w:t>
            </w:r>
          </w:p>
        </w:tc>
        <w:tc>
          <w:tcPr>
            <w:tcW w:w="112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楼区用人单位参加工伤保险登记及网上经办开通，网上操作系统业务指导.</w:t>
            </w:r>
          </w:p>
        </w:tc>
        <w:tc>
          <w:tcPr>
            <w:tcW w:w="131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办结率100%</w:t>
            </w:r>
          </w:p>
        </w:tc>
        <w:tc>
          <w:tcPr>
            <w:tcW w:w="125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办结率100%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4</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4</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18"/>
                <w:szCs w:val="18"/>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18"/>
                <w:szCs w:val="18"/>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p>
        </w:tc>
        <w:tc>
          <w:tcPr>
            <w:tcW w:w="112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rPr>
              <w:t>多层次的宣传工作，促使楼区全范围浓厚的参保氛围，促进了健康楼区、平安楼区建设。</w:t>
            </w:r>
          </w:p>
        </w:tc>
        <w:tc>
          <w:tcPr>
            <w:tcW w:w="1319" w:type="dxa"/>
            <w:noWrap w:val="0"/>
            <w:vAlign w:val="center"/>
          </w:tcPr>
          <w:p>
            <w:pPr>
              <w:keepNext w:val="0"/>
              <w:keepLines w:val="0"/>
              <w:widowControl/>
              <w:suppressLineNumbers w:val="0"/>
              <w:jc w:val="center"/>
              <w:textAlignment w:val="center"/>
              <w:rPr>
                <w:rFonts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18"/>
                <w:szCs w:val="18"/>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3</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3</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18"/>
                <w:szCs w:val="18"/>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18"/>
                <w:szCs w:val="18"/>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74" w:type="dxa"/>
            <w:vMerge w:val="continue"/>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2"/>
                <w:sz w:val="18"/>
                <w:szCs w:val="18"/>
                <w14:textFill>
                  <w14:solidFill>
                    <w14:schemeClr w14:val="tx1"/>
                  </w14:solidFill>
                </w14:textFill>
              </w:rPr>
            </w:pPr>
          </w:p>
        </w:tc>
        <w:tc>
          <w:tcPr>
            <w:tcW w:w="112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勘察工伤案件，事故事实清楚、证据明晰、档案规范.</w:t>
            </w:r>
          </w:p>
        </w:tc>
        <w:tc>
          <w:tcPr>
            <w:tcW w:w="131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办结率100%</w:t>
            </w:r>
          </w:p>
        </w:tc>
        <w:tc>
          <w:tcPr>
            <w:tcW w:w="125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办结率100%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3</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3</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18"/>
                <w:szCs w:val="18"/>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18"/>
                <w:szCs w:val="18"/>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2"/>
                <w:sz w:val="18"/>
                <w:szCs w:val="18"/>
                <w14:textFill>
                  <w14:solidFill>
                    <w14:schemeClr w14:val="tx1"/>
                  </w14:solidFill>
                </w14:textFill>
              </w:rPr>
              <w:t>时效指标</w:t>
            </w:r>
          </w:p>
        </w:tc>
        <w:tc>
          <w:tcPr>
            <w:tcW w:w="112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楼区用人单位减员申报当日办结，新单位参保即时办结.</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当日办结，即时办结。</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当日办结，即时办结</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18"/>
                <w:szCs w:val="18"/>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18"/>
                <w:szCs w:val="18"/>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2"/>
                <w:sz w:val="18"/>
                <w:szCs w:val="18"/>
                <w14:textFill>
                  <w14:solidFill>
                    <w14:schemeClr w14:val="tx1"/>
                  </w14:solidFill>
                </w14:textFill>
              </w:rPr>
            </w:pPr>
          </w:p>
        </w:tc>
        <w:tc>
          <w:tcPr>
            <w:tcW w:w="112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宣传工作按办公室部署推进，并全年辅以岳阳日报、红网岳阳、兴人社等多个平台、大型广告位、大型小区、QQ群为据点的多媒体宣传.</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b w:val="0"/>
                <w:bCs w:val="0"/>
                <w:kern w:val="0"/>
                <w:sz w:val="18"/>
                <w:szCs w:val="18"/>
                <w:lang w:eastAsia="zh-CN"/>
              </w:rPr>
            </w:pPr>
            <w:r>
              <w:rPr>
                <w:rFonts w:hint="eastAsia" w:ascii="仿宋" w:hAnsi="仿宋" w:eastAsia="仿宋" w:cs="仿宋"/>
                <w:i w:val="0"/>
                <w:iCs w:val="0"/>
                <w:color w:val="000000"/>
                <w:kern w:val="0"/>
                <w:sz w:val="22"/>
                <w:szCs w:val="22"/>
                <w:u w:val="none"/>
                <w:lang w:val="en-US" w:eastAsia="zh-CN" w:bidi="ar"/>
              </w:rPr>
              <w:t>按月完成</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color w:val="000000" w:themeColor="text1"/>
                <w:sz w:val="18"/>
                <w:szCs w:val="18"/>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按月完成</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18"/>
                <w:szCs w:val="18"/>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18"/>
                <w:szCs w:val="18"/>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74" w:type="dxa"/>
            <w:vMerge w:val="continue"/>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2"/>
                <w:sz w:val="18"/>
                <w:szCs w:val="18"/>
                <w14:textFill>
                  <w14:solidFill>
                    <w14:schemeClr w14:val="tx1"/>
                  </w14:solidFill>
                </w14:textFill>
              </w:rPr>
            </w:pPr>
          </w:p>
        </w:tc>
        <w:tc>
          <w:tcPr>
            <w:tcW w:w="112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按规定的时间完成工伤事故勘察工作.</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仿宋" w:hAnsi="仿宋" w:eastAsia="仿宋" w:cs="仿宋"/>
                <w:b w:val="0"/>
                <w:bCs w:val="0"/>
                <w:kern w:val="0"/>
                <w:sz w:val="18"/>
                <w:szCs w:val="18"/>
                <w:lang w:val="en-US" w:eastAsia="zh-CN"/>
              </w:rPr>
            </w:pPr>
            <w:r>
              <w:rPr>
                <w:rFonts w:hint="eastAsia" w:ascii="仿宋" w:hAnsi="仿宋" w:eastAsia="仿宋" w:cs="仿宋"/>
                <w:i w:val="0"/>
                <w:iCs w:val="0"/>
                <w:color w:val="000000"/>
                <w:kern w:val="0"/>
                <w:sz w:val="22"/>
                <w:szCs w:val="22"/>
                <w:u w:val="none"/>
                <w:lang w:val="en-US" w:eastAsia="zh-CN" w:bidi="ar"/>
              </w:rPr>
              <w:t>网上申报后30个工作日完成</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color w:val="000000" w:themeColor="text1"/>
                <w:sz w:val="18"/>
                <w:szCs w:val="18"/>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网上申报后30个工作日完成</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18"/>
                <w:szCs w:val="18"/>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18"/>
                <w:szCs w:val="18"/>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74"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2"/>
                <w:sz w:val="18"/>
                <w:szCs w:val="18"/>
                <w14:textFill>
                  <w14:solidFill>
                    <w14:schemeClr w14:val="tx1"/>
                  </w14:solidFill>
                </w14:textFill>
              </w:rPr>
              <w:t>成本指标</w:t>
            </w:r>
          </w:p>
        </w:tc>
        <w:tc>
          <w:tcPr>
            <w:tcW w:w="112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总成本控制</w:t>
            </w:r>
          </w:p>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_GB2312" w:hAnsi="仿宋_GB2312" w:eastAsia="仿宋_GB2312" w:cs="仿宋_GB2312"/>
                <w:color w:val="000000"/>
                <w:sz w:val="18"/>
                <w:szCs w:val="18"/>
                <w:lang w:eastAsia="zh-CN"/>
              </w:rPr>
            </w:pPr>
          </w:p>
        </w:tc>
        <w:tc>
          <w:tcPr>
            <w:tcW w:w="13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both"/>
              <w:textAlignment w:val="auto"/>
              <w:rPr>
                <w:rFonts w:hint="default" w:ascii="Arial" w:eastAsia="仿宋"/>
                <w:color w:val="000000" w:themeColor="text1"/>
                <w:sz w:val="18"/>
                <w:szCs w:val="18"/>
                <w:lang w:val="en-US" w:eastAsia="zh-CN"/>
                <w14:textFill>
                  <w14:solidFill>
                    <w14:schemeClr w14:val="tx1"/>
                  </w14:solidFill>
                </w14:textFill>
              </w:rPr>
            </w:pPr>
            <w:r>
              <w:rPr>
                <w:rFonts w:hint="default" w:ascii="Arial" w:eastAsia="仿宋"/>
                <w:color w:val="000000" w:themeColor="text1"/>
                <w:sz w:val="18"/>
                <w:szCs w:val="18"/>
                <w:lang w:val="en-US" w:eastAsia="zh-CN"/>
                <w14:textFill>
                  <w14:solidFill>
                    <w14:schemeClr w14:val="tx1"/>
                  </w14:solidFill>
                </w14:textFill>
              </w:rPr>
              <w:t>不超过预算投入</w:t>
            </w:r>
          </w:p>
        </w:tc>
        <w:tc>
          <w:tcPr>
            <w:tcW w:w="125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18"/>
                <w:szCs w:val="18"/>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136.45万元</w:t>
            </w:r>
          </w:p>
        </w:tc>
        <w:tc>
          <w:tcPr>
            <w:tcW w:w="7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10</w:t>
            </w:r>
          </w:p>
        </w:tc>
        <w:tc>
          <w:tcPr>
            <w:tcW w:w="8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10</w:t>
            </w:r>
          </w:p>
        </w:tc>
        <w:tc>
          <w:tcPr>
            <w:tcW w:w="12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18"/>
                <w:szCs w:val="18"/>
                <w14:textFill>
                  <w14:solidFill>
                    <w14:schemeClr w14:val="tx1"/>
                  </w14:solidFill>
                </w14:textFill>
              </w:rPr>
            </w:pPr>
          </w:p>
        </w:tc>
        <w:tc>
          <w:tcPr>
            <w:tcW w:w="875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18"/>
                <w:szCs w:val="18"/>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74"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1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_GB2312" w:hAnsi="仿宋_GB2312" w:eastAsia="仿宋_GB2312" w:cs="仿宋_GB2312"/>
                <w:color w:val="000000"/>
                <w:sz w:val="18"/>
                <w:szCs w:val="18"/>
                <w:lang w:eastAsia="zh-CN"/>
              </w:rPr>
            </w:pPr>
          </w:p>
        </w:tc>
        <w:tc>
          <w:tcPr>
            <w:tcW w:w="13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eastAsia="仿宋"/>
                <w:color w:val="000000" w:themeColor="text1"/>
                <w:sz w:val="18"/>
                <w:szCs w:val="18"/>
                <w:lang w:val="en-US" w:eastAsia="zh-CN"/>
                <w14:textFill>
                  <w14:solidFill>
                    <w14:schemeClr w14:val="tx1"/>
                  </w14:solidFill>
                </w14:textFill>
              </w:rPr>
            </w:pPr>
          </w:p>
        </w:tc>
        <w:tc>
          <w:tcPr>
            <w:tcW w:w="12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18"/>
                <w:szCs w:val="18"/>
                <w14:textFill>
                  <w14:solidFill>
                    <w14:schemeClr w14:val="tx1"/>
                  </w14:solidFill>
                </w14:textFill>
              </w:rPr>
            </w:pPr>
          </w:p>
        </w:tc>
        <w:tc>
          <w:tcPr>
            <w:tcW w:w="7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eastAsiaTheme="minorEastAsia"/>
                <w:color w:val="000000" w:themeColor="text1"/>
                <w:sz w:val="18"/>
                <w:szCs w:val="18"/>
                <w:lang w:val="en-US" w:eastAsia="zh-CN"/>
                <w14:textFill>
                  <w14:solidFill>
                    <w14:schemeClr w14:val="tx1"/>
                  </w14:solidFill>
                </w14:textFill>
              </w:rPr>
            </w:pPr>
          </w:p>
        </w:tc>
        <w:tc>
          <w:tcPr>
            <w:tcW w:w="8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eastAsiaTheme="minorEastAsia"/>
                <w:color w:val="000000" w:themeColor="text1"/>
                <w:sz w:val="18"/>
                <w:szCs w:val="18"/>
                <w:lang w:val="en-US" w:eastAsia="zh-CN"/>
                <w14:textFill>
                  <w14:solidFill>
                    <w14:schemeClr w14:val="tx1"/>
                  </w14:solidFill>
                </w14:textFill>
              </w:rPr>
            </w:pP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18"/>
                <w:szCs w:val="18"/>
                <w14:textFill>
                  <w14:solidFill>
                    <w14:schemeClr w14:val="tx1"/>
                  </w14:solidFill>
                </w14:textFill>
              </w:rPr>
            </w:pPr>
          </w:p>
        </w:tc>
        <w:tc>
          <w:tcPr>
            <w:tcW w:w="87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18"/>
                <w:szCs w:val="18"/>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74"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1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_GB2312" w:hAnsi="仿宋_GB2312" w:eastAsia="仿宋_GB2312" w:cs="仿宋_GB2312"/>
                <w:color w:val="000000"/>
                <w:sz w:val="18"/>
                <w:szCs w:val="18"/>
                <w:lang w:eastAsia="zh-CN"/>
              </w:rPr>
            </w:pPr>
          </w:p>
        </w:tc>
        <w:tc>
          <w:tcPr>
            <w:tcW w:w="13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default" w:ascii="Arial" w:eastAsia="仿宋"/>
                <w:color w:val="000000" w:themeColor="text1"/>
                <w:sz w:val="18"/>
                <w:szCs w:val="18"/>
                <w:lang w:val="en-US" w:eastAsia="zh-CN"/>
                <w14:textFill>
                  <w14:solidFill>
                    <w14:schemeClr w14:val="tx1"/>
                  </w14:solidFill>
                </w14:textFill>
              </w:rPr>
            </w:pPr>
          </w:p>
        </w:tc>
        <w:tc>
          <w:tcPr>
            <w:tcW w:w="12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18"/>
                <w:szCs w:val="18"/>
                <w14:textFill>
                  <w14:solidFill>
                    <w14:schemeClr w14:val="tx1"/>
                  </w14:solidFill>
                </w14:textFill>
              </w:rPr>
            </w:pPr>
          </w:p>
        </w:tc>
        <w:tc>
          <w:tcPr>
            <w:tcW w:w="7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18"/>
                <w:szCs w:val="18"/>
                <w:lang w:val="en-US" w:eastAsia="zh-CN"/>
                <w14:textFill>
                  <w14:solidFill>
                    <w14:schemeClr w14:val="tx1"/>
                  </w14:solidFill>
                </w14:textFill>
              </w:rPr>
            </w:pPr>
          </w:p>
        </w:tc>
        <w:tc>
          <w:tcPr>
            <w:tcW w:w="8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18"/>
                <w:szCs w:val="18"/>
                <w:lang w:val="en-US" w:eastAsia="zh-CN"/>
                <w14:textFill>
                  <w14:solidFill>
                    <w14:schemeClr w14:val="tx1"/>
                  </w14:solidFill>
                </w14:textFill>
              </w:rPr>
            </w:pP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18"/>
                <w:szCs w:val="18"/>
                <w14:textFill>
                  <w14:solidFill>
                    <w14:schemeClr w14:val="tx1"/>
                  </w14:solidFill>
                </w14:textFill>
              </w:rPr>
            </w:pPr>
          </w:p>
        </w:tc>
        <w:tc>
          <w:tcPr>
            <w:tcW w:w="87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18"/>
                <w:szCs w:val="18"/>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(30分)</w:t>
            </w:r>
          </w:p>
        </w:tc>
        <w:tc>
          <w:tcPr>
            <w:tcW w:w="11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社会效益指标</w:t>
            </w:r>
          </w:p>
        </w:tc>
        <w:tc>
          <w:tcPr>
            <w:tcW w:w="11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_GB2312" w:hAnsi="仿宋_GB2312" w:eastAsia="仿宋_GB2312" w:cs="仿宋_GB2312"/>
                <w:color w:val="000000"/>
                <w:sz w:val="18"/>
                <w:szCs w:val="18"/>
                <w:lang w:val="en-US" w:eastAsia="zh-CN"/>
              </w:rPr>
              <w:t>增强用人单位和职工知法遵法守法意识，依法维护职工工伤保险权益,加大工伤预防力度，减少工伤事故发生。</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仿宋"/>
                <w:color w:val="000000" w:themeColor="text1"/>
                <w:sz w:val="18"/>
                <w:szCs w:val="18"/>
                <w:lang w:val="en-US" w:eastAsia="zh-CN"/>
                <w14:textFill>
                  <w14:solidFill>
                    <w14:schemeClr w14:val="tx1"/>
                  </w14:solidFill>
                </w14:textFill>
              </w:rPr>
            </w:pPr>
            <w:r>
              <w:rPr>
                <w:rFonts w:hint="eastAsia" w:ascii="仿宋" w:hAnsi="仿宋" w:eastAsia="仿宋" w:cs="仿宋"/>
                <w:b w:val="0"/>
                <w:bCs w:val="0"/>
                <w:color w:val="000000"/>
                <w:sz w:val="18"/>
                <w:szCs w:val="18"/>
                <w:lang w:val="en-US" w:eastAsia="zh-CN"/>
              </w:rPr>
              <w:t>100%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18"/>
                <w:szCs w:val="18"/>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98%</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15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13</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18"/>
                <w:szCs w:val="18"/>
                <w:lang w:eastAsia="zh-CN"/>
                <w14:textFill>
                  <w14:solidFill>
                    <w14:schemeClr w14:val="tx1"/>
                  </w14:solidFill>
                </w14:textFill>
              </w:rPr>
            </w:pPr>
            <w:r>
              <w:rPr>
                <w:rFonts w:hint="eastAsia" w:ascii="Arial"/>
                <w:color w:val="000000" w:themeColor="text1"/>
                <w:sz w:val="18"/>
                <w:szCs w:val="18"/>
                <w14:textFill>
                  <w14:solidFill>
                    <w14:schemeClr w14:val="tx1"/>
                  </w14:solidFill>
                </w14:textFill>
              </w:rPr>
              <w:t>加大</w:t>
            </w:r>
            <w:r>
              <w:rPr>
                <w:rFonts w:hint="eastAsia" w:ascii="Arial"/>
                <w:color w:val="000000" w:themeColor="text1"/>
                <w:sz w:val="18"/>
                <w:szCs w:val="18"/>
                <w:lang w:eastAsia="zh-CN"/>
                <w14:textFill>
                  <w14:solidFill>
                    <w14:schemeClr w14:val="tx1"/>
                  </w14:solidFill>
                </w14:textFill>
              </w:rPr>
              <w:t>工伤</w:t>
            </w:r>
            <w:r>
              <w:rPr>
                <w:rFonts w:hint="eastAsia" w:ascii="Arial"/>
                <w:color w:val="000000" w:themeColor="text1"/>
                <w:sz w:val="18"/>
                <w:szCs w:val="18"/>
                <w14:textFill>
                  <w14:solidFill>
                    <w14:schemeClr w14:val="tx1"/>
                  </w14:solidFill>
                </w14:textFill>
              </w:rPr>
              <w:t>宣传力度</w:t>
            </w:r>
            <w:r>
              <w:rPr>
                <w:rFonts w:hint="eastAsia" w:ascii="Arial"/>
                <w:color w:val="000000" w:themeColor="text1"/>
                <w:sz w:val="18"/>
                <w:szCs w:val="18"/>
                <w:lang w:eastAsia="zh-CN"/>
                <w14:textFill>
                  <w14:solidFill>
                    <w14:schemeClr w14:val="tx1"/>
                  </w14:solidFill>
                </w14:textFill>
              </w:rPr>
              <w:t>，做好工伤预防，减少伤残。</w:t>
            </w: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z w:val="18"/>
                <w:szCs w:val="18"/>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74" w:type="dxa"/>
            <w:vMerge w:val="continue"/>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p>
        </w:tc>
        <w:tc>
          <w:tcPr>
            <w:tcW w:w="112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督促用工单位参加工伤保险，维护劳动用工者合法权益,促使楼区全范围浓厚的参保氛围，促进了健康楼区、平安楼区建设。</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100%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15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13</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Arial" w:eastAsiaTheme="minorEastAsia"/>
                <w:color w:val="000000" w:themeColor="text1"/>
                <w:sz w:val="18"/>
                <w:szCs w:val="18"/>
                <w:lang w:eastAsia="zh-CN"/>
                <w14:textFill>
                  <w14:solidFill>
                    <w14:schemeClr w14:val="tx1"/>
                  </w14:solidFill>
                </w14:textFill>
              </w:rPr>
            </w:pPr>
            <w:r>
              <w:rPr>
                <w:rFonts w:hint="eastAsia" w:ascii="Arial" w:eastAsiaTheme="minorEastAsia"/>
                <w:color w:val="000000" w:themeColor="text1"/>
                <w:sz w:val="18"/>
                <w:szCs w:val="18"/>
                <w:lang w:eastAsia="zh-CN"/>
                <w14:textFill>
                  <w14:solidFill>
                    <w14:schemeClr w14:val="tx1"/>
                  </w14:solidFill>
                </w14:textFill>
              </w:rPr>
              <w:t>加大《工伤保险条例》宣传力度，劳动者更懂法用法，保障劳动者的合法权益.</w:t>
            </w: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z w:val="18"/>
                <w:szCs w:val="18"/>
                <w:lang w:eastAsia="zh-CN"/>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z w:val="18"/>
                <w:szCs w:val="18"/>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174"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2"/>
                <w:sz w:val="18"/>
                <w:szCs w:val="18"/>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3"/>
                <w:sz w:val="18"/>
                <w:szCs w:val="18"/>
                <w14:textFill>
                  <w14:solidFill>
                    <w14:schemeClr w14:val="tx1"/>
                  </w14:solidFill>
                </w14:textFill>
              </w:rPr>
              <w:t>满意度指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标</w:t>
            </w:r>
          </w:p>
        </w:tc>
        <w:tc>
          <w:tcPr>
            <w:tcW w:w="112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群众</w:t>
            </w:r>
            <w:r>
              <w:rPr>
                <w:rFonts w:hint="eastAsia" w:ascii="仿宋_GB2312" w:hAnsi="仿宋_GB2312" w:eastAsia="仿宋_GB2312" w:cs="仿宋_GB2312"/>
                <w:color w:val="000000"/>
                <w:sz w:val="18"/>
                <w:szCs w:val="18"/>
              </w:rPr>
              <w:t>满意度</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r>
              <w:rPr>
                <w:rFonts w:hint="eastAsia" w:ascii="仿宋" w:hAnsi="仿宋" w:eastAsia="仿宋" w:cs="仿宋"/>
                <w:b w:val="0"/>
                <w:bCs w:val="0"/>
                <w:color w:val="000000"/>
                <w:sz w:val="18"/>
                <w:szCs w:val="18"/>
              </w:rPr>
              <w:t>≧9</w:t>
            </w:r>
            <w:r>
              <w:rPr>
                <w:rFonts w:hint="eastAsia" w:ascii="仿宋" w:hAnsi="仿宋" w:eastAsia="仿宋" w:cs="仿宋"/>
                <w:b w:val="0"/>
                <w:bCs w:val="0"/>
                <w:color w:val="000000"/>
                <w:sz w:val="18"/>
                <w:szCs w:val="18"/>
                <w:lang w:val="en-US" w:eastAsia="zh-CN"/>
              </w:rPr>
              <w:t>5</w:t>
            </w:r>
            <w:r>
              <w:rPr>
                <w:rFonts w:hint="eastAsia" w:ascii="仿宋" w:hAnsi="仿宋" w:eastAsia="仿宋" w:cs="仿宋"/>
                <w:b w:val="0"/>
                <w:bCs w:val="0"/>
                <w:color w:val="000000"/>
                <w:sz w:val="18"/>
                <w:szCs w:val="18"/>
              </w:rPr>
              <w:t>%</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r>
              <w:rPr>
                <w:rFonts w:hint="eastAsia" w:ascii="仿宋" w:hAnsi="仿宋" w:eastAsia="仿宋" w:cs="仿宋"/>
                <w:b w:val="0"/>
                <w:bCs w:val="0"/>
                <w:color w:val="000000"/>
                <w:sz w:val="18"/>
                <w:szCs w:val="18"/>
              </w:rPr>
              <w:t>≧9</w:t>
            </w:r>
            <w:r>
              <w:rPr>
                <w:rFonts w:hint="eastAsia" w:ascii="仿宋" w:hAnsi="仿宋" w:eastAsia="仿宋" w:cs="仿宋"/>
                <w:b w:val="0"/>
                <w:bCs w:val="0"/>
                <w:color w:val="000000"/>
                <w:sz w:val="18"/>
                <w:szCs w:val="18"/>
                <w:lang w:val="en-US" w:eastAsia="zh-CN"/>
              </w:rPr>
              <w:t>5</w:t>
            </w:r>
            <w:r>
              <w:rPr>
                <w:rFonts w:hint="eastAsia" w:ascii="仿宋" w:hAnsi="仿宋" w:eastAsia="仿宋" w:cs="仿宋"/>
                <w:b w:val="0"/>
                <w:bCs w:val="0"/>
                <w:color w:val="000000"/>
                <w:sz w:val="18"/>
                <w:szCs w:val="18"/>
              </w:rPr>
              <w:t>%</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9</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系统问题不断</w:t>
            </w:r>
            <w:r>
              <w:rPr>
                <w:rFonts w:hint="eastAsia" w:ascii="Arial"/>
                <w:color w:val="000000" w:themeColor="text1"/>
                <w:sz w:val="18"/>
                <w:szCs w:val="18"/>
                <w:lang w:val="en-US" w:eastAsia="zh-CN"/>
                <w14:textFill>
                  <w14:solidFill>
                    <w14:schemeClr w14:val="tx1"/>
                  </w14:solidFill>
                </w14:textFill>
              </w:rPr>
              <w:t>,</w:t>
            </w:r>
            <w:r>
              <w:rPr>
                <w:rFonts w:hint="eastAsia" w:ascii="Arial"/>
                <w:color w:val="000000" w:themeColor="text1"/>
                <w:sz w:val="18"/>
                <w:szCs w:val="18"/>
                <w14:textFill>
                  <w14:solidFill>
                    <w14:schemeClr w14:val="tx1"/>
                  </w14:solidFill>
                </w14:textFill>
              </w:rPr>
              <w:t>受服务对象诟病。态度要热情、服务要周到。</w:t>
            </w: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color w:val="000000" w:themeColor="text1"/>
                <w:sz w:val="18"/>
                <w:szCs w:val="18"/>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8751"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ascii="仿宋" w:hAnsi="仿宋" w:eastAsia="仿宋" w:cs="仿宋"/>
          <w:color w:val="000000" w:themeColor="text1"/>
          <w:spacing w:val="9"/>
          <w:sz w:val="22"/>
          <w:szCs w:val="22"/>
          <w14:textFill>
            <w14:solidFill>
              <w14:schemeClr w14:val="tx1"/>
            </w14:solidFill>
          </w14:textFill>
        </w:rPr>
        <w:t xml:space="preserve"> </w:t>
      </w:r>
      <w:r>
        <w:rPr>
          <w:rFonts w:hint="eastAsia" w:ascii="仿宋" w:hAnsi="仿宋" w:eastAsia="仿宋" w:cs="仿宋"/>
          <w:color w:val="000000" w:themeColor="text1"/>
          <w:spacing w:val="9"/>
          <w:sz w:val="22"/>
          <w:szCs w:val="22"/>
          <w:lang w:eastAsia="zh-CN"/>
          <w14:textFill>
            <w14:solidFill>
              <w14:schemeClr w14:val="tx1"/>
            </w14:solidFill>
          </w14:textFill>
        </w:rPr>
        <w:t>陶燕辉</w:t>
      </w:r>
      <w:r>
        <w:rPr>
          <w:rFonts w:hint="eastAsia" w:ascii="仿宋" w:hAnsi="仿宋" w:eastAsia="仿宋" w:cs="仿宋"/>
          <w:color w:val="000000" w:themeColor="text1"/>
          <w:spacing w:val="9"/>
          <w:sz w:val="22"/>
          <w:szCs w:val="22"/>
          <w:lang w:val="en-US" w:eastAsia="zh-CN"/>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hint="eastAsia" w:ascii="仿宋" w:hAnsi="仿宋" w:eastAsia="仿宋" w:cs="仿宋"/>
          <w:color w:val="000000" w:themeColor="text1"/>
          <w:spacing w:val="2"/>
          <w:sz w:val="22"/>
          <w:szCs w:val="22"/>
          <w:lang w:val="en-US" w:eastAsia="zh-CN"/>
          <w14:textFill>
            <w14:solidFill>
              <w14:schemeClr w14:val="tx1"/>
            </w14:solidFill>
          </w14:textFill>
        </w:rPr>
        <w:t>13975094556</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李平平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ascii="仿宋" w:hAnsi="仿宋" w:eastAsia="仿宋" w:cs="仿宋"/>
          <w:color w:val="000000" w:themeColor="text1"/>
          <w:spacing w:val="3"/>
          <w:sz w:val="22"/>
          <w:szCs w:val="22"/>
          <w14:textFill>
            <w14:solidFill>
              <w14:schemeClr w14:val="tx1"/>
            </w14:solidFill>
          </w14:textFill>
        </w:rPr>
        <w:t xml:space="preserve">  </w:t>
      </w:r>
      <w:r>
        <w:rPr>
          <w:rFonts w:hint="eastAsia" w:ascii="仿宋" w:hAnsi="仿宋" w:eastAsia="仿宋" w:cs="仿宋"/>
          <w:color w:val="000000" w:themeColor="text1"/>
          <w:spacing w:val="3"/>
          <w:sz w:val="22"/>
          <w:szCs w:val="22"/>
          <w:lang w:val="en-US" w:eastAsia="zh-CN"/>
          <w14:textFill>
            <w14:solidFill>
              <w14:schemeClr w14:val="tx1"/>
            </w14:solidFill>
          </w14:textFill>
        </w:rPr>
        <w:t>6.12</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2022年度岳阳市岳阳楼区工伤保险服务中心整体支出</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2023年6月12日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2022年度岳阳楼区工伤保险服务中心</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pPr>
        <w:pStyle w:val="4"/>
        <w:keepNext w:val="0"/>
        <w:keepLines w:val="0"/>
        <w:widowControl/>
        <w:suppressLineNumbers w:val="0"/>
        <w:pBdr>
          <w:bottom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color w:val="000000"/>
          <w:sz w:val="22"/>
          <w:szCs w:val="22"/>
        </w:rPr>
        <w:t>（一）职能职责 </w:t>
      </w:r>
    </w:p>
    <w:p>
      <w:pPr>
        <w:pStyle w:val="4"/>
        <w:keepNext w:val="0"/>
        <w:keepLines w:val="0"/>
        <w:widowControl/>
        <w:suppressLineNumbers w:val="0"/>
        <w:pBdr>
          <w:bottom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color w:val="000000"/>
          <w:sz w:val="22"/>
          <w:szCs w:val="22"/>
        </w:rPr>
        <w:t>1、负责宣传贯彻落实工伤保险政策和法律法规。 </w:t>
      </w:r>
    </w:p>
    <w:p>
      <w:pPr>
        <w:pStyle w:val="4"/>
        <w:keepNext w:val="0"/>
        <w:keepLines w:val="0"/>
        <w:widowControl/>
        <w:suppressLineNumbers w:val="0"/>
        <w:pBdr>
          <w:bottom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color w:val="000000"/>
          <w:sz w:val="22"/>
          <w:szCs w:val="22"/>
        </w:rPr>
        <w:t>2、认真执行市工伤保险基金征缴和管理政策、待遇项目、给付标准以及工伤保险费社会统筹政策和工伤保险行业差别费率等办法。 </w:t>
      </w:r>
    </w:p>
    <w:p>
      <w:pPr>
        <w:pStyle w:val="4"/>
        <w:keepNext w:val="0"/>
        <w:keepLines w:val="0"/>
        <w:widowControl/>
        <w:suppressLineNumbers w:val="0"/>
        <w:pBdr>
          <w:bottom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color w:val="000000"/>
          <w:sz w:val="22"/>
          <w:szCs w:val="22"/>
        </w:rPr>
        <w:t>3、负责对用人单位参加工伤保险的情况进行督促检查，组织有关部门指导参保单位开展工伤预防和安全卫生教育培训工作，协调处理工伤保险工作中的各种关系和纠纷。 </w:t>
      </w:r>
    </w:p>
    <w:p>
      <w:pPr>
        <w:pStyle w:val="4"/>
        <w:keepNext w:val="0"/>
        <w:keepLines w:val="0"/>
        <w:widowControl/>
        <w:suppressLineNumbers w:val="0"/>
        <w:pBdr>
          <w:bottom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color w:val="000000"/>
          <w:sz w:val="22"/>
          <w:szCs w:val="22"/>
        </w:rPr>
        <w:t>4、承办楼区人力资源和社会保障局交办的其他事项。 </w:t>
      </w:r>
    </w:p>
    <w:p>
      <w:pPr>
        <w:pStyle w:val="4"/>
        <w:keepNext w:val="0"/>
        <w:keepLines w:val="0"/>
        <w:widowControl/>
        <w:suppressLineNumbers w:val="0"/>
        <w:pBdr>
          <w:bottom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color w:val="000000"/>
          <w:sz w:val="22"/>
          <w:szCs w:val="22"/>
        </w:rPr>
        <w:t>（二）机构设置 </w:t>
      </w:r>
    </w:p>
    <w:p>
      <w:pPr>
        <w:pStyle w:val="4"/>
        <w:keepNext w:val="0"/>
        <w:keepLines w:val="0"/>
        <w:widowControl/>
        <w:suppressLineNumbers w:val="0"/>
        <w:pBdr>
          <w:bottom w:val="none" w:color="auto" w:sz="0" w:space="0"/>
        </w:pBdr>
        <w:spacing w:before="0" w:beforeAutospacing="0" w:after="0" w:afterAutospacing="0" w:line="33" w:lineRule="atLeast"/>
        <w:ind w:left="0" w:right="0" w:firstLine="420"/>
        <w:jc w:val="both"/>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微软雅黑" w:hAnsi="微软雅黑" w:eastAsia="微软雅黑" w:cs="微软雅黑"/>
          <w:color w:val="000000"/>
          <w:sz w:val="22"/>
          <w:szCs w:val="22"/>
        </w:rPr>
        <w:t>岳阳楼区工伤保险服务中心为岳阳楼区人力资源和社会保障局下属副科级一类事业单位，核定全额拨款事业编制</w:t>
      </w:r>
      <w:r>
        <w:rPr>
          <w:rFonts w:hint="eastAsia" w:ascii="微软雅黑" w:hAnsi="微软雅黑" w:eastAsia="微软雅黑" w:cs="微软雅黑"/>
          <w:color w:val="000000"/>
          <w:sz w:val="22"/>
          <w:szCs w:val="22"/>
          <w:lang w:val="en-US" w:eastAsia="zh-CN"/>
        </w:rPr>
        <w:t>9</w:t>
      </w:r>
      <w:r>
        <w:rPr>
          <w:rFonts w:hint="eastAsia" w:ascii="微软雅黑" w:hAnsi="微软雅黑" w:eastAsia="微软雅黑" w:cs="微软雅黑"/>
          <w:color w:val="000000"/>
          <w:sz w:val="22"/>
          <w:szCs w:val="22"/>
        </w:rPr>
        <w:t>名。现有人数7人，其中：在职全额编制7人。内设征缴股、办公室。</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一般公共预算支出情况</w:t>
      </w:r>
    </w:p>
    <w:p>
      <w:pPr>
        <w:widowControl/>
        <w:spacing w:line="600" w:lineRule="exact"/>
        <w:ind w:firstLine="330" w:firstLineChars="150"/>
        <w:rPr>
          <w:rFonts w:hint="eastAsia" w:ascii="微软雅黑" w:hAnsi="微软雅黑" w:eastAsia="微软雅黑" w:cs="微软雅黑"/>
          <w:color w:val="000000"/>
          <w:kern w:val="0"/>
          <w:sz w:val="22"/>
          <w:szCs w:val="22"/>
          <w:lang w:val="en-US" w:eastAsia="zh-CN" w:bidi="ar"/>
        </w:rPr>
      </w:pPr>
      <w:r>
        <w:rPr>
          <w:rFonts w:hint="eastAsia" w:ascii="微软雅黑" w:hAnsi="微软雅黑" w:eastAsia="微软雅黑" w:cs="微软雅黑"/>
          <w:color w:val="000000"/>
          <w:kern w:val="0"/>
          <w:sz w:val="22"/>
          <w:szCs w:val="22"/>
          <w:lang w:val="en-US" w:eastAsia="zh-CN" w:bidi="ar"/>
        </w:rPr>
        <w:t xml:space="preserve"> 2022年一般公共预算拨款支出预算</w:t>
      </w:r>
      <w:r>
        <w:rPr>
          <w:rFonts w:hint="eastAsia" w:ascii="宋体" w:hAnsi="宋体" w:eastAsia="宋体" w:cs="宋体"/>
          <w:color w:val="000000" w:themeColor="text1"/>
          <w:spacing w:val="0"/>
          <w:sz w:val="21"/>
          <w:szCs w:val="21"/>
          <w:lang w:val="en-US" w:eastAsia="zh-CN"/>
          <w14:textFill>
            <w14:solidFill>
              <w14:schemeClr w14:val="tx1"/>
            </w14:solidFill>
          </w14:textFill>
        </w:rPr>
        <w:t>136.45</w:t>
      </w:r>
      <w:r>
        <w:rPr>
          <w:rFonts w:hint="eastAsia" w:ascii="微软雅黑" w:hAnsi="微软雅黑" w:eastAsia="微软雅黑" w:cs="微软雅黑"/>
          <w:color w:val="000000"/>
          <w:kern w:val="0"/>
          <w:sz w:val="22"/>
          <w:szCs w:val="22"/>
          <w:lang w:val="en-US" w:eastAsia="zh-CN" w:bidi="ar"/>
        </w:rPr>
        <w:t>万元，其中，一般公共服务支出</w:t>
      </w:r>
      <w:r>
        <w:rPr>
          <w:rFonts w:hint="eastAsia" w:ascii="宋体" w:hAnsi="宋体" w:eastAsia="宋体" w:cs="宋体"/>
          <w:color w:val="000000" w:themeColor="text1"/>
          <w:spacing w:val="0"/>
          <w:sz w:val="21"/>
          <w:szCs w:val="21"/>
          <w:lang w:val="en-US" w:eastAsia="zh-CN"/>
          <w14:textFill>
            <w14:solidFill>
              <w14:schemeClr w14:val="tx1"/>
            </w14:solidFill>
          </w14:textFill>
        </w:rPr>
        <w:t>136.45</w:t>
      </w:r>
      <w:r>
        <w:rPr>
          <w:rFonts w:hint="eastAsia" w:ascii="微软雅黑" w:hAnsi="微软雅黑" w:eastAsia="微软雅黑" w:cs="微软雅黑"/>
          <w:color w:val="000000"/>
          <w:kern w:val="0"/>
          <w:sz w:val="22"/>
          <w:szCs w:val="22"/>
          <w:lang w:val="en-US" w:eastAsia="zh-CN" w:bidi="ar"/>
        </w:rPr>
        <w:t>万元，占100%；具体安排情况如下：</w:t>
      </w:r>
    </w:p>
    <w:p>
      <w:pPr>
        <w:keepNext w:val="0"/>
        <w:keepLines w:val="0"/>
        <w:pageBreakBefore w:val="0"/>
        <w:widowControl w:val="0"/>
        <w:kinsoku/>
        <w:wordWrap/>
        <w:overflowPunct/>
        <w:topLinePunct w:val="0"/>
        <w:autoSpaceDE/>
        <w:autoSpaceDN/>
        <w:bidi w:val="0"/>
        <w:adjustRightInd/>
        <w:snapToGrid/>
        <w:ind w:left="0" w:firstLine="440" w:firstLineChars="200"/>
        <w:jc w:val="left"/>
        <w:textAlignment w:val="auto"/>
        <w:rPr>
          <w:rFonts w:hint="default" w:ascii="微软雅黑" w:hAnsi="微软雅黑" w:eastAsia="微软雅黑" w:cs="微软雅黑"/>
          <w:color w:val="000000"/>
          <w:kern w:val="0"/>
          <w:sz w:val="22"/>
          <w:szCs w:val="22"/>
          <w:lang w:val="en-US" w:eastAsia="zh-CN" w:bidi="ar"/>
        </w:rPr>
      </w:pPr>
      <w:r>
        <w:rPr>
          <w:rFonts w:hint="eastAsia" w:ascii="微软雅黑" w:hAnsi="微软雅黑" w:eastAsia="微软雅黑" w:cs="微软雅黑"/>
          <w:color w:val="000000"/>
          <w:kern w:val="0"/>
          <w:sz w:val="22"/>
          <w:szCs w:val="22"/>
          <w:lang w:val="en-US" w:eastAsia="zh-CN" w:bidi="ar"/>
        </w:rPr>
        <w:t>（一）基本支出：2022年基本支出数为</w:t>
      </w:r>
      <w:r>
        <w:rPr>
          <w:rFonts w:hint="eastAsia" w:ascii="宋体" w:hAnsi="宋体" w:eastAsia="宋体" w:cs="宋体"/>
          <w:color w:val="000000" w:themeColor="text1"/>
          <w:spacing w:val="0"/>
          <w:sz w:val="21"/>
          <w:szCs w:val="21"/>
          <w:lang w:val="en-US" w:eastAsia="zh-CN"/>
          <w14:textFill>
            <w14:solidFill>
              <w14:schemeClr w14:val="tx1"/>
            </w14:solidFill>
          </w14:textFill>
        </w:rPr>
        <w:t>136.45</w:t>
      </w:r>
      <w:r>
        <w:rPr>
          <w:rFonts w:hint="eastAsia" w:ascii="微软雅黑" w:hAnsi="微软雅黑" w:eastAsia="微软雅黑" w:cs="微软雅黑"/>
          <w:color w:val="000000"/>
          <w:kern w:val="0"/>
          <w:sz w:val="22"/>
          <w:szCs w:val="22"/>
          <w:lang w:val="en-US" w:eastAsia="zh-CN" w:bidi="ar"/>
        </w:rPr>
        <w:t>万元，其中：人员经费84.21万元，主要包括：基本工资、津贴补贴、奖金、绩效工资、机关事业单位基本养老保险缴费、职业年金缴费、职工基本医疗保险缴费、其他社会保障缴费、住房公积金；商品和服务支出41.2万元，主要包括：办公费、印刷费、邮电费、差旅费、公务接待费、其他商品和服务支出。 对个人和家庭的补助1.47万元。资本性支出9.57万元。</w:t>
      </w:r>
    </w:p>
    <w:p>
      <w:pPr>
        <w:widowControl/>
        <w:spacing w:line="600" w:lineRule="exact"/>
        <w:ind w:firstLine="660"/>
        <w:jc w:val="left"/>
        <w:rPr>
          <w:rFonts w:hint="eastAsia" w:ascii="微软雅黑" w:hAnsi="微软雅黑" w:eastAsia="微软雅黑" w:cs="微软雅黑"/>
          <w:color w:val="000000"/>
          <w:kern w:val="0"/>
          <w:sz w:val="22"/>
          <w:szCs w:val="22"/>
          <w:lang w:val="en-US" w:eastAsia="zh-CN" w:bidi="ar"/>
        </w:rPr>
      </w:pPr>
      <w:r>
        <w:rPr>
          <w:rFonts w:hint="eastAsia" w:ascii="微软雅黑" w:hAnsi="微软雅黑" w:eastAsia="微软雅黑" w:cs="微软雅黑"/>
          <w:color w:val="000000"/>
          <w:kern w:val="0"/>
          <w:sz w:val="22"/>
          <w:szCs w:val="22"/>
          <w:lang w:val="en-US" w:eastAsia="zh-CN" w:bidi="ar"/>
        </w:rPr>
        <w:t>(二)项目支出情况</w:t>
      </w:r>
    </w:p>
    <w:p>
      <w:pPr>
        <w:widowControl/>
        <w:spacing w:line="600" w:lineRule="exact"/>
        <w:ind w:firstLine="660"/>
        <w:jc w:val="left"/>
        <w:rPr>
          <w:rFonts w:hint="eastAsia" w:ascii="微软雅黑" w:hAnsi="微软雅黑" w:eastAsia="微软雅黑" w:cs="微软雅黑"/>
          <w:color w:val="000000"/>
          <w:kern w:val="0"/>
          <w:sz w:val="22"/>
          <w:szCs w:val="22"/>
          <w:lang w:val="en-US" w:eastAsia="zh-CN" w:bidi="ar"/>
        </w:rPr>
      </w:pPr>
      <w:r>
        <w:rPr>
          <w:rFonts w:hint="eastAsia" w:ascii="微软雅黑" w:hAnsi="微软雅黑" w:eastAsia="微软雅黑" w:cs="微软雅黑"/>
          <w:color w:val="000000"/>
          <w:kern w:val="0"/>
          <w:sz w:val="22"/>
          <w:szCs w:val="22"/>
          <w:lang w:val="en-US" w:eastAsia="zh-CN" w:bidi="ar"/>
        </w:rPr>
        <w:t>2022年项目支出为0万元。</w:t>
      </w:r>
      <w:bookmarkStart w:id="0" w:name="_GoBack"/>
      <w:bookmarkEnd w:id="0"/>
    </w:p>
    <w:p>
      <w:pPr>
        <w:widowControl/>
        <w:numPr>
          <w:ilvl w:val="0"/>
          <w:numId w:val="1"/>
        </w:numPr>
        <w:spacing w:line="600" w:lineRule="exact"/>
        <w:ind w:left="0" w:leftChars="0" w:firstLine="640" w:firstLineChars="200"/>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政府性基金预算支出情况</w:t>
      </w:r>
    </w:p>
    <w:p>
      <w:pPr>
        <w:widowControl/>
        <w:numPr>
          <w:ilvl w:val="0"/>
          <w:numId w:val="0"/>
        </w:numPr>
        <w:spacing w:line="600" w:lineRule="exact"/>
        <w:ind w:leftChars="200" w:firstLine="440" w:firstLineChars="200"/>
        <w:rPr>
          <w:rFonts w:hint="eastAsia" w:ascii="微软雅黑" w:hAnsi="微软雅黑" w:eastAsia="微软雅黑" w:cs="微软雅黑"/>
          <w:color w:val="000000"/>
          <w:kern w:val="0"/>
          <w:sz w:val="22"/>
          <w:szCs w:val="22"/>
          <w:lang w:val="en-US" w:eastAsia="zh-CN" w:bidi="ar"/>
        </w:rPr>
      </w:pPr>
      <w:r>
        <w:rPr>
          <w:rFonts w:hint="eastAsia" w:ascii="微软雅黑" w:hAnsi="微软雅黑" w:eastAsia="微软雅黑" w:cs="微软雅黑"/>
          <w:color w:val="000000"/>
          <w:kern w:val="0"/>
          <w:sz w:val="22"/>
          <w:szCs w:val="22"/>
          <w:lang w:val="en-US" w:eastAsia="zh-CN" w:bidi="ar"/>
        </w:rPr>
        <w:t>2022年政府性基金预算拨款支出为0万元， 2022年度本单位无政府性基金安排的支出。</w:t>
      </w:r>
    </w:p>
    <w:p>
      <w:pPr>
        <w:numPr>
          <w:ilvl w:val="0"/>
          <w:numId w:val="1"/>
        </w:numPr>
        <w:ind w:left="0" w:leftChars="0" w:firstLine="640" w:firstLineChars="200"/>
        <w:jc w:val="left"/>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pPr>
        <w:numPr>
          <w:ilvl w:val="0"/>
          <w:numId w:val="0"/>
        </w:numPr>
        <w:ind w:leftChars="200" w:firstLine="440" w:firstLineChars="200"/>
        <w:jc w:val="left"/>
        <w:rPr>
          <w:rFonts w:hint="eastAsia" w:ascii="微软雅黑" w:hAnsi="微软雅黑" w:eastAsia="微软雅黑" w:cs="微软雅黑"/>
          <w:color w:val="000000"/>
          <w:kern w:val="0"/>
          <w:sz w:val="22"/>
          <w:szCs w:val="22"/>
          <w:lang w:val="en-US" w:eastAsia="zh-CN" w:bidi="ar"/>
        </w:rPr>
      </w:pPr>
      <w:r>
        <w:rPr>
          <w:rFonts w:hint="eastAsia" w:ascii="微软雅黑" w:hAnsi="微软雅黑" w:eastAsia="微软雅黑" w:cs="微软雅黑"/>
          <w:color w:val="000000"/>
          <w:kern w:val="0"/>
          <w:sz w:val="22"/>
          <w:szCs w:val="22"/>
          <w:lang w:val="en-US" w:eastAsia="zh-CN" w:bidi="ar"/>
        </w:rPr>
        <w:t>2022年国有资本经营预算支出为0万元，2022年度本单位无国有资本经营安排的支出。</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pPr>
        <w:ind w:firstLine="440" w:firstLineChars="200"/>
        <w:jc w:val="left"/>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微软雅黑" w:hAnsi="微软雅黑" w:eastAsia="微软雅黑" w:cs="微软雅黑"/>
          <w:color w:val="000000"/>
          <w:kern w:val="0"/>
          <w:sz w:val="22"/>
          <w:szCs w:val="22"/>
          <w:lang w:val="en-US" w:eastAsia="zh-CN" w:bidi="ar"/>
        </w:rPr>
        <w:t>2022年社会保险基金预算支出为0万元，2022年度本单位无社会保险基金安排的支出。</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部门整体支出绩效情况</w:t>
      </w:r>
    </w:p>
    <w:p>
      <w:pPr>
        <w:keepNext w:val="0"/>
        <w:keepLines w:val="0"/>
        <w:pageBreakBefore w:val="0"/>
        <w:widowControl w:val="0"/>
        <w:kinsoku/>
        <w:wordWrap/>
        <w:overflowPunct/>
        <w:topLinePunct w:val="0"/>
        <w:autoSpaceDE/>
        <w:autoSpaceDN/>
        <w:bidi w:val="0"/>
        <w:adjustRightInd/>
        <w:snapToGrid/>
        <w:ind w:left="0" w:firstLine="440" w:firstLineChars="200"/>
        <w:jc w:val="left"/>
        <w:textAlignment w:val="auto"/>
        <w:rPr>
          <w:rFonts w:hint="eastAsia" w:ascii="微软雅黑" w:hAnsi="微软雅黑" w:eastAsia="微软雅黑" w:cs="微软雅黑"/>
          <w:color w:val="000000"/>
          <w:kern w:val="0"/>
          <w:sz w:val="22"/>
          <w:szCs w:val="22"/>
          <w:lang w:val="en-US" w:eastAsia="zh-CN" w:bidi="ar"/>
        </w:rPr>
      </w:pPr>
      <w:r>
        <w:rPr>
          <w:rFonts w:hint="eastAsia" w:ascii="微软雅黑" w:hAnsi="微软雅黑" w:eastAsia="微软雅黑" w:cs="微软雅黑"/>
          <w:color w:val="000000"/>
          <w:kern w:val="0"/>
          <w:sz w:val="22"/>
          <w:szCs w:val="22"/>
          <w:lang w:val="en-US" w:eastAsia="zh-CN" w:bidi="ar"/>
        </w:rPr>
        <w:t>严格落实《预算法》及区绩效管理工作的有关规定,进一步规范财政资金的管理,建立和完善科学、合理的项目资金绩效评价管理体系,促进公共财政阳光化,提高财政资金使用效益。</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pPr>
        <w:ind w:firstLine="440" w:firstLineChars="200"/>
        <w:jc w:val="left"/>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微软雅黑" w:hAnsi="微软雅黑" w:eastAsia="微软雅黑" w:cs="微软雅黑"/>
          <w:color w:val="000000"/>
          <w:kern w:val="0"/>
          <w:sz w:val="22"/>
          <w:szCs w:val="22"/>
          <w:lang w:val="en-US" w:eastAsia="zh-CN" w:bidi="ar"/>
        </w:rPr>
        <w:t>宣传力度需加强，劳动用工单位还存在未交纳工伤保险的情况；事故勘察流程需更规范细致；接待群众时因工作繁忙，问题重复而不耐烦的情况，还需更耐心服务。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八、下一步改进措施</w:t>
      </w:r>
    </w:p>
    <w:p>
      <w:pPr>
        <w:ind w:firstLine="440" w:firstLineChars="200"/>
        <w:jc w:val="left"/>
        <w:rPr>
          <w:rFonts w:hint="eastAsia" w:ascii="黑体" w:hAnsi="黑体" w:eastAsia="微软雅黑" w:cs="黑体"/>
          <w:color w:val="000000" w:themeColor="text1"/>
          <w:spacing w:val="0"/>
          <w:position w:val="0"/>
          <w:sz w:val="32"/>
          <w:szCs w:val="32"/>
          <w:lang w:val="en-US" w:eastAsia="zh-CN"/>
          <w14:textFill>
            <w14:solidFill>
              <w14:schemeClr w14:val="tx1"/>
            </w14:solidFill>
          </w14:textFill>
        </w:rPr>
      </w:pPr>
      <w:r>
        <w:rPr>
          <w:rFonts w:hint="eastAsia" w:ascii="微软雅黑" w:hAnsi="微软雅黑" w:eastAsia="微软雅黑" w:cs="微软雅黑"/>
          <w:color w:val="000000"/>
          <w:kern w:val="0"/>
          <w:sz w:val="22"/>
          <w:szCs w:val="22"/>
          <w:lang w:val="en-US" w:eastAsia="zh-CN" w:bidi="ar"/>
        </w:rPr>
        <w:t>进一步加大工伤保险的宣传力度，让更多的劳动者及时参加工伤保险；进一步规范事故勘察工作流程，维护参保人员的合法权益。严格遵守资金使用流程。</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pPr>
        <w:ind w:firstLine="440" w:firstLineChars="200"/>
        <w:jc w:val="left"/>
        <w:rPr>
          <w:rFonts w:hint="eastAsia" w:ascii="微软雅黑" w:hAnsi="微软雅黑" w:eastAsia="微软雅黑" w:cs="微软雅黑"/>
          <w:color w:val="000000"/>
          <w:kern w:val="0"/>
          <w:sz w:val="22"/>
          <w:szCs w:val="22"/>
          <w:lang w:val="en-US" w:eastAsia="zh-CN" w:bidi="ar"/>
        </w:rPr>
      </w:pPr>
      <w:r>
        <w:rPr>
          <w:rFonts w:hint="eastAsia" w:ascii="微软雅黑" w:hAnsi="微软雅黑" w:eastAsia="微软雅黑" w:cs="微软雅黑"/>
          <w:color w:val="000000"/>
          <w:kern w:val="0"/>
          <w:sz w:val="22"/>
          <w:szCs w:val="22"/>
          <w:lang w:val="en-US" w:eastAsia="zh-CN" w:bidi="ar"/>
        </w:rPr>
        <w:t>无其他需要说明的情况。</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报告需要以下附件：</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1、部门整体支出绩效评价基础数据表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2、部门整体支出绩效自评表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3、项目支出绩效自评表(一个一级项目支出一张表)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4、政府性基金预算支出情况表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5、国有资本经营预算支出情况表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6、社会保险基金预算支出情况表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spacing w:before="169" w:line="776" w:lineRule="exact"/>
        <w:ind w:left="372"/>
        <w:rPr>
          <w:rFonts w:hint="eastAsia" w:ascii="宋体" w:hAnsi="宋体" w:eastAsia="宋体" w:cs="宋体"/>
          <w:b/>
          <w:bCs/>
          <w:color w:val="000000" w:themeColor="text1"/>
          <w:spacing w:val="19"/>
          <w:position w:val="17"/>
          <w:sz w:val="36"/>
          <w:szCs w:val="36"/>
          <w:lang w:eastAsia="zh-CN"/>
          <w14:textFill>
            <w14:solidFill>
              <w14:schemeClr w14:val="tx1"/>
            </w14:solidFill>
          </w14:textFill>
        </w:rPr>
        <w:sectPr>
          <w:pgSz w:w="11906" w:h="16838"/>
          <w:pgMar w:top="1701" w:right="1701" w:bottom="1701" w:left="1701"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8"/>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
                <w:sz w:val="21"/>
                <w:szCs w:val="21"/>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4"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7"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3" w:hRule="atLeast"/>
        </w:trPr>
        <w:tc>
          <w:tcPr>
            <w:tcW w:w="1075"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pPr>
        <w:spacing w:line="252" w:lineRule="auto"/>
        <w:rPr>
          <w:rFonts w:ascii="Arial"/>
          <w:color w:val="000000" w:themeColor="text1"/>
          <w:sz w:val="21"/>
          <w14:textFill>
            <w14:solidFill>
              <w14:schemeClr w14:val="tx1"/>
            </w14:solidFill>
          </w14:textFill>
        </w:rPr>
      </w:pPr>
    </w:p>
    <w:p>
      <w:pPr>
        <w:spacing w:before="75" w:line="230" w:lineRule="auto"/>
        <w:rPr>
          <w:rFonts w:hint="default" w:ascii="仿宋_GB2312" w:hAnsi="仿宋_GB2312" w:eastAsia="仿宋"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hint="eastAsia" w:ascii="仿宋" w:hAnsi="仿宋" w:eastAsia="仿宋" w:cs="仿宋"/>
          <w:color w:val="000000" w:themeColor="text1"/>
          <w:spacing w:val="15"/>
          <w:sz w:val="23"/>
          <w:szCs w:val="23"/>
          <w:lang w:eastAsia="zh-CN"/>
          <w14:textFill>
            <w14:solidFill>
              <w14:schemeClr w14:val="tx1"/>
            </w14:solidFill>
          </w14:textFill>
        </w:rPr>
        <w:t>陶燕辉</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hint="eastAsia" w:ascii="仿宋" w:hAnsi="仿宋" w:eastAsia="仿宋" w:cs="仿宋"/>
          <w:color w:val="000000" w:themeColor="text1"/>
          <w:spacing w:val="3"/>
          <w:sz w:val="23"/>
          <w:szCs w:val="23"/>
          <w:lang w:val="en-US" w:eastAsia="zh-CN"/>
          <w14:textFill>
            <w14:solidFill>
              <w14:schemeClr w14:val="tx1"/>
            </w14:solidFill>
          </w14:textFill>
        </w:rPr>
        <w:t xml:space="preserve">13975094556  </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李平平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r>
        <w:rPr>
          <w:rFonts w:hint="eastAsia" w:ascii="仿宋" w:hAnsi="仿宋" w:eastAsia="仿宋" w:cs="仿宋"/>
          <w:color w:val="000000" w:themeColor="text1"/>
          <w:spacing w:val="4"/>
          <w:sz w:val="23"/>
          <w:szCs w:val="23"/>
          <w:lang w:val="en-US" w:eastAsia="zh-CN"/>
          <w14:textFill>
            <w14:solidFill>
              <w14:schemeClr w14:val="tx1"/>
            </w14:solidFill>
          </w14:textFill>
        </w:rPr>
        <w:t>6.12</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pPr>
        <w:ind w:firstLine="1440" w:firstLineChars="400"/>
        <w:jc w:val="both"/>
        <w:rPr>
          <w:rFonts w:hint="eastAsia" w:eastAsia="方正小标宋简体"/>
          <w:sz w:val="36"/>
          <w:szCs w:val="36"/>
          <w:lang w:eastAsia="zh-CN"/>
        </w:rPr>
      </w:pPr>
    </w:p>
    <w:p>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5"/>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hint="eastAsia" w:asciiTheme="majorEastAsia" w:hAnsiTheme="majorEastAsia" w:eastAsiaTheme="majorEastAsia" w:cstheme="majorEastAsia"/>
                <w:szCs w:val="21"/>
              </w:rPr>
            </w:pPr>
          </w:p>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hint="eastAsia" w:asciiTheme="majorEastAsia" w:hAnsiTheme="majorEastAsia" w:eastAsiaTheme="majorEastAsia" w:cstheme="majorEastAsia"/>
                <w:szCs w:val="21"/>
              </w:rPr>
            </w:pPr>
          </w:p>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19</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19</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14</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97</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44F3C"/>
    <w:multiLevelType w:val="singleLevel"/>
    <w:tmpl w:val="E6C44F3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lMjZmMmY1NGQwM2E2OWJkYzM2Mzk5Y2JlZTNlNzMifQ=="/>
  </w:docVars>
  <w:rsids>
    <w:rsidRoot w:val="53FC3987"/>
    <w:rsid w:val="000A3765"/>
    <w:rsid w:val="001D7282"/>
    <w:rsid w:val="0039081D"/>
    <w:rsid w:val="005E6ECB"/>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457029"/>
    <w:rsid w:val="014900E3"/>
    <w:rsid w:val="014F5749"/>
    <w:rsid w:val="01521E95"/>
    <w:rsid w:val="015F0E1B"/>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512942"/>
    <w:rsid w:val="035C51B8"/>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62F7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1F2D6F"/>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2453C"/>
    <w:rsid w:val="0C7A708D"/>
    <w:rsid w:val="0CC3155E"/>
    <w:rsid w:val="0CCA7495"/>
    <w:rsid w:val="0CCE3A1E"/>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D153F3"/>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4C478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B66D6"/>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42D06"/>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A817E9"/>
    <w:rsid w:val="24B93055"/>
    <w:rsid w:val="24C252E5"/>
    <w:rsid w:val="24C35FFD"/>
    <w:rsid w:val="24C93BB5"/>
    <w:rsid w:val="24D02E03"/>
    <w:rsid w:val="24F86BC7"/>
    <w:rsid w:val="250F44FD"/>
    <w:rsid w:val="2514288A"/>
    <w:rsid w:val="25457290"/>
    <w:rsid w:val="254820D7"/>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676ED1"/>
    <w:rsid w:val="277602F5"/>
    <w:rsid w:val="278038CA"/>
    <w:rsid w:val="27C33BB0"/>
    <w:rsid w:val="27C55F98"/>
    <w:rsid w:val="27CC0CD0"/>
    <w:rsid w:val="27D071BC"/>
    <w:rsid w:val="27D4538F"/>
    <w:rsid w:val="27DE15AE"/>
    <w:rsid w:val="27E03A2F"/>
    <w:rsid w:val="27FB139E"/>
    <w:rsid w:val="280D297A"/>
    <w:rsid w:val="28276A98"/>
    <w:rsid w:val="285710C8"/>
    <w:rsid w:val="285C4BAF"/>
    <w:rsid w:val="285D0F42"/>
    <w:rsid w:val="28703320"/>
    <w:rsid w:val="289539A5"/>
    <w:rsid w:val="289F019A"/>
    <w:rsid w:val="28CC6ED5"/>
    <w:rsid w:val="28F010D9"/>
    <w:rsid w:val="28F05C88"/>
    <w:rsid w:val="29082E70"/>
    <w:rsid w:val="291343EF"/>
    <w:rsid w:val="29166F16"/>
    <w:rsid w:val="2939606B"/>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96E6C"/>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E44256"/>
    <w:rsid w:val="2DE557EB"/>
    <w:rsid w:val="2E0E6D42"/>
    <w:rsid w:val="2E0F4249"/>
    <w:rsid w:val="2E2F0A58"/>
    <w:rsid w:val="2E447583"/>
    <w:rsid w:val="2E4B4467"/>
    <w:rsid w:val="2E4C2EA4"/>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891180"/>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193A27"/>
    <w:rsid w:val="311D200F"/>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A8285D"/>
    <w:rsid w:val="33AC1E29"/>
    <w:rsid w:val="33B17041"/>
    <w:rsid w:val="33B202F3"/>
    <w:rsid w:val="33B20F64"/>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D8279E"/>
    <w:rsid w:val="3AE73EDB"/>
    <w:rsid w:val="3B08641D"/>
    <w:rsid w:val="3B1C7A19"/>
    <w:rsid w:val="3B2B5582"/>
    <w:rsid w:val="3B4234D4"/>
    <w:rsid w:val="3B7622BA"/>
    <w:rsid w:val="3B7C1C88"/>
    <w:rsid w:val="3B8107C8"/>
    <w:rsid w:val="3B8972AA"/>
    <w:rsid w:val="3B914B85"/>
    <w:rsid w:val="3BA219B8"/>
    <w:rsid w:val="3BA96003"/>
    <w:rsid w:val="3BB466E8"/>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060C40"/>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8D1B97"/>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8F71B4"/>
    <w:rsid w:val="47933099"/>
    <w:rsid w:val="4798720D"/>
    <w:rsid w:val="47BF7C9C"/>
    <w:rsid w:val="47C2246C"/>
    <w:rsid w:val="47CA5F05"/>
    <w:rsid w:val="47DA1720"/>
    <w:rsid w:val="47E11737"/>
    <w:rsid w:val="47E77D53"/>
    <w:rsid w:val="47EE48C0"/>
    <w:rsid w:val="47F35E3E"/>
    <w:rsid w:val="47FB766F"/>
    <w:rsid w:val="48064E6E"/>
    <w:rsid w:val="4808575C"/>
    <w:rsid w:val="480B439D"/>
    <w:rsid w:val="482F10F4"/>
    <w:rsid w:val="4852125E"/>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415EE"/>
    <w:rsid w:val="49B544A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97971"/>
    <w:rsid w:val="4B0B3617"/>
    <w:rsid w:val="4B2815DF"/>
    <w:rsid w:val="4B473F5E"/>
    <w:rsid w:val="4B49191E"/>
    <w:rsid w:val="4B4C7376"/>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5E176C"/>
    <w:rsid w:val="4C6370A1"/>
    <w:rsid w:val="4C675D80"/>
    <w:rsid w:val="4C736886"/>
    <w:rsid w:val="4C7F7CEF"/>
    <w:rsid w:val="4C821AA7"/>
    <w:rsid w:val="4C917ED5"/>
    <w:rsid w:val="4CA43125"/>
    <w:rsid w:val="4CAC2A11"/>
    <w:rsid w:val="4CB01CB9"/>
    <w:rsid w:val="4CC31472"/>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0E4CA2"/>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B76BC1"/>
    <w:rsid w:val="54DE6078"/>
    <w:rsid w:val="54E86EBD"/>
    <w:rsid w:val="54F2526E"/>
    <w:rsid w:val="55075D9B"/>
    <w:rsid w:val="55184BBF"/>
    <w:rsid w:val="551874CA"/>
    <w:rsid w:val="551E6A56"/>
    <w:rsid w:val="552006D3"/>
    <w:rsid w:val="55301CB3"/>
    <w:rsid w:val="55327054"/>
    <w:rsid w:val="553A26BA"/>
    <w:rsid w:val="554F1551"/>
    <w:rsid w:val="5556054C"/>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B36CA"/>
    <w:rsid w:val="56EC7A5D"/>
    <w:rsid w:val="56F4599D"/>
    <w:rsid w:val="570D0322"/>
    <w:rsid w:val="57180ACE"/>
    <w:rsid w:val="571B61B6"/>
    <w:rsid w:val="57213E7D"/>
    <w:rsid w:val="5723561B"/>
    <w:rsid w:val="572362C9"/>
    <w:rsid w:val="57243989"/>
    <w:rsid w:val="572F37C6"/>
    <w:rsid w:val="5736629C"/>
    <w:rsid w:val="57540996"/>
    <w:rsid w:val="57802A35"/>
    <w:rsid w:val="578C3658"/>
    <w:rsid w:val="579A01AA"/>
    <w:rsid w:val="57B66918"/>
    <w:rsid w:val="57BD6FCE"/>
    <w:rsid w:val="57BF25ED"/>
    <w:rsid w:val="57D214D2"/>
    <w:rsid w:val="57DA1A42"/>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4A664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D29E6"/>
    <w:rsid w:val="5A821401"/>
    <w:rsid w:val="5A8A2B4B"/>
    <w:rsid w:val="5A9F5080"/>
    <w:rsid w:val="5AAB6618"/>
    <w:rsid w:val="5AC52E1B"/>
    <w:rsid w:val="5AD1498E"/>
    <w:rsid w:val="5ADE1722"/>
    <w:rsid w:val="5AE91049"/>
    <w:rsid w:val="5AEF582B"/>
    <w:rsid w:val="5B0B5334"/>
    <w:rsid w:val="5B1442BA"/>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AC35E9"/>
    <w:rsid w:val="5BBB1AC4"/>
    <w:rsid w:val="5BBF45F3"/>
    <w:rsid w:val="5BE11C63"/>
    <w:rsid w:val="5BF24E07"/>
    <w:rsid w:val="5BFB55EA"/>
    <w:rsid w:val="5C15792E"/>
    <w:rsid w:val="5C1A5869"/>
    <w:rsid w:val="5C2404DB"/>
    <w:rsid w:val="5C290BF2"/>
    <w:rsid w:val="5C4E1E1E"/>
    <w:rsid w:val="5C4F343B"/>
    <w:rsid w:val="5C6A79EB"/>
    <w:rsid w:val="5C912690"/>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475DFB"/>
    <w:rsid w:val="5F4A6912"/>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9C65F5"/>
    <w:rsid w:val="62AE05DB"/>
    <w:rsid w:val="62B60A29"/>
    <w:rsid w:val="62BA5EE7"/>
    <w:rsid w:val="62F04E93"/>
    <w:rsid w:val="62F14EED"/>
    <w:rsid w:val="62FF3767"/>
    <w:rsid w:val="63074094"/>
    <w:rsid w:val="63256E52"/>
    <w:rsid w:val="6337684E"/>
    <w:rsid w:val="63403C73"/>
    <w:rsid w:val="6351410B"/>
    <w:rsid w:val="635D4427"/>
    <w:rsid w:val="635F082F"/>
    <w:rsid w:val="63710CD7"/>
    <w:rsid w:val="6399181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04E5A"/>
    <w:rsid w:val="67441F0C"/>
    <w:rsid w:val="674465E9"/>
    <w:rsid w:val="67594618"/>
    <w:rsid w:val="675B3954"/>
    <w:rsid w:val="676B6466"/>
    <w:rsid w:val="677F6056"/>
    <w:rsid w:val="67954429"/>
    <w:rsid w:val="67C47F84"/>
    <w:rsid w:val="67D314CC"/>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3A43C4"/>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5214E"/>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0B643E"/>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178F"/>
    <w:rsid w:val="771670C1"/>
    <w:rsid w:val="772C16E9"/>
    <w:rsid w:val="77683E14"/>
    <w:rsid w:val="77734EA5"/>
    <w:rsid w:val="77A06542"/>
    <w:rsid w:val="77A922C9"/>
    <w:rsid w:val="77AC049C"/>
    <w:rsid w:val="77B23714"/>
    <w:rsid w:val="77BB772D"/>
    <w:rsid w:val="77D43FD2"/>
    <w:rsid w:val="77FA155A"/>
    <w:rsid w:val="781137AD"/>
    <w:rsid w:val="781D13FA"/>
    <w:rsid w:val="782817E9"/>
    <w:rsid w:val="78485FF0"/>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D53106"/>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3864</Words>
  <Characters>4225</Characters>
  <Lines>0</Lines>
  <Paragraphs>0</Paragraphs>
  <TotalTime>3</TotalTime>
  <ScaleCrop>false</ScaleCrop>
  <LinksUpToDate>false</LinksUpToDate>
  <CharactersWithSpaces>4381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Administrator</cp:lastModifiedBy>
  <cp:lastPrinted>2023-05-26T08:11:00Z</cp:lastPrinted>
  <dcterms:modified xsi:type="dcterms:W3CDTF">2012-12-31T16:39:15Z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966C0418F4D4484D88DB15DD5F61E271_13</vt:lpwstr>
  </property>
</Properties>
</file>