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376F4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25CE469C">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0FA1C359">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68A7C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415FAD5E">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3F89B4FD">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中国国际贸易促进委员会岳阳楼区委员会</w:t>
            </w:r>
          </w:p>
        </w:tc>
      </w:tr>
      <w:tr w14:paraId="0EBF08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046044FF">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4FB54412">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01D0156B">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021E626C">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6306B0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2B719DCD">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6C5B3CF1">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w:t>
            </w:r>
          </w:p>
        </w:tc>
        <w:tc>
          <w:tcPr>
            <w:tcW w:w="2325" w:type="dxa"/>
            <w:gridSpan w:val="2"/>
            <w:noWrap w:val="0"/>
            <w:vAlign w:val="top"/>
          </w:tcPr>
          <w:p w14:paraId="75C95DD8">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w:t>
            </w:r>
          </w:p>
        </w:tc>
        <w:tc>
          <w:tcPr>
            <w:tcW w:w="1679" w:type="dxa"/>
            <w:gridSpan w:val="2"/>
            <w:noWrap w:val="0"/>
            <w:vAlign w:val="top"/>
          </w:tcPr>
          <w:p w14:paraId="63C2BB63">
            <w:pPr>
              <w:ind w:firstLine="720" w:firstLineChars="300"/>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63B19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0968D345">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5086C116">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72A891A6">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418010F2">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21568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462E096">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5BD44CA8">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0.32</w:t>
            </w:r>
          </w:p>
        </w:tc>
        <w:tc>
          <w:tcPr>
            <w:tcW w:w="2325" w:type="dxa"/>
            <w:gridSpan w:val="2"/>
            <w:noWrap w:val="0"/>
            <w:vAlign w:val="top"/>
          </w:tcPr>
          <w:p w14:paraId="63CD2E36">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1679" w:type="dxa"/>
            <w:gridSpan w:val="2"/>
            <w:noWrap w:val="0"/>
            <w:vAlign w:val="top"/>
          </w:tcPr>
          <w:p w14:paraId="5F9CB5CD">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14:paraId="33BF1E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CD67243">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296F928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BC05B0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FB9D30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74AB7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019BCD6">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6214D72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310BCE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AE5976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76A6E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6D88DCA">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29A5973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0108A3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1B8A37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82304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3BD69D62">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25311AC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36D793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2174F7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70B70B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6E89D9F1">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1F4DAD5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0.32</w:t>
            </w:r>
          </w:p>
        </w:tc>
        <w:tc>
          <w:tcPr>
            <w:tcW w:w="2325" w:type="dxa"/>
            <w:gridSpan w:val="2"/>
            <w:noWrap w:val="0"/>
            <w:vAlign w:val="top"/>
          </w:tcPr>
          <w:p w14:paraId="1DAA360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B0B5D7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8C26C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7B0BDEB">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2779FBA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85</w:t>
            </w:r>
          </w:p>
        </w:tc>
        <w:tc>
          <w:tcPr>
            <w:tcW w:w="2325" w:type="dxa"/>
            <w:gridSpan w:val="2"/>
            <w:noWrap w:val="0"/>
            <w:vAlign w:val="top"/>
          </w:tcPr>
          <w:p w14:paraId="3BFE0C4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w:t>
            </w:r>
          </w:p>
        </w:tc>
        <w:tc>
          <w:tcPr>
            <w:tcW w:w="1679" w:type="dxa"/>
            <w:gridSpan w:val="2"/>
            <w:noWrap w:val="0"/>
            <w:vAlign w:val="top"/>
          </w:tcPr>
          <w:p w14:paraId="4005C06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399.48</w:t>
            </w:r>
          </w:p>
        </w:tc>
      </w:tr>
      <w:tr w14:paraId="5E58F8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07D83B16">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5794EBA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73E9CE3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w:t>
            </w:r>
          </w:p>
        </w:tc>
        <w:tc>
          <w:tcPr>
            <w:tcW w:w="1679" w:type="dxa"/>
            <w:gridSpan w:val="2"/>
            <w:noWrap w:val="0"/>
            <w:vAlign w:val="top"/>
          </w:tcPr>
          <w:p w14:paraId="6AD3120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2042A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008C214D">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0D96954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14:paraId="3EA874B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w:t>
            </w:r>
          </w:p>
        </w:tc>
        <w:tc>
          <w:tcPr>
            <w:tcW w:w="1679" w:type="dxa"/>
            <w:gridSpan w:val="2"/>
            <w:noWrap w:val="0"/>
            <w:vAlign w:val="top"/>
          </w:tcPr>
          <w:p w14:paraId="7BF1630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14:paraId="718779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DD46142">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14:paraId="06946D7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DFD9FE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F5925B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970FE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4CE8C6C9">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21A5E00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F5E4472">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5527381C">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34DF5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3A07787">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44F750B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41D01ED0">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75ACE7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95BE0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4A246D77">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3623774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35E2DD81">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7D389F1">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684084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5666996">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73F2FF2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8.4</w:t>
            </w:r>
          </w:p>
        </w:tc>
        <w:tc>
          <w:tcPr>
            <w:tcW w:w="2325" w:type="dxa"/>
            <w:gridSpan w:val="2"/>
            <w:noWrap w:val="0"/>
            <w:vAlign w:val="top"/>
          </w:tcPr>
          <w:p w14:paraId="4002EF4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10.8</w:t>
            </w:r>
          </w:p>
        </w:tc>
        <w:tc>
          <w:tcPr>
            <w:tcW w:w="1679" w:type="dxa"/>
            <w:gridSpan w:val="2"/>
            <w:noWrap w:val="0"/>
            <w:vAlign w:val="top"/>
          </w:tcPr>
          <w:p w14:paraId="064BB52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15.29</w:t>
            </w:r>
          </w:p>
        </w:tc>
      </w:tr>
      <w:tr w14:paraId="3EC738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61150CD">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38524F7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w:t>
            </w:r>
          </w:p>
        </w:tc>
        <w:tc>
          <w:tcPr>
            <w:tcW w:w="2325" w:type="dxa"/>
            <w:gridSpan w:val="2"/>
            <w:noWrap w:val="0"/>
            <w:vAlign w:val="top"/>
          </w:tcPr>
          <w:p w14:paraId="001EABF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c>
          <w:tcPr>
            <w:tcW w:w="1679" w:type="dxa"/>
            <w:gridSpan w:val="2"/>
            <w:noWrap w:val="0"/>
            <w:vAlign w:val="top"/>
          </w:tcPr>
          <w:p w14:paraId="4790AD5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7.46</w:t>
            </w:r>
          </w:p>
        </w:tc>
      </w:tr>
      <w:tr w14:paraId="14BA9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A6A2225">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60D00586">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6C2E2AD">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411A1BF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04F005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7B35E07">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17AC625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EA16D9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0037569">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B7514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767E28E">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0178B2C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7DA7D3F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24.92</w:t>
            </w:r>
          </w:p>
        </w:tc>
        <w:tc>
          <w:tcPr>
            <w:tcW w:w="1679" w:type="dxa"/>
            <w:gridSpan w:val="2"/>
            <w:noWrap w:val="0"/>
            <w:vAlign w:val="top"/>
          </w:tcPr>
          <w:p w14:paraId="26DB0B2E">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5A608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418940E">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07E7D9C9">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1DD606D1">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1651C373">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CFCE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203B6AA6">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509EA238">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4BCD0C4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4E0F87F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7463653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732006B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70E48C3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44AC36D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35B973E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2FC979D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257D175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08F3813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6689786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6EE0AFC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1642A0A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7D1BC5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758B7108">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69DB61D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6F3E8227">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14:paraId="6986947F">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14:paraId="2A2BCE61">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14:paraId="6549CE7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14:paraId="7516D4A9">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4CE59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4675BDEB">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5C74BE21">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14:paraId="1030F733">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1ECF3820">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         联系电话：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4BE42FE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3AFAAE3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140A2C1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27ADD91E">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74D427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0CFE04CD">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22EF4898">
            <w:pPr>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中国国际贸易促进委员会岳阳楼区委员会</w:t>
            </w:r>
          </w:p>
        </w:tc>
      </w:tr>
      <w:tr w14:paraId="720E2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75473187">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026F91BA">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4E09B546">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4B025C14">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2F1221F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7EF7EF7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534975E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43AA3DB3">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18CEB18E">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7C9FE756">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5D808502">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1E45BF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6A084614">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0A40D0B8">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1E87D0A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160.82</w:t>
            </w:r>
          </w:p>
        </w:tc>
        <w:tc>
          <w:tcPr>
            <w:tcW w:w="1319" w:type="dxa"/>
            <w:noWrap w:val="0"/>
            <w:vAlign w:val="center"/>
          </w:tcPr>
          <w:p w14:paraId="3F8575D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515.15</w:t>
            </w:r>
          </w:p>
        </w:tc>
        <w:tc>
          <w:tcPr>
            <w:tcW w:w="1259" w:type="dxa"/>
            <w:noWrap w:val="0"/>
            <w:vAlign w:val="center"/>
          </w:tcPr>
          <w:p w14:paraId="46BFAA9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515.15</w:t>
            </w:r>
          </w:p>
        </w:tc>
        <w:tc>
          <w:tcPr>
            <w:tcW w:w="719" w:type="dxa"/>
            <w:noWrap w:val="0"/>
            <w:vAlign w:val="center"/>
          </w:tcPr>
          <w:p w14:paraId="15542962">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01C3D84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0BC2BB8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r>
      <w:tr w14:paraId="6E396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72FF577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2AB5AD81">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51F3A652">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35C4CC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3C41F1C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0761302">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515.15</w:t>
            </w:r>
          </w:p>
        </w:tc>
        <w:tc>
          <w:tcPr>
            <w:tcW w:w="4055" w:type="dxa"/>
            <w:gridSpan w:val="4"/>
            <w:noWrap w:val="0"/>
            <w:vAlign w:val="center"/>
          </w:tcPr>
          <w:p w14:paraId="41B6F464">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115.67</w:t>
            </w:r>
          </w:p>
        </w:tc>
      </w:tr>
      <w:tr w14:paraId="149D5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47049B29">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FA2BFE2">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0BE72D44">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399.48</w:t>
            </w:r>
          </w:p>
        </w:tc>
      </w:tr>
      <w:tr w14:paraId="3E4698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7FBA9FE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332113B">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14:paraId="66BCE627">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185983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3C1BA10B">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9463B45">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14:paraId="18B889B8">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4A008E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02D8AE29">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17220126">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4352EF20">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D23F7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2BCA834">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68B564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一）根据区委、区人民政府有关外经贸和外事工作的方针政策及工作部署，开展同国内外经济贸易界、商会协会、贸促机构和其他经贸团体以及有关国际组织的联络工作；与国外相应组织签订有关经贸技术交流、合作协议、协定，并参加相关活动。</w:t>
            </w:r>
          </w:p>
          <w:p w14:paraId="6FF96A1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（二）邀请和接待国内外经贸界人士和代表团来访；组织经济贸易代表团赴境外访问与考察；协助区人民政府组织经贸洽谈、招商引资及其他形式的促进经贸交流与合作活动。</w:t>
            </w:r>
          </w:p>
          <w:p w14:paraId="09EA0F6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三）开展国内外经济贸易信息的收集、整理、传递和发布工作，建立国内外的经贸信息网络；向国内外有关企业和机构介绍经济技术合作、劳务合作对象、提供贸易机会、信息咨询及国内外公司、企业的资信调查服务；举办对外经贸宣传活动。</w:t>
            </w:r>
          </w:p>
          <w:p w14:paraId="43FF646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四）协调管理全区出国举办经济贸易展览会的归口受理、报批工作；根据岳阳楼区对外经贸工作的需要，拟定年度出国办展和参展计划；组织岳阳楼区企业、团体在境内外举办经贸展览会和参加国际博览会、专业性展览会等。</w:t>
            </w:r>
          </w:p>
          <w:p w14:paraId="3A4BB70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五）与各地商会、律师事务所及其他商事法律服务组织合作，建立国际商事法律服务平台；签发货物原产地证明书、商事证明书和ATA单证册，出具不可抗力证明，代办涉外商事文件的领事认证业务；受理共同海损和单独海损等理算业务；组织涉外商事法律方面的对外交流活动；对企业进行国际商事法律业务培训。</w:t>
            </w:r>
          </w:p>
          <w:p w14:paraId="43FA433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（六）协助调解涉外经贸（海事）纠纷；代理岳阳楼区企业在国内外或外国公司和个人在我国办理商标注册和专利申请；协助办理有关知识产权的咨询、争议处理及技术贸易等业务。</w:t>
            </w:r>
          </w:p>
          <w:p w14:paraId="3C0E8B8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（七）在全区范围发展和管理会员，开展各类会员服务和培训工作。</w:t>
            </w:r>
          </w:p>
          <w:p w14:paraId="47C102F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（八）完善、更新产业发展规划。</w:t>
            </w:r>
          </w:p>
        </w:tc>
        <w:tc>
          <w:tcPr>
            <w:tcW w:w="4055" w:type="dxa"/>
            <w:gridSpan w:val="4"/>
            <w:noWrap w:val="0"/>
            <w:vAlign w:val="center"/>
          </w:tcPr>
          <w:p w14:paraId="788F700C">
            <w:pPr>
              <w:keepNext w:val="0"/>
              <w:keepLines w:val="0"/>
              <w:pageBreakBefore w:val="0"/>
              <w:widowControl w:val="0"/>
              <w:kinsoku/>
              <w:wordWrap/>
              <w:overflowPunct/>
              <w:topLinePunct w:val="0"/>
              <w:autoSpaceDE/>
              <w:autoSpaceDN/>
              <w:bidi w:val="0"/>
              <w:adjustRightInd/>
              <w:snapToGrid/>
              <w:spacing w:line="240" w:lineRule="exact"/>
              <w:ind w:left="0"/>
              <w:jc w:val="both"/>
              <w:textAlignment w:val="auto"/>
              <w:rPr>
                <w:rFonts w:hint="eastAsia" w:ascii="Arial" w:eastAsiaTheme="minorEastAsia"/>
                <w:color w:val="000000" w:themeColor="text1"/>
                <w:spacing w:val="0"/>
                <w:sz w:val="20"/>
                <w:lang w:eastAsia="zh-CN"/>
                <w14:textFill>
                  <w14:solidFill>
                    <w14:schemeClr w14:val="tx1"/>
                  </w14:solidFill>
                </w14:textFill>
              </w:rPr>
            </w:pPr>
            <w:r>
              <w:rPr>
                <w:rFonts w:hint="eastAsia" w:ascii="Arial"/>
                <w:color w:val="000000" w:themeColor="text1"/>
                <w:spacing w:val="0"/>
                <w:sz w:val="20"/>
                <w:lang w:eastAsia="zh-CN"/>
                <w14:textFill>
                  <w14:solidFill>
                    <w14:schemeClr w14:val="tx1"/>
                  </w14:solidFill>
                </w14:textFill>
              </w:rPr>
              <w:t>已完成</w:t>
            </w:r>
          </w:p>
        </w:tc>
      </w:tr>
      <w:tr w14:paraId="19B405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5775FAC0">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35DD2F82">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68C7029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1E4B6E2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46848B6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03F63883">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4F19801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4CFA9FE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24C27B9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352A7A2F">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57B89FE0">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2D581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00EBD2D1">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4F72FD10">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55E9B0F5">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7159BC65">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67AC6460">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6319C773">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6858649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bottom w:val="nil"/>
            </w:tcBorders>
            <w:noWrap w:val="0"/>
            <w:vAlign w:val="center"/>
          </w:tcPr>
          <w:p w14:paraId="7F3E8C67">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0482592E">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lang w:val="en-US" w:eastAsia="zh-CN"/>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接待客商考察投资项目</w:t>
            </w:r>
          </w:p>
        </w:tc>
        <w:tc>
          <w:tcPr>
            <w:tcW w:w="1319" w:type="dxa"/>
            <w:noWrap w:val="0"/>
            <w:vAlign w:val="center"/>
          </w:tcPr>
          <w:p w14:paraId="547D5F6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59389954">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496A0AAF">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802" w:type="dxa"/>
            <w:noWrap w:val="0"/>
            <w:vAlign w:val="center"/>
          </w:tcPr>
          <w:p w14:paraId="7E1FA45C">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1275" w:type="dxa"/>
            <w:noWrap w:val="0"/>
            <w:vAlign w:val="center"/>
          </w:tcPr>
          <w:p w14:paraId="5B991C88">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11A190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073A3AE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B43A06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56BF9D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FBE0290">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14:textFill>
                  <w14:solidFill>
                    <w14:schemeClr w14:val="tx1"/>
                  </w14:solidFill>
                </w14:textFill>
              </w:rPr>
            </w:pPr>
            <w:r>
              <w:rPr>
                <w:rFonts w:hint="eastAsia" w:ascii="宋体" w:hAnsi="宋体" w:eastAsia="宋体" w:cs="宋体"/>
                <w:color w:val="000000" w:themeColor="text1"/>
                <w:spacing w:val="-2"/>
                <w:sz w:val="21"/>
                <w:szCs w:val="21"/>
                <w:lang w:eastAsia="zh-CN"/>
                <w14:textFill>
                  <w14:solidFill>
                    <w14:schemeClr w14:val="tx1"/>
                  </w14:solidFill>
                </w14:textFill>
              </w:rPr>
              <w:t>高质量完成招商引资</w:t>
            </w:r>
          </w:p>
        </w:tc>
        <w:tc>
          <w:tcPr>
            <w:tcW w:w="1319" w:type="dxa"/>
            <w:noWrap w:val="0"/>
            <w:vAlign w:val="center"/>
          </w:tcPr>
          <w:p w14:paraId="6D6246D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66F563D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3F34317B">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5</w:t>
            </w:r>
          </w:p>
        </w:tc>
        <w:tc>
          <w:tcPr>
            <w:tcW w:w="802" w:type="dxa"/>
            <w:noWrap w:val="0"/>
            <w:vAlign w:val="center"/>
          </w:tcPr>
          <w:p w14:paraId="6D6079B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5</w:t>
            </w:r>
          </w:p>
        </w:tc>
        <w:tc>
          <w:tcPr>
            <w:tcW w:w="1275" w:type="dxa"/>
            <w:noWrap w:val="0"/>
            <w:vAlign w:val="center"/>
          </w:tcPr>
          <w:p w14:paraId="1F42A34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0A11F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7CB46BE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4D6CC9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13AF3B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4F647AF">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14:textFill>
                  <w14:solidFill>
                    <w14:schemeClr w14:val="tx1"/>
                  </w14:solidFill>
                </w14:textFill>
              </w:rPr>
            </w:pPr>
            <w:r>
              <w:rPr>
                <w:rFonts w:hint="eastAsia" w:ascii="宋体" w:hAnsi="宋体" w:eastAsia="宋体" w:cs="宋体"/>
                <w:color w:val="000000" w:themeColor="text1"/>
                <w:spacing w:val="-2"/>
                <w:sz w:val="21"/>
                <w:szCs w:val="21"/>
                <w:lang w:eastAsia="zh-CN"/>
                <w14:textFill>
                  <w14:solidFill>
                    <w14:schemeClr w14:val="tx1"/>
                  </w14:solidFill>
                </w14:textFill>
              </w:rPr>
              <w:t>高质量完成电商产业</w:t>
            </w:r>
          </w:p>
        </w:tc>
        <w:tc>
          <w:tcPr>
            <w:tcW w:w="1319" w:type="dxa"/>
            <w:noWrap w:val="0"/>
            <w:vAlign w:val="center"/>
          </w:tcPr>
          <w:p w14:paraId="0BE8F05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6F4EC89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1791CD34">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802" w:type="dxa"/>
            <w:noWrap w:val="0"/>
            <w:vAlign w:val="center"/>
          </w:tcPr>
          <w:p w14:paraId="157B08E2">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1275" w:type="dxa"/>
            <w:noWrap w:val="0"/>
            <w:vAlign w:val="center"/>
          </w:tcPr>
          <w:p w14:paraId="7C05E23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0AFED5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3C1853E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3414E8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60EE2ED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2C121628">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14:textFill>
                  <w14:solidFill>
                    <w14:schemeClr w14:val="tx1"/>
                  </w14:solidFill>
                </w14:textFill>
              </w:rPr>
            </w:pPr>
            <w:r>
              <w:rPr>
                <w:rFonts w:hint="eastAsia" w:ascii="宋体" w:hAnsi="宋体" w:eastAsia="宋体" w:cs="宋体"/>
                <w:color w:val="000000" w:themeColor="text1"/>
                <w:spacing w:val="-2"/>
                <w:sz w:val="21"/>
                <w:szCs w:val="21"/>
                <w:lang w:eastAsia="zh-CN"/>
                <w14:textFill>
                  <w14:solidFill>
                    <w14:schemeClr w14:val="tx1"/>
                  </w14:solidFill>
                </w14:textFill>
              </w:rPr>
              <w:t>发展会员企业</w:t>
            </w:r>
            <w:r>
              <w:rPr>
                <w:rFonts w:hint="eastAsia" w:ascii="宋体" w:hAnsi="宋体" w:eastAsia="宋体" w:cs="宋体"/>
                <w:color w:val="000000" w:themeColor="text1"/>
                <w:spacing w:val="-2"/>
                <w:sz w:val="21"/>
                <w:szCs w:val="21"/>
                <w:lang w:val="en-US" w:eastAsia="zh-CN"/>
                <w14:textFill>
                  <w14:solidFill>
                    <w14:schemeClr w14:val="tx1"/>
                  </w14:solidFill>
                </w14:textFill>
              </w:rPr>
              <w:t>5家</w:t>
            </w:r>
          </w:p>
        </w:tc>
        <w:tc>
          <w:tcPr>
            <w:tcW w:w="1319" w:type="dxa"/>
            <w:noWrap w:val="0"/>
            <w:vAlign w:val="center"/>
          </w:tcPr>
          <w:p w14:paraId="15141320">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7DC190C4">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4BC15EDB">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802" w:type="dxa"/>
            <w:noWrap w:val="0"/>
            <w:vAlign w:val="center"/>
          </w:tcPr>
          <w:p w14:paraId="64A32A97">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1275" w:type="dxa"/>
            <w:noWrap w:val="0"/>
            <w:vAlign w:val="center"/>
          </w:tcPr>
          <w:p w14:paraId="2C89D2A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F84C4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1C9D64B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670D57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435B9A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C01BDED">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保证机构正常运转</w:t>
            </w:r>
          </w:p>
        </w:tc>
        <w:tc>
          <w:tcPr>
            <w:tcW w:w="1319" w:type="dxa"/>
            <w:noWrap w:val="0"/>
            <w:vAlign w:val="center"/>
          </w:tcPr>
          <w:p w14:paraId="31124D9D">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71962914">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6DD6BE3C">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802" w:type="dxa"/>
            <w:noWrap w:val="0"/>
            <w:vAlign w:val="center"/>
          </w:tcPr>
          <w:p w14:paraId="484781D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1275" w:type="dxa"/>
            <w:noWrap w:val="0"/>
            <w:vAlign w:val="center"/>
          </w:tcPr>
          <w:p w14:paraId="4F8A214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00C58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14:paraId="4AD0A47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C85319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00066EF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E847A99">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14:textFill>
                  <w14:solidFill>
                    <w14:schemeClr w14:val="tx1"/>
                  </w14:solidFill>
                </w14:textFill>
              </w:rPr>
            </w:pPr>
            <w:r>
              <w:rPr>
                <w:rFonts w:hint="eastAsia" w:ascii="宋体" w:hAnsi="宋体" w:eastAsia="宋体" w:cs="宋体"/>
                <w:color w:val="000000" w:themeColor="text1"/>
                <w:spacing w:val="-2"/>
                <w:sz w:val="21"/>
                <w:szCs w:val="21"/>
                <w:lang w:eastAsia="zh-CN"/>
                <w14:textFill>
                  <w14:solidFill>
                    <w14:schemeClr w14:val="tx1"/>
                  </w14:solidFill>
                </w14:textFill>
              </w:rPr>
              <w:t>服务水平提高</w:t>
            </w:r>
          </w:p>
        </w:tc>
        <w:tc>
          <w:tcPr>
            <w:tcW w:w="1319" w:type="dxa"/>
            <w:noWrap w:val="0"/>
            <w:vAlign w:val="center"/>
          </w:tcPr>
          <w:p w14:paraId="5C8D6F9A">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138A11AB">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35542CC2">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5</w:t>
            </w:r>
          </w:p>
        </w:tc>
        <w:tc>
          <w:tcPr>
            <w:tcW w:w="802" w:type="dxa"/>
            <w:noWrap w:val="0"/>
            <w:vAlign w:val="center"/>
          </w:tcPr>
          <w:p w14:paraId="50151D8E">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5</w:t>
            </w:r>
          </w:p>
        </w:tc>
        <w:tc>
          <w:tcPr>
            <w:tcW w:w="1275" w:type="dxa"/>
            <w:noWrap w:val="0"/>
            <w:vAlign w:val="center"/>
          </w:tcPr>
          <w:p w14:paraId="7D85B4A7">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14:paraId="0BF6D9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01C1748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75D818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455F4C6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36F6E846">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经费当年下达及时率</w:t>
            </w:r>
          </w:p>
        </w:tc>
        <w:tc>
          <w:tcPr>
            <w:tcW w:w="1319" w:type="dxa"/>
            <w:noWrap w:val="0"/>
            <w:vAlign w:val="center"/>
          </w:tcPr>
          <w:p w14:paraId="166DE1E0">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3CC2D81C">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2A65743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4</w:t>
            </w:r>
          </w:p>
        </w:tc>
        <w:tc>
          <w:tcPr>
            <w:tcW w:w="802" w:type="dxa"/>
            <w:noWrap w:val="0"/>
            <w:vAlign w:val="center"/>
          </w:tcPr>
          <w:p w14:paraId="4496524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4</w:t>
            </w:r>
          </w:p>
        </w:tc>
        <w:tc>
          <w:tcPr>
            <w:tcW w:w="1275" w:type="dxa"/>
            <w:noWrap w:val="0"/>
            <w:vAlign w:val="center"/>
          </w:tcPr>
          <w:p w14:paraId="77FBCBD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6C571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24B1121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1A84E6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A85222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EBCC051">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经费当年下达比例</w:t>
            </w:r>
          </w:p>
        </w:tc>
        <w:tc>
          <w:tcPr>
            <w:tcW w:w="1319" w:type="dxa"/>
            <w:noWrap w:val="0"/>
            <w:vAlign w:val="center"/>
          </w:tcPr>
          <w:p w14:paraId="36E1DF5A">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584667B6">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13C1FBF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3</w:t>
            </w:r>
          </w:p>
        </w:tc>
        <w:tc>
          <w:tcPr>
            <w:tcW w:w="802" w:type="dxa"/>
            <w:noWrap w:val="0"/>
            <w:vAlign w:val="center"/>
          </w:tcPr>
          <w:p w14:paraId="17768B9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3</w:t>
            </w:r>
          </w:p>
        </w:tc>
        <w:tc>
          <w:tcPr>
            <w:tcW w:w="1275" w:type="dxa"/>
            <w:noWrap w:val="0"/>
            <w:vAlign w:val="center"/>
          </w:tcPr>
          <w:p w14:paraId="50B403C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4FBE0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3EF238D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E03502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16EC1F7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0B9F830">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年底前完成其他各项工作</w:t>
            </w:r>
          </w:p>
        </w:tc>
        <w:tc>
          <w:tcPr>
            <w:tcW w:w="1319" w:type="dxa"/>
            <w:noWrap w:val="0"/>
            <w:vAlign w:val="center"/>
          </w:tcPr>
          <w:p w14:paraId="7C174DC6">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2CB33EC6">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2DF0765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4</w:t>
            </w:r>
          </w:p>
        </w:tc>
        <w:tc>
          <w:tcPr>
            <w:tcW w:w="802" w:type="dxa"/>
            <w:noWrap w:val="0"/>
            <w:vAlign w:val="center"/>
          </w:tcPr>
          <w:p w14:paraId="0EB9531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4</w:t>
            </w:r>
          </w:p>
        </w:tc>
        <w:tc>
          <w:tcPr>
            <w:tcW w:w="1275" w:type="dxa"/>
            <w:noWrap w:val="0"/>
            <w:vAlign w:val="center"/>
          </w:tcPr>
          <w:p w14:paraId="3A19048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8BFA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15D2857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16CA67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2CE5F73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62F9C66C">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各项经费控制在预算内</w:t>
            </w:r>
          </w:p>
        </w:tc>
        <w:tc>
          <w:tcPr>
            <w:tcW w:w="1319" w:type="dxa"/>
            <w:noWrap w:val="0"/>
            <w:vAlign w:val="center"/>
          </w:tcPr>
          <w:p w14:paraId="05BE6729">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1C0B0476">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6B508BD1">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2E6A6C6E">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1747EEF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0F0B88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0826979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8A7706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FE0FA6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D716E26">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hint="eastAsia"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项目支出是否符合国家或部门相关标准</w:t>
            </w:r>
          </w:p>
        </w:tc>
        <w:tc>
          <w:tcPr>
            <w:tcW w:w="1319" w:type="dxa"/>
            <w:noWrap w:val="0"/>
            <w:vAlign w:val="center"/>
          </w:tcPr>
          <w:p w14:paraId="66D2A30D">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29115976">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410DB65D">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14:paraId="1ED5A16F">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14:paraId="5C1BD84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484A27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65F38073">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7339312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1755271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7F7BF5A">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lang w:val="en-US" w:eastAsia="zh-CN"/>
                <w14:textFill>
                  <w14:solidFill>
                    <w14:schemeClr w14:val="tx1"/>
                  </w14:solidFill>
                </w14:textFill>
              </w:rPr>
            </w:pPr>
            <w:r>
              <w:rPr>
                <w:rFonts w:hint="eastAsia" w:ascii="宋体" w:hAnsi="宋体" w:eastAsia="宋体" w:cs="宋体"/>
                <w:color w:val="000000" w:themeColor="text1"/>
                <w:spacing w:val="-2"/>
                <w:sz w:val="21"/>
                <w:szCs w:val="21"/>
                <w:lang w:val="en-US" w:eastAsia="zh-CN"/>
                <w14:textFill>
                  <w14:solidFill>
                    <w14:schemeClr w14:val="tx1"/>
                  </w14:solidFill>
                </w14:textFill>
              </w:rPr>
              <w:t>按年初预算控制成本</w:t>
            </w:r>
          </w:p>
        </w:tc>
        <w:tc>
          <w:tcPr>
            <w:tcW w:w="1319" w:type="dxa"/>
            <w:noWrap w:val="0"/>
            <w:vAlign w:val="center"/>
          </w:tcPr>
          <w:p w14:paraId="10F8A026">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419EA789">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2E49E07D">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17A885AA">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78E7C6A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10DE2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170FC19C">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785CFE01">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2931FEA6">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58DE62E1">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1811C92F">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588CB468">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61B995A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14:paraId="09D1BC53">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4E83C5C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2F1AA152">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lang w:val="en-US" w:eastAsia="zh-CN"/>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招商引资引进企业增加税收</w:t>
            </w:r>
          </w:p>
        </w:tc>
        <w:tc>
          <w:tcPr>
            <w:tcW w:w="1319" w:type="dxa"/>
            <w:noWrap w:val="0"/>
            <w:vAlign w:val="center"/>
          </w:tcPr>
          <w:p w14:paraId="4ECDB98C">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0E29194A">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7C4BFC93">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802" w:type="dxa"/>
            <w:noWrap w:val="0"/>
            <w:vAlign w:val="center"/>
          </w:tcPr>
          <w:p w14:paraId="19F8E175">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1275" w:type="dxa"/>
            <w:noWrap w:val="0"/>
            <w:vAlign w:val="center"/>
          </w:tcPr>
          <w:p w14:paraId="5B18806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BECF2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2FA27C6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AF9B23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10FFE9F3">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0C1CF6C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50FFECAE">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lang w:val="en-US" w:eastAsia="zh-CN"/>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改善营商环境</w:t>
            </w:r>
          </w:p>
        </w:tc>
        <w:tc>
          <w:tcPr>
            <w:tcW w:w="1319" w:type="dxa"/>
            <w:noWrap w:val="0"/>
            <w:vAlign w:val="center"/>
          </w:tcPr>
          <w:p w14:paraId="696E82B9">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4AD48665">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6F925EBB">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10</w:t>
            </w:r>
          </w:p>
        </w:tc>
        <w:tc>
          <w:tcPr>
            <w:tcW w:w="802" w:type="dxa"/>
            <w:noWrap w:val="0"/>
            <w:vAlign w:val="center"/>
          </w:tcPr>
          <w:p w14:paraId="5091681B">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10</w:t>
            </w:r>
          </w:p>
        </w:tc>
        <w:tc>
          <w:tcPr>
            <w:tcW w:w="1275" w:type="dxa"/>
            <w:noWrap w:val="0"/>
            <w:vAlign w:val="center"/>
          </w:tcPr>
          <w:p w14:paraId="2307AEE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01092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5B370FF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39521E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3553F486">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5B1937B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1AA2BCA8">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lang w:val="en-US" w:eastAsia="zh-CN"/>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资金运行安全情况</w:t>
            </w:r>
          </w:p>
        </w:tc>
        <w:tc>
          <w:tcPr>
            <w:tcW w:w="1319" w:type="dxa"/>
            <w:noWrap w:val="0"/>
            <w:vAlign w:val="center"/>
          </w:tcPr>
          <w:p w14:paraId="5541102B">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3DF395C1">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37FF52E0">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802" w:type="dxa"/>
            <w:noWrap w:val="0"/>
            <w:vAlign w:val="center"/>
          </w:tcPr>
          <w:p w14:paraId="53DAB72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stheme="minorBidi"/>
                <w:color w:val="000000" w:themeColor="text1"/>
                <w:kern w:val="2"/>
                <w:sz w:val="20"/>
                <w:szCs w:val="24"/>
                <w:lang w:val="en-US" w:eastAsia="zh-CN" w:bidi="ar-SA"/>
                <w14:textFill>
                  <w14:solidFill>
                    <w14:schemeClr w14:val="tx1"/>
                  </w14:solidFill>
                </w14:textFill>
              </w:rPr>
              <w:t>5</w:t>
            </w:r>
          </w:p>
        </w:tc>
        <w:tc>
          <w:tcPr>
            <w:tcW w:w="1275" w:type="dxa"/>
            <w:noWrap w:val="0"/>
            <w:vAlign w:val="center"/>
          </w:tcPr>
          <w:p w14:paraId="1E78527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C7053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225EACC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C095F1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798E9F3B">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60D341E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652DA5D3">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lang w:val="en-US" w:eastAsia="zh-CN"/>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客商投资满意度</w:t>
            </w:r>
          </w:p>
        </w:tc>
        <w:tc>
          <w:tcPr>
            <w:tcW w:w="1319" w:type="dxa"/>
            <w:noWrap w:val="0"/>
            <w:vAlign w:val="center"/>
          </w:tcPr>
          <w:p w14:paraId="18C390E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3960623B">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1F982FCE">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w:t>
            </w:r>
          </w:p>
        </w:tc>
        <w:tc>
          <w:tcPr>
            <w:tcW w:w="802" w:type="dxa"/>
            <w:noWrap w:val="0"/>
            <w:vAlign w:val="center"/>
          </w:tcPr>
          <w:p w14:paraId="4B87A2B6">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w:t>
            </w:r>
          </w:p>
        </w:tc>
        <w:tc>
          <w:tcPr>
            <w:tcW w:w="1275" w:type="dxa"/>
            <w:noWrap w:val="0"/>
            <w:vAlign w:val="center"/>
          </w:tcPr>
          <w:p w14:paraId="686EBCF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BB1BD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7EAB17F0">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259BAAA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59F07C4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6EBEA8D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6F58A5EC">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7C711D5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71CB9FA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259B04A8">
            <w:pPr>
              <w:keepNext w:val="0"/>
              <w:keepLines w:val="0"/>
              <w:pageBreakBefore w:val="0"/>
              <w:widowControl w:val="0"/>
              <w:kinsoku/>
              <w:wordWrap/>
              <w:overflowPunct/>
              <w:topLinePunct w:val="0"/>
              <w:autoSpaceDE/>
              <w:autoSpaceDN/>
              <w:bidi w:val="0"/>
              <w:adjustRightInd/>
              <w:snapToGrid/>
              <w:spacing w:line="202" w:lineRule="auto"/>
              <w:ind w:left="0"/>
              <w:jc w:val="left"/>
              <w:textAlignment w:val="auto"/>
              <w:rPr>
                <w:rFonts w:ascii="宋体" w:hAnsi="宋体" w:eastAsia="宋体" w:cs="宋体"/>
                <w:color w:val="000000" w:themeColor="text1"/>
                <w:spacing w:val="-2"/>
                <w:sz w:val="21"/>
                <w:szCs w:val="21"/>
                <w:lang w:val="en-US" w:eastAsia="zh-CN"/>
                <w14:textFill>
                  <w14:solidFill>
                    <w14:schemeClr w14:val="tx1"/>
                  </w14:solidFill>
                </w14:textFill>
              </w:rPr>
            </w:pPr>
            <w:r>
              <w:rPr>
                <w:rFonts w:ascii="宋体" w:hAnsi="宋体" w:eastAsia="宋体" w:cs="宋体"/>
                <w:color w:val="000000" w:themeColor="text1"/>
                <w:spacing w:val="-2"/>
                <w:sz w:val="21"/>
                <w:szCs w:val="21"/>
                <w:lang w:val="en-US" w:eastAsia="zh-CN"/>
                <w14:textFill>
                  <w14:solidFill>
                    <w14:schemeClr w14:val="tx1"/>
                  </w14:solidFill>
                </w14:textFill>
              </w:rPr>
              <w:t>客商满意度</w:t>
            </w:r>
          </w:p>
        </w:tc>
        <w:tc>
          <w:tcPr>
            <w:tcW w:w="1319" w:type="dxa"/>
            <w:noWrap w:val="0"/>
            <w:vAlign w:val="center"/>
          </w:tcPr>
          <w:p w14:paraId="3678E3D4">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stheme="minorBidi"/>
                <w:color w:val="000000" w:themeColor="text1"/>
                <w:kern w:val="2"/>
                <w:sz w:val="21"/>
                <w:szCs w:val="24"/>
                <w:lang w:val="en-US" w:eastAsia="zh-CN" w:bidi="ar-SA"/>
                <w14:textFill>
                  <w14:solidFill>
                    <w14:schemeClr w14:val="tx1"/>
                  </w14:solidFill>
                </w14:textFill>
              </w:rPr>
              <w:t>100%</w:t>
            </w:r>
          </w:p>
        </w:tc>
        <w:tc>
          <w:tcPr>
            <w:tcW w:w="1259" w:type="dxa"/>
            <w:noWrap w:val="0"/>
            <w:vAlign w:val="center"/>
          </w:tcPr>
          <w:p w14:paraId="706B2DF4">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5B5F2C2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1C1A5FF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2E408AC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18528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263D9477">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17D7831E">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100</w:t>
            </w:r>
          </w:p>
        </w:tc>
        <w:tc>
          <w:tcPr>
            <w:tcW w:w="802" w:type="dxa"/>
            <w:noWrap w:val="0"/>
            <w:vAlign w:val="center"/>
          </w:tcPr>
          <w:p w14:paraId="07EB743A">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1275" w:type="dxa"/>
            <w:noWrap w:val="0"/>
            <w:vAlign w:val="center"/>
          </w:tcPr>
          <w:p w14:paraId="1F340DF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3F799AF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14:paraId="771D492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2FF9E4C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324F3639">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1E748FA8">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贸促会</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14:paraId="279C3983">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14:paraId="39C5281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C7F671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4793D4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482D67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21F6D9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67308E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63B901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812AEE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DC233C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76CF36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6CF784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437A57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96AD14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C24311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96FA01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CD3333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38A5A7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15679B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84D12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0E56E9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12624F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66222A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EE5B66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3936E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AA3148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E1B5B5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560F77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0512F81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14:paraId="3899FBA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6E7CE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673BB9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485CA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1B3F78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2022年度岳阳楼区贸促会整体支出绩效</w:t>
      </w:r>
    </w:p>
    <w:p w14:paraId="16FAA536">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自评报告</w:t>
      </w:r>
    </w:p>
    <w:p w14:paraId="49E823B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82330D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690640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83D5215">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61B7D1B7">
      <w:pPr>
        <w:pStyle w:val="5"/>
        <w:keepNext w:val="0"/>
        <w:keepLines w:val="0"/>
        <w:widowControl/>
        <w:suppressLineNumbers w:val="0"/>
        <w:pBdr>
          <w:bottom w:val="none" w:color="auto" w:sz="0" w:space="0"/>
        </w:pBdr>
        <w:spacing w:before="0" w:beforeAutospacing="0" w:after="0" w:afterAutospacing="0" w:line="33" w:lineRule="atLeast"/>
        <w:ind w:left="0" w:right="0" w:firstLine="840" w:firstLineChars="300"/>
        <w:jc w:val="both"/>
        <w:rPr>
          <w:rFonts w:hint="eastAsia" w:ascii="仿宋" w:hAnsi="仿宋" w:eastAsia="仿宋" w:cs="仿宋"/>
          <w:sz w:val="28"/>
          <w:szCs w:val="28"/>
        </w:rPr>
      </w:pPr>
      <w:r>
        <w:rPr>
          <w:rFonts w:hint="eastAsia" w:ascii="仿宋" w:hAnsi="仿宋" w:eastAsia="仿宋" w:cs="仿宋"/>
          <w:color w:val="000000"/>
          <w:sz w:val="28"/>
          <w:szCs w:val="28"/>
          <w:lang w:val="en-US" w:eastAsia="zh-CN"/>
        </w:rPr>
        <w:t>我会</w:t>
      </w:r>
      <w:r>
        <w:rPr>
          <w:rFonts w:hint="eastAsia" w:ascii="仿宋" w:hAnsi="仿宋" w:eastAsia="仿宋" w:cs="仿宋"/>
          <w:color w:val="000000"/>
          <w:sz w:val="28"/>
          <w:szCs w:val="28"/>
        </w:rPr>
        <w:t>现有人数</w:t>
      </w:r>
      <w:r>
        <w:rPr>
          <w:rFonts w:hint="eastAsia" w:ascii="仿宋" w:hAnsi="仿宋" w:eastAsia="仿宋" w:cs="仿宋"/>
          <w:color w:val="000000"/>
          <w:sz w:val="28"/>
          <w:szCs w:val="28"/>
          <w:lang w:val="en-US" w:eastAsia="zh-CN"/>
        </w:rPr>
        <w:t>8</w:t>
      </w:r>
      <w:r>
        <w:rPr>
          <w:rFonts w:hint="eastAsia" w:ascii="仿宋" w:hAnsi="仿宋" w:eastAsia="仿宋" w:cs="仿宋"/>
          <w:color w:val="000000"/>
          <w:sz w:val="28"/>
          <w:szCs w:val="28"/>
        </w:rPr>
        <w:t>人，其中：在职编制</w:t>
      </w:r>
      <w:r>
        <w:rPr>
          <w:rFonts w:hint="eastAsia" w:ascii="仿宋" w:hAnsi="仿宋" w:eastAsia="仿宋" w:cs="仿宋"/>
          <w:color w:val="000000"/>
          <w:sz w:val="28"/>
          <w:szCs w:val="28"/>
          <w:lang w:val="en-US" w:eastAsia="zh-CN"/>
        </w:rPr>
        <w:t>7</w:t>
      </w:r>
      <w:r>
        <w:rPr>
          <w:rFonts w:hint="eastAsia" w:ascii="仿宋" w:hAnsi="仿宋" w:eastAsia="仿宋" w:cs="仿宋"/>
          <w:color w:val="000000"/>
          <w:sz w:val="28"/>
          <w:szCs w:val="28"/>
        </w:rPr>
        <w:t>人，离退休</w:t>
      </w:r>
      <w:r>
        <w:rPr>
          <w:rFonts w:hint="eastAsia" w:ascii="仿宋" w:hAnsi="仿宋" w:eastAsia="仿宋" w:cs="仿宋"/>
          <w:color w:val="000000"/>
          <w:sz w:val="28"/>
          <w:szCs w:val="28"/>
          <w:lang w:val="en-US" w:eastAsia="zh-CN"/>
        </w:rPr>
        <w:t>1</w:t>
      </w:r>
      <w:r>
        <w:rPr>
          <w:rFonts w:hint="eastAsia" w:ascii="仿宋" w:hAnsi="仿宋" w:eastAsia="仿宋" w:cs="仿宋"/>
          <w:color w:val="000000"/>
          <w:sz w:val="28"/>
          <w:szCs w:val="28"/>
        </w:rPr>
        <w:t>人。机关设置</w:t>
      </w:r>
      <w:r>
        <w:rPr>
          <w:rFonts w:hint="eastAsia" w:ascii="仿宋" w:hAnsi="仿宋" w:eastAsia="仿宋" w:cs="仿宋"/>
          <w:color w:val="000000"/>
          <w:sz w:val="28"/>
          <w:szCs w:val="28"/>
          <w:lang w:val="en-US" w:eastAsia="zh-CN"/>
        </w:rPr>
        <w:t>3</w:t>
      </w:r>
      <w:r>
        <w:rPr>
          <w:rFonts w:hint="eastAsia" w:ascii="仿宋" w:hAnsi="仿宋" w:eastAsia="仿宋" w:cs="仿宋"/>
          <w:color w:val="000000"/>
          <w:sz w:val="28"/>
          <w:szCs w:val="28"/>
        </w:rPr>
        <w:t>个内设股室：办公室、</w:t>
      </w:r>
      <w:r>
        <w:rPr>
          <w:rFonts w:hint="eastAsia" w:ascii="仿宋" w:hAnsi="仿宋" w:eastAsia="仿宋" w:cs="仿宋"/>
          <w:color w:val="000000"/>
          <w:sz w:val="28"/>
          <w:szCs w:val="28"/>
          <w:lang w:eastAsia="zh-CN"/>
        </w:rPr>
        <w:t>财务室、国际联络展览部。</w:t>
      </w:r>
    </w:p>
    <w:p w14:paraId="5344119B">
      <w:pPr>
        <w:pStyle w:val="5"/>
        <w:keepNext w:val="0"/>
        <w:keepLines w:val="0"/>
        <w:widowControl/>
        <w:suppressLineNumbers w:val="0"/>
        <w:pBdr>
          <w:bottom w:val="none" w:color="auto" w:sz="0" w:space="0"/>
        </w:pBdr>
        <w:spacing w:before="0" w:beforeAutospacing="0" w:after="0" w:afterAutospacing="0" w:line="33" w:lineRule="atLeast"/>
        <w:ind w:left="0" w:right="0" w:firstLine="420"/>
        <w:jc w:val="both"/>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sz w:val="28"/>
          <w:szCs w:val="28"/>
        </w:rPr>
        <w:t>我</w:t>
      </w:r>
      <w:r>
        <w:rPr>
          <w:rFonts w:hint="eastAsia" w:ascii="仿宋" w:hAnsi="仿宋" w:eastAsia="仿宋" w:cs="仿宋"/>
          <w:color w:val="000000"/>
          <w:sz w:val="28"/>
          <w:szCs w:val="28"/>
          <w:lang w:eastAsia="zh-CN"/>
        </w:rPr>
        <w:t>会</w:t>
      </w:r>
      <w:r>
        <w:rPr>
          <w:rFonts w:hint="eastAsia" w:ascii="仿宋" w:hAnsi="仿宋" w:eastAsia="仿宋" w:cs="仿宋"/>
          <w:color w:val="000000"/>
          <w:sz w:val="28"/>
          <w:szCs w:val="28"/>
        </w:rPr>
        <w:t>纳入20</w:t>
      </w:r>
      <w:r>
        <w:rPr>
          <w:rFonts w:hint="eastAsia" w:ascii="仿宋" w:hAnsi="仿宋" w:eastAsia="仿宋" w:cs="仿宋"/>
          <w:color w:val="000000"/>
          <w:sz w:val="28"/>
          <w:szCs w:val="28"/>
          <w:lang w:val="en-US" w:eastAsia="zh-CN"/>
        </w:rPr>
        <w:t>22</w:t>
      </w:r>
      <w:r>
        <w:rPr>
          <w:rFonts w:hint="eastAsia" w:ascii="仿宋" w:hAnsi="仿宋" w:eastAsia="仿宋" w:cs="仿宋"/>
          <w:color w:val="000000"/>
          <w:sz w:val="28"/>
          <w:szCs w:val="28"/>
        </w:rPr>
        <w:t>年</w:t>
      </w:r>
      <w:r>
        <w:rPr>
          <w:rFonts w:hint="eastAsia" w:ascii="仿宋" w:hAnsi="仿宋" w:eastAsia="仿宋" w:cs="仿宋"/>
          <w:bCs/>
          <w:sz w:val="28"/>
          <w:szCs w:val="28"/>
        </w:rPr>
        <w:t>整体支出规模</w:t>
      </w:r>
      <w:r>
        <w:rPr>
          <w:rFonts w:hint="eastAsia" w:ascii="仿宋" w:hAnsi="仿宋" w:eastAsia="仿宋" w:cs="仿宋"/>
          <w:color w:val="000000"/>
          <w:sz w:val="28"/>
          <w:szCs w:val="28"/>
        </w:rPr>
        <w:t>范围的只有岳阳楼区</w:t>
      </w:r>
      <w:r>
        <w:rPr>
          <w:rFonts w:hint="eastAsia" w:ascii="仿宋" w:hAnsi="仿宋" w:eastAsia="仿宋" w:cs="仿宋"/>
          <w:color w:val="000000"/>
          <w:sz w:val="28"/>
          <w:szCs w:val="28"/>
          <w:lang w:eastAsia="zh-CN"/>
        </w:rPr>
        <w:t>贸促会</w:t>
      </w:r>
      <w:r>
        <w:rPr>
          <w:rFonts w:hint="eastAsia" w:ascii="仿宋" w:hAnsi="仿宋" w:eastAsia="仿宋" w:cs="仿宋"/>
          <w:color w:val="000000"/>
          <w:sz w:val="28"/>
          <w:szCs w:val="28"/>
        </w:rPr>
        <w:t>本级</w:t>
      </w:r>
      <w:r>
        <w:rPr>
          <w:rFonts w:hint="eastAsia" w:ascii="仿宋" w:hAnsi="仿宋" w:eastAsia="仿宋" w:cs="仿宋"/>
          <w:color w:val="000000"/>
          <w:sz w:val="28"/>
          <w:szCs w:val="28"/>
          <w:lang w:eastAsia="zh-CN"/>
        </w:rPr>
        <w:t>，</w:t>
      </w:r>
      <w:r>
        <w:rPr>
          <w:rFonts w:hint="eastAsia" w:ascii="仿宋" w:hAnsi="仿宋" w:eastAsia="仿宋" w:cs="仿宋"/>
          <w:color w:val="000000"/>
          <w:sz w:val="28"/>
          <w:szCs w:val="28"/>
          <w:lang w:val="en-US" w:eastAsia="zh-CN"/>
        </w:rPr>
        <w:t>整体支出包括基本支出和项目支出。</w:t>
      </w:r>
    </w:p>
    <w:p w14:paraId="65B9A42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3CAA28EF">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14:paraId="16B5DF7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lang w:val="en-US" w:eastAsia="zh-CN"/>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2022年，我会公共财政预算支出共计515.15万元，其中：基本支出115.67万元，主要包括工资福利支出95.46万元、一般商品和服务支出15.29万元以及对个人和家庭的补助4.92万元。</w:t>
      </w:r>
    </w:p>
    <w:p w14:paraId="7FC51DDF">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14:paraId="300D4B9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lang w:val="en-US" w:eastAsia="zh-CN"/>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项目支出为399.48万元，主要为招商项目包装策划,引进知名企业来楼区合作、洽谈、投资等。</w:t>
      </w:r>
    </w:p>
    <w:p w14:paraId="22E005FC">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政府性基金预算支出情况</w:t>
      </w:r>
    </w:p>
    <w:p w14:paraId="3FB5198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lang w:val="en-US" w:eastAsia="zh-CN"/>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本单位无政府性基金预算支出。</w:t>
      </w:r>
    </w:p>
    <w:p w14:paraId="0098BB2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三、国有资本经营预算支出情况</w:t>
      </w:r>
    </w:p>
    <w:p w14:paraId="6F838043">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本单位无国有资本经营预算支出。</w:t>
      </w:r>
    </w:p>
    <w:p w14:paraId="0200A3D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四、社会保险基金预算支出情况</w:t>
      </w:r>
    </w:p>
    <w:p w14:paraId="7151604E">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both"/>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本单位无社会保险基金预算支出。</w:t>
      </w:r>
    </w:p>
    <w:p w14:paraId="35B0AC3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五、部门整体支出绩效情况</w:t>
      </w:r>
    </w:p>
    <w:p w14:paraId="49C5B62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总结归纳本单位“四本预算”支出的绩效目标完成 情况，实现产出和取得效益的情况。围绕单位职责、行业发展规划，以预算资金管理为主线，总结单位资产管理和开展业务情况，从运行成本、管理效率、履职效能、社会效应、可持续发展能力和服务对象满意度等方面，衡量单位整体及核心业务实施效果。</w:t>
      </w:r>
    </w:p>
    <w:p w14:paraId="616F8C2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2952CA9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一是预算管理制度不够健全，相应的管理制度没有得到有效执行；</w:t>
      </w:r>
    </w:p>
    <w:p w14:paraId="1A71D11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二是资产管理不够规范，管理制度未得到有效执行，存在遗留问题；</w:t>
      </w:r>
    </w:p>
    <w:p w14:paraId="28459E3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三是预算编制不够合理，一般预算经费较少，存在资金缺口。</w:t>
      </w:r>
    </w:p>
    <w:p w14:paraId="1E7200E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14:paraId="43827D9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一是完善相关管理制度，强化行政管理职能，确保制度贯彻落实；</w:t>
      </w:r>
    </w:p>
    <w:p w14:paraId="5BDE842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二是加强资产管理，尽量做到实物与账一一对应；</w:t>
      </w:r>
    </w:p>
    <w:p w14:paraId="764F59B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三是加强预算管理，定期做好预算执行情况分析。</w:t>
      </w:r>
    </w:p>
    <w:p w14:paraId="701E5AC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6CDCC9C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1.对绩效自评工作进行自查，评价结果将与预算安排相结合应用。</w:t>
      </w:r>
    </w:p>
    <w:p w14:paraId="530BE13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2.及时反馈整改。及时向区财政局反馈绩效自评工作开展情况、发现的问题及绩效自评结果，针对绩效自评中发现的问题制定切实可行的整改措施并落实到位。</w:t>
      </w:r>
    </w:p>
    <w:p w14:paraId="75BBBF9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全面信息公开。区财政局组织专家对单位绩效自评工作质量进行评审并通过后，除涉密信息外，单位要在2023年6月30日前将绩效自评报告在岳阳楼区政府门户网站政务公开&gt;重点领域&gt;财政资金&gt;预算绩效管理专栏中公开，做到“非涉密全公开”常态化，接受社会监督。</w:t>
      </w:r>
    </w:p>
    <w:p w14:paraId="2AD7B5E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28AAC1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750173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56D0112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45DA3B8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0DD5527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2C40CF4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0FF88FA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0D99FB4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65710B69">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bookmarkStart w:id="0" w:name="_GoBack"/>
      <w:bookmarkEnd w:id="0"/>
    </w:p>
    <w:p w14:paraId="401C5230">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1F53490C">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670448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47B1B493">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0569F05C">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401EE46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招商引资专项</w:t>
            </w:r>
          </w:p>
        </w:tc>
      </w:tr>
      <w:tr w14:paraId="781EE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157B5B0F">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44782CD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中国国际贸易促进委员会岳阳楼区委员会</w:t>
            </w:r>
          </w:p>
        </w:tc>
        <w:tc>
          <w:tcPr>
            <w:tcW w:w="1140" w:type="dxa"/>
            <w:noWrap w:val="0"/>
            <w:vAlign w:val="center"/>
          </w:tcPr>
          <w:p w14:paraId="2237C98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682D338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中国国际贸易促进委员会岳阳楼区委员会</w:t>
            </w:r>
          </w:p>
        </w:tc>
      </w:tr>
      <w:tr w14:paraId="7B671C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6780AAC5">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7B3E6205">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4E08F7A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614CD88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75FA3EA6">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D19D9D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4C21883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1CC91A3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0231427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40AA0A0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E54310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1D852ED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E6BBAE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7809377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2E0BA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3AE636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3B560B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6D29A80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131" w:type="dxa"/>
            <w:noWrap w:val="0"/>
            <w:vAlign w:val="center"/>
          </w:tcPr>
          <w:p w14:paraId="5E50D3C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140" w:type="dxa"/>
            <w:noWrap w:val="0"/>
            <w:vAlign w:val="center"/>
          </w:tcPr>
          <w:p w14:paraId="7C69029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685" w:type="dxa"/>
            <w:noWrap w:val="0"/>
            <w:vAlign w:val="center"/>
          </w:tcPr>
          <w:p w14:paraId="7BE9851E">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4611DD9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35F26A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1059C8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8CFF77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1F52A4D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420F64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6F27409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6403E81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0DDDA73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DBE5E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C8217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47B8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884AF5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6A5154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692FAE8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5957E38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F02142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AE5DDF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7B3877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22B6F1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A2427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41F967B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12E4231E">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0C4A07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14:paraId="4CA227C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0707C73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14:paraId="14E38C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FA8D59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1FBB5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600B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57923A06">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5D437855">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62C9D5A1">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5D3D21B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5A27CD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2E35445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0453FCC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接待客商，参会参展</w:t>
            </w:r>
          </w:p>
        </w:tc>
        <w:tc>
          <w:tcPr>
            <w:tcW w:w="3985" w:type="dxa"/>
            <w:gridSpan w:val="4"/>
            <w:noWrap w:val="0"/>
            <w:vAlign w:val="center"/>
          </w:tcPr>
          <w:p w14:paraId="3D46E17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已完成</w:t>
            </w:r>
          </w:p>
        </w:tc>
      </w:tr>
      <w:tr w14:paraId="1442B6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B62A0F4">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58354C8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1D51B55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425828E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208D7C0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6003F52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08409BC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1D21ECE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5F0271D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1CAF2B1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3DB8B576">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1A5F6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2F49EB1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0274166">
            <w:pPr>
              <w:keepNext w:val="0"/>
              <w:keepLines w:val="0"/>
              <w:pageBreakBefore w:val="0"/>
              <w:widowControl w:val="0"/>
              <w:kinsoku/>
              <w:wordWrap/>
              <w:overflowPunct/>
              <w:topLinePunct w:val="0"/>
              <w:autoSpaceDE/>
              <w:autoSpaceDN/>
              <w:bidi w:val="0"/>
              <w:adjustRightInd/>
              <w:snapToGrid/>
              <w:spacing w:line="500" w:lineRule="exact"/>
              <w:ind w:left="0" w:right="0"/>
              <w:jc w:val="both"/>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1143A4C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0751431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093F9F8F">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接待客商考察投资项目</w:t>
            </w:r>
          </w:p>
        </w:tc>
        <w:tc>
          <w:tcPr>
            <w:tcW w:w="1131" w:type="dxa"/>
            <w:noWrap w:val="0"/>
            <w:vAlign w:val="center"/>
          </w:tcPr>
          <w:p w14:paraId="4CF88A5A">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按目标考核任务定</w:t>
            </w:r>
          </w:p>
        </w:tc>
        <w:tc>
          <w:tcPr>
            <w:tcW w:w="1140" w:type="dxa"/>
            <w:noWrap w:val="0"/>
            <w:vAlign w:val="center"/>
          </w:tcPr>
          <w:p w14:paraId="4558C39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1E63926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47EA99EE">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639BBE9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6347B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6715963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F7BD31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1BA42F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6583F027">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保证机构正常运转</w:t>
            </w:r>
          </w:p>
        </w:tc>
        <w:tc>
          <w:tcPr>
            <w:tcW w:w="1131" w:type="dxa"/>
            <w:noWrap w:val="0"/>
            <w:vAlign w:val="center"/>
          </w:tcPr>
          <w:p w14:paraId="7D4795B8">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提升比率</w:t>
            </w:r>
          </w:p>
        </w:tc>
        <w:tc>
          <w:tcPr>
            <w:tcW w:w="1140" w:type="dxa"/>
            <w:noWrap w:val="0"/>
            <w:vAlign w:val="center"/>
          </w:tcPr>
          <w:p w14:paraId="65F96070">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43B6C718">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4F560F3E">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5099FBA7">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ascii="Arial"/>
                <w:color w:val="000000" w:themeColor="text1"/>
                <w:spacing w:val="0"/>
                <w:sz w:val="21"/>
                <w:szCs w:val="21"/>
                <w14:textFill>
                  <w14:solidFill>
                    <w14:schemeClr w14:val="tx1"/>
                  </w14:solidFill>
                </w14:textFill>
              </w:rPr>
            </w:pPr>
          </w:p>
        </w:tc>
      </w:tr>
      <w:tr w14:paraId="1DEBF4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1DC30FE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E4CE6B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28B0EB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0A958365">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预算执行时间</w:t>
            </w:r>
          </w:p>
        </w:tc>
        <w:tc>
          <w:tcPr>
            <w:tcW w:w="1131" w:type="dxa"/>
            <w:noWrap w:val="0"/>
            <w:vAlign w:val="center"/>
          </w:tcPr>
          <w:p w14:paraId="1682D679">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2022年全年</w:t>
            </w:r>
          </w:p>
        </w:tc>
        <w:tc>
          <w:tcPr>
            <w:tcW w:w="1140" w:type="dxa"/>
            <w:noWrap w:val="0"/>
            <w:vAlign w:val="center"/>
          </w:tcPr>
          <w:p w14:paraId="3C80C4D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4925FFB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FDD52F7">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0F837D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8F39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479F50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7735C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6BF39D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489D172F">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按年初预算控制成本</w:t>
            </w:r>
          </w:p>
        </w:tc>
        <w:tc>
          <w:tcPr>
            <w:tcW w:w="1131" w:type="dxa"/>
            <w:noWrap w:val="0"/>
            <w:vAlign w:val="center"/>
          </w:tcPr>
          <w:p w14:paraId="0668FC2B">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100%</w:t>
            </w:r>
          </w:p>
        </w:tc>
        <w:tc>
          <w:tcPr>
            <w:tcW w:w="1140" w:type="dxa"/>
            <w:noWrap w:val="0"/>
            <w:vAlign w:val="center"/>
          </w:tcPr>
          <w:p w14:paraId="0A23DAE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7F13B71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9451BEC">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2D3C6A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5250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2C0AD5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204507F">
            <w:pPr>
              <w:keepNext w:val="0"/>
              <w:keepLines w:val="0"/>
              <w:pageBreakBefore w:val="0"/>
              <w:widowControl w:val="0"/>
              <w:kinsoku/>
              <w:wordWrap/>
              <w:overflowPunct/>
              <w:topLinePunct w:val="0"/>
              <w:autoSpaceDE/>
              <w:autoSpaceDN/>
              <w:bidi w:val="0"/>
              <w:adjustRightInd/>
              <w:snapToGrid/>
              <w:spacing w:line="490" w:lineRule="exact"/>
              <w:ind w:left="0" w:right="0" w:firstLine="210" w:firstLineChars="100"/>
              <w:jc w:val="both"/>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16AC1B1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69DE812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31C4B96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2AFCD933">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招商引资引进企业增加税收</w:t>
            </w:r>
          </w:p>
        </w:tc>
        <w:tc>
          <w:tcPr>
            <w:tcW w:w="1131" w:type="dxa"/>
            <w:noWrap w:val="0"/>
            <w:vAlign w:val="center"/>
          </w:tcPr>
          <w:p w14:paraId="0D9DA6D0">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100%</w:t>
            </w:r>
          </w:p>
        </w:tc>
        <w:tc>
          <w:tcPr>
            <w:tcW w:w="1140" w:type="dxa"/>
            <w:noWrap w:val="0"/>
            <w:vAlign w:val="center"/>
          </w:tcPr>
          <w:p w14:paraId="7CB6F6A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37CC794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B26ECE4">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0E2069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52D79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9DA8B8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B144F3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2DC1C504">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09B114B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13036FB9">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改善我去营商环境</w:t>
            </w:r>
          </w:p>
        </w:tc>
        <w:tc>
          <w:tcPr>
            <w:tcW w:w="1131" w:type="dxa"/>
            <w:noWrap w:val="0"/>
            <w:vAlign w:val="center"/>
          </w:tcPr>
          <w:p w14:paraId="60899734">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提升比率</w:t>
            </w:r>
          </w:p>
        </w:tc>
        <w:tc>
          <w:tcPr>
            <w:tcW w:w="1140" w:type="dxa"/>
            <w:noWrap w:val="0"/>
            <w:vAlign w:val="center"/>
          </w:tcPr>
          <w:p w14:paraId="57890A2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66EA8A7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86D62EC">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10573B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15FFB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7B5A34C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1E1609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B0768B1">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6E5FBE9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4E8774EB">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资金运行安全情况</w:t>
            </w:r>
          </w:p>
        </w:tc>
        <w:tc>
          <w:tcPr>
            <w:tcW w:w="1131" w:type="dxa"/>
            <w:noWrap w:val="0"/>
            <w:vAlign w:val="center"/>
          </w:tcPr>
          <w:p w14:paraId="47B755B1">
            <w:pPr>
              <w:jc w:val="center"/>
              <w:rPr>
                <w:rFonts w:ascii="Arial"/>
                <w:color w:val="000000" w:themeColor="text1"/>
                <w:spacing w:val="0"/>
                <w:sz w:val="21"/>
                <w:szCs w:val="21"/>
                <w14:textFill>
                  <w14:solidFill>
                    <w14:schemeClr w14:val="tx1"/>
                  </w14:solidFill>
                </w14:textFill>
              </w:rPr>
            </w:pPr>
          </w:p>
        </w:tc>
        <w:tc>
          <w:tcPr>
            <w:tcW w:w="1140" w:type="dxa"/>
            <w:noWrap w:val="0"/>
            <w:vAlign w:val="center"/>
          </w:tcPr>
          <w:p w14:paraId="6338DB9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484626A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1B9491F6">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36CC79B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6324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0D7640D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55AB10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299C44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546DAA1E">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635313C0">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客商投资满意度</w:t>
            </w:r>
          </w:p>
        </w:tc>
        <w:tc>
          <w:tcPr>
            <w:tcW w:w="1131" w:type="dxa"/>
            <w:noWrap w:val="0"/>
            <w:vAlign w:val="center"/>
          </w:tcPr>
          <w:p w14:paraId="2768FCC2">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完成整体数值</w:t>
            </w:r>
          </w:p>
        </w:tc>
        <w:tc>
          <w:tcPr>
            <w:tcW w:w="1140" w:type="dxa"/>
            <w:noWrap w:val="0"/>
            <w:vAlign w:val="center"/>
          </w:tcPr>
          <w:p w14:paraId="237FEFA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429230E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73FE588A">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3617D8B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9F7B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33642E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27387D4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5528CB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4741AEC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669AE60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5FA5BC5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F9379F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0A60E392">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ascii="宋体" w:hAnsi="宋体" w:eastAsia="宋体" w:cs="宋体"/>
                <w:i w:val="0"/>
                <w:iCs w:val="0"/>
                <w:color w:val="000000"/>
                <w:kern w:val="0"/>
                <w:sz w:val="14"/>
                <w:szCs w:val="14"/>
                <w:u w:val="none"/>
                <w:lang w:val="en-US" w:eastAsia="zh-CN" w:bidi="ar"/>
              </w:rPr>
              <w:t>客商满意度</w:t>
            </w:r>
          </w:p>
        </w:tc>
        <w:tc>
          <w:tcPr>
            <w:tcW w:w="1131" w:type="dxa"/>
            <w:noWrap w:val="0"/>
            <w:vAlign w:val="center"/>
          </w:tcPr>
          <w:p w14:paraId="5B702B69">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仿宋" w:hAnsi="仿宋" w:eastAsia="仿宋" w:cs="仿宋"/>
                <w:i w:val="0"/>
                <w:iCs w:val="0"/>
                <w:color w:val="000000"/>
                <w:kern w:val="0"/>
                <w:sz w:val="16"/>
                <w:szCs w:val="16"/>
                <w:u w:val="none"/>
                <w:lang w:val="en-US" w:eastAsia="zh-CN" w:bidi="ar"/>
              </w:rPr>
              <w:t>满意度</w:t>
            </w:r>
          </w:p>
        </w:tc>
        <w:tc>
          <w:tcPr>
            <w:tcW w:w="1140" w:type="dxa"/>
            <w:noWrap w:val="0"/>
            <w:vAlign w:val="center"/>
          </w:tcPr>
          <w:p w14:paraId="78F7EDF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14:paraId="7AB1FED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839357A">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249D6D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59BB1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3FC4F793">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319658C2">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6801972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8A6EF7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7A48C99D">
      <w:pPr>
        <w:spacing w:line="252" w:lineRule="auto"/>
        <w:rPr>
          <w:rFonts w:ascii="Arial"/>
          <w:color w:val="000000" w:themeColor="text1"/>
          <w:sz w:val="21"/>
          <w14:textFill>
            <w14:solidFill>
              <w14:schemeClr w14:val="tx1"/>
            </w14:solidFill>
          </w14:textFill>
        </w:rPr>
      </w:pPr>
    </w:p>
    <w:p w14:paraId="6C2A1F2A">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0F30071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4E7BE70F">
      <w:pPr>
        <w:ind w:firstLine="1440" w:firstLineChars="400"/>
        <w:jc w:val="both"/>
        <w:rPr>
          <w:rFonts w:hint="eastAsia" w:eastAsia="方正小标宋简体"/>
          <w:sz w:val="36"/>
          <w:szCs w:val="36"/>
          <w:lang w:eastAsia="zh-CN"/>
        </w:rPr>
      </w:pPr>
    </w:p>
    <w:p w14:paraId="65407CAC">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14:paraId="37027E35">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6F75594E">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4CD5D253">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327A574A">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18A07319">
            <w:pPr>
              <w:spacing w:line="240" w:lineRule="exact"/>
              <w:jc w:val="center"/>
              <w:rPr>
                <w:rFonts w:eastAsia="黑体"/>
                <w:szCs w:val="21"/>
              </w:rPr>
            </w:pPr>
            <w:r>
              <w:rPr>
                <w:rFonts w:eastAsia="黑体"/>
                <w:szCs w:val="21"/>
              </w:rPr>
              <w:t>评分</w:t>
            </w:r>
          </w:p>
        </w:tc>
      </w:tr>
      <w:tr w14:paraId="5950474D">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35F983B6">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53CC982F">
            <w:pPr>
              <w:spacing w:line="320" w:lineRule="exact"/>
              <w:jc w:val="center"/>
              <w:rPr>
                <w:rFonts w:hint="eastAsia" w:asciiTheme="majorEastAsia" w:hAnsiTheme="majorEastAsia" w:eastAsiaTheme="majorEastAsia" w:cstheme="majorEastAsia"/>
                <w:szCs w:val="21"/>
              </w:rPr>
            </w:pPr>
          </w:p>
          <w:p w14:paraId="1FCA2B9C">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28AE789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3A302D7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06512761">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4CC11221">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797DA36A">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AD3BFCC">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7EB7E6C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0DD8A5F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3C0961A5">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261545C7">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1526D9AE">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5E103892">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00DFDADE">
            <w:pPr>
              <w:spacing w:line="240" w:lineRule="exact"/>
              <w:jc w:val="center"/>
              <w:rPr>
                <w:rFonts w:hint="eastAsia" w:asciiTheme="majorEastAsia" w:hAnsiTheme="majorEastAsia" w:eastAsiaTheme="majorEastAsia" w:cstheme="majorEastAsia"/>
                <w:szCs w:val="21"/>
              </w:rPr>
            </w:pPr>
          </w:p>
          <w:p w14:paraId="525A4FCC">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083224F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1F9F874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5D7D6FA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4BBC6F40">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60151F32">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36E2BE3C">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3AED0369">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4CA89657">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158795A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1EDDF95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62B9E8F0">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5FA446CB">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553D8177">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14CF0250">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22D4A8D2">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7ECAC905">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1634A27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1687A34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730C282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252D103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65EBEB3">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54549267">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1A55369C">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66EC0BE">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78FECBF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43B7173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66EEBDA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64B2E28B">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3D17602F">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6D370A0D">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72D35E8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24AFE8C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6048C134">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05395C28">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100</w:t>
            </w:r>
          </w:p>
        </w:tc>
      </w:tr>
    </w:tbl>
    <w:p w14:paraId="1DF7C356">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B38B7">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26EC48">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B26EC48">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D81CEA3"/>
    <w:multiLevelType w:val="singleLevel"/>
    <w:tmpl w:val="DD81CEA3"/>
    <w:lvl w:ilvl="0" w:tentative="0">
      <w:start w:val="2"/>
      <w:numFmt w:val="chineseCounting"/>
      <w:lvlText w:val="(%1)"/>
      <w:lvlJc w:val="left"/>
      <w:pPr>
        <w:tabs>
          <w:tab w:val="left" w:pos="312"/>
        </w:tabs>
      </w:pPr>
      <w:rPr>
        <w:rFonts w:hint="eastAsia"/>
      </w:rPr>
    </w:lvl>
  </w:abstractNum>
  <w:abstractNum w:abstractNumId="1">
    <w:nsid w:val="7F150B5F"/>
    <w:multiLevelType w:val="singleLevel"/>
    <w:tmpl w:val="7F150B5F"/>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5BF9"/>
    <w:rsid w:val="04327F62"/>
    <w:rsid w:val="04344800"/>
    <w:rsid w:val="045F666C"/>
    <w:rsid w:val="0460075C"/>
    <w:rsid w:val="04613BEE"/>
    <w:rsid w:val="0462054D"/>
    <w:rsid w:val="04675C34"/>
    <w:rsid w:val="046C0B29"/>
    <w:rsid w:val="04816E5C"/>
    <w:rsid w:val="048924DD"/>
    <w:rsid w:val="04914D95"/>
    <w:rsid w:val="0495144B"/>
    <w:rsid w:val="04AC07A1"/>
    <w:rsid w:val="04C2712A"/>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03BCF"/>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8852B7"/>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DC71BF"/>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53E45"/>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415E49"/>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9B73D4"/>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5E18"/>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35385"/>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7E746D9"/>
    <w:rsid w:val="280D297A"/>
    <w:rsid w:val="28276A98"/>
    <w:rsid w:val="284841A2"/>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800E67"/>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6D554E4"/>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D056AD"/>
    <w:rsid w:val="3BE14893"/>
    <w:rsid w:val="3BE8265C"/>
    <w:rsid w:val="3BE92A35"/>
    <w:rsid w:val="3BEB460F"/>
    <w:rsid w:val="3BEF1DA2"/>
    <w:rsid w:val="3BF64635"/>
    <w:rsid w:val="3BF956C3"/>
    <w:rsid w:val="3C00776D"/>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1191B"/>
    <w:rsid w:val="3CF9401E"/>
    <w:rsid w:val="3CFC6325"/>
    <w:rsid w:val="3D093C71"/>
    <w:rsid w:val="3D1A22C0"/>
    <w:rsid w:val="3D294B1B"/>
    <w:rsid w:val="3D2B034D"/>
    <w:rsid w:val="3D5A60CA"/>
    <w:rsid w:val="3D9F4364"/>
    <w:rsid w:val="3DA11CBD"/>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240EA"/>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C8050A"/>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1C7C81"/>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7E428FB"/>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744C4"/>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9536D3"/>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744137"/>
    <w:rsid w:val="647C19B2"/>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13ED2"/>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9D27E0"/>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EF659C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3855</Words>
  <Characters>4236</Characters>
  <Lines>0</Lines>
  <Paragraphs>0</Paragraphs>
  <TotalTime>2</TotalTime>
  <ScaleCrop>false</ScaleCrop>
  <LinksUpToDate>false</LinksUpToDate>
  <CharactersWithSpaces>4413</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2023-05-26T08:11:00Z</cp:lastPrinted>
  <dcterms:modified xsi:type="dcterms:W3CDTF">2024-07-01T04:54:59Z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23A23F6F8AD54191BC8E3617E0569CD4_13</vt:lpwstr>
  </property>
</Properties>
</file>