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0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Toc17158"/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岳阳市洞庭新城项目建设岳阳楼区工作部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16.72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2.1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严格控制经费支出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0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1" w:name="_Toc2151"/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bookmarkStart w:id="2" w:name="_Toc5557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  <w:bookmarkEnd w:id="2"/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678"/>
        <w:gridCol w:w="910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岳阳市洞庭新城项目建设岳阳楼区工作部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323.03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318.36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318.36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98.55%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173.03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308.36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重点工作及预算完成率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确保人员待遇落实到位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5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="Arial" w:eastAsiaTheme="minorEastAsia"/>
                <w:color w:val="000000" w:themeColor="text1"/>
                <w:sz w:val="15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工作完成时间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2022年12月31日之前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5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2022年12月31日之前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318.36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申报征拆项目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  <w:t>对自然生态环境造成的负面影响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5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5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6"/>
                <w:szCs w:val="20"/>
                <w14:textFill>
                  <w14:solidFill>
                    <w14:schemeClr w14:val="tx1"/>
                  </w14:solidFill>
                </w14:textFill>
              </w:rPr>
              <w:t>单位正常运转需要保障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应保尽保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群众满意度</w:t>
            </w: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0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3" w:name="_Toc28264"/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岳阳市洞庭新城项目建设岳阳楼区工作部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岳阳市洞庭新城项目建设岳阳楼区工作部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outlineLvl w:val="0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4" w:name="_Toc22444"/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  <w:bookmarkEnd w:id="4"/>
    </w:p>
    <w:p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贯彻、落实关于洞庭新城建设拆迁方针、政策和法律、法规，并监督执行，研究拟定洞庭新城建设项目拆迁发展的重点、规模、速度和步骤，负责相关社会事务的管理和协调。</w:t>
      </w:r>
    </w:p>
    <w:p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ascii="仿宋" w:hAnsi="仿宋" w:eastAsia="仿宋" w:cs="仿宋_GB2312"/>
          <w:kern w:val="0"/>
          <w:sz w:val="32"/>
          <w:szCs w:val="32"/>
        </w:rPr>
        <w:t>负责岳阳市洞庭新城项目建设内有关社会事务的管理和协调；负责岳阳市洞庭新城项目建设内危房改造、征地拆迁、安置房建设的协调与落实；负责协调做好岳阳市洞庭新城项目建设内禁建拆违工作</w:t>
      </w:r>
      <w:r>
        <w:rPr>
          <w:rFonts w:eastAsia="仿宋_GB2312" w:cs="仿宋_GB2312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position w:val="0"/>
          <w:sz w:val="32"/>
          <w:szCs w:val="32"/>
          <w:lang w:val="en-US" w:eastAsia="zh-CN"/>
        </w:rPr>
        <w:t>(一)基本支出情况</w:t>
      </w:r>
    </w:p>
    <w:p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2022年基本支出年初预算数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</w:rPr>
        <w:t>为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  <w:lang w:val="en-US" w:eastAsia="zh-CN"/>
        </w:rPr>
        <w:t>137.07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</w:rPr>
        <w:t>万元，其中：人员经费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  <w:lang w:val="en-US" w:eastAsia="zh-CN"/>
        </w:rPr>
        <w:t>120.87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</w:rPr>
        <w:t>万元，主要包括：基本工资、津贴补贴、奖金、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绩效工资、机关事业单位基本养老保险缴费、职业年金缴费、职工基本医疗保险缴费、其他社会保障缴费、住房公积金</w:t>
      </w:r>
      <w:r>
        <w:rPr>
          <w:rFonts w:hint="eastAsia" w:ascii="仿宋" w:hAnsi="仿宋" w:eastAsia="仿宋" w:cs="仿宋_GB2312"/>
          <w:kern w:val="0"/>
          <w:sz w:val="32"/>
          <w:szCs w:val="32"/>
          <w:lang w:eastAsia="zh-CN"/>
        </w:rPr>
        <w:t>、其他对个人和家庭的补助</w:t>
      </w:r>
      <w:r>
        <w:rPr>
          <w:rFonts w:hint="eastAsia" w:ascii="仿宋" w:hAnsi="仿宋" w:eastAsia="仿宋" w:cs="仿宋_GB2312"/>
          <w:color w:val="3216DC"/>
          <w:kern w:val="0"/>
          <w:sz w:val="32"/>
          <w:szCs w:val="32"/>
          <w:highlight w:val="none"/>
        </w:rPr>
        <w:t>；</w:t>
      </w:r>
      <w:r>
        <w:rPr>
          <w:rFonts w:hint="eastAsia" w:ascii="仿宋" w:hAnsi="仿宋" w:eastAsia="仿宋" w:cs="仿宋_GB2312"/>
          <w:kern w:val="0"/>
          <w:sz w:val="32"/>
          <w:szCs w:val="32"/>
          <w:highlight w:val="none"/>
        </w:rPr>
        <w:t>商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品和服务支出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16.2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万元，主要包括：办公费、印刷费、</w:t>
      </w:r>
      <w:r>
        <w:rPr>
          <w:rFonts w:hint="eastAsia" w:ascii="仿宋" w:hAnsi="仿宋" w:eastAsia="仿宋" w:cs="仿宋_GB2312"/>
          <w:kern w:val="0"/>
          <w:sz w:val="32"/>
          <w:szCs w:val="32"/>
          <w:lang w:eastAsia="zh-CN"/>
        </w:rPr>
        <w:t>水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费、</w:t>
      </w:r>
      <w:r>
        <w:rPr>
          <w:rFonts w:hint="eastAsia" w:ascii="仿宋" w:hAnsi="仿宋" w:eastAsia="仿宋" w:cs="仿宋_GB2312"/>
          <w:kern w:val="0"/>
          <w:sz w:val="32"/>
          <w:szCs w:val="32"/>
          <w:lang w:eastAsia="zh-CN"/>
        </w:rPr>
        <w:t>电费、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邮电费、差旅费、</w:t>
      </w:r>
      <w:r>
        <w:rPr>
          <w:rFonts w:hint="eastAsia" w:ascii="仿宋" w:hAnsi="仿宋" w:eastAsia="仿宋" w:cs="仿宋_GB2312"/>
          <w:kern w:val="0"/>
          <w:sz w:val="32"/>
          <w:szCs w:val="32"/>
          <w:lang w:eastAsia="zh-CN"/>
        </w:rPr>
        <w:t>维修（护）费、租赁费、会议费、培训费、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公务接待费、</w:t>
      </w:r>
      <w:r>
        <w:rPr>
          <w:rFonts w:hint="eastAsia" w:ascii="仿宋" w:hAnsi="仿宋" w:eastAsia="仿宋" w:cs="仿宋_GB2312"/>
          <w:kern w:val="0"/>
          <w:sz w:val="32"/>
          <w:szCs w:val="32"/>
          <w:lang w:eastAsia="zh-CN"/>
        </w:rPr>
        <w:t>专用材料费、工会经费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position w:val="0"/>
          <w:sz w:val="32"/>
          <w:szCs w:val="32"/>
          <w:lang w:val="en-US" w:eastAsia="zh-CN"/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FF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2022年项目支出年初预算数为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10.00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万元，</w:t>
      </w:r>
      <w:r>
        <w:rPr>
          <w:rFonts w:hint="eastAsia" w:ascii="仿宋" w:hAnsi="仿宋" w:eastAsia="仿宋"/>
          <w:sz w:val="32"/>
          <w:szCs w:val="32"/>
        </w:rPr>
        <w:t>其中：业务工作经费支出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10.00</w:t>
      </w:r>
      <w:r>
        <w:rPr>
          <w:rFonts w:hint="eastAsia" w:ascii="仿宋" w:hAnsi="仿宋" w:eastAsia="仿宋"/>
          <w:sz w:val="32"/>
          <w:szCs w:val="32"/>
        </w:rPr>
        <w:t>万元，主要用于</w:t>
      </w:r>
      <w:r>
        <w:rPr>
          <w:rFonts w:hint="eastAsia" w:ascii="仿宋" w:hAnsi="仿宋" w:eastAsia="仿宋"/>
          <w:sz w:val="32"/>
          <w:szCs w:val="32"/>
          <w:lang w:eastAsia="zh-CN"/>
        </w:rPr>
        <w:t>项目</w:t>
      </w:r>
      <w:r>
        <w:rPr>
          <w:rFonts w:ascii="仿宋" w:hAnsi="仿宋" w:eastAsia="仿宋"/>
          <w:sz w:val="32"/>
          <w:szCs w:val="32"/>
        </w:rPr>
        <w:t>协调、维稳</w:t>
      </w:r>
      <w:r>
        <w:rPr>
          <w:rFonts w:hint="eastAsia" w:ascii="仿宋" w:hAnsi="仿宋" w:eastAsia="仿宋"/>
          <w:sz w:val="32"/>
          <w:szCs w:val="32"/>
        </w:rPr>
        <w:t>等方面。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pStyle w:val="2"/>
        <w:rPr>
          <w:rFonts w:hint="default" w:ascii="仿宋" w:hAnsi="仿宋" w:eastAsia="仿宋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 w:bidi="ar-SA"/>
        </w:rPr>
        <w:t xml:space="preserve"> 本单位无政府性基金预算支出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 w:bidi="ar-SA"/>
        </w:rPr>
        <w:t xml:space="preserve">   本单位无政府性国有资本经营预算支出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 w:bidi="ar-SA"/>
        </w:rPr>
        <w:t>本单位无社会保险基金预算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color w:val="auto"/>
          <w:sz w:val="30"/>
          <w:szCs w:val="30"/>
        </w:rPr>
      </w:pPr>
      <w:bookmarkStart w:id="5" w:name="_Toc8760"/>
      <w:r>
        <w:rPr>
          <w:rFonts w:hint="eastAsia" w:ascii="仿宋" w:hAnsi="仿宋" w:eastAsia="仿宋" w:cs="仿宋"/>
          <w:bCs/>
          <w:color w:val="auto"/>
          <w:sz w:val="30"/>
          <w:szCs w:val="30"/>
          <w:lang w:val="en-US" w:eastAsia="zh-CN"/>
        </w:rPr>
        <w:t>2022</w:t>
      </w:r>
      <w:r>
        <w:rPr>
          <w:rFonts w:hint="eastAsia" w:ascii="仿宋" w:hAnsi="仿宋" w:eastAsia="仿宋" w:cs="仿宋"/>
          <w:bCs/>
          <w:color w:val="auto"/>
          <w:sz w:val="30"/>
          <w:szCs w:val="30"/>
        </w:rPr>
        <w:t>年度，根据本单位年初工作规划和重点工作，围绕区委、区政府的工作部署，积极履行职责，强化管理，较好的完成全年年度工作目标，</w:t>
      </w:r>
      <w:r>
        <w:rPr>
          <w:rFonts w:hint="eastAsia" w:ascii="仿宋" w:hAnsi="仿宋" w:eastAsia="仿宋" w:cs="仿宋"/>
          <w:color w:val="auto"/>
          <w:sz w:val="30"/>
          <w:szCs w:val="30"/>
        </w:rPr>
        <w:t>同时加强预算收支的管理，建立健全内部管理制度，严格内部管理流程，部门整体支出管理得到了提升。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 w:firstLineChars="200"/>
        <w:jc w:val="left"/>
        <w:textAlignment w:val="auto"/>
        <w:outlineLvl w:val="0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存在的问题及原因分析</w:t>
      </w:r>
      <w:bookmarkEnd w:id="5"/>
    </w:p>
    <w:p>
      <w:pPr>
        <w:pStyle w:val="2"/>
        <w:numPr>
          <w:ilvl w:val="0"/>
          <w:numId w:val="0"/>
        </w:numPr>
        <w:spacing w:line="240" w:lineRule="auto"/>
        <w:ind w:firstLine="600" w:firstLineChars="20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0"/>
          <w:szCs w:val="30"/>
        </w:rPr>
        <w:t>严格预算支出管理，在支出预算编制上，人员经费按照配置定额，逐人核定编制，公用经费分类分档，根据“总量控制，计划管理”的要求从严控制公用经费，严格控制“三公”经费，资产配置严格政府采购，按照预算科目和项目资金的规定使用财政资金，保障部门整体支出规范化，制度化。</w:t>
      </w:r>
    </w:p>
    <w:p>
      <w:pPr>
        <w:widowControl/>
        <w:numPr>
          <w:ilvl w:val="0"/>
          <w:numId w:val="5"/>
        </w:numPr>
        <w:spacing w:after="150" w:line="495" w:lineRule="atLeast"/>
        <w:jc w:val="left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widowControl/>
        <w:numPr>
          <w:ilvl w:val="0"/>
          <w:numId w:val="0"/>
        </w:numPr>
        <w:spacing w:after="150" w:line="495" w:lineRule="atLeast"/>
        <w:ind w:firstLine="600" w:firstLineChars="200"/>
        <w:jc w:val="left"/>
        <w:rPr>
          <w:rFonts w:hint="eastAsia" w:ascii="仿宋" w:hAnsi="仿宋" w:eastAsia="仿宋" w:cs="仿宋"/>
          <w:color w:val="auto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auto"/>
          <w:kern w:val="0"/>
          <w:sz w:val="30"/>
          <w:szCs w:val="30"/>
        </w:rPr>
        <w:t>一是按照预算规定的项目和用途严格财务审核，经费支出严格按预算规定项目的财务支出内容进行财务核算，在预算金额内严格控制费用的支出。</w:t>
      </w:r>
    </w:p>
    <w:p>
      <w:pPr>
        <w:widowControl/>
        <w:spacing w:after="150" w:line="495" w:lineRule="atLeast"/>
        <w:ind w:firstLine="600" w:firstLineChars="200"/>
        <w:jc w:val="left"/>
        <w:rPr>
          <w:rFonts w:hint="eastAsia" w:ascii="仿宋" w:hAnsi="仿宋" w:eastAsia="仿宋" w:cs="仿宋"/>
          <w:color w:val="auto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auto"/>
          <w:kern w:val="0"/>
          <w:sz w:val="30"/>
          <w:szCs w:val="30"/>
        </w:rPr>
        <w:t>二是严格控制“三公经费”支出，杜绝挪用和挤占其他预算资金；进一步细化“三公经费”管理，压缩“三公经费”支出。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auto"/>
          <w:kern w:val="0"/>
          <w:sz w:val="30"/>
          <w:szCs w:val="30"/>
        </w:rPr>
        <w:t>三是预算财务分析常态化，定期做好预算支出财务分析，做好部门整体支出预算评价工作。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73354"/>
        <w15:color w:val="DBDBDB"/>
        <w:docPartObj>
          <w:docPartGallery w:val="Table of Contents"/>
          <w:docPartUnique/>
        </w:docPartObj>
      </w:sdtPr>
      <w:sdtEndP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21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sdtEndPr>
      <w:sdtContent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ind w:left="0" w:firstLine="420" w:firstLineChars="200"/>
            <w:jc w:val="left"/>
            <w:textAlignment w:val="auto"/>
            <w:rPr>
              <w:rFonts w:hint="eastAsia" w:ascii="仿宋_GB2312" w:hAnsi="仿宋_GB2312" w:eastAsia="仿宋_GB2312" w:cs="仿宋_GB2312"/>
              <w:color w:val="000000" w:themeColor="text1"/>
              <w:spacing w:val="0"/>
              <w:position w:val="0"/>
              <w:sz w:val="32"/>
              <w:szCs w:val="32"/>
              <w:lang w:val="en-US" w:eastAsia="zh-CN"/>
              <w14:textFill>
                <w14:solidFill>
                  <w14:schemeClr w14:val="tx1"/>
                </w14:solidFill>
              </w14:textFill>
            </w:rPr>
          </w:pPr>
        </w:p>
      </w:sdtContent>
    </w:sdt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0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6" w:name="_Toc20028"/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  <w:bookmarkEnd w:id="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bookmarkStart w:id="7" w:name="_Toc2854"/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  <w:bookmarkEnd w:id="7"/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5"/>
        <w:gridCol w:w="1012"/>
        <w:gridCol w:w="1025"/>
        <w:gridCol w:w="1750"/>
        <w:gridCol w:w="1638"/>
        <w:gridCol w:w="1125"/>
        <w:gridCol w:w="662"/>
        <w:gridCol w:w="725"/>
        <w:gridCol w:w="7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运行维护经费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542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岳阳市洞庭新城项目建设岳阳楼区工作部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15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岳阳市洞庭新城项目建设岳阳楼区工作部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8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8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8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542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28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8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2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328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8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历史文化旧街改造和街区保护工程开工率</w:t>
            </w:r>
          </w:p>
        </w:tc>
        <w:tc>
          <w:tcPr>
            <w:tcW w:w="1638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100%</w:t>
            </w:r>
          </w:p>
        </w:tc>
        <w:tc>
          <w:tcPr>
            <w:tcW w:w="112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100%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75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征拆工作考核完成率</w:t>
            </w:r>
          </w:p>
        </w:tc>
        <w:tc>
          <w:tcPr>
            <w:tcW w:w="1638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12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任务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2022年12月31日之前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2022年12月31日之前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预算控制数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10</w:t>
            </w:r>
            <w:r>
              <w:rPr>
                <w:rStyle w:val="11"/>
                <w:lang w:val="en-US" w:eastAsia="zh-CN" w:bidi="ar"/>
              </w:rPr>
              <w:t>万元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10万元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征拆项目维稳工作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旧改区40户征拆维稳工作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旧改区40户征拆维稳工作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保护征拆周边水域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13"/>
                <w:szCs w:val="13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减少对自然生态环境造成的负面影响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13"/>
                <w:szCs w:val="13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9" w:name="_GoBack"/>
            <w:bookmarkEnd w:id="9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征拆户满意度</w:t>
            </w: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8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8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742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7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597" w:right="1417" w:bottom="-114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0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8" w:name="_Toc9650"/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  <w:bookmarkEnd w:id="8"/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AE6176"/>
    <w:multiLevelType w:val="singleLevel"/>
    <w:tmpl w:val="81AE6176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E0613FF"/>
    <w:multiLevelType w:val="singleLevel"/>
    <w:tmpl w:val="AE0613FF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E62B854"/>
    <w:multiLevelType w:val="singleLevel"/>
    <w:tmpl w:val="2E62B85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1B786DB"/>
    <w:multiLevelType w:val="singleLevel"/>
    <w:tmpl w:val="51B786DB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7D727068"/>
    <w:multiLevelType w:val="singleLevel"/>
    <w:tmpl w:val="7D727068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kZmU3OTZlZWE1ZDQyNWE4NGViM2RlNmVhYzJlNG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47ECA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203C5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77F79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8F02CB9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D9119E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345CA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3A0022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3A4A74"/>
    <w:rsid w:val="114B2C9B"/>
    <w:rsid w:val="115B565E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45697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31C2F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20AA4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17D6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1F4553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D0584D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5904B1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125DA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B7869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894C7C"/>
    <w:rsid w:val="419B51EE"/>
    <w:rsid w:val="41B11897"/>
    <w:rsid w:val="41C57D35"/>
    <w:rsid w:val="41DA54D8"/>
    <w:rsid w:val="41F34606"/>
    <w:rsid w:val="4200399D"/>
    <w:rsid w:val="420E20BD"/>
    <w:rsid w:val="421647B9"/>
    <w:rsid w:val="421A1D78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27077C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4B3FF6"/>
    <w:rsid w:val="455D76E4"/>
    <w:rsid w:val="45611A6C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68161B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115F9A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EA0599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8D7A10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2F83A1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D02BDE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EF6ED8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14553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02516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252E39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9D3792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50A94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834520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01C8A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87DD6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933E66"/>
    <w:rsid w:val="77A06542"/>
    <w:rsid w:val="77A922C9"/>
    <w:rsid w:val="77AC049C"/>
    <w:rsid w:val="77B23714"/>
    <w:rsid w:val="77B87AD6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592259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 w:after="200" w:line="276" w:lineRule="auto"/>
    </w:pPr>
    <w:rPr>
      <w:rFonts w:ascii="Arial" w:hAnsi="Arial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  <w:style w:type="character" w:customStyle="1" w:styleId="10">
    <w:name w:val="font21"/>
    <w:basedOn w:val="7"/>
    <w:qFormat/>
    <w:uiPriority w:val="0"/>
    <w:rPr>
      <w:rFonts w:hint="default" w:ascii="Arial" w:hAnsi="Arial" w:cs="Arial"/>
      <w:color w:val="000000"/>
      <w:sz w:val="21"/>
      <w:szCs w:val="21"/>
      <w:u w:val="none"/>
    </w:rPr>
  </w:style>
  <w:style w:type="character" w:customStyle="1" w:styleId="11">
    <w:name w:val="font1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3135</Words>
  <Characters>3464</Characters>
  <Lines>0</Lines>
  <Paragraphs>0</Paragraphs>
  <TotalTime>9</TotalTime>
  <ScaleCrop>false</ScaleCrop>
  <LinksUpToDate>false</LinksUpToDate>
  <CharactersWithSpaces>3642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孙丛芳sunny-芳</cp:lastModifiedBy>
  <cp:lastPrinted>2023-05-26T08:11:00Z</cp:lastPrinted>
  <dcterms:modified xsi:type="dcterms:W3CDTF">2023-10-12T01:58:05Z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0748C662D65649BCA43E1846D8C61381_13</vt:lpwstr>
  </property>
</Properties>
</file>