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jc w:val="center"/>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岳阳市南湖小学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124</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124</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0.91</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2.40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noWrap w:val="0"/>
            <w:vAlign w:val="top"/>
          </w:tcPr>
          <w:p>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0.91</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2.40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816.00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2"/>
                <w:szCs w:val="22"/>
                <w14:textFill>
                  <w14:solidFill>
                    <w14:schemeClr w14:val="tx1"/>
                  </w14:solidFill>
                </w14:textFill>
              </w:rPr>
              <w:t>(一个专项一行)</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2"/>
                <w:szCs w:val="22"/>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2"/>
                <w:szCs w:val="22"/>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236.59</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205.28</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361.19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9.94</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16.55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29.26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47.00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42.81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0.23</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2.5</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0.00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187.20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40.52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FF0000"/>
                <w:sz w:val="24"/>
                <w:szCs w:val="24"/>
              </w:rPr>
            </w:pPr>
            <w:r>
              <w:rPr>
                <w:rFonts w:hint="eastAsia" w:asciiTheme="majorEastAsia" w:hAnsiTheme="majorEastAsia" w:eastAsiaTheme="majorEastAsia" w:cstheme="majorEastAsia"/>
                <w:color w:val="auto"/>
                <w:spacing w:val="1"/>
                <w:sz w:val="24"/>
                <w:szCs w:val="24"/>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159.07</w:t>
            </w:r>
          </w:p>
        </w:tc>
        <w:tc>
          <w:tcPr>
            <w:tcW w:w="1679" w:type="dxa"/>
            <w:gridSpan w:val="2"/>
            <w:noWrap w:val="0"/>
            <w:vAlign w:val="top"/>
          </w:tcPr>
          <w:p>
            <w:pPr>
              <w:jc w:val="center"/>
              <w:rPr>
                <w:rFonts w:hint="eastAsia" w:asciiTheme="majorEastAsia" w:hAnsiTheme="majorEastAsia" w:eastAsiaTheme="majorEastAsia" w:cstheme="majorEastAsia"/>
                <w:color w:val="FF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0"/>
                <w:szCs w:val="22"/>
                <w:lang w:val="en-US" w:eastAsia="zh-CN"/>
                <w14:textFill>
                  <w14:solidFill>
                    <w14:schemeClr w14:val="tx1"/>
                  </w14:solidFill>
                </w14:textFill>
              </w:rPr>
              <w:t>节约用电用水，加强办公经费和办公用品管理，控制会议和公务接待经费开支，加强经费预算约束。</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岳阳市南湖小学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2804.37</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2963.44</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2963.44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 xml:space="preserve">其中： </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一般公共预算：</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2533.03</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其中：基本支出：</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2963.44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政府性基金拨款：</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0.00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项目支出：</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纳入专户管理的非税收入拨款：</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0.00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其他资金：</w:t>
            </w: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430.41</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目标1：顺利完成学校转隶整体移交事宜及校园提质改造</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lang w:val="en-US" w:eastAsia="zh-CN"/>
                <w14:textFill>
                  <w14:solidFill>
                    <w14:schemeClr w14:val="tx1"/>
                  </w14:solidFill>
                </w14:textFill>
              </w:rPr>
              <w:t>目标2：深化校园文化，培养学生良好习惯，促进学生综合素质提升</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18"/>
                <w:szCs w:val="18"/>
                <w:lang w:val="en-US" w:eastAsia="zh-CN"/>
                <w14:textFill>
                  <w14:solidFill>
                    <w14:schemeClr w14:val="tx1"/>
                  </w14:solidFill>
                </w14:textFill>
              </w:rPr>
            </w:pP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18"/>
                <w:szCs w:val="18"/>
                <w:lang w:val="en-US" w:eastAsia="zh-CN"/>
                <w14:textFill>
                  <w14:solidFill>
                    <w14:schemeClr w14:val="tx1"/>
                  </w14:solidFill>
                </w14:textFill>
              </w:rPr>
              <w:t>目标1：快速适应转隶后的管理模式，移交后学校运行平稳，教育教学工作有序开展；对学校进行改扩建，两个篮球场、教学综合楼、田径场及各专业教室已投入使用，新教学楼主体工程已完成，预计2023年下半年投入使用。</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Theme="minorEastAsia" w:hAnsiTheme="minorEastAsia" w:eastAsiaTheme="minorEastAsia" w:cstheme="minorEastAsia"/>
                <w:color w:val="000000" w:themeColor="text1"/>
                <w:spacing w:val="0"/>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0"/>
                <w:sz w:val="18"/>
                <w:szCs w:val="18"/>
                <w:lang w:val="en-US" w:eastAsia="zh-CN"/>
                <w14:textFill>
                  <w14:solidFill>
                    <w14:schemeClr w14:val="tx1"/>
                  </w14:solidFill>
                </w14:textFill>
              </w:rPr>
              <w:t>目标2：提倡“四个天天”，从阅读、锻炼、劳动、思考四个方面来培养学生的良好习惯。荣获岳阳市“诵读中国”经典诵读大赛集体一等奖，2022年省运会青少年组获奖三十余人，“学生就餐自动化志愿者服务常态化”就餐模式获区教育局德育案例特等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数量指标</w:t>
            </w:r>
          </w:p>
        </w:tc>
        <w:tc>
          <w:tcPr>
            <w:tcW w:w="126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改扩建项目</w:t>
            </w:r>
          </w:p>
        </w:tc>
        <w:tc>
          <w:tcPr>
            <w:tcW w:w="131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新建篮球场</w:t>
            </w:r>
          </w:p>
        </w:tc>
        <w:tc>
          <w:tcPr>
            <w:tcW w:w="125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2个</w:t>
            </w:r>
          </w:p>
        </w:tc>
        <w:tc>
          <w:tcPr>
            <w:tcW w:w="71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80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127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pPr>
          </w:p>
        </w:tc>
        <w:tc>
          <w:tcPr>
            <w:tcW w:w="1269"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both"/>
              <w:textAlignment w:val="auto"/>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pPr>
          </w:p>
        </w:tc>
        <w:tc>
          <w:tcPr>
            <w:tcW w:w="131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新建田径场</w:t>
            </w:r>
          </w:p>
        </w:tc>
        <w:tc>
          <w:tcPr>
            <w:tcW w:w="125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1个</w:t>
            </w:r>
          </w:p>
        </w:tc>
        <w:tc>
          <w:tcPr>
            <w:tcW w:w="71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80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127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6"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pPr>
          </w:p>
        </w:tc>
        <w:tc>
          <w:tcPr>
            <w:tcW w:w="1269"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both"/>
              <w:textAlignment w:val="auto"/>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pPr>
          </w:p>
        </w:tc>
        <w:tc>
          <w:tcPr>
            <w:tcW w:w="131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新建教学综合楼</w:t>
            </w:r>
          </w:p>
        </w:tc>
        <w:tc>
          <w:tcPr>
            <w:tcW w:w="125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18"/>
                <w:szCs w:val="18"/>
                <w:lang w:val="en-US" w:eastAsia="zh-CN" w:bidi="ar-SA"/>
                <w14:textFill>
                  <w14:solidFill>
                    <w14:schemeClr w14:val="tx1"/>
                  </w14:solidFill>
                </w14:textFill>
              </w:rPr>
              <w:t>1栋</w:t>
            </w:r>
          </w:p>
        </w:tc>
        <w:tc>
          <w:tcPr>
            <w:tcW w:w="71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802"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127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校园安全教育工作开展次数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14:textFill>
                  <w14:solidFill>
                    <w14:schemeClr w14:val="tx1"/>
                  </w14:solidFill>
                </w14:textFill>
              </w:rPr>
              <w:t>≧</w:t>
            </w: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10次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12次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b w:val="0"/>
                <w:bCs w:val="0"/>
                <w:sz w:val="18"/>
                <w:szCs w:val="18"/>
                <w:lang w:val="en-US" w:eastAsia="zh-CN"/>
              </w:rPr>
              <w:t>校园安全事故发生次数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0</w:t>
            </w:r>
            <w:r>
              <w:rPr>
                <w:rFonts w:hint="eastAsia" w:asciiTheme="minorEastAsia" w:hAnsiTheme="minorEastAsia" w:cstheme="minorEastAsia"/>
                <w:color w:val="000000" w:themeColor="text1"/>
                <w:sz w:val="18"/>
                <w:szCs w:val="18"/>
                <w:lang w:val="en-US" w:eastAsia="zh-CN"/>
                <w14:textFill>
                  <w14:solidFill>
                    <w14:schemeClr w14:val="tx1"/>
                  </w14:solidFill>
                </w14:textFill>
              </w:rPr>
              <w:t>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0</w:t>
            </w:r>
            <w:r>
              <w:rPr>
                <w:rFonts w:hint="eastAsia" w:asciiTheme="minorEastAsia" w:hAnsiTheme="minorEastAsia" w:cstheme="minorEastAsia"/>
                <w:color w:val="000000" w:themeColor="text1"/>
                <w:sz w:val="18"/>
                <w:szCs w:val="18"/>
                <w:lang w:val="en-US" w:eastAsia="zh-CN"/>
                <w14:textFill>
                  <w14:solidFill>
                    <w14:schemeClr w14:val="tx1"/>
                  </w14:solidFill>
                </w14:textFill>
              </w:rPr>
              <w:t>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双减</w:t>
            </w:r>
            <w:r>
              <w:rPr>
                <w:rFonts w:hint="eastAsia" w:asciiTheme="minorEastAsia" w:hAnsiTheme="minorEastAsia" w:eastAsiaTheme="minorEastAsia" w:cstheme="minorEastAsia"/>
                <w:color w:val="000000" w:themeColor="text1"/>
                <w:sz w:val="18"/>
                <w:szCs w:val="18"/>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制度落实率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000000" w:themeColor="text1"/>
                <w:sz w:val="19"/>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9"/>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Theme="minorEastAsia" w:hAnsiTheme="minorEastAsia" w:eastAsiaTheme="minorEastAsia" w:cstheme="minorEastAsia"/>
                <w:color w:val="000000" w:themeColor="text1"/>
                <w:sz w:val="19"/>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9"/>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教职工工资福利按时发放</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及时</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及时</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22"/>
                <w:lang w:val="en-US" w:eastAsia="zh-CN"/>
                <w14:textFill>
                  <w14:solidFill>
                    <w14:schemeClr w14:val="tx1"/>
                  </w14:solidFill>
                </w14:textFill>
              </w:rPr>
              <w:t>全年经费开支</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年初预算数2804.37万元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全年决算数2963.44万元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不适用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cstheme="minorEastAsia"/>
                <w:color w:val="000000" w:themeColor="text1"/>
                <w:sz w:val="18"/>
                <w:szCs w:val="18"/>
                <w:lang w:val="en-US" w:eastAsia="zh-CN"/>
                <w14:textFill>
                  <w14:solidFill>
                    <w14:schemeClr w14:val="tx1"/>
                  </w14:solidFill>
                </w14:textFill>
              </w:rPr>
              <w:t>不适用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cstheme="minorEastAsia"/>
                <w:color w:val="000000" w:themeColor="text1"/>
                <w:sz w:val="18"/>
                <w:szCs w:val="18"/>
                <w:lang w:val="en-US" w:eastAsia="zh-CN"/>
                <w14:textFill>
                  <w14:solidFill>
                    <w14:schemeClr w14:val="tx1"/>
                  </w14:solidFill>
                </w14:textFill>
              </w:rPr>
              <w:t>不适用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优化教育教学条件，提高学校好评度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有所提高</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18"/>
                <w:szCs w:val="18"/>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有所提高</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t>1</w:t>
            </w:r>
            <w:r>
              <w:rPr>
                <w:rFonts w:hint="eastAsia" w:asciiTheme="minorEastAsia" w:hAnsiTheme="minorEastAsia" w:cstheme="minorEastAsia"/>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14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不适用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cstheme="minorEastAsia"/>
                <w:color w:val="000000" w:themeColor="text1"/>
                <w:sz w:val="18"/>
                <w:szCs w:val="18"/>
                <w:lang w:val="en-US" w:eastAsia="zh-CN"/>
                <w14:textFill>
                  <w14:solidFill>
                    <w14:schemeClr w14:val="tx1"/>
                  </w14:solidFill>
                </w14:textFill>
              </w:rPr>
              <w:t>不适用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cstheme="minorEastAsia"/>
                <w:color w:val="000000" w:themeColor="text1"/>
                <w:sz w:val="18"/>
                <w:szCs w:val="18"/>
                <w:lang w:val="en-US" w:eastAsia="zh-CN"/>
                <w14:textFill>
                  <w14:solidFill>
                    <w14:schemeClr w14:val="tx1"/>
                  </w14:solidFill>
                </w14:textFill>
              </w:rPr>
              <w:t>不适用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Theme="minorEastAsia" w:hAnsiTheme="minorEastAsia" w:cstheme="minorEastAsia"/>
                <w:color w:val="000000" w:themeColor="text1"/>
                <w:sz w:val="20"/>
                <w:lang w:val="en-US" w:eastAsia="zh-CN"/>
                <w14:textFill>
                  <w14:solidFill>
                    <w14:schemeClr w14:val="tx1"/>
                  </w14:solidFill>
                </w14:textFill>
              </w:rPr>
              <w:t>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把教师的发展放在首位，通过教师的发展带动学生的发展，促进学校的发展</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持续发展</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持续发展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14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0"/>
                <w:szCs w:val="22"/>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学生、家长满意度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97%</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26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0"/>
                <w:szCs w:val="22"/>
                <w:lang w:val="en-US" w:eastAsia="zh-CN"/>
                <w14:textFill>
                  <w14:solidFill>
                    <w14:schemeClr w14:val="tx1"/>
                  </w14:solidFill>
                </w14:textFill>
              </w:rPr>
            </w:pPr>
            <w:r>
              <w:rPr>
                <w:rFonts w:hint="eastAsia" w:asciiTheme="minorEastAsia" w:hAnsiTheme="minorEastAsia" w:cstheme="minorEastAsia"/>
                <w:color w:val="000000" w:themeColor="text1"/>
                <w:sz w:val="18"/>
                <w:szCs w:val="21"/>
                <w:lang w:val="en-US" w:eastAsia="zh-CN"/>
                <w14:textFill>
                  <w14:solidFill>
                    <w14:schemeClr w14:val="tx1"/>
                  </w14:solidFill>
                </w14:textFill>
              </w:rPr>
              <w:t>教职工</w:t>
            </w:r>
            <w:r>
              <w:rPr>
                <w:rFonts w:hint="eastAsia" w:asciiTheme="minorEastAsia" w:hAnsiTheme="minorEastAsia" w:eastAsiaTheme="minorEastAsia" w:cstheme="minorEastAsia"/>
                <w:color w:val="000000" w:themeColor="text1"/>
                <w:sz w:val="18"/>
                <w:szCs w:val="21"/>
                <w:lang w:val="en-US" w:eastAsia="zh-CN"/>
                <w14:textFill>
                  <w14:solidFill>
                    <w14:schemeClr w14:val="tx1"/>
                  </w14:solidFill>
                </w14:textFill>
              </w:rPr>
              <w:t>满意度</w:t>
            </w:r>
          </w:p>
        </w:tc>
        <w:tc>
          <w:tcPr>
            <w:tcW w:w="131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w:t>
            </w:r>
            <w:r>
              <w:rPr>
                <w:rFonts w:hint="eastAsia" w:asciiTheme="minorEastAsia" w:hAnsiTheme="minorEastAsia" w:cstheme="minorEastAsia"/>
                <w:color w:val="000000" w:themeColor="text1"/>
                <w:sz w:val="18"/>
                <w:szCs w:val="18"/>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w:t>
            </w:r>
          </w:p>
        </w:tc>
        <w:tc>
          <w:tcPr>
            <w:tcW w:w="125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18"/>
                <w:szCs w:val="18"/>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w:t>
            </w:r>
            <w:r>
              <w:rPr>
                <w:rFonts w:hint="eastAsia" w:asciiTheme="minorEastAsia" w:hAnsiTheme="minorEastAsia" w:cstheme="minorEastAsia"/>
                <w:color w:val="000000" w:themeColor="text1"/>
                <w:sz w:val="18"/>
                <w:szCs w:val="18"/>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w:t>
            </w:r>
          </w:p>
        </w:tc>
        <w:tc>
          <w:tcPr>
            <w:tcW w:w="71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3</w:t>
            </w:r>
          </w:p>
        </w:tc>
        <w:tc>
          <w:tcPr>
            <w:tcW w:w="80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3</w:t>
            </w:r>
          </w:p>
        </w:tc>
        <w:tc>
          <w:tcPr>
            <w:tcW w:w="1275"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1084" w:type="dxa"/>
            <w:vMerge w:val="continue"/>
            <w:tcBorders>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14:textFill>
                  <w14:solidFill>
                    <w14:schemeClr w14:val="tx1"/>
                  </w14:solidFill>
                </w14:textFill>
              </w:rPr>
            </w:pPr>
          </w:p>
        </w:tc>
        <w:tc>
          <w:tcPr>
            <w:tcW w:w="126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20"/>
                <w:szCs w:val="22"/>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21"/>
                <w:lang w:val="en-US" w:eastAsia="zh-CN"/>
                <w14:textFill>
                  <w14:solidFill>
                    <w14:schemeClr w14:val="tx1"/>
                  </w14:solidFill>
                </w14:textFill>
              </w:rPr>
              <w:t>社会公众满意度</w:t>
            </w:r>
          </w:p>
        </w:tc>
        <w:tc>
          <w:tcPr>
            <w:tcW w:w="131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≧90%</w:t>
            </w:r>
          </w:p>
        </w:tc>
        <w:tc>
          <w:tcPr>
            <w:tcW w:w="125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95%</w:t>
            </w:r>
          </w:p>
        </w:tc>
        <w:tc>
          <w:tcPr>
            <w:tcW w:w="71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21"/>
                <w:szCs w:val="24"/>
                <w:lang w:val="en-US" w:eastAsia="zh-CN" w:bidi="ar-SA"/>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3</w:t>
            </w:r>
          </w:p>
        </w:tc>
        <w:tc>
          <w:tcPr>
            <w:tcW w:w="802"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Theme="minorEastAsia" w:hAnsiTheme="minorEastAsia" w:eastAsiaTheme="minorEastAsia" w:cstheme="minorEastAsia"/>
                <w:color w:val="000000" w:themeColor="text1"/>
                <w:kern w:val="2"/>
                <w:sz w:val="21"/>
                <w:szCs w:val="24"/>
                <w:lang w:val="en-US" w:eastAsia="zh-CN" w:bidi="ar-SA"/>
                <w14:textFill>
                  <w14:solidFill>
                    <w14:schemeClr w14:val="tx1"/>
                  </w14:solidFill>
                </w14:textFill>
              </w:rPr>
            </w:pPr>
            <w:r>
              <w:rPr>
                <w:rFonts w:hint="eastAsia" w:asciiTheme="minorEastAsia" w:hAnsiTheme="minorEastAsia" w:cstheme="minorEastAsia"/>
                <w:color w:val="000000" w:themeColor="text1"/>
                <w:sz w:val="21"/>
                <w:lang w:val="en-US" w:eastAsia="zh-CN"/>
                <w14:textFill>
                  <w14:solidFill>
                    <w14:schemeClr w14:val="tx1"/>
                  </w14:solidFill>
                </w14:textFill>
              </w:rPr>
              <w:t>3</w:t>
            </w:r>
          </w:p>
        </w:tc>
        <w:tc>
          <w:tcPr>
            <w:tcW w:w="1275"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rFonts w:hint="eastAsia" w:asciiTheme="minorEastAsia" w:hAnsiTheme="minorEastAsia" w:eastAsiaTheme="minorEastAsia" w:cstheme="minorEastAsia"/>
                <w:color w:val="000000" w:themeColor="text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lang w:val="en-US" w:eastAsia="zh-CN"/>
                <w14:textFill>
                  <w14:solidFill>
                    <w14:schemeClr w14:val="tx1"/>
                  </w14:solidFill>
                </w14:textFill>
              </w:rPr>
              <w:t>总  分</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lang w:val="en-US" w:eastAsia="zh-CN"/>
                <w14:textFill>
                  <w14:solidFill>
                    <w14:schemeClr w14:val="tx1"/>
                  </w14:solidFill>
                </w14:textFill>
              </w:rPr>
              <w:t>9</w:t>
            </w:r>
            <w:r>
              <w:rPr>
                <w:rFonts w:hint="eastAsia" w:asciiTheme="minorEastAsia" w:hAnsiTheme="minorEastAsia" w:cstheme="minorEastAsia"/>
                <w:color w:val="000000" w:themeColor="text1"/>
                <w:sz w:val="21"/>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岳阳市南湖小学</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2022年度岳阳市南湖小学</w:t>
      </w:r>
      <w:bookmarkStart w:id="0" w:name="_GoBack"/>
      <w:bookmarkEnd w:id="0"/>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（一）学校基本情况</w:t>
      </w:r>
    </w:p>
    <w:p>
      <w:pPr>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1、机构情况</w:t>
      </w:r>
    </w:p>
    <w:p>
      <w:pPr>
        <w:keepNext/>
        <w:keepLines/>
        <w:spacing w:beforeLines="0" w:afterLines="0" w:line="360" w:lineRule="auto"/>
        <w:ind w:firstLine="640"/>
        <w:rPr>
          <w:rFonts w:hint="eastAsia" w:ascii="仿宋" w:hAnsi="仿宋" w:eastAsia="仿宋" w:cs="仿宋"/>
          <w:kern w:val="0"/>
          <w:sz w:val="28"/>
          <w:szCs w:val="28"/>
        </w:rPr>
      </w:pPr>
      <w:r>
        <w:rPr>
          <w:rFonts w:hint="eastAsia" w:ascii="仿宋" w:hAnsi="仿宋" w:eastAsia="仿宋" w:cs="仿宋"/>
          <w:kern w:val="0"/>
          <w:sz w:val="28"/>
          <w:szCs w:val="28"/>
        </w:rPr>
        <w:t>我校是独立核算的财政全额拨款事业单位，执行事业单位会计制度</w:t>
      </w:r>
      <w:r>
        <w:rPr>
          <w:rFonts w:hint="eastAsia" w:ascii="仿宋" w:hAnsi="仿宋" w:eastAsia="仿宋" w:cs="仿宋"/>
          <w:kern w:val="0"/>
          <w:sz w:val="28"/>
          <w:szCs w:val="28"/>
          <w:lang w:eastAsia="zh-CN"/>
        </w:rPr>
        <w:t>。</w:t>
      </w:r>
      <w:r>
        <w:rPr>
          <w:rFonts w:hint="eastAsia" w:ascii="仿宋" w:hAnsi="仿宋" w:eastAsia="仿宋" w:cs="仿宋"/>
          <w:kern w:val="0"/>
          <w:sz w:val="28"/>
          <w:szCs w:val="28"/>
          <w:lang w:val="en-US" w:eastAsia="zh-CN"/>
        </w:rPr>
        <w:t>内设机构包括：</w:t>
      </w:r>
      <w:r>
        <w:rPr>
          <w:rFonts w:hint="eastAsia" w:ascii="仿宋" w:hAnsi="仿宋" w:eastAsia="仿宋" w:cs="仿宋"/>
          <w:kern w:val="0"/>
          <w:sz w:val="28"/>
          <w:szCs w:val="28"/>
          <w:lang w:val="zh-CN"/>
        </w:rPr>
        <w:t>行政办、教务处、德育处、后勤处、督导处、安全办。</w:t>
      </w:r>
    </w:p>
    <w:p>
      <w:pPr>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2、人员情况</w:t>
      </w:r>
    </w:p>
    <w:p>
      <w:pPr>
        <w:spacing w:line="360" w:lineRule="auto"/>
        <w:ind w:firstLine="560" w:firstLineChars="200"/>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我校现有在职在编教职工124人，离退休55人，学生总数2608人。</w:t>
      </w:r>
    </w:p>
    <w:p>
      <w:pPr>
        <w:numPr>
          <w:ilvl w:val="0"/>
          <w:numId w:val="2"/>
        </w:numPr>
        <w:spacing w:line="360" w:lineRule="auto"/>
        <w:ind w:firstLine="560" w:firstLineChars="200"/>
        <w:rPr>
          <w:rFonts w:hint="eastAsia" w:ascii="仿宋" w:hAnsi="仿宋" w:eastAsia="仿宋" w:cs="仿宋"/>
          <w:bCs/>
          <w:sz w:val="28"/>
          <w:szCs w:val="28"/>
        </w:rPr>
      </w:pPr>
      <w:r>
        <w:rPr>
          <w:rFonts w:hint="eastAsia" w:ascii="仿宋" w:hAnsi="仿宋" w:eastAsia="仿宋" w:cs="仿宋"/>
          <w:bCs/>
          <w:sz w:val="28"/>
          <w:szCs w:val="28"/>
        </w:rPr>
        <w:t>学校职能职责</w:t>
      </w:r>
    </w:p>
    <w:p>
      <w:pPr>
        <w:spacing w:line="360" w:lineRule="auto"/>
        <w:ind w:firstLine="560" w:firstLineChars="200"/>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贯彻执行国家教育方针政策，深化教育改革，发展素质教育，稳步提高教育质量，巩固艺术教育特色成果，促进教育事业的发展；保障人员经费，提高教师队伍幸福感；管好用好预算内资金，改善和优化学校的办学条件；促进学生全面发展，把教育教学质量放在首位，办人民满意的教育。</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年度工作内容</w:t>
      </w:r>
    </w:p>
    <w:p>
      <w:pPr>
        <w:pStyle w:val="2"/>
        <w:numPr>
          <w:ilvl w:val="0"/>
          <w:numId w:val="0"/>
        </w:numPr>
        <w:spacing w:line="360" w:lineRule="auto"/>
        <w:ind w:firstLine="560" w:firstLineChars="200"/>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1.完成学校整体移交工作，快速熟悉并适应转隶后的管理模式。</w:t>
      </w:r>
    </w:p>
    <w:p>
      <w:pPr>
        <w:pStyle w:val="2"/>
        <w:numPr>
          <w:ilvl w:val="0"/>
          <w:numId w:val="0"/>
        </w:numPr>
        <w:spacing w:line="360" w:lineRule="auto"/>
        <w:ind w:firstLine="560" w:firstLineChars="200"/>
        <w:rPr>
          <w:rFonts w:hint="default" w:ascii="仿宋" w:hAnsi="仿宋" w:eastAsia="仿宋" w:cs="仿宋"/>
          <w:sz w:val="28"/>
          <w:szCs w:val="36"/>
          <w:lang w:val="en-US" w:eastAsia="zh-CN"/>
        </w:rPr>
      </w:pPr>
      <w:r>
        <w:rPr>
          <w:rFonts w:hint="eastAsia" w:ascii="仿宋" w:hAnsi="仿宋" w:eastAsia="仿宋" w:cs="仿宋"/>
          <w:sz w:val="28"/>
          <w:szCs w:val="36"/>
          <w:lang w:val="en-US" w:eastAsia="zh-CN"/>
        </w:rPr>
        <w:t>2.聚焦教学常规，落实“双减”政策，以知识与能力检测促进学生综合素养的提升。</w:t>
      </w:r>
    </w:p>
    <w:p>
      <w:pPr>
        <w:pStyle w:val="2"/>
        <w:numPr>
          <w:ilvl w:val="0"/>
          <w:numId w:val="0"/>
        </w:numPr>
        <w:spacing w:line="360" w:lineRule="auto"/>
        <w:ind w:firstLine="560" w:firstLineChars="200"/>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3.学校改扩建项目基本完成，改善校园环境，提升办学品位。</w:t>
      </w:r>
    </w:p>
    <w:p>
      <w:pPr>
        <w:pStyle w:val="2"/>
        <w:numPr>
          <w:ilvl w:val="0"/>
          <w:numId w:val="0"/>
        </w:numPr>
        <w:spacing w:line="360" w:lineRule="auto"/>
        <w:ind w:firstLine="560" w:firstLineChars="200"/>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4.强化校园安全管理，压实安全责任，做到全年无重大安全事故发生。</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spacing w:line="560" w:lineRule="exact"/>
        <w:ind w:firstLine="600" w:firstLineChars="200"/>
        <w:rPr>
          <w:rFonts w:hint="eastAsia" w:ascii="仿宋" w:hAnsi="仿宋" w:eastAsia="仿宋" w:cs="仿宋"/>
          <w:bCs/>
          <w:sz w:val="30"/>
          <w:szCs w:val="30"/>
          <w:lang w:eastAsia="zh-CN"/>
        </w:rPr>
      </w:pPr>
      <w:r>
        <w:rPr>
          <w:rFonts w:hint="eastAsia" w:ascii="仿宋" w:hAnsi="仿宋" w:eastAsia="仿宋" w:cs="仿宋"/>
          <w:bCs/>
          <w:sz w:val="30"/>
          <w:szCs w:val="30"/>
        </w:rPr>
        <w:t>基本支出202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年度总支出</w:t>
      </w:r>
      <w:r>
        <w:rPr>
          <w:rFonts w:hint="eastAsia" w:ascii="仿宋" w:hAnsi="仿宋" w:eastAsia="仿宋" w:cs="仿宋"/>
          <w:bCs/>
          <w:sz w:val="30"/>
          <w:szCs w:val="30"/>
          <w:lang w:val="en-US" w:eastAsia="zh-CN"/>
        </w:rPr>
        <w:t>2533.03</w:t>
      </w:r>
      <w:r>
        <w:rPr>
          <w:rFonts w:hint="eastAsia" w:ascii="仿宋" w:hAnsi="仿宋" w:eastAsia="仿宋" w:cs="仿宋"/>
          <w:bCs/>
          <w:sz w:val="30"/>
          <w:szCs w:val="30"/>
        </w:rPr>
        <w:t>万元，其中</w:t>
      </w:r>
      <w:r>
        <w:rPr>
          <w:rFonts w:hint="eastAsia" w:ascii="仿宋" w:hAnsi="仿宋" w:eastAsia="仿宋" w:cs="仿宋"/>
          <w:bCs/>
          <w:sz w:val="30"/>
          <w:szCs w:val="30"/>
          <w:lang w:eastAsia="zh-CN"/>
        </w:rPr>
        <w:t>：</w:t>
      </w:r>
    </w:p>
    <w:p>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rPr>
        <w:t>人员经费</w:t>
      </w:r>
      <w:r>
        <w:rPr>
          <w:rFonts w:hint="eastAsia" w:ascii="仿宋" w:hAnsi="仿宋" w:eastAsia="仿宋" w:cs="仿宋"/>
          <w:bCs/>
          <w:sz w:val="30"/>
          <w:szCs w:val="30"/>
          <w:lang w:val="en-US" w:eastAsia="zh-CN"/>
        </w:rPr>
        <w:t>2171.83万元：包括基本工资529.43万元；津贴补贴30.78万元；奖金513.60万元；伙食补助费6.91万元； 绩效工资317.57万元；机关事业单位基本养老保险缴费134.21万元；职工基本医疗保险缴费69.01万元；其他社会保障缴费11.46万元；住房公积金132.91万元；医疗费21.50万元；其他工资福利支出192.21万元；离休费0.00万元；退休费154.37万元；抚恤金3.26万元；生活补助49.81万元；其他对个人和家庭的补助4.81万元。</w:t>
      </w:r>
    </w:p>
    <w:p>
      <w:pPr>
        <w:spacing w:line="560" w:lineRule="exact"/>
        <w:ind w:firstLine="600" w:firstLineChars="200"/>
        <w:rPr>
          <w:rFonts w:hint="eastAsia" w:ascii="仿宋" w:hAnsi="仿宋" w:eastAsia="仿宋" w:cs="仿宋"/>
          <w:b w:val="0"/>
          <w:bCs/>
          <w:sz w:val="30"/>
          <w:szCs w:val="30"/>
        </w:rPr>
      </w:pPr>
      <w:r>
        <w:rPr>
          <w:rFonts w:hint="eastAsia" w:ascii="仿宋" w:hAnsi="仿宋" w:eastAsia="仿宋" w:cs="仿宋"/>
          <w:bCs/>
          <w:sz w:val="30"/>
          <w:szCs w:val="30"/>
          <w:lang w:val="en-US" w:eastAsia="zh-CN"/>
        </w:rPr>
        <w:t>公用经费361.20万元：包括办公费16.55万元；印刷费26.55万元；咨询费3.15万元；手续费0.00万元；水费5.68万元；电费30.39万元；邮电费1.00万元； 物业管理费17.96万元；差旅费6.74万元；维修（护）费62.77万元；租赁费0.00万元；会议费0.00万元；培训费4.46万元； 公务接待费0.64万元；专用材料费34.22万元；专用燃料费3.74万元；费劳务费42.03万元；委托业务费0.00万元；工会经费53.45万元；福利费0.00万元；其他交通费用0.45万元；其他商品和服务支出10.89万元；办公设备购置34.74万元；专用设备购置5.62万元；其他资本性支出0.16万元</w:t>
      </w:r>
      <w:r>
        <w:rPr>
          <w:rFonts w:hint="eastAsia" w:ascii="仿宋" w:hAnsi="仿宋" w:eastAsia="仿宋" w:cs="仿宋"/>
          <w:b w:val="0"/>
          <w:bCs/>
          <w:sz w:val="30"/>
          <w:szCs w:val="30"/>
        </w:rPr>
        <w:t>。</w:t>
      </w:r>
    </w:p>
    <w:p>
      <w:pPr>
        <w:spacing w:line="560" w:lineRule="exact"/>
        <w:ind w:firstLine="643" w:firstLineChars="200"/>
        <w:rPr>
          <w:rFonts w:hint="eastAsia"/>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jc w:val="left"/>
        <w:textAlignment w:val="auto"/>
        <w:rPr>
          <w:rFonts w:hint="eastAsia"/>
          <w:lang w:val="en-US" w:eastAsia="zh-CN"/>
        </w:rPr>
      </w:pPr>
      <w:r>
        <w:rPr>
          <w:rFonts w:hint="eastAsia" w:ascii="仿宋" w:hAnsi="仿宋" w:eastAsia="仿宋" w:cs="仿宋"/>
          <w:bCs/>
          <w:sz w:val="28"/>
          <w:szCs w:val="28"/>
          <w:lang w:val="en-US" w:eastAsia="zh-CN"/>
        </w:rPr>
        <w:t>本单位</w:t>
      </w:r>
      <w:r>
        <w:rPr>
          <w:rFonts w:hint="eastAsia" w:ascii="仿宋" w:hAnsi="仿宋" w:eastAsia="仿宋" w:cs="仿宋"/>
          <w:bCs/>
          <w:sz w:val="28"/>
          <w:szCs w:val="28"/>
        </w:rPr>
        <w:t>202</w:t>
      </w:r>
      <w:r>
        <w:rPr>
          <w:rFonts w:hint="eastAsia" w:ascii="仿宋" w:hAnsi="仿宋" w:eastAsia="仿宋" w:cs="仿宋"/>
          <w:bCs/>
          <w:sz w:val="28"/>
          <w:szCs w:val="28"/>
          <w:lang w:val="en-US" w:eastAsia="zh-CN"/>
        </w:rPr>
        <w:t>2</w:t>
      </w:r>
      <w:r>
        <w:rPr>
          <w:rFonts w:hint="eastAsia" w:ascii="仿宋" w:hAnsi="仿宋" w:eastAsia="仿宋" w:cs="仿宋"/>
          <w:bCs/>
          <w:sz w:val="28"/>
          <w:szCs w:val="28"/>
        </w:rPr>
        <w:t>年度</w:t>
      </w:r>
      <w:r>
        <w:rPr>
          <w:rFonts w:hint="eastAsia" w:ascii="仿宋" w:hAnsi="仿宋" w:eastAsia="仿宋" w:cs="仿宋"/>
          <w:bCs/>
          <w:sz w:val="28"/>
          <w:szCs w:val="28"/>
          <w:lang w:val="en-US" w:eastAsia="zh-CN"/>
        </w:rPr>
        <w:t>项目</w:t>
      </w:r>
      <w:r>
        <w:rPr>
          <w:rFonts w:hint="eastAsia" w:ascii="仿宋" w:hAnsi="仿宋" w:eastAsia="仿宋" w:cs="仿宋"/>
          <w:bCs/>
          <w:sz w:val="28"/>
          <w:szCs w:val="28"/>
        </w:rPr>
        <w:t>支出</w:t>
      </w:r>
      <w:r>
        <w:rPr>
          <w:rFonts w:hint="eastAsia" w:ascii="仿宋" w:hAnsi="仿宋" w:eastAsia="仿宋" w:cs="仿宋"/>
          <w:bCs/>
          <w:sz w:val="28"/>
          <w:szCs w:val="28"/>
          <w:lang w:val="en-US" w:eastAsia="zh-CN"/>
        </w:rPr>
        <w:t>0万元</w:t>
      </w:r>
      <w:r>
        <w:rPr>
          <w:rFonts w:hint="eastAsia" w:ascii="仿宋" w:hAnsi="仿宋" w:eastAsia="仿宋" w:cs="仿宋"/>
          <w:bCs/>
          <w:sz w:val="28"/>
          <w:szCs w:val="28"/>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jc w:val="left"/>
        <w:textAlignment w:val="auto"/>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本单位2022年度政府性基金预算支出0万元。</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jc w:val="left"/>
        <w:textAlignment w:val="auto"/>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本单位2022年度国有资本经营预算支出0万元。</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jc w:val="left"/>
        <w:textAlignment w:val="auto"/>
        <w:rPr>
          <w:rFonts w:hint="eastAsia" w:ascii="仿宋" w:hAnsi="仿宋" w:eastAsia="仿宋" w:cs="仿宋"/>
          <w:bCs/>
          <w:sz w:val="28"/>
          <w:szCs w:val="28"/>
          <w:lang w:val="en-US" w:eastAsia="zh-CN"/>
        </w:rPr>
      </w:pPr>
      <w:r>
        <w:rPr>
          <w:rFonts w:hint="eastAsia" w:ascii="仿宋" w:hAnsi="仿宋" w:eastAsia="仿宋" w:cs="仿宋"/>
          <w:bCs/>
          <w:sz w:val="28"/>
          <w:szCs w:val="28"/>
          <w:lang w:val="en-US" w:eastAsia="zh-CN"/>
        </w:rPr>
        <w:t>本单位2022年度社会保险基金预算支出0万元。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560" w:firstLineChars="200"/>
        <w:jc w:val="left"/>
        <w:textAlignment w:val="auto"/>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t>我校本年度整体支出绩效总体良好，各项目标达到了相应时期执行进度，使财政收支预算执行都得了良好的制度保障和实施效果。</w:t>
      </w:r>
    </w:p>
    <w:p>
      <w:pPr>
        <w:rPr>
          <w:rFonts w:hint="eastAsia" w:ascii="仿宋" w:hAnsi="仿宋" w:eastAsia="仿宋" w:cs="仿宋"/>
          <w:b w:val="0"/>
          <w:bCs w:val="0"/>
          <w:sz w:val="28"/>
          <w:szCs w:val="28"/>
          <w:lang w:val="en-US" w:eastAsia="zh-CN"/>
        </w:rPr>
      </w:pPr>
      <w:r>
        <w:rPr>
          <w:rFonts w:hint="eastAsia" w:ascii="仿宋" w:hAnsi="仿宋" w:eastAsia="仿宋" w:cs="仿宋"/>
          <w:sz w:val="28"/>
          <w:szCs w:val="36"/>
          <w:lang w:val="en-US" w:eastAsia="zh-CN"/>
        </w:rPr>
        <w:t>2022年是我校事权转隶后第一年，也是非常特殊的一年，是学校办学传承的转折点也是积极发展的新起点。用四个关键词来概括，就是“移交”“整改”“融合”“传承”。这一年来，在区委区政府、区教育局的正确领导和支持下，学校教育教学工作平稳有序高质量的开展。这一年，我校</w:t>
      </w:r>
      <w:r>
        <w:rPr>
          <w:rFonts w:hint="eastAsia" w:ascii="仿宋" w:hAnsi="仿宋" w:eastAsia="仿宋" w:cs="仿宋"/>
          <w:b w:val="0"/>
          <w:bCs w:val="0"/>
          <w:sz w:val="28"/>
          <w:szCs w:val="28"/>
          <w:lang w:val="en-US" w:eastAsia="zh-CN"/>
        </w:rPr>
        <w:t>提倡“天天阅读”，创建书香校园，荣获岳阳市“诵读中国”经典诵读大赛集体一等奖提倡“天天锻炼”，培养健康体魄，2022年省运会青少年组获奖三十余人；提倡“天天做事”，深化劳动教育我校食堂探索的“学生就餐自动化志愿者服务常态化”就餐模式获区教育局德育案例特等奖，“学生自主管理食堂就餐项目”被劳动名师工作室推荐参加教育部劳动教育公益性资源库申报，区直多所学校来我校观摩交流。</w:t>
      </w:r>
    </w:p>
    <w:p>
      <w:pPr>
        <w:numPr>
          <w:ilvl w:val="0"/>
          <w:numId w:val="0"/>
        </w:numPr>
        <w:spacing w:after="240" w:line="400" w:lineRule="exact"/>
        <w:ind w:firstLine="562" w:firstLineChars="200"/>
        <w:jc w:val="left"/>
        <w:rPr>
          <w:rFonts w:hint="eastAsia" w:ascii="仿宋" w:hAnsi="仿宋" w:eastAsia="仿宋" w:cs="仿宋"/>
          <w:b/>
          <w:color w:val="000000"/>
          <w:kern w:val="0"/>
          <w:sz w:val="28"/>
          <w:szCs w:val="28"/>
        </w:rPr>
      </w:pPr>
      <w:r>
        <w:rPr>
          <w:rFonts w:hint="eastAsia" w:ascii="仿宋" w:hAnsi="仿宋" w:eastAsia="仿宋" w:cs="仿宋"/>
          <w:b/>
          <w:color w:val="000000"/>
          <w:kern w:val="0"/>
          <w:sz w:val="28"/>
          <w:szCs w:val="28"/>
          <w:lang w:eastAsia="zh-CN"/>
        </w:rPr>
        <w:t>（</w:t>
      </w:r>
      <w:r>
        <w:rPr>
          <w:rFonts w:hint="eastAsia" w:ascii="仿宋" w:hAnsi="仿宋" w:eastAsia="仿宋" w:cs="仿宋"/>
          <w:b/>
          <w:color w:val="000000"/>
          <w:kern w:val="0"/>
          <w:sz w:val="28"/>
          <w:szCs w:val="28"/>
          <w:lang w:val="en-US" w:eastAsia="zh-CN"/>
        </w:rPr>
        <w:t>一</w:t>
      </w:r>
      <w:r>
        <w:rPr>
          <w:rFonts w:hint="eastAsia" w:ascii="仿宋" w:hAnsi="仿宋" w:eastAsia="仿宋" w:cs="仿宋"/>
          <w:b/>
          <w:color w:val="000000"/>
          <w:kern w:val="0"/>
          <w:sz w:val="28"/>
          <w:szCs w:val="28"/>
          <w:lang w:eastAsia="zh-CN"/>
        </w:rPr>
        <w:t>）</w:t>
      </w:r>
      <w:r>
        <w:rPr>
          <w:rFonts w:hint="eastAsia" w:ascii="仿宋" w:hAnsi="仿宋" w:eastAsia="仿宋" w:cs="仿宋"/>
          <w:b/>
          <w:color w:val="000000"/>
          <w:kern w:val="0"/>
          <w:sz w:val="28"/>
          <w:szCs w:val="28"/>
        </w:rPr>
        <w:t>产出指标完成情况分析</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1、数量指标</w:t>
      </w:r>
    </w:p>
    <w:p>
      <w:pPr>
        <w:ind w:firstLine="560" w:firstLineChars="200"/>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区教育局高度重视我校建设，预算3500万元对我校进行改扩建。本年度已修建两个标准篮球场，教学综合楼、田径场及各专业教室投入使用，新教学楼主体工程已完成，预计在2023年秋季投入使用。我校始终将校园安全教育落到实处，全年进行校园安全宣讲开展次数达12次。</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2、质量指标</w:t>
      </w:r>
    </w:p>
    <w:p>
      <w:pPr>
        <w:ind w:firstLine="560" w:firstLineChars="200"/>
        <w:rPr>
          <w:rFonts w:hint="default" w:ascii="仿宋" w:hAnsi="仿宋" w:eastAsia="仿宋" w:cs="仿宋"/>
          <w:sz w:val="28"/>
          <w:szCs w:val="28"/>
          <w:lang w:val="en-US" w:eastAsia="zh-CN"/>
        </w:rPr>
      </w:pPr>
      <w:r>
        <w:rPr>
          <w:rFonts w:hint="eastAsia" w:ascii="仿宋" w:hAnsi="仿宋" w:eastAsia="仿宋" w:cs="仿宋"/>
          <w:b w:val="0"/>
          <w:bCs w:val="0"/>
          <w:sz w:val="28"/>
          <w:szCs w:val="28"/>
          <w:lang w:val="en-US" w:eastAsia="zh-CN"/>
        </w:rPr>
        <w:t>优化学校管理举措，确保学校优质发展，全面提升学校声誉。学校师生平安,全年没有发生一起校园安全事件。</w:t>
      </w:r>
      <w:r>
        <w:rPr>
          <w:rFonts w:hint="eastAsia" w:ascii="仿宋" w:hAnsi="仿宋" w:eastAsia="仿宋" w:cs="仿宋"/>
          <w:sz w:val="28"/>
          <w:szCs w:val="28"/>
          <w:lang w:eastAsia="zh-CN"/>
        </w:rPr>
        <w:t>积极响应区教育局</w:t>
      </w:r>
      <w:r>
        <w:rPr>
          <w:rFonts w:hint="eastAsia" w:ascii="仿宋" w:hAnsi="仿宋" w:eastAsia="仿宋" w:cs="仿宋"/>
          <w:sz w:val="28"/>
          <w:szCs w:val="28"/>
          <w:lang w:val="en-US" w:eastAsia="zh-CN"/>
        </w:rPr>
        <w:t>多措并举,做好作业设计、项目式作业探索和课后服务创新等工作，让“双减”政策有效落地。</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3、时效指标</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教职工工资及各项福利严格按照预算及实际情况时间节点发放至教职员工。</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4、成本指标</w:t>
      </w:r>
    </w:p>
    <w:p>
      <w:pPr>
        <w:pStyle w:val="2"/>
        <w:rPr>
          <w:rFonts w:hint="default" w:ascii="仿宋" w:hAnsi="仿宋" w:eastAsia="仿宋" w:cs="仿宋"/>
          <w:b w:val="0"/>
          <w:bCs w:val="0"/>
          <w:kern w:val="2"/>
          <w:sz w:val="28"/>
          <w:szCs w:val="28"/>
          <w:lang w:val="en-US" w:eastAsia="zh-CN" w:bidi="ar-SA"/>
        </w:rPr>
      </w:pPr>
      <w:r>
        <w:rPr>
          <w:rFonts w:hint="eastAsia" w:ascii="仿宋" w:hAnsi="仿宋" w:eastAsia="仿宋" w:cs="仿宋"/>
          <w:b w:val="0"/>
          <w:bCs w:val="0"/>
          <w:sz w:val="28"/>
          <w:szCs w:val="28"/>
          <w:lang w:val="en-US" w:eastAsia="zh-CN"/>
        </w:rPr>
        <w:t xml:space="preserve">    </w:t>
      </w:r>
      <w:r>
        <w:rPr>
          <w:rFonts w:hint="eastAsia" w:ascii="仿宋" w:hAnsi="仿宋" w:eastAsia="仿宋" w:cs="仿宋"/>
          <w:b w:val="0"/>
          <w:bCs w:val="0"/>
          <w:kern w:val="2"/>
          <w:sz w:val="28"/>
          <w:szCs w:val="28"/>
          <w:lang w:val="en-US" w:eastAsia="zh-CN" w:bidi="ar-SA"/>
        </w:rPr>
        <w:t>全年各项经费开支年初预算2804.37万元，实际支出2963.44万元，偏差较大，预算编制工作有待加强。</w:t>
      </w:r>
    </w:p>
    <w:p>
      <w:pPr>
        <w:ind w:firstLine="562" w:firstLineChars="20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（二）效益指标完成情况分析</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1、经济效益</w:t>
      </w:r>
    </w:p>
    <w:p>
      <w:pPr>
        <w:pStyle w:val="2"/>
        <w:ind w:firstLine="560" w:firstLineChars="200"/>
        <w:rPr>
          <w:rFonts w:hint="default" w:ascii="仿宋" w:hAnsi="仿宋" w:eastAsia="仿宋" w:cs="仿宋"/>
          <w:b w:val="0"/>
          <w:bCs w:val="0"/>
          <w:kern w:val="2"/>
          <w:sz w:val="28"/>
          <w:szCs w:val="28"/>
          <w:lang w:val="en-US" w:eastAsia="zh-CN" w:bidi="ar-SA"/>
        </w:rPr>
      </w:pPr>
      <w:r>
        <w:rPr>
          <w:rFonts w:hint="eastAsia" w:ascii="仿宋" w:hAnsi="仿宋" w:eastAsia="仿宋" w:cs="仿宋"/>
          <w:b w:val="0"/>
          <w:bCs w:val="0"/>
          <w:kern w:val="2"/>
          <w:sz w:val="28"/>
          <w:szCs w:val="28"/>
          <w:lang w:val="en-US" w:eastAsia="zh-CN" w:bidi="ar-SA"/>
        </w:rPr>
        <w:t>不适用。</w:t>
      </w:r>
    </w:p>
    <w:p>
      <w:pPr>
        <w:numPr>
          <w:ilvl w:val="0"/>
          <w:numId w:val="3"/>
        </w:num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社会效益</w:t>
      </w:r>
    </w:p>
    <w:p>
      <w:pPr>
        <w:pStyle w:val="2"/>
        <w:ind w:firstLine="560" w:firstLineChars="200"/>
        <w:rPr>
          <w:rFonts w:hint="eastAsia" w:ascii="仿宋" w:hAnsi="仿宋" w:eastAsia="仿宋" w:cs="仿宋"/>
          <w:b w:val="0"/>
          <w:bCs w:val="0"/>
          <w:kern w:val="2"/>
          <w:sz w:val="28"/>
          <w:szCs w:val="28"/>
          <w:lang w:val="en-US" w:eastAsia="zh-CN" w:bidi="ar-SA"/>
        </w:rPr>
      </w:pPr>
      <w:r>
        <w:rPr>
          <w:rFonts w:hint="eastAsia" w:ascii="仿宋" w:hAnsi="仿宋" w:eastAsia="仿宋" w:cs="仿宋"/>
          <w:b w:val="0"/>
          <w:bCs w:val="0"/>
          <w:kern w:val="2"/>
          <w:sz w:val="28"/>
          <w:szCs w:val="28"/>
          <w:lang w:val="en-US" w:eastAsia="zh-CN" w:bidi="ar-SA"/>
        </w:rPr>
        <w:t>凭优良的教育质量享誉省市，在国家、省、市各级各类竞赛中取得了丰硕的成果，并创造了多个岳阳小学之最。</w:t>
      </w:r>
    </w:p>
    <w:p>
      <w:pPr>
        <w:numPr>
          <w:ilvl w:val="0"/>
          <w:numId w:val="3"/>
        </w:numPr>
        <w:ind w:left="0" w:leftChars="0"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生态效益</w:t>
      </w:r>
    </w:p>
    <w:p>
      <w:pPr>
        <w:ind w:firstLine="560" w:firstLineChars="200"/>
        <w:rPr>
          <w:rFonts w:hint="eastAsia" w:ascii="仿宋" w:hAnsi="仿宋" w:eastAsia="仿宋" w:cs="仿宋"/>
          <w:b w:val="0"/>
          <w:bCs w:val="0"/>
          <w:kern w:val="2"/>
          <w:sz w:val="28"/>
          <w:szCs w:val="28"/>
          <w:lang w:val="en-US" w:eastAsia="zh-CN" w:bidi="ar-SA"/>
        </w:rPr>
      </w:pPr>
      <w:r>
        <w:rPr>
          <w:rFonts w:hint="eastAsia" w:ascii="仿宋" w:hAnsi="仿宋" w:eastAsia="仿宋" w:cs="仿宋"/>
          <w:b w:val="0"/>
          <w:bCs w:val="0"/>
          <w:kern w:val="2"/>
          <w:sz w:val="28"/>
          <w:szCs w:val="28"/>
          <w:lang w:val="en-US" w:eastAsia="zh-CN" w:bidi="ar-SA"/>
        </w:rPr>
        <w:t>不适用。</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4、可持续影响</w:t>
      </w:r>
    </w:p>
    <w:p>
      <w:pPr>
        <w:pStyle w:val="2"/>
        <w:ind w:firstLine="560" w:firstLineChars="200"/>
        <w:rPr>
          <w:rFonts w:hint="eastAsia"/>
          <w:lang w:val="en-US" w:eastAsia="zh-CN"/>
        </w:rPr>
      </w:pPr>
      <w:r>
        <w:rPr>
          <w:rFonts w:hint="eastAsia" w:ascii="仿宋" w:hAnsi="仿宋" w:eastAsia="仿宋" w:cs="仿宋"/>
          <w:b w:val="0"/>
          <w:bCs w:val="0"/>
          <w:kern w:val="2"/>
          <w:sz w:val="28"/>
          <w:szCs w:val="28"/>
          <w:lang w:val="en-US" w:eastAsia="zh-CN" w:bidi="ar-SA"/>
        </w:rPr>
        <w:t>始终把教师的发展放在首位，通过教师的发展带动学生的发展，促进学校的发展。</w:t>
      </w:r>
    </w:p>
    <w:p>
      <w:pPr>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5、社会公众满意度</w:t>
      </w:r>
    </w:p>
    <w:p>
      <w:pPr>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 xml:space="preserve">    学生、家长满意度达97%，教职工满意度96%，社会公众满意度95%。</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2"/>
        <w:numPr>
          <w:ilvl w:val="0"/>
          <w:numId w:val="0"/>
        </w:numPr>
        <w:rPr>
          <w:rFonts w:hint="default"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pPr>
      <w:r>
        <w:rPr>
          <w:rFonts w:hint="eastAsia"/>
          <w:lang w:val="en-US" w:eastAsia="zh-CN"/>
        </w:rPr>
        <w:t xml:space="preserve">    </w:t>
      </w:r>
      <w:r>
        <w:rPr>
          <w:rFonts w:hint="eastAsia"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t>通过自评，发现在预算支出控制存在一定偏差、预算完成还不够好。</w:t>
      </w:r>
    </w:p>
    <w:p>
      <w:pPr>
        <w:keepNext w:val="0"/>
        <w:keepLines w:val="0"/>
        <w:pageBreakBefore w:val="0"/>
        <w:widowControl w:val="0"/>
        <w:numPr>
          <w:ilvl w:val="0"/>
          <w:numId w:val="5"/>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pStyle w:val="2"/>
        <w:numPr>
          <w:ilvl w:val="0"/>
          <w:numId w:val="0"/>
        </w:numPr>
        <w:rPr>
          <w:rFonts w:hint="default"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pPr>
      <w:r>
        <w:rPr>
          <w:rFonts w:hint="eastAsia"/>
          <w:lang w:val="en-US" w:eastAsia="zh-CN"/>
        </w:rPr>
        <w:t xml:space="preserve">   </w:t>
      </w:r>
      <w:r>
        <w:rPr>
          <w:rFonts w:hint="eastAsia" w:ascii="仿宋_GB2312" w:hAnsi="仿宋_GB2312" w:eastAsia="仿宋_GB2312" w:cs="仿宋_GB2312"/>
          <w:color w:val="000000" w:themeColor="text1"/>
          <w:spacing w:val="0"/>
          <w:kern w:val="2"/>
          <w:position w:val="0"/>
          <w:sz w:val="28"/>
          <w:szCs w:val="28"/>
          <w:lang w:val="en-US" w:eastAsia="zh-CN" w:bidi="ar-SA"/>
          <w14:textFill>
            <w14:solidFill>
              <w14:schemeClr w14:val="tx1"/>
            </w14:solidFill>
          </w14:textFill>
        </w:rPr>
        <w:t xml:space="preserve"> 进一步建立健全财务制度，规范财务管理，细化预算编制工作，加强学校内部机构各部室的预算管理意识，优先保障固定性的、相对刚性的费用支出项目，尽量压缩变动性的、有控制空间的费用项目，提高预算编制的科学性、严谨性和可控性。</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560" w:firstLineChars="200"/>
        <w:jc w:val="left"/>
        <w:textAlignment w:val="auto"/>
        <w:rPr>
          <w:rFonts w:hint="default" w:ascii="仿宋_GB2312" w:hAnsi="仿宋_GB2312" w:eastAsia="仿宋_GB2312" w:cs="仿宋_GB2312"/>
          <w:color w:val="000000" w:themeColor="text1"/>
          <w:spacing w:val="0"/>
          <w:positio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t>拟将绩效自评报告通过岳阳市政府门户网站向社会公开，接受群众监督。</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pPr>
        <w:keepNext w:val="0"/>
        <w:keepLines w:val="0"/>
        <w:pageBreakBefore w:val="0"/>
        <w:widowControl w:val="0"/>
        <w:kinsoku/>
        <w:wordWrap/>
        <w:overflowPunct/>
        <w:topLinePunct w:val="0"/>
        <w:autoSpaceDE/>
        <w:autoSpaceDN/>
        <w:bidi w:val="0"/>
        <w:adjustRightInd/>
        <w:snapToGrid/>
        <w:ind w:left="0" w:firstLine="560" w:firstLineChars="200"/>
        <w:jc w:val="left"/>
        <w:textAlignment w:val="auto"/>
        <w:rPr>
          <w:rFonts w:hint="default" w:ascii="仿宋_GB2312" w:hAnsi="仿宋_GB2312" w:eastAsia="仿宋_GB2312" w:cs="仿宋_GB2312"/>
          <w:color w:val="000000" w:themeColor="text1"/>
          <w:spacing w:val="0"/>
          <w:positio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28"/>
          <w:szCs w:val="28"/>
          <w:lang w:val="en-US" w:eastAsia="zh-CN"/>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703B04"/>
    <w:multiLevelType w:val="singleLevel"/>
    <w:tmpl w:val="DB703B04"/>
    <w:lvl w:ilvl="0" w:tentative="0">
      <w:start w:val="2"/>
      <w:numFmt w:val="decimal"/>
      <w:suff w:val="nothing"/>
      <w:lvlText w:val="%1、"/>
      <w:lvlJc w:val="left"/>
    </w:lvl>
  </w:abstractNum>
  <w:abstractNum w:abstractNumId="1">
    <w:nsid w:val="FF715532"/>
    <w:multiLevelType w:val="singleLevel"/>
    <w:tmpl w:val="FF715532"/>
    <w:lvl w:ilvl="0" w:tentative="0">
      <w:start w:val="1"/>
      <w:numFmt w:val="chineseCounting"/>
      <w:suff w:val="nothing"/>
      <w:lvlText w:val="%1、"/>
      <w:lvlJc w:val="left"/>
      <w:rPr>
        <w:rFonts w:hint="eastAsia"/>
      </w:rPr>
    </w:lvl>
  </w:abstractNum>
  <w:abstractNum w:abstractNumId="2">
    <w:nsid w:val="26CDAD09"/>
    <w:multiLevelType w:val="singleLevel"/>
    <w:tmpl w:val="26CDAD09"/>
    <w:lvl w:ilvl="0" w:tentative="0">
      <w:start w:val="2"/>
      <w:numFmt w:val="chineseCounting"/>
      <w:suff w:val="nothing"/>
      <w:lvlText w:val="（%1）"/>
      <w:lvlJc w:val="left"/>
      <w:rPr>
        <w:rFonts w:hint="eastAsia"/>
      </w:rPr>
    </w:lvl>
  </w:abstractNum>
  <w:abstractNum w:abstractNumId="3">
    <w:nsid w:val="3C9C8112"/>
    <w:multiLevelType w:val="singleLevel"/>
    <w:tmpl w:val="3C9C8112"/>
    <w:lvl w:ilvl="0" w:tentative="0">
      <w:start w:val="8"/>
      <w:numFmt w:val="chineseCounting"/>
      <w:suff w:val="nothing"/>
      <w:lvlText w:val="%1、"/>
      <w:lvlJc w:val="left"/>
      <w:rPr>
        <w:rFonts w:hint="eastAsia"/>
      </w:rPr>
    </w:lvl>
  </w:abstractNum>
  <w:abstractNum w:abstractNumId="4">
    <w:nsid w:val="4E276738"/>
    <w:multiLevelType w:val="singleLevel"/>
    <w:tmpl w:val="4E276738"/>
    <w:lvl w:ilvl="0" w:tentative="0">
      <w:start w:val="7"/>
      <w:numFmt w:val="chineseCounting"/>
      <w:suff w:val="nothing"/>
      <w:lvlText w:val="%1、"/>
      <w:lvlJc w:val="left"/>
      <w:rPr>
        <w:rFonts w:hint="eastAsia"/>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1MjVlYjI5ODEyZDE5ZmFjYmIxYjdjNjllM2EzMTk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309C"/>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B295C"/>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A2C4B"/>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9DE48BC"/>
    <w:rsid w:val="0A002E0D"/>
    <w:rsid w:val="0A140987"/>
    <w:rsid w:val="0A241A5C"/>
    <w:rsid w:val="0A2E3566"/>
    <w:rsid w:val="0A393280"/>
    <w:rsid w:val="0A5F2F6C"/>
    <w:rsid w:val="0A670B4E"/>
    <w:rsid w:val="0A851E03"/>
    <w:rsid w:val="0A985A6F"/>
    <w:rsid w:val="0AA808AF"/>
    <w:rsid w:val="0AB91C30"/>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16E35"/>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DB3003"/>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85042"/>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8B74D1"/>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4E7343"/>
    <w:rsid w:val="156B6CDB"/>
    <w:rsid w:val="15726626"/>
    <w:rsid w:val="15820278"/>
    <w:rsid w:val="15914EE6"/>
    <w:rsid w:val="15A42FA4"/>
    <w:rsid w:val="15A6418F"/>
    <w:rsid w:val="15AA091B"/>
    <w:rsid w:val="15BC6BD3"/>
    <w:rsid w:val="15CF095E"/>
    <w:rsid w:val="15D42AD4"/>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986235"/>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6351B5"/>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EC349F"/>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537F0"/>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1A1EFC"/>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0B6685"/>
    <w:rsid w:val="2611098A"/>
    <w:rsid w:val="264221C6"/>
    <w:rsid w:val="26527EB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1C3506"/>
    <w:rsid w:val="294D5371"/>
    <w:rsid w:val="295A5964"/>
    <w:rsid w:val="29626133"/>
    <w:rsid w:val="29702C6A"/>
    <w:rsid w:val="298756CC"/>
    <w:rsid w:val="29A81FA5"/>
    <w:rsid w:val="29AB297C"/>
    <w:rsid w:val="29C11C86"/>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846B1"/>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2B2A"/>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D07BDB"/>
    <w:rsid w:val="33EE53FA"/>
    <w:rsid w:val="33FD7485"/>
    <w:rsid w:val="34012F1B"/>
    <w:rsid w:val="34467089"/>
    <w:rsid w:val="34523AB5"/>
    <w:rsid w:val="346B4B47"/>
    <w:rsid w:val="346E4F77"/>
    <w:rsid w:val="34762AAC"/>
    <w:rsid w:val="348402A8"/>
    <w:rsid w:val="34B510BB"/>
    <w:rsid w:val="34BB2714"/>
    <w:rsid w:val="34C25EF7"/>
    <w:rsid w:val="34C6021D"/>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65563C"/>
    <w:rsid w:val="367851C1"/>
    <w:rsid w:val="369510BC"/>
    <w:rsid w:val="36973632"/>
    <w:rsid w:val="36A30194"/>
    <w:rsid w:val="36D21A02"/>
    <w:rsid w:val="37104DEB"/>
    <w:rsid w:val="371F0301"/>
    <w:rsid w:val="372D0977"/>
    <w:rsid w:val="37337382"/>
    <w:rsid w:val="374D5647"/>
    <w:rsid w:val="374F42A7"/>
    <w:rsid w:val="37506DBE"/>
    <w:rsid w:val="3759338C"/>
    <w:rsid w:val="375F2037"/>
    <w:rsid w:val="37654002"/>
    <w:rsid w:val="378E3E66"/>
    <w:rsid w:val="37C244FC"/>
    <w:rsid w:val="37D95C79"/>
    <w:rsid w:val="37E81F7B"/>
    <w:rsid w:val="38026A1B"/>
    <w:rsid w:val="38197832"/>
    <w:rsid w:val="383903C6"/>
    <w:rsid w:val="383C423B"/>
    <w:rsid w:val="38415136"/>
    <w:rsid w:val="384E45EE"/>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1F"/>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3A574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0651C3"/>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3364B"/>
    <w:rsid w:val="419B51EE"/>
    <w:rsid w:val="41B11897"/>
    <w:rsid w:val="41C57D35"/>
    <w:rsid w:val="41F34606"/>
    <w:rsid w:val="4200399D"/>
    <w:rsid w:val="420E20BD"/>
    <w:rsid w:val="421647B9"/>
    <w:rsid w:val="42263E3B"/>
    <w:rsid w:val="422C70F1"/>
    <w:rsid w:val="423C6CFA"/>
    <w:rsid w:val="42442693"/>
    <w:rsid w:val="428D1B97"/>
    <w:rsid w:val="42AE4388"/>
    <w:rsid w:val="42B608A5"/>
    <w:rsid w:val="42BC6C8F"/>
    <w:rsid w:val="42C5446D"/>
    <w:rsid w:val="42E94337"/>
    <w:rsid w:val="43031943"/>
    <w:rsid w:val="431327F1"/>
    <w:rsid w:val="43182DB2"/>
    <w:rsid w:val="435F6E01"/>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2631C"/>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402E3"/>
    <w:rsid w:val="47E77D53"/>
    <w:rsid w:val="47EE48C0"/>
    <w:rsid w:val="47F35E3E"/>
    <w:rsid w:val="47FB766F"/>
    <w:rsid w:val="48064E6E"/>
    <w:rsid w:val="4808575C"/>
    <w:rsid w:val="480B439D"/>
    <w:rsid w:val="482F10F4"/>
    <w:rsid w:val="48486FF6"/>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AD1DAD"/>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7E5B03"/>
    <w:rsid w:val="4A9C47ED"/>
    <w:rsid w:val="4A9F3EA3"/>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322863"/>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32932"/>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8D237F"/>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4D674F"/>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1F113B"/>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8B5ECC"/>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03517B"/>
    <w:rsid w:val="5C15792E"/>
    <w:rsid w:val="5C1A5869"/>
    <w:rsid w:val="5C2404DB"/>
    <w:rsid w:val="5C290BF2"/>
    <w:rsid w:val="5C335F49"/>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6F4607"/>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E42ED4"/>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98578D"/>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33705"/>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D42E35"/>
    <w:rsid w:val="65F22562"/>
    <w:rsid w:val="65F65692"/>
    <w:rsid w:val="660C7338"/>
    <w:rsid w:val="66407FD5"/>
    <w:rsid w:val="665346CA"/>
    <w:rsid w:val="6661498D"/>
    <w:rsid w:val="666B3926"/>
    <w:rsid w:val="668C5B9C"/>
    <w:rsid w:val="66A421AD"/>
    <w:rsid w:val="66C720E9"/>
    <w:rsid w:val="66C77BCC"/>
    <w:rsid w:val="66CF58C8"/>
    <w:rsid w:val="66D00FF0"/>
    <w:rsid w:val="66E50A5C"/>
    <w:rsid w:val="66E5305A"/>
    <w:rsid w:val="66EF0F84"/>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67229"/>
    <w:rsid w:val="67FC2A34"/>
    <w:rsid w:val="68022928"/>
    <w:rsid w:val="68163291"/>
    <w:rsid w:val="68244FDF"/>
    <w:rsid w:val="682634A6"/>
    <w:rsid w:val="68335612"/>
    <w:rsid w:val="68361A8E"/>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10256"/>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16490"/>
    <w:rsid w:val="6EB37B5B"/>
    <w:rsid w:val="6EBE6FBB"/>
    <w:rsid w:val="6ED55946"/>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712D11"/>
    <w:rsid w:val="729A0F74"/>
    <w:rsid w:val="72F03574"/>
    <w:rsid w:val="72F77CB6"/>
    <w:rsid w:val="731438BD"/>
    <w:rsid w:val="73252AAE"/>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0E750C"/>
    <w:rsid w:val="751D43A6"/>
    <w:rsid w:val="75453AE1"/>
    <w:rsid w:val="75573AC9"/>
    <w:rsid w:val="75595449"/>
    <w:rsid w:val="758B283A"/>
    <w:rsid w:val="75BD313A"/>
    <w:rsid w:val="75BD3EC3"/>
    <w:rsid w:val="75BF6D3D"/>
    <w:rsid w:val="75DC1EF4"/>
    <w:rsid w:val="75DC2234"/>
    <w:rsid w:val="75E50837"/>
    <w:rsid w:val="75EF5520"/>
    <w:rsid w:val="75F63713"/>
    <w:rsid w:val="76143A54"/>
    <w:rsid w:val="7637074A"/>
    <w:rsid w:val="763B63B0"/>
    <w:rsid w:val="764772A3"/>
    <w:rsid w:val="764F5E2A"/>
    <w:rsid w:val="765C2313"/>
    <w:rsid w:val="767B7960"/>
    <w:rsid w:val="769A6195"/>
    <w:rsid w:val="76A44430"/>
    <w:rsid w:val="76A71FBB"/>
    <w:rsid w:val="76AA5D81"/>
    <w:rsid w:val="76AB50DC"/>
    <w:rsid w:val="76BB3C83"/>
    <w:rsid w:val="76C80EC7"/>
    <w:rsid w:val="76F003DA"/>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133A2"/>
    <w:rsid w:val="7A92679C"/>
    <w:rsid w:val="7A955810"/>
    <w:rsid w:val="7A985E92"/>
    <w:rsid w:val="7A9C2E47"/>
    <w:rsid w:val="7A9E009C"/>
    <w:rsid w:val="7AC019FF"/>
    <w:rsid w:val="7ACA6FB9"/>
    <w:rsid w:val="7AF46C5F"/>
    <w:rsid w:val="7AF91BCC"/>
    <w:rsid w:val="7B0C5BAE"/>
    <w:rsid w:val="7B2374FE"/>
    <w:rsid w:val="7B302E8A"/>
    <w:rsid w:val="7B34342A"/>
    <w:rsid w:val="7B3873CB"/>
    <w:rsid w:val="7B496993"/>
    <w:rsid w:val="7B783675"/>
    <w:rsid w:val="7B796807"/>
    <w:rsid w:val="7BAC2D3A"/>
    <w:rsid w:val="7BAE3C97"/>
    <w:rsid w:val="7BB16076"/>
    <w:rsid w:val="7BB36424"/>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C963A8"/>
    <w:rsid w:val="7ED11A3C"/>
    <w:rsid w:val="7ED91C72"/>
    <w:rsid w:val="7EEB5BB3"/>
    <w:rsid w:val="7F1568D7"/>
    <w:rsid w:val="7F2E0D24"/>
    <w:rsid w:val="7F312E91"/>
    <w:rsid w:val="7F33645C"/>
    <w:rsid w:val="7F4E4DC2"/>
    <w:rsid w:val="7F66205C"/>
    <w:rsid w:val="7FA8327A"/>
    <w:rsid w:val="7FB32EED"/>
    <w:rsid w:val="7FB6358D"/>
    <w:rsid w:val="7FE076F1"/>
    <w:rsid w:val="7FF862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basedOn w:val="1"/>
    <w:next w:val="1"/>
    <w:unhideWhenUsed/>
    <w:qFormat/>
    <w:uiPriority w:val="99"/>
    <w:pPr>
      <w:spacing w:before="120" w:beforeLines="0" w:after="200" w:afterLines="0" w:line="276" w:lineRule="auto"/>
    </w:pPr>
    <w:rPr>
      <w:rFonts w:hint="eastAsia" w:ascii="Arial" w:hAnsi="Arial"/>
      <w:sz w:val="24"/>
      <w:szCs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4353</Words>
  <Characters>4864</Characters>
  <Lines>0</Lines>
  <Paragraphs>0</Paragraphs>
  <TotalTime>2</TotalTime>
  <ScaleCrop>false</ScaleCrop>
  <LinksUpToDate>false</LinksUpToDate>
  <CharactersWithSpaces>5059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一颗糖</cp:lastModifiedBy>
  <cp:lastPrinted>2023-05-26T08:11:00Z</cp:lastPrinted>
  <dcterms:modified xsi:type="dcterms:W3CDTF">2024-07-04T00:41:16Z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