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13.odttf" ContentType="application/vnd.openxmlformats-officedocument.obfuscatedFont"/>
  <Override PartName="/word/fonts/font14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附件1</w:t>
      </w:r>
    </w:p>
    <w:p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  <w:t>2022年度预算单位整体支出绩效评价基础数据表</w:t>
      </w:r>
    </w:p>
    <w:p>
      <w:pPr>
        <w:spacing w:line="115" w:lineRule="exact"/>
        <w:rPr>
          <w:color w:val="000000" w:themeColor="text1"/>
        </w:rPr>
      </w:pPr>
    </w:p>
    <w:tbl>
      <w:tblPr>
        <w:tblStyle w:val="9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/>
            <w:vAlign w:val="center"/>
          </w:tcPr>
          <w:p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预算单位名称</w:t>
            </w:r>
          </w:p>
        </w:tc>
        <w:tc>
          <w:tcPr>
            <w:tcW w:w="5819" w:type="dxa"/>
            <w:gridSpan w:val="6"/>
            <w:noWrap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  <w:t>岳阳市岳阳楼区行政审批服务局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/>
          </w:tcPr>
          <w:p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/>
          </w:tcPr>
          <w:p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</w:rPr>
              <w:t>编制数</w:t>
            </w:r>
          </w:p>
        </w:tc>
        <w:tc>
          <w:tcPr>
            <w:tcW w:w="2325" w:type="dxa"/>
            <w:gridSpan w:val="2"/>
            <w:noWrap/>
          </w:tcPr>
          <w:p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2022年实际在职人数</w:t>
            </w:r>
          </w:p>
        </w:tc>
        <w:tc>
          <w:tcPr>
            <w:tcW w:w="1679" w:type="dxa"/>
            <w:gridSpan w:val="2"/>
            <w:noWrap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18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18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</w:rPr>
              <w:t>100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/>
          </w:tcPr>
          <w:p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</w:rPr>
              <w:t>经费控制情况(万元)</w:t>
            </w:r>
          </w:p>
        </w:tc>
        <w:tc>
          <w:tcPr>
            <w:tcW w:w="1815" w:type="dxa"/>
            <w:gridSpan w:val="2"/>
            <w:noWrap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2021年决算数</w:t>
            </w:r>
          </w:p>
        </w:tc>
        <w:tc>
          <w:tcPr>
            <w:tcW w:w="2325" w:type="dxa"/>
            <w:gridSpan w:val="2"/>
            <w:noWrap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2022年预算数</w:t>
            </w:r>
          </w:p>
        </w:tc>
        <w:tc>
          <w:tcPr>
            <w:tcW w:w="1679" w:type="dxa"/>
            <w:gridSpan w:val="2"/>
            <w:noWrap/>
          </w:tcPr>
          <w:p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spacing w:before="141" w:line="202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三公经费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5.00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="仿宋_GB2312" w:eastAsia="仿宋_GB2312" w:hAnsiTheme="majorEastAsia" w:cstheme="majorEastAsia"/>
                <w:color w:val="000000" w:themeColor="text1"/>
                <w:sz w:val="18"/>
                <w:szCs w:val="18"/>
              </w:rPr>
            </w:pPr>
            <w:r>
              <w:rPr>
                <w:rFonts w:hint="eastAsia" w:ascii="仿宋_GB2312" w:eastAsia="仿宋_GB2312" w:hAnsiTheme="majorEastAsia" w:cstheme="majorEastAsia"/>
                <w:color w:val="000000" w:themeColor="text1"/>
                <w:sz w:val="18"/>
                <w:szCs w:val="18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/>
          </w:tcPr>
          <w:p>
            <w:pPr>
              <w:spacing w:before="149" w:line="193" w:lineRule="auto"/>
              <w:ind w:left="4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spacing w:before="81" w:line="219" w:lineRule="auto"/>
              <w:ind w:left="8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其中：公车购置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/>
          </w:tcPr>
          <w:p>
            <w:pPr>
              <w:spacing w:before="91" w:line="219" w:lineRule="auto"/>
              <w:ind w:left="14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公车运行维护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/>
          </w:tcPr>
          <w:p>
            <w:pPr>
              <w:spacing w:before="81" w:line="22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2、出国经费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3850" w:type="dxa"/>
            <w:noWrap/>
          </w:tcPr>
          <w:p>
            <w:pPr>
              <w:spacing w:before="82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3、公务接待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5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="宋体" w:hAnsi="宋体" w:eastAsia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spacing w:before="143" w:line="200" w:lineRule="auto"/>
              <w:ind w:left="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</w:rPr>
              <w:t>项目支出：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346.46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 xml:space="preserve">419 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870.64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/>
          </w:tcPr>
          <w:p>
            <w:pPr>
              <w:spacing w:before="133" w:line="20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1、业务工作经费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83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/>
          </w:tcPr>
          <w:p>
            <w:pPr>
              <w:spacing w:before="143" w:line="20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2、运行维护经费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336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419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5+2无休办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/>
              </w:rPr>
              <w:t>17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  <w:t xml:space="preserve"> 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企业开办免费公章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66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政务中心运维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81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优化营商环境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20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电子政务和网络管理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80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基层公共服务一门式全覆盖工作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10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互联网+政务服务一体化平台街道,社区设备及系统运维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20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12345热线管理门户网站运维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10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智慧大厅设备运维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10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rPr>
                <w:rFonts w:ascii="Calibri" w:hAnsi="Calibri" w:eastAsia="宋体" w:cs="Times New Roman"/>
                <w:szCs w:val="22"/>
              </w:rPr>
            </w:pPr>
            <w:r>
              <w:rPr>
                <w:rFonts w:hint="eastAsia" w:ascii="Calibri" w:hAnsi="Calibri" w:eastAsia="宋体" w:cs="Times New Roman"/>
                <w:szCs w:val="22"/>
              </w:rPr>
              <w:t>基层政务公开建设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25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/>
              </w:rPr>
              <w:t>电子政务外网安全保障[支付第二年费用]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80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</w:rPr>
              <w:t>(一个专项一行）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left"/>
            </w:pPr>
            <w:r>
              <w:rPr>
                <w:rFonts w:hint="eastAsia"/>
              </w:rPr>
              <w:t>公众号、微博运营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公用经费</w:t>
            </w:r>
          </w:p>
        </w:tc>
        <w:tc>
          <w:tcPr>
            <w:tcW w:w="1815" w:type="dxa"/>
            <w:gridSpan w:val="2"/>
            <w:noWrap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174.85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34.2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hint="default" w:ascii="宋体" w:hAnsi="宋体" w:eastAsia="宋体" w:cs="Arial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eastAsia="宋体" w:cs="Arial"/>
                <w:color w:val="000000"/>
                <w:sz w:val="22"/>
                <w:szCs w:val="22"/>
                <w:lang w:val="en-US" w:eastAsia="zh-CN"/>
              </w:rPr>
              <w:t>87.72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spacing w:before="85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其中：办公经费</w:t>
            </w:r>
          </w:p>
        </w:tc>
        <w:tc>
          <w:tcPr>
            <w:tcW w:w="1815" w:type="dxa"/>
            <w:gridSpan w:val="2"/>
            <w:noWrap/>
            <w:vAlign w:val="center"/>
          </w:tcPr>
          <w:p>
            <w:pPr>
              <w:jc w:val="center"/>
              <w:rPr>
                <w:rFonts w:cs="Arial" w:asciiTheme="minorEastAsia" w:hAnsiTheme="minorEastAsia"/>
                <w:color w:val="000000"/>
                <w:szCs w:val="21"/>
              </w:rPr>
            </w:pPr>
            <w:r>
              <w:rPr>
                <w:rFonts w:hint="eastAsia" w:cs="Arial" w:asciiTheme="minorEastAsia" w:hAnsiTheme="minorEastAsia"/>
                <w:color w:val="000000"/>
                <w:szCs w:val="21"/>
              </w:rPr>
              <w:t>174.24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</w:rPr>
              <w:t>2.99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/>
          </w:tcPr>
          <w:p>
            <w:pPr>
              <w:spacing w:before="135" w:line="198" w:lineRule="auto"/>
              <w:ind w:left="1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水费、电费、差旅费</w:t>
            </w:r>
          </w:p>
        </w:tc>
        <w:tc>
          <w:tcPr>
            <w:tcW w:w="1815" w:type="dxa"/>
            <w:gridSpan w:val="2"/>
            <w:noWrap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</w:rPr>
              <w:t>2.18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/>
          </w:tcPr>
          <w:p>
            <w:pPr>
              <w:spacing w:before="144" w:line="198" w:lineRule="auto"/>
              <w:ind w:left="11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会议费、培训费</w:t>
            </w:r>
          </w:p>
        </w:tc>
        <w:tc>
          <w:tcPr>
            <w:tcW w:w="1815" w:type="dxa"/>
            <w:gridSpan w:val="2"/>
            <w:noWrap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0.61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</w:rPr>
              <w:t>0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="宋体" w:hAnsi="宋体" w:eastAsia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/>
          </w:tcPr>
          <w:p>
            <w:pPr>
              <w:spacing w:before="145" w:line="189" w:lineRule="auto"/>
              <w:ind w:left="10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政府采购金额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Cs w:val="21"/>
              </w:rPr>
            </w:pP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193,68</w:t>
            </w: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="SimSun-ExtB" w:hAnsi="SimSun-ExtB" w:eastAsia="SimSun-ExtB" w:cs="宋体"/>
                <w:bCs/>
                <w:color w:val="000000"/>
                <w:szCs w:val="21"/>
              </w:rPr>
            </w:pPr>
            <w:r>
              <w:rPr>
                <w:rFonts w:hint="eastAsia" w:ascii="SimSun-ExtB" w:hAnsi="SimSun-ExtB" w:eastAsia="SimSun-ExtB"/>
                <w:bCs/>
                <w:color w:val="000000"/>
                <w:szCs w:val="21"/>
              </w:rPr>
              <w:t>453.2</w:t>
            </w: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</w:rPr>
              <w:t>193.68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/>
          </w:tcPr>
          <w:p>
            <w:pPr>
              <w:spacing w:before="145" w:line="198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  <w:tc>
          <w:tcPr>
            <w:tcW w:w="2325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  <w:tc>
          <w:tcPr>
            <w:tcW w:w="1679" w:type="dxa"/>
            <w:gridSpan w:val="2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/>
            <w:vAlign w:val="center"/>
          </w:tcPr>
          <w:p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(2022年完工项目)</w:t>
            </w:r>
          </w:p>
        </w:tc>
        <w:tc>
          <w:tcPr>
            <w:tcW w:w="82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批复规模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实际规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预算投资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实际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投资概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算控制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</w:p>
        </w:tc>
        <w:tc>
          <w:tcPr>
            <w:tcW w:w="825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990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140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185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810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869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厉行节约保障措施</w:t>
            </w:r>
          </w:p>
        </w:tc>
        <w:tc>
          <w:tcPr>
            <w:tcW w:w="5819" w:type="dxa"/>
            <w:gridSpan w:val="6"/>
            <w:noWrap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</w:tbl>
    <w:p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</w:rPr>
        <w:t>填表人：汤霞  联系电话：13707307254  单位负责人签字：      填报日期：</w:t>
      </w:r>
      <w:r>
        <w:rPr>
          <w:rFonts w:hint="eastAsia" w:ascii="黑体" w:hAnsi="黑体" w:eastAsia="黑体" w:cs="黑体"/>
          <w:color w:val="000000" w:themeColor="text1"/>
          <w:spacing w:val="10"/>
          <w:sz w:val="18"/>
          <w:szCs w:val="18"/>
        </w:rPr>
        <w:t>2023年6月5日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  <w:t>2022年度预算单位整体支出绩效自评表</w:t>
      </w:r>
    </w:p>
    <w:p>
      <w:pPr>
        <w:spacing w:line="168" w:lineRule="exact"/>
        <w:rPr>
          <w:color w:val="000000" w:themeColor="text1"/>
        </w:rPr>
      </w:pPr>
    </w:p>
    <w:tbl>
      <w:tblPr>
        <w:tblStyle w:val="9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/>
          </w:tcPr>
          <w:p>
            <w:pPr>
              <w:spacing w:line="198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</w:rPr>
              <w:t>单位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名称</w:t>
            </w:r>
          </w:p>
        </w:tc>
        <w:tc>
          <w:tcPr>
            <w:tcW w:w="8751" w:type="dxa"/>
            <w:gridSpan w:val="8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  <w:t>中共岳阳市岳阳楼区委网络安全和信息化委员会办公室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/>
          </w:tcPr>
          <w:p>
            <w:pPr>
              <w:spacing w:line="418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Cs w:val="21"/>
              </w:rPr>
              <w:t>年度预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算申请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Cs w:val="21"/>
              </w:rPr>
              <w:t>(万元)</w:t>
            </w:r>
          </w:p>
        </w:tc>
        <w:tc>
          <w:tcPr>
            <w:tcW w:w="2108" w:type="dxa"/>
            <w:gridSpan w:val="2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1269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年初预算数</w:t>
            </w:r>
          </w:p>
        </w:tc>
        <w:tc>
          <w:tcPr>
            <w:tcW w:w="1319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全年预算数</w:t>
            </w:r>
          </w:p>
        </w:tc>
        <w:tc>
          <w:tcPr>
            <w:tcW w:w="1259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全年执行数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执行率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08" w:type="dxa"/>
            <w:gridSpan w:val="2"/>
            <w:noWrap/>
            <w:vAlign w:val="center"/>
          </w:tcPr>
          <w:p>
            <w:pPr>
              <w:spacing w:line="19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年度资金总额</w:t>
            </w:r>
          </w:p>
        </w:tc>
        <w:tc>
          <w:tcPr>
            <w:tcW w:w="1269" w:type="dxa"/>
            <w:noWrap/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bCs/>
                <w:color w:val="000000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/>
                <w:bCs/>
                <w:color w:val="000000"/>
                <w:sz w:val="18"/>
                <w:szCs w:val="18"/>
              </w:rPr>
              <w:t>700.11</w:t>
            </w:r>
          </w:p>
        </w:tc>
        <w:tc>
          <w:tcPr>
            <w:tcW w:w="13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Theme="majorEastAsia" w:hAnsiTheme="majorEastAsia" w:eastAsiaTheme="majorEastAsia"/>
                <w:color w:val="000000" w:themeColor="text1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18"/>
                <w:szCs w:val="18"/>
              </w:rPr>
              <w:t>1154.53</w:t>
            </w:r>
          </w:p>
        </w:tc>
        <w:tc>
          <w:tcPr>
            <w:tcW w:w="125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Theme="majorEastAsia" w:hAnsiTheme="majorEastAsia" w:eastAsiaTheme="majorEastAsia"/>
                <w:color w:val="000000" w:themeColor="text1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18"/>
                <w:szCs w:val="18"/>
              </w:rPr>
              <w:t>1154.53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147" w:lineRule="exact"/>
              <w:jc w:val="center"/>
              <w:rPr>
                <w:rFonts w:cs="宋体" w:asciiTheme="majorEastAsia" w:hAnsiTheme="majorEastAsia" w:eastAsiaTheme="majorEastAsia"/>
                <w:color w:val="000000" w:themeColor="text1"/>
                <w:sz w:val="18"/>
                <w:szCs w:val="18"/>
              </w:rPr>
            </w:pPr>
            <w:r>
              <w:rPr>
                <w:rFonts w:cs="宋体" w:asciiTheme="majorEastAsia" w:hAnsiTheme="majorEastAsia" w:eastAsiaTheme="majorEastAsia"/>
                <w:color w:val="000000" w:themeColor="text1"/>
                <w:position w:val="-3"/>
                <w:sz w:val="18"/>
                <w:szCs w:val="18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Theme="majorEastAsia" w:hAnsiTheme="majorEastAsia" w:eastAsiaTheme="majorEastAsia"/>
                <w:color w:val="000000" w:themeColor="text1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18"/>
                <w:szCs w:val="18"/>
              </w:rPr>
              <w:t>100%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Theme="majorEastAsia" w:hAnsiTheme="majorEastAsia" w:eastAsiaTheme="majorEastAsia"/>
                <w:color w:val="000000" w:themeColor="text1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18"/>
                <w:szCs w:val="1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按收入性质分：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其中： 一般公共预算：</w:t>
            </w:r>
            <w:r>
              <w:rPr>
                <w:rFonts w:hint="eastAsia" w:ascii="仿宋_GB2312" w:eastAsia="仿宋_GB2312"/>
                <w:color w:val="000000"/>
                <w:szCs w:val="21"/>
              </w:rPr>
              <w:t>1154.53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194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</w:rPr>
              <w:t>283.89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20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</w:rPr>
              <w:t>0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201" w:lineRule="auto"/>
              <w:ind w:firstLine="840" w:firstLineChars="4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</w:rPr>
              <w:t>870.64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239" w:lineRule="exact"/>
              <w:jc w:val="left"/>
              <w:rPr>
                <w:rFonts w:ascii="Arial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其他资金：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/>
          </w:tcPr>
          <w:p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Cs w:val="21"/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</w:rPr>
              <w:t>目标</w:t>
            </w: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预期目标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/>
          </w:tcPr>
          <w:p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noWrap/>
            <w:vAlign w:val="center"/>
          </w:tcPr>
          <w:p>
            <w:pPr>
              <w:spacing w:line="240" w:lineRule="exact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负责指导\协调\推进全区行政审批制度改革工作;负责政务服务事项目录编制工作;指导政府各部门做好政务服务事项实施清单录入和维护工作;保证政务中心日常管理和正常运行;谢太入驻单位业务的开展情况;保障全区政务外网安全</w:t>
            </w:r>
          </w:p>
        </w:tc>
        <w:tc>
          <w:tcPr>
            <w:tcW w:w="4055" w:type="dxa"/>
            <w:gridSpan w:val="4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/>
            <w:textDirection w:val="tbRlV"/>
          </w:tcPr>
          <w:p>
            <w:pPr>
              <w:spacing w:line="367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绩效指标</w:t>
            </w:r>
          </w:p>
        </w:tc>
        <w:tc>
          <w:tcPr>
            <w:tcW w:w="1079" w:type="dxa"/>
            <w:noWrap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一级指标</w:t>
            </w:r>
          </w:p>
        </w:tc>
        <w:tc>
          <w:tcPr>
            <w:tcW w:w="1029" w:type="dxa"/>
            <w:noWrap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二级指标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三级指标</w:t>
            </w:r>
          </w:p>
        </w:tc>
        <w:tc>
          <w:tcPr>
            <w:tcW w:w="1319" w:type="dxa"/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年度指标值</w:t>
            </w:r>
          </w:p>
        </w:tc>
        <w:tc>
          <w:tcPr>
            <w:tcW w:w="1259" w:type="dxa"/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实际完成值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偏差原因分析</w:t>
            </w:r>
          </w:p>
          <w:p>
            <w:pPr>
              <w:spacing w:line="19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/>
            <w:vAlign w:val="center"/>
          </w:tcPr>
          <w:p>
            <w:pPr>
              <w:spacing w:line="269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69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48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Cs w:val="21"/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(50分)</w:t>
            </w:r>
          </w:p>
        </w:tc>
        <w:tc>
          <w:tcPr>
            <w:tcW w:w="1029" w:type="dxa"/>
            <w:vMerge w:val="restart"/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数量指标</w:t>
            </w: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000000"/>
                <w:sz w:val="20"/>
                <w:szCs w:val="20"/>
              </w:rPr>
              <w:t>1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、开展</w:t>
            </w:r>
            <w:r>
              <w:rPr>
                <w:rFonts w:hint="eastAsia"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电子政务外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网</w:t>
            </w:r>
            <w:r>
              <w:rPr>
                <w:rFonts w:hint="eastAsia" w:cs="宋体" w:asciiTheme="majorEastAsia" w:hAnsiTheme="majorEastAsia" w:eastAsiaTheme="majorEastAsia"/>
                <w:color w:val="000000"/>
                <w:sz w:val="20"/>
                <w:szCs w:val="20"/>
              </w:rPr>
              <w:t>租赁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223条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228条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0" w:lineRule="exact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2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、开</w:t>
            </w:r>
            <w:r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展网络</w:t>
            </w:r>
            <w:r>
              <w:rPr>
                <w:rFonts w:hint="eastAsia"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安全保障升级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≧</w:t>
            </w:r>
            <w:r>
              <w:rPr>
                <w:rFonts w:hint="eastAsia" w:ascii="Arial"/>
                <w:color w:val="auto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100%</w:t>
            </w: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10</w:t>
            </w: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3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、</w:t>
            </w:r>
            <w:r>
              <w:rPr>
                <w:rFonts w:hint="eastAsia"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行政审批收件数量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</w:rPr>
              <w:t>≥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  <w:lang w:val="en-US" w:eastAsia="zh-CN"/>
              </w:rPr>
              <w:t>100000件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1"/>
                <w:sz w:val="22"/>
                <w:szCs w:val="22"/>
                <w:highlight w:val="none"/>
              </w:rPr>
              <w:t>267791件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10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4、行政审批事项当天办结数量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</w:rPr>
              <w:t>≥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  <w:lang w:val="en-US" w:eastAsia="zh-CN"/>
              </w:rPr>
              <w:t>1000件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pacing w:val="-1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1"/>
                <w:sz w:val="22"/>
                <w:szCs w:val="22"/>
                <w:highlight w:val="none"/>
              </w:rPr>
              <w:t>1075件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hint="default" w:ascii="Arial" w:eastAsiaTheme="minorEastAsia"/>
                <w:color w:val="auto"/>
                <w:sz w:val="20"/>
                <w:highlight w:val="none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  <w:lang w:val="en-US" w:eastAsia="zh-CN"/>
              </w:rPr>
              <w:t>10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5、行政审批事项办结总量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3"/>
                <w:sz w:val="22"/>
                <w:szCs w:val="22"/>
                <w:highlight w:val="none"/>
              </w:rPr>
              <w:t>补充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pacing w:val="-1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1"/>
                <w:sz w:val="22"/>
                <w:szCs w:val="22"/>
                <w:highlight w:val="none"/>
              </w:rPr>
              <w:t>266624件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10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质量指标</w:t>
            </w: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1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、</w:t>
            </w:r>
            <w:r>
              <w:rPr>
                <w:rFonts w:hint="eastAsia"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行政审批事项当天办结率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≧</w:t>
            </w:r>
            <w:r>
              <w:rPr>
                <w:rFonts w:hint="eastAsia" w:ascii="Arial"/>
                <w:color w:val="auto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100%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000000"/>
                <w:sz w:val="20"/>
                <w:szCs w:val="20"/>
              </w:rPr>
              <w:t>2</w:t>
            </w:r>
            <w:r>
              <w:rPr>
                <w:rFonts w:cs="宋体" w:asciiTheme="majorEastAsia" w:hAnsiTheme="majorEastAsia" w:eastAsiaTheme="majorEastAsia"/>
                <w:color w:val="000000"/>
                <w:spacing w:val="-2"/>
                <w:sz w:val="20"/>
                <w:szCs w:val="20"/>
              </w:rPr>
              <w:t>、</w:t>
            </w:r>
            <w:r>
              <w:rPr>
                <w:rFonts w:hint="eastAsia" w:cs="宋体" w:asciiTheme="majorEastAsia" w:hAnsiTheme="majorEastAsia" w:eastAsiaTheme="majorEastAsia"/>
                <w:color w:val="000000"/>
                <w:spacing w:val="-1"/>
                <w:sz w:val="20"/>
                <w:szCs w:val="20"/>
              </w:rPr>
              <w:t>行政审批事项提前办结率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≧</w:t>
            </w:r>
            <w:r>
              <w:rPr>
                <w:rFonts w:hint="eastAsia" w:ascii="Arial"/>
                <w:color w:val="auto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100%</w:t>
            </w: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</w:tcPr>
          <w:p>
            <w:pPr>
              <w:autoSpaceDE w:val="0"/>
              <w:autoSpaceDN w:val="0"/>
              <w:rPr>
                <w:rFonts w:asciiTheme="majorEastAsia" w:hAnsiTheme="majorEastAsia" w:eastAsiaTheme="majorEastAsia"/>
                <w:color w:val="auto"/>
                <w:sz w:val="20"/>
                <w:szCs w:val="20"/>
              </w:rPr>
            </w:pPr>
            <w:r>
              <w:rPr>
                <w:rFonts w:cs="宋体" w:asciiTheme="majorEastAsia" w:hAnsiTheme="majorEastAsia" w:eastAsiaTheme="majorEastAsia"/>
                <w:color w:val="auto"/>
                <w:sz w:val="20"/>
                <w:szCs w:val="20"/>
              </w:rPr>
              <w:t>3</w:t>
            </w:r>
            <w:r>
              <w:rPr>
                <w:rFonts w:cs="宋体" w:asciiTheme="majorEastAsia" w:hAnsiTheme="majorEastAsia" w:eastAsiaTheme="majorEastAsia"/>
                <w:color w:val="auto"/>
                <w:spacing w:val="-2"/>
                <w:sz w:val="20"/>
                <w:szCs w:val="20"/>
              </w:rPr>
              <w:t>、</w:t>
            </w:r>
            <w:r>
              <w:rPr>
                <w:rFonts w:hint="eastAsia" w:cs="宋体" w:asciiTheme="majorEastAsia" w:hAnsiTheme="majorEastAsia" w:eastAsiaTheme="majorEastAsia"/>
                <w:color w:val="auto"/>
                <w:spacing w:val="-2"/>
                <w:sz w:val="20"/>
                <w:szCs w:val="20"/>
              </w:rPr>
              <w:t>提高窗口队伍素质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≧</w:t>
            </w:r>
            <w:r>
              <w:rPr>
                <w:rFonts w:hint="eastAsia" w:ascii="Arial"/>
                <w:color w:val="auto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100%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auto"/>
                <w:sz w:val="19"/>
              </w:rPr>
            </w:pPr>
            <w:r>
              <w:rPr>
                <w:rFonts w:hint="eastAsia" w:ascii="Arial"/>
                <w:color w:val="auto"/>
                <w:sz w:val="19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auto"/>
                <w:sz w:val="19"/>
              </w:rPr>
            </w:pPr>
            <w:r>
              <w:rPr>
                <w:rFonts w:hint="eastAsia" w:ascii="Arial"/>
                <w:color w:val="auto"/>
                <w:sz w:val="19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FF0000"/>
                <w:sz w:val="19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时效指标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widowControl/>
              <w:spacing w:line="320" w:lineRule="exact"/>
              <w:rPr>
                <w:rFonts w:cs="Times New Roman" w:asciiTheme="majorEastAsia" w:hAnsiTheme="majorEastAsia" w:eastAsiaTheme="maj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cs="宋体" w:asciiTheme="majorEastAsia" w:hAnsiTheme="majorEastAsia" w:eastAsiaTheme="majorEastAsia"/>
                <w:color w:val="auto"/>
                <w:spacing w:val="-2"/>
                <w:kern w:val="0"/>
                <w:sz w:val="20"/>
                <w:szCs w:val="20"/>
                <w:highlight w:val="none"/>
              </w:rPr>
              <w:t>在规定时间内</w:t>
            </w:r>
            <w:r>
              <w:rPr>
                <w:rFonts w:cs="宋体" w:asciiTheme="majorEastAsia" w:hAnsiTheme="majorEastAsia" w:eastAsiaTheme="majorEastAsia"/>
                <w:color w:val="auto"/>
                <w:kern w:val="0"/>
                <w:sz w:val="20"/>
                <w:szCs w:val="20"/>
                <w:highlight w:val="none"/>
              </w:rPr>
              <w:t>完成各项任务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hint="eastAsia" w:ascii="Arial" w:eastAsiaTheme="minorEastAsia"/>
                <w:color w:val="auto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  <w:lang w:val="en-US" w:eastAsia="zh-CN"/>
              </w:rPr>
              <w:t>年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  <w:lang w:val="en-US" w:eastAsia="zh-CN"/>
              </w:rPr>
              <w:t>2022年完成全部既定目标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成本指标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</w:rPr>
              <w:t>支出预算控制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  <w:highlight w:val="yellow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</w:rPr>
              <w:t>≤</w:t>
            </w:r>
            <w:r>
              <w:rPr>
                <w:rFonts w:hint="eastAsia" w:asciiTheme="majorEastAsia" w:hAnsiTheme="majorEastAsia" w:eastAsiaTheme="majorEastAsia"/>
                <w:color w:val="auto"/>
                <w:sz w:val="18"/>
                <w:szCs w:val="18"/>
              </w:rPr>
              <w:t>1154.53</w:t>
            </w:r>
            <w:r>
              <w:rPr>
                <w:rFonts w:hint="eastAsia" w:ascii="宋体" w:hAnsi="宋体" w:eastAsia="宋体" w:cs="宋体"/>
                <w:color w:val="auto"/>
                <w:sz w:val="20"/>
              </w:rPr>
              <w:t>万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18"/>
                <w:szCs w:val="18"/>
              </w:rPr>
              <w:t>1154.53</w:t>
            </w:r>
            <w:r>
              <w:rPr>
                <w:rFonts w:hint="eastAsia" w:ascii="宋体" w:hAnsi="宋体" w:eastAsia="宋体" w:cs="宋体"/>
                <w:color w:val="auto"/>
                <w:sz w:val="20"/>
              </w:rPr>
              <w:t>万</w:t>
            </w: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5</w:t>
            </w: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auto"/>
              </w:rPr>
            </w:pPr>
            <w:r>
              <w:rPr>
                <w:rFonts w:hint="eastAsia" w:ascii="Arial"/>
                <w:color w:val="auto"/>
              </w:rPr>
              <w:t>5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/>
            <w:vAlign w:val="center"/>
          </w:tcPr>
          <w:p>
            <w:pPr>
              <w:spacing w:line="250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>
            <w:pPr>
              <w:spacing w:line="49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Cs w:val="21"/>
              </w:rPr>
              <w:t>效益指标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2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经济效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0"/>
                <w:szCs w:val="20"/>
              </w:rPr>
              <w:t>提高行政职能运行率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</w:pP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</w:pPr>
          </w:p>
        </w:tc>
        <w:tc>
          <w:tcPr>
            <w:tcW w:w="719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802" w:type="dxa"/>
            <w:noWrap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社会效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  <w:highlight w:val="none"/>
              </w:rPr>
            </w:pPr>
            <w:r>
              <w:rPr>
                <w:rFonts w:hint="eastAsia" w:asciiTheme="minorEastAsia" w:hAnsiTheme="minorEastAsia"/>
                <w:kern w:val="0"/>
                <w:sz w:val="20"/>
                <w:szCs w:val="20"/>
                <w:highlight w:val="none"/>
              </w:rPr>
              <w:t>各街道便民服务中心指导覆盖率</w:t>
            </w:r>
          </w:p>
        </w:tc>
        <w:tc>
          <w:tcPr>
            <w:tcW w:w="131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highlight w:val="none"/>
              </w:rPr>
              <w:t>≧</w:t>
            </w:r>
            <w:r>
              <w:rPr>
                <w:rFonts w:hint="eastAsia" w:ascii="Arial"/>
                <w:color w:val="000000" w:themeColor="text1"/>
                <w:highlight w:val="none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:highlight w:val="none"/>
              </w:rPr>
            </w:pPr>
            <w:r>
              <w:rPr>
                <w:rFonts w:hint="eastAsia"/>
                <w:highlight w:val="none"/>
              </w:rPr>
              <w:t>100%</w:t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hint="default" w:ascii="Arial" w:eastAsiaTheme="minorEastAsia"/>
                <w:color w:val="000000" w:themeColor="text1"/>
                <w:sz w:val="20"/>
                <w:highlight w:val="none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hint="default" w:ascii="Arial" w:eastAsiaTheme="minorEastAsia"/>
                <w:color w:val="000000" w:themeColor="text1"/>
                <w:sz w:val="20"/>
                <w:highlight w:val="none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</w:rPr>
              <w:t>10</w:t>
            </w:r>
          </w:p>
        </w:tc>
        <w:tc>
          <w:tcPr>
            <w:tcW w:w="127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生态效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0"/>
                <w:szCs w:val="20"/>
              </w:rPr>
              <w:t>不适用</w:t>
            </w:r>
          </w:p>
        </w:tc>
        <w:tc>
          <w:tcPr>
            <w:tcW w:w="131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:highlight w:val="yellow"/>
              </w:rPr>
            </w:pPr>
          </w:p>
        </w:tc>
        <w:tc>
          <w:tcPr>
            <w:tcW w:w="125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:highlight w:val="yellow"/>
              </w:rPr>
            </w:pPr>
          </w:p>
        </w:tc>
        <w:tc>
          <w:tcPr>
            <w:tcW w:w="719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802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/>
            <w:vAlign w:val="center"/>
          </w:tcPr>
          <w:p>
            <w:pPr>
              <w:spacing w:line="20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可持续影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响指标</w:t>
            </w:r>
          </w:p>
        </w:tc>
        <w:tc>
          <w:tcPr>
            <w:tcW w:w="1269" w:type="dxa"/>
            <w:noWrap/>
            <w:vAlign w:val="center"/>
          </w:tcPr>
          <w:p>
            <w:pPr>
              <w:rPr>
                <w:rFonts w:cs="宋体" w:asciiTheme="minorEastAsia" w:hAnsi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color w:val="000000"/>
                <w:sz w:val="20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color w:val="00000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/>
                <w:color w:val="000000" w:themeColor="text1"/>
                <w:sz w:val="20"/>
                <w:szCs w:val="20"/>
              </w:rPr>
              <w:t>不适用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highlight w:val="yellow"/>
              </w:rPr>
            </w:pP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highlight w:val="yellow"/>
              </w:rPr>
            </w:pP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noWrap/>
            <w:vAlign w:val="center"/>
          </w:tcPr>
          <w:p>
            <w:pPr>
              <w:rPr>
                <w:rFonts w:cs="宋体" w:asciiTheme="minorEastAsia" w:hAnsi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color w:val="000000"/>
                <w:sz w:val="20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color w:val="00000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/>
                <w:color w:val="000000" w:themeColor="text1"/>
                <w:sz w:val="20"/>
                <w:szCs w:val="20"/>
              </w:rPr>
              <w:t>不适用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highlight w:val="yellow"/>
              </w:rPr>
            </w:pP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highlight w:val="yellow"/>
              </w:rPr>
            </w:pP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/>
            <w:textDirection w:val="tbRlV"/>
          </w:tcPr>
          <w:p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tcBorders>
              <w:bottom w:val="nil"/>
            </w:tcBorders>
            <w:noWrap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Cs w:val="21"/>
              </w:rPr>
              <w:t>满意度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/>
            <w:vAlign w:val="center"/>
          </w:tcPr>
          <w:p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服务对象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Cs w:val="21"/>
              </w:rPr>
              <w:t>满意度指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标</w:t>
            </w:r>
          </w:p>
        </w:tc>
        <w:tc>
          <w:tcPr>
            <w:tcW w:w="1269" w:type="dxa"/>
            <w:noWrap/>
            <w:vAlign w:val="center"/>
          </w:tcPr>
          <w:p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sz w:val="20"/>
                <w:szCs w:val="20"/>
              </w:rPr>
              <w:t xml:space="preserve"> 群众满意率</w:t>
            </w:r>
          </w:p>
        </w:tc>
        <w:tc>
          <w:tcPr>
            <w:tcW w:w="131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</w:rPr>
              <w:t>≧</w:t>
            </w:r>
            <w:r>
              <w:rPr>
                <w:rFonts w:hint="eastAsia" w:ascii="Arial"/>
                <w:color w:val="000000" w:themeColor="text1"/>
              </w:rPr>
              <w:t>100%</w:t>
            </w:r>
          </w:p>
        </w:tc>
        <w:tc>
          <w:tcPr>
            <w:tcW w:w="125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99%</w:t>
            </w:r>
          </w:p>
        </w:tc>
        <w:tc>
          <w:tcPr>
            <w:tcW w:w="719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10</w:t>
            </w: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9</w:t>
            </w: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/>
            <w:vAlign w:val="center"/>
          </w:tcPr>
          <w:p>
            <w:pPr>
              <w:spacing w:line="251" w:lineRule="exact"/>
              <w:ind w:firstLine="327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2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/>
            <w:vAlign w:val="center"/>
          </w:tcPr>
          <w:p>
            <w:pPr>
              <w:spacing w:line="16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Cs w:val="21"/>
              </w:rPr>
              <w:t>100</w:t>
            </w:r>
          </w:p>
        </w:tc>
        <w:tc>
          <w:tcPr>
            <w:tcW w:w="802" w:type="dxa"/>
            <w:noWrap/>
            <w:vAlign w:val="center"/>
          </w:tcPr>
          <w:p>
            <w:pPr>
              <w:jc w:val="center"/>
              <w:rPr>
                <w:rFonts w:hint="default" w:ascii="Arial" w:eastAsiaTheme="minorEastAsia"/>
                <w:color w:val="000000" w:themeColor="text1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lang w:val="en-US" w:eastAsia="zh-CN"/>
              </w:rPr>
              <w:t>99</w:t>
            </w:r>
          </w:p>
        </w:tc>
        <w:tc>
          <w:tcPr>
            <w:tcW w:w="1275" w:type="dxa"/>
            <w:noWrap/>
            <w:vAlign w:val="center"/>
          </w:tcPr>
          <w:p>
            <w:pPr>
              <w:jc w:val="center"/>
              <w:rPr>
                <w:rFonts w:ascii="Arial"/>
                <w:color w:val="FF0000"/>
              </w:rPr>
            </w:pPr>
          </w:p>
        </w:tc>
      </w:tr>
    </w:tbl>
    <w:p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</w:rPr>
        <w:t xml:space="preserve">   杨莎            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</w:rPr>
        <w:t xml:space="preserve">    18390008868 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</w:rPr>
        <w:t>填报日期：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br w:type="textWrapping"/>
      </w: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3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  <w:t>岳阳市岳阳楼区行政审批服务局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  <w:t>单位整体支出绩效自评报告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</w:rPr>
        <w:t>部门(单位)名称：   ( 盖 章 )</w:t>
      </w: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</w:rPr>
        <w:t>年  月  日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</w:rPr>
        <w:t>2022年度岳阳市岳阳楼区行政审批服务局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</w:rPr>
        <w:t>单位整体支出绩效自评报告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="仿宋" w:hAnsi="仿宋" w:eastAsia="仿宋" w:cs="仿宋"/>
          <w:color w:val="000000" w:themeColor="text1"/>
          <w:kern w:val="2"/>
          <w:sz w:val="22"/>
        </w:rPr>
      </w:pPr>
    </w:p>
    <w:p>
      <w:pPr>
        <w:pStyle w:val="5"/>
        <w:shd w:val="clear" w:color="auto" w:fill="FFFFFF"/>
        <w:spacing w:before="0" w:beforeAutospacing="0" w:after="0" w:afterAutospacing="0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一、单位基本情况</w:t>
      </w:r>
    </w:p>
    <w:p>
      <w:pPr>
        <w:pStyle w:val="5"/>
        <w:shd w:val="clear" w:color="auto" w:fill="FFFFFF"/>
        <w:spacing w:before="0" w:beforeAutospacing="0" w:after="0" w:afterAutospacing="0"/>
        <w:ind w:firstLine="640" w:firstLineChars="200"/>
        <w:rPr>
          <w:rFonts w:ascii="仿宋_GB2312" w:eastAsia="仿宋_GB2312" w:cs="Calibri"/>
          <w:color w:val="000000"/>
          <w:sz w:val="32"/>
          <w:szCs w:val="32"/>
        </w:rPr>
      </w:pPr>
      <w:r>
        <w:rPr>
          <w:rFonts w:hint="eastAsia" w:ascii="仿宋_GB2312" w:eastAsia="仿宋_GB2312" w:cs="Calibri"/>
          <w:color w:val="000000"/>
          <w:sz w:val="32"/>
          <w:szCs w:val="32"/>
        </w:rPr>
        <w:t>贯彻落实国家和省、市有关行政审批制度改革的决定和行政审批相关的政策法规，全力推进“放管服”改革，创新和完善集中审批工作体制机制。编制人数18人，实际人数18人，其中机关本级6人、二级机构政务服务中心12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二、一般公共预算支出情况</w:t>
      </w:r>
    </w:p>
    <w:p>
      <w:pPr>
        <w:ind w:firstLine="482" w:firstLineChars="150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(一)基本支出情况</w:t>
      </w:r>
    </w:p>
    <w:p>
      <w:pPr>
        <w:ind w:firstLine="480" w:firstLineChars="150"/>
        <w:rPr>
          <w:rFonts w:ascii="仿宋_GB2312" w:hAnsi="宋体" w:eastAsia="仿宋_GB2312" w:cs="Arial"/>
          <w:color w:val="000000"/>
          <w:kern w:val="0"/>
          <w:sz w:val="22"/>
          <w:szCs w:val="22"/>
        </w:rPr>
      </w:pP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2022年基本支出为283.89万元，其中：人员经费196.17万元，主要包括：基本工资、津贴补贴、奖金、绩效工资、机关事业单位基本养老保险缴费、职工基本医疗保险缴费、其他社会保障缴费、住房公积金、其他工资福利支出</w:t>
      </w: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其他对个人和家庭的补助；商品和服务支出87.72万元，主要包括：办公费、印刷费、水费、电费、差旅费、工会经费、其他商品和服务支出。</w:t>
      </w:r>
    </w:p>
    <w:p>
      <w:pPr>
        <w:ind w:firstLine="643" w:firstLineChars="200"/>
        <w:rPr>
          <w:rFonts w:ascii="Calibri" w:hAnsi="Calibri" w:eastAsia="宋体" w:cs="Times New Roman"/>
          <w:szCs w:val="2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(二)项目支出情况</w:t>
      </w:r>
    </w:p>
    <w:p>
      <w:pPr>
        <w:ind w:firstLine="480" w:firstLineChars="150"/>
        <w:rPr>
          <w:rFonts w:ascii="仿宋_GB2312" w:hAnsi="宋体" w:eastAsia="仿宋_GB2312" w:cs="Arial"/>
          <w:color w:val="000000"/>
          <w:kern w:val="0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2022年项目支出为870.64万元，主要用于5+2无休日、企业开办免费赠送公章</w:t>
      </w: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政务中心运行、网络设备安全保障、设备升级、运行、维护、运营等方面。</w:t>
      </w:r>
    </w:p>
    <w:p>
      <w:pPr>
        <w:ind w:firstLine="640" w:firstLineChars="200"/>
        <w:jc w:val="left"/>
        <w:rPr>
          <w:rFonts w:ascii="仿宋_GB2312" w:hAnsi="黑体" w:eastAsia="仿宋_GB2312" w:cs="黑体"/>
          <w:color w:val="000000" w:themeColor="text1"/>
          <w:sz w:val="32"/>
          <w:szCs w:val="32"/>
        </w:rPr>
      </w:pPr>
      <w:r>
        <w:rPr>
          <w:rFonts w:hint="eastAsia" w:ascii="仿宋_GB2312" w:hAnsi="黑体" w:eastAsia="仿宋_GB2312" w:cs="黑体"/>
          <w:color w:val="000000" w:themeColor="text1"/>
          <w:sz w:val="32"/>
          <w:szCs w:val="32"/>
        </w:rPr>
        <w:t>三、政府性基金预算支出情况</w:t>
      </w:r>
    </w:p>
    <w:p>
      <w:pPr>
        <w:ind w:firstLine="640" w:firstLineChars="200"/>
        <w:jc w:val="left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2022年度本单位无政府性基金预算支出。</w:t>
      </w:r>
    </w:p>
    <w:p>
      <w:pPr>
        <w:ind w:firstLine="480" w:firstLineChars="150"/>
        <w:jc w:val="left"/>
        <w:rPr>
          <w:rFonts w:ascii="仿宋_GB2312" w:hAnsi="黑体" w:eastAsia="仿宋_GB2312" w:cs="黑体"/>
          <w:color w:val="000000" w:themeColor="text1"/>
          <w:sz w:val="32"/>
          <w:szCs w:val="32"/>
        </w:rPr>
      </w:pPr>
      <w:r>
        <w:rPr>
          <w:rFonts w:hint="eastAsia" w:ascii="仿宋_GB2312" w:hAnsi="黑体" w:eastAsia="仿宋_GB2312" w:cs="黑体"/>
          <w:color w:val="000000" w:themeColor="text1"/>
          <w:sz w:val="32"/>
          <w:szCs w:val="32"/>
        </w:rPr>
        <w:t>四、国有资本经营预算支出情况</w:t>
      </w:r>
    </w:p>
    <w:p>
      <w:pPr>
        <w:ind w:firstLine="640" w:firstLineChars="200"/>
        <w:jc w:val="left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2022年度本单位无国有资本经营预算支出。</w:t>
      </w:r>
    </w:p>
    <w:p>
      <w:pPr>
        <w:ind w:firstLine="480" w:firstLineChars="150"/>
        <w:jc w:val="left"/>
        <w:rPr>
          <w:rFonts w:ascii="仿宋_GB2312" w:hAnsi="黑体" w:eastAsia="仿宋_GB2312" w:cs="黑体"/>
          <w:color w:val="000000" w:themeColor="text1"/>
          <w:sz w:val="32"/>
          <w:szCs w:val="32"/>
        </w:rPr>
      </w:pPr>
      <w:r>
        <w:rPr>
          <w:rFonts w:hint="eastAsia" w:ascii="仿宋_GB2312" w:hAnsi="黑体" w:eastAsia="仿宋_GB2312" w:cs="黑体"/>
          <w:color w:val="000000" w:themeColor="text1"/>
          <w:sz w:val="32"/>
          <w:szCs w:val="32"/>
        </w:rPr>
        <w:t>五、社会保险基金预算支出情况</w:t>
      </w:r>
    </w:p>
    <w:p>
      <w:pPr>
        <w:ind w:firstLine="640" w:firstLineChars="200"/>
        <w:jc w:val="left"/>
        <w:rPr>
          <w:rFonts w:ascii="宋体" w:hAnsi="宋体" w:eastAsia="宋体" w:cs="Arial"/>
          <w:color w:val="000000"/>
          <w:kern w:val="0"/>
          <w:sz w:val="22"/>
          <w:szCs w:val="22"/>
        </w:rPr>
      </w:pPr>
      <w:r>
        <w:rPr>
          <w:rFonts w:hint="eastAsia" w:ascii="仿宋_GB2312" w:eastAsia="仿宋_GB2312"/>
          <w:bCs/>
          <w:sz w:val="32"/>
          <w:szCs w:val="32"/>
        </w:rPr>
        <w:t>2022年度本单位无</w:t>
      </w:r>
      <w:r>
        <w:rPr>
          <w:rFonts w:hint="eastAsia" w:ascii="仿宋_GB2312" w:hAnsi="黑体" w:eastAsia="仿宋_GB2312" w:cs="黑体"/>
          <w:color w:val="000000" w:themeColor="text1"/>
          <w:sz w:val="32"/>
          <w:szCs w:val="32"/>
        </w:rPr>
        <w:t>社会保险基金预算支出</w:t>
      </w: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。</w:t>
      </w:r>
    </w:p>
    <w:p>
      <w:pPr>
        <w:ind w:firstLine="320" w:firstLineChars="100"/>
        <w:jc w:val="left"/>
        <w:rPr>
          <w:rFonts w:ascii="仿宋_GB2312" w:hAnsi="黑体" w:eastAsia="仿宋_GB2312" w:cs="黑体"/>
          <w:color w:val="000000" w:themeColor="text1"/>
          <w:sz w:val="32"/>
          <w:szCs w:val="32"/>
        </w:rPr>
      </w:pPr>
      <w:r>
        <w:rPr>
          <w:rFonts w:hint="eastAsia" w:ascii="仿宋_GB2312" w:hAnsi="黑体" w:eastAsia="仿宋_GB2312" w:cs="黑体"/>
          <w:color w:val="000000" w:themeColor="text1"/>
          <w:sz w:val="32"/>
          <w:szCs w:val="32"/>
        </w:rPr>
        <w:t>六、部门整体支出绩效情况</w:t>
      </w:r>
    </w:p>
    <w:p>
      <w:pPr>
        <w:spacing w:line="360" w:lineRule="auto"/>
        <w:ind w:firstLine="640" w:firstLineChars="200"/>
        <w:rPr>
          <w:rFonts w:ascii="仿宋_GB2312" w:hAnsi="黑体" w:eastAsia="仿宋_GB2312" w:cs="黑体"/>
          <w:bCs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  <w:shd w:val="clear" w:color="auto" w:fill="FFFFFF"/>
        </w:rPr>
        <w:t>本单位所有支出实行绩效目标管理。纳入2022年单位整体支出绩效目标的金额为1154.53万元，其中，基本支出283.89万元，项目支出870.64万元，</w:t>
      </w:r>
      <w:r>
        <w:rPr>
          <w:rFonts w:hint="eastAsia" w:ascii="仿宋_GB2312" w:hAnsi="黑体" w:eastAsia="仿宋_GB2312" w:cs="黑体"/>
          <w:bCs/>
          <w:sz w:val="32"/>
          <w:szCs w:val="32"/>
        </w:rPr>
        <w:t>本单位各项项目资金其主要用途是确保单位的正常运转，促进各项工作任务顺利完成。在人员经费支出、公共支出严格执行区委区政府的各项制度；在项目经费的使用上，在保证各项任务顺利完成的同时，严格落实厉行节约的原则；三公经费的使用严格控制在预算申报的范围内，“四本预算”支出的绩效目标基本完成情况。</w:t>
      </w:r>
    </w:p>
    <w:p>
      <w:pPr>
        <w:ind w:firstLine="320" w:firstLineChars="100"/>
        <w:jc w:val="left"/>
        <w:rPr>
          <w:rFonts w:ascii="仿宋_GB2312" w:hAnsi="黑体" w:eastAsia="仿宋_GB2312" w:cs="黑体"/>
          <w:color w:val="000000" w:themeColor="text1"/>
          <w:sz w:val="32"/>
          <w:szCs w:val="32"/>
        </w:rPr>
      </w:pPr>
    </w:p>
    <w:p>
      <w:pPr>
        <w:ind w:firstLine="640" w:firstLineChars="200"/>
        <w:jc w:val="left"/>
        <w:rPr>
          <w:rFonts w:ascii="仿宋_GB2312" w:hAnsi="黑体" w:eastAsia="仿宋_GB2312" w:cs="黑体"/>
          <w:bCs/>
          <w:sz w:val="24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七、存在的问题及原因分析</w:t>
      </w:r>
    </w:p>
    <w:p>
      <w:pPr>
        <w:ind w:firstLine="640" w:firstLineChars="200"/>
        <w:jc w:val="left"/>
        <w:rPr>
          <w:rFonts w:ascii="Segoe UI" w:hAnsi="Segoe UI" w:cs="Segoe UI"/>
          <w:color w:val="333333"/>
          <w:sz w:val="32"/>
          <w:szCs w:val="32"/>
          <w:shd w:val="clear" w:color="auto" w:fill="FFFFFF"/>
        </w:rPr>
      </w:pPr>
      <w:r>
        <w:rPr>
          <w:rFonts w:ascii="Segoe UI" w:hAnsi="Segoe UI" w:cs="Segoe UI"/>
          <w:color w:val="333333"/>
          <w:sz w:val="32"/>
          <w:szCs w:val="32"/>
          <w:shd w:val="clear" w:color="auto" w:fill="FFFFFF"/>
        </w:rPr>
        <w:t>在公务卡使用方面需要进一步加强。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八、下一步改进措施</w:t>
      </w:r>
    </w:p>
    <w:p>
      <w:pPr>
        <w:ind w:firstLine="640" w:firstLineChars="200"/>
        <w:jc w:val="left"/>
        <w:rPr>
          <w:rFonts w:ascii="仿宋_GB2312" w:hAnsi="黑体" w:eastAsia="仿宋_GB2312" w:cs="黑体"/>
          <w:bCs/>
          <w:sz w:val="32"/>
          <w:szCs w:val="32"/>
        </w:rPr>
      </w:pPr>
      <w:r>
        <w:rPr>
          <w:rFonts w:hint="eastAsia" w:ascii="仿宋_GB2312" w:hAnsi="黑体" w:eastAsia="仿宋_GB2312" w:cs="黑体"/>
          <w:bCs/>
          <w:sz w:val="32"/>
          <w:szCs w:val="32"/>
        </w:rPr>
        <w:t>对年初预算持高标准、严要求态度，合理预算全年经费。</w:t>
      </w:r>
    </w:p>
    <w:p>
      <w:pPr>
        <w:ind w:firstLine="480" w:firstLineChars="15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九、部门整体支出绩效自评结果拟应用和公开情况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其他需要说明的情况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报告需要以下附件：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1、部门整体支出绩效评价基础数据表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2、部门整体支出绩效自评表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3、项目支出绩效自评表(一个一级项目支出一张表)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4、政府性基金预算支出情况表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5、国有资本经营预算支出情况表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6、社会保险基金预算支出情况表</w:t>
      </w:r>
    </w:p>
    <w:p>
      <w:pPr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>
      <w:pPr>
        <w:spacing w:before="169" w:line="776" w:lineRule="exact"/>
        <w:ind w:left="372"/>
        <w:rPr>
          <w:rFonts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</w:rPr>
        <w:sectPr>
          <w:pgSz w:w="11906" w:h="16838"/>
          <w:pgMar w:top="1440" w:right="1080" w:bottom="1440" w:left="1080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附件5</w:t>
      </w:r>
    </w:p>
    <w:p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6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　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按时向区财政局报送报告的得10分；每推迟一天报送报告的扣1分，最多扣10分。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105" w:firstLineChars="50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70分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15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adjustRightInd w:val="0"/>
              <w:snapToGrid w:val="0"/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1.部门整体支出和项目支出绩效指标反映产出、效益、服务对象满意度方面的指标和预算执行率的权重符合《岳阳市市级预算部门绩效自评操作规程》的，得5分，否则按比例扣除相应的分数。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2.部门整体支出和项目支出绩效指标全部细化到三级指标的，得5分；部分细化的，酌情扣分；没有细化的，不得分。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23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全面的，得16—18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分；反映问题、分析原因不全面的，得13—15分；问题未归纳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且过于简单的，得10—12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19</w:t>
            </w:r>
            <w:r>
              <w:rPr>
                <w:rFonts w:hint="eastAsia" w:ascii="宋体" w:hAnsi="宋体"/>
                <w:color w:val="FF000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ind w:firstLine="216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建议与问题对应且全面的得15分，建议比较全面的得12—14分，建议不全面的得9—11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Calibri"/>
                <w:szCs w:val="21"/>
              </w:rPr>
            </w:pPr>
            <w:r>
              <w:rPr>
                <w:rFonts w:hint="eastAsia" w:ascii="宋体" w:hAnsi="宋体"/>
              </w:rPr>
              <w:t>11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　95</w:t>
            </w:r>
          </w:p>
        </w:tc>
      </w:tr>
    </w:tbl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sectPr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  <w:embedRegular r:id="rId1" w:fontKey="{535878A6-1E71-4CD1-B003-5C8188C58880}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  <w:embedRegular r:id="rId2" w:fontKey="{1A650B2F-7ED4-4F34-AFAF-0CDC945F176A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3" w:fontKey="{90A86122-581D-4639-8CBF-1BE075E7CEE0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4" w:fontKey="{1A9CC3D5-61C8-49B9-B600-B5F6348811C9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B2294446-A4B3-46A9-878D-54281FDA88F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6" w:fontKey="{ABA2264E-F653-4468-ABF3-D0D60641612B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7" w:fontKey="{F620257E-ADAF-45C8-A4CF-D8DC4BC7313A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8" w:fontKey="{3F5F5505-DE9B-4A89-87BA-97025CC1DC07}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9" w:fontKey="{EE52A1D8-3D2A-4613-B15F-144ED3D42CE1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10" w:fontKey="{BF45D295-08CC-4959-A210-8FC4184654AF}"/>
  </w:font>
  <w:font w:name="SimSun-ExtB">
    <w:panose1 w:val="02010609060101010101"/>
    <w:charset w:val="86"/>
    <w:family w:val="modern"/>
    <w:pitch w:val="default"/>
    <w:sig w:usb0="00000001" w:usb1="02000000" w:usb2="00000000" w:usb3="00000000" w:csb0="00040001" w:csb1="00000000"/>
    <w:embedRegular r:id="rId11" w:fontKey="{AEA10CD0-4420-4C01-B88F-AC1B21B81DC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2" w:fontKey="{AA52A12B-64C1-499D-BA2F-3FD169C1A738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13" w:fontKey="{4E0604D7-ADBC-476E-97FF-FA62F412017D}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  <w:embedRegular r:id="rId14" w:fontKey="{7F39896A-36AB-4646-8637-838010E56127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w:pict>
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Theme="majorEastAsia" w:hAnsiTheme="majorEastAsia" w:eastAsiaTheme="majorEastAsia" w:cstheme="majorEastAsia"/>
                    <w:sz w:val="28"/>
                    <w:szCs w:val="28"/>
                  </w:rPr>
                  <w:t>6</w: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VjODAxMjBkMDE0YTJjM2QxMjk5MjA4MzEzOGM0OGUifQ=="/>
  </w:docVars>
  <w:rsids>
    <w:rsidRoot w:val="53FC3987"/>
    <w:rsid w:val="00004525"/>
    <w:rsid w:val="000061A6"/>
    <w:rsid w:val="00012847"/>
    <w:rsid w:val="0003700C"/>
    <w:rsid w:val="000701C4"/>
    <w:rsid w:val="0007227D"/>
    <w:rsid w:val="00074645"/>
    <w:rsid w:val="00090D13"/>
    <w:rsid w:val="000A140B"/>
    <w:rsid w:val="000A3765"/>
    <w:rsid w:val="000D4F5D"/>
    <w:rsid w:val="00102FD5"/>
    <w:rsid w:val="00103542"/>
    <w:rsid w:val="001050DB"/>
    <w:rsid w:val="0013303C"/>
    <w:rsid w:val="0014743E"/>
    <w:rsid w:val="00163571"/>
    <w:rsid w:val="001A6079"/>
    <w:rsid w:val="001C54EB"/>
    <w:rsid w:val="001D7282"/>
    <w:rsid w:val="00204103"/>
    <w:rsid w:val="00230947"/>
    <w:rsid w:val="00257CED"/>
    <w:rsid w:val="002658C4"/>
    <w:rsid w:val="00272D76"/>
    <w:rsid w:val="00282629"/>
    <w:rsid w:val="002A1518"/>
    <w:rsid w:val="002A413D"/>
    <w:rsid w:val="002D52B8"/>
    <w:rsid w:val="002D6B6E"/>
    <w:rsid w:val="002E70C1"/>
    <w:rsid w:val="002F45B7"/>
    <w:rsid w:val="002F7F4F"/>
    <w:rsid w:val="00302477"/>
    <w:rsid w:val="00305B05"/>
    <w:rsid w:val="003106ED"/>
    <w:rsid w:val="00323C44"/>
    <w:rsid w:val="00333408"/>
    <w:rsid w:val="00345109"/>
    <w:rsid w:val="00382076"/>
    <w:rsid w:val="0038652D"/>
    <w:rsid w:val="0039081D"/>
    <w:rsid w:val="003A3DE8"/>
    <w:rsid w:val="003B280D"/>
    <w:rsid w:val="003C6CB6"/>
    <w:rsid w:val="003D63D1"/>
    <w:rsid w:val="003E24E8"/>
    <w:rsid w:val="003F6E62"/>
    <w:rsid w:val="0041175F"/>
    <w:rsid w:val="00415FE0"/>
    <w:rsid w:val="00462890"/>
    <w:rsid w:val="004A43B8"/>
    <w:rsid w:val="004A5373"/>
    <w:rsid w:val="004C11CD"/>
    <w:rsid w:val="005079B9"/>
    <w:rsid w:val="00523321"/>
    <w:rsid w:val="00523B33"/>
    <w:rsid w:val="0053294E"/>
    <w:rsid w:val="005576B6"/>
    <w:rsid w:val="00562983"/>
    <w:rsid w:val="00566F29"/>
    <w:rsid w:val="00591400"/>
    <w:rsid w:val="00594BC4"/>
    <w:rsid w:val="005B2426"/>
    <w:rsid w:val="005C7723"/>
    <w:rsid w:val="005E0D40"/>
    <w:rsid w:val="005E6ECB"/>
    <w:rsid w:val="005F7B8F"/>
    <w:rsid w:val="00612580"/>
    <w:rsid w:val="006454ED"/>
    <w:rsid w:val="00687F46"/>
    <w:rsid w:val="0069025F"/>
    <w:rsid w:val="006953A2"/>
    <w:rsid w:val="006C57D2"/>
    <w:rsid w:val="006D188B"/>
    <w:rsid w:val="006F12CF"/>
    <w:rsid w:val="00702048"/>
    <w:rsid w:val="00721287"/>
    <w:rsid w:val="00730B20"/>
    <w:rsid w:val="00744EA1"/>
    <w:rsid w:val="0075466B"/>
    <w:rsid w:val="007A510B"/>
    <w:rsid w:val="007C75DB"/>
    <w:rsid w:val="007D701F"/>
    <w:rsid w:val="007D73E9"/>
    <w:rsid w:val="00827A6E"/>
    <w:rsid w:val="008866F2"/>
    <w:rsid w:val="00890471"/>
    <w:rsid w:val="0089351B"/>
    <w:rsid w:val="008C5E71"/>
    <w:rsid w:val="008E1E16"/>
    <w:rsid w:val="008E2E87"/>
    <w:rsid w:val="008E6B20"/>
    <w:rsid w:val="008F6AE0"/>
    <w:rsid w:val="00924A6E"/>
    <w:rsid w:val="00925667"/>
    <w:rsid w:val="00930337"/>
    <w:rsid w:val="009419CA"/>
    <w:rsid w:val="00955854"/>
    <w:rsid w:val="00973B00"/>
    <w:rsid w:val="009A4E6A"/>
    <w:rsid w:val="009A6B3F"/>
    <w:rsid w:val="009C7330"/>
    <w:rsid w:val="009E159B"/>
    <w:rsid w:val="009F2979"/>
    <w:rsid w:val="00A00FBB"/>
    <w:rsid w:val="00A01BFF"/>
    <w:rsid w:val="00A24A59"/>
    <w:rsid w:val="00A57385"/>
    <w:rsid w:val="00A71377"/>
    <w:rsid w:val="00A7179E"/>
    <w:rsid w:val="00A764D6"/>
    <w:rsid w:val="00A84232"/>
    <w:rsid w:val="00AA6008"/>
    <w:rsid w:val="00AB1A8A"/>
    <w:rsid w:val="00AB7B7E"/>
    <w:rsid w:val="00B25847"/>
    <w:rsid w:val="00B53F42"/>
    <w:rsid w:val="00B619C9"/>
    <w:rsid w:val="00B64427"/>
    <w:rsid w:val="00B71024"/>
    <w:rsid w:val="00B83BA0"/>
    <w:rsid w:val="00B9298F"/>
    <w:rsid w:val="00BA117E"/>
    <w:rsid w:val="00BA2589"/>
    <w:rsid w:val="00BA5EB9"/>
    <w:rsid w:val="00BC4608"/>
    <w:rsid w:val="00BC463D"/>
    <w:rsid w:val="00BC5D9C"/>
    <w:rsid w:val="00BE30AF"/>
    <w:rsid w:val="00BE30B1"/>
    <w:rsid w:val="00BF0721"/>
    <w:rsid w:val="00C03795"/>
    <w:rsid w:val="00C30831"/>
    <w:rsid w:val="00C30D41"/>
    <w:rsid w:val="00C60B9A"/>
    <w:rsid w:val="00C731CE"/>
    <w:rsid w:val="00C82332"/>
    <w:rsid w:val="00CC6275"/>
    <w:rsid w:val="00CC676B"/>
    <w:rsid w:val="00CE324C"/>
    <w:rsid w:val="00CE3756"/>
    <w:rsid w:val="00CE4430"/>
    <w:rsid w:val="00D0468F"/>
    <w:rsid w:val="00D16076"/>
    <w:rsid w:val="00D27A74"/>
    <w:rsid w:val="00D73C45"/>
    <w:rsid w:val="00DA0D98"/>
    <w:rsid w:val="00DC6652"/>
    <w:rsid w:val="00DF6B22"/>
    <w:rsid w:val="00E00EE5"/>
    <w:rsid w:val="00E0224B"/>
    <w:rsid w:val="00E129B0"/>
    <w:rsid w:val="00E23F32"/>
    <w:rsid w:val="00E457CA"/>
    <w:rsid w:val="00E7614B"/>
    <w:rsid w:val="00E831C8"/>
    <w:rsid w:val="00EB4978"/>
    <w:rsid w:val="00EF287A"/>
    <w:rsid w:val="00F316B9"/>
    <w:rsid w:val="00F66DCD"/>
    <w:rsid w:val="00F72D25"/>
    <w:rsid w:val="00F945B3"/>
    <w:rsid w:val="00FC6206"/>
    <w:rsid w:val="01011432"/>
    <w:rsid w:val="01057CDE"/>
    <w:rsid w:val="010B4A82"/>
    <w:rsid w:val="01192786"/>
    <w:rsid w:val="01201E6A"/>
    <w:rsid w:val="012B1219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A04F32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36E2E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9793D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0E0551"/>
    <w:rsid w:val="092D1C9E"/>
    <w:rsid w:val="092F6E09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D83F8D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17011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5205D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AB1672"/>
    <w:rsid w:val="11B76464"/>
    <w:rsid w:val="11BC2DF3"/>
    <w:rsid w:val="11BE691E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700128"/>
    <w:rsid w:val="13914897"/>
    <w:rsid w:val="13A36DC4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3F50CB0"/>
    <w:rsid w:val="14047D3B"/>
    <w:rsid w:val="141A00EA"/>
    <w:rsid w:val="14202ED3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5FD4466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070E1"/>
    <w:rsid w:val="16AB3FBF"/>
    <w:rsid w:val="16AC1654"/>
    <w:rsid w:val="16AD5B4F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691CF7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078F9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6D1ED1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50EE3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7E92DC7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175F2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4D201E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8A6187"/>
    <w:rsid w:val="2DD218DC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00F6A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7A4D33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2C24D2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05E2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50E0D"/>
    <w:rsid w:val="3A2E618D"/>
    <w:rsid w:val="3A4109A1"/>
    <w:rsid w:val="3A742C8C"/>
    <w:rsid w:val="3A7B2702"/>
    <w:rsid w:val="3A896EEE"/>
    <w:rsid w:val="3AAA2893"/>
    <w:rsid w:val="3AB605BC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9F3746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110554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6C76C2"/>
    <w:rsid w:val="3D9F4364"/>
    <w:rsid w:val="3DA702BF"/>
    <w:rsid w:val="3DB92106"/>
    <w:rsid w:val="3DCF457D"/>
    <w:rsid w:val="3DF151A7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BE2135"/>
    <w:rsid w:val="3ECD5479"/>
    <w:rsid w:val="3ED62B90"/>
    <w:rsid w:val="3EE34DD3"/>
    <w:rsid w:val="3EEA16B2"/>
    <w:rsid w:val="3EF434CC"/>
    <w:rsid w:val="3EFB6FF7"/>
    <w:rsid w:val="3EFF0A75"/>
    <w:rsid w:val="3F1054CE"/>
    <w:rsid w:val="3F2534F3"/>
    <w:rsid w:val="3F3A1B65"/>
    <w:rsid w:val="3F3A5EB9"/>
    <w:rsid w:val="3F4563B2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84401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FC0160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95003"/>
    <w:rsid w:val="456C331B"/>
    <w:rsid w:val="45924862"/>
    <w:rsid w:val="459A7A8F"/>
    <w:rsid w:val="45A26739"/>
    <w:rsid w:val="45B07140"/>
    <w:rsid w:val="45C43431"/>
    <w:rsid w:val="45EE3358"/>
    <w:rsid w:val="46066722"/>
    <w:rsid w:val="461976C3"/>
    <w:rsid w:val="461B22C5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64E60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43360"/>
    <w:rsid w:val="490874C4"/>
    <w:rsid w:val="491A6A98"/>
    <w:rsid w:val="491D4AAF"/>
    <w:rsid w:val="4926292B"/>
    <w:rsid w:val="49371235"/>
    <w:rsid w:val="494324F6"/>
    <w:rsid w:val="49455D20"/>
    <w:rsid w:val="497B341F"/>
    <w:rsid w:val="49A445FA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3B0B74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07823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8428B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9F1952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ED70C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A63783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A537C4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050B9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882719"/>
    <w:rsid w:val="64A01013"/>
    <w:rsid w:val="64A83F83"/>
    <w:rsid w:val="64C76164"/>
    <w:rsid w:val="64D3186F"/>
    <w:rsid w:val="64EF2266"/>
    <w:rsid w:val="64F33559"/>
    <w:rsid w:val="64FD2EEA"/>
    <w:rsid w:val="64FF1ABC"/>
    <w:rsid w:val="650E3520"/>
    <w:rsid w:val="652E0455"/>
    <w:rsid w:val="654069DE"/>
    <w:rsid w:val="65413B3E"/>
    <w:rsid w:val="654523B9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4110E9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6D0A19"/>
    <w:rsid w:val="6D732F9C"/>
    <w:rsid w:val="6D9239A2"/>
    <w:rsid w:val="6DA94B4F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190BE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33716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14553"/>
    <w:rsid w:val="7EEB5BB3"/>
    <w:rsid w:val="7F1568D7"/>
    <w:rsid w:val="7F2E0D24"/>
    <w:rsid w:val="7F312E91"/>
    <w:rsid w:val="7F33645C"/>
    <w:rsid w:val="7F4E4DC2"/>
    <w:rsid w:val="7F4F20F6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2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批注框文本 字符"/>
    <w:basedOn w:val="8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4" Type="http://schemas.openxmlformats.org/officeDocument/2006/relationships/font" Target="fonts/font14.odttf"/><Relationship Id="rId13" Type="http://schemas.openxmlformats.org/officeDocument/2006/relationships/font" Target="fonts/font13.odttf"/><Relationship Id="rId12" Type="http://schemas.openxmlformats.org/officeDocument/2006/relationships/font" Target="fonts/font1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Corp.</Company>
  <Pages>9</Pages>
  <Words>2931</Words>
  <Characters>3304</Characters>
  <Lines>29</Lines>
  <Paragraphs>8</Paragraphs>
  <TotalTime>0</TotalTime>
  <ScaleCrop>false</ScaleCrop>
  <LinksUpToDate>false</LinksUpToDate>
  <CharactersWithSpaces>3405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2023-06-20T02:40:00Z</dcterms:created>
  <dc:creator>新一天</dc:creator>
  <cp:lastModifiedBy>Stay</cp:lastModifiedBy>
  <cp:lastPrinted>2023-06-05T09:55:00Z</cp:lastPrinted>
  <dcterms:modified xsi:type="dcterms:W3CDTF">2024-07-08T08:30:48Z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