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0"/>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457"/>
        <w:gridCol w:w="1218"/>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457"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18"/>
                <w:szCs w:val="18"/>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18"/>
                <w:szCs w:val="18"/>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18"/>
                <w:szCs w:val="18"/>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18"/>
                <w:szCs w:val="18"/>
                <w14:textFill>
                  <w14:solidFill>
                    <w14:schemeClr w14:val="tx1"/>
                  </w14:solidFill>
                </w14:textFill>
              </w:rPr>
              <w:t>名称</w:t>
            </w:r>
          </w:p>
        </w:tc>
        <w:tc>
          <w:tcPr>
            <w:tcW w:w="6212" w:type="dxa"/>
            <w:gridSpan w:val="6"/>
            <w:noWrap w:val="0"/>
            <w:vAlign w:val="top"/>
          </w:tcPr>
          <w:p>
            <w:pPr>
              <w:spacing w:before="103" w:line="219" w:lineRule="auto"/>
              <w:ind w:left="708" w:firstLine="588" w:firstLineChars="300"/>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岳阳市岳阳楼区市容环境卫生中心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457"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3"/>
                <w:sz w:val="18"/>
                <w:szCs w:val="18"/>
                <w14:textFill>
                  <w14:solidFill>
                    <w14:schemeClr w14:val="tx1"/>
                  </w14:solidFill>
                </w14:textFill>
              </w:rPr>
              <w:t>财政供养人员情况(人)</w:t>
            </w:r>
          </w:p>
        </w:tc>
        <w:tc>
          <w:tcPr>
            <w:tcW w:w="2208" w:type="dxa"/>
            <w:gridSpan w:val="2"/>
            <w:noWrap w:val="0"/>
            <w:vAlign w:val="top"/>
          </w:tcPr>
          <w:p>
            <w:pPr>
              <w:spacing w:before="103" w:line="219" w:lineRule="auto"/>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编制数</w:t>
            </w:r>
          </w:p>
        </w:tc>
        <w:tc>
          <w:tcPr>
            <w:tcW w:w="2325" w:type="dxa"/>
            <w:gridSpan w:val="2"/>
            <w:noWrap w:val="0"/>
            <w:vAlign w:val="top"/>
          </w:tcPr>
          <w:p>
            <w:pPr>
              <w:spacing w:before="103" w:line="219" w:lineRule="auto"/>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2022年实际在职人数</w:t>
            </w:r>
          </w:p>
        </w:tc>
        <w:tc>
          <w:tcPr>
            <w:tcW w:w="1679" w:type="dxa"/>
            <w:gridSpan w:val="2"/>
            <w:noWrap w:val="0"/>
            <w:vAlign w:val="top"/>
          </w:tcPr>
          <w:p>
            <w:pPr>
              <w:spacing w:before="103" w:line="219" w:lineRule="auto"/>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457"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p>
        </w:tc>
        <w:tc>
          <w:tcPr>
            <w:tcW w:w="2208" w:type="dxa"/>
            <w:gridSpan w:val="2"/>
            <w:noWrap w:val="0"/>
            <w:vAlign w:val="top"/>
          </w:tcPr>
          <w:p>
            <w:pPr>
              <w:spacing w:before="103" w:line="219" w:lineRule="auto"/>
              <w:ind w:left="708" w:firstLine="588" w:firstLineChars="300"/>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32</w:t>
            </w:r>
          </w:p>
        </w:tc>
        <w:tc>
          <w:tcPr>
            <w:tcW w:w="2325" w:type="dxa"/>
            <w:gridSpan w:val="2"/>
            <w:noWrap w:val="0"/>
            <w:vAlign w:val="top"/>
          </w:tcPr>
          <w:p>
            <w:pPr>
              <w:spacing w:before="103" w:line="219" w:lineRule="auto"/>
              <w:ind w:left="708" w:firstLine="588" w:firstLineChars="300"/>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40</w:t>
            </w:r>
          </w:p>
        </w:tc>
        <w:tc>
          <w:tcPr>
            <w:tcW w:w="1679" w:type="dxa"/>
            <w:gridSpan w:val="2"/>
            <w:noWrap w:val="0"/>
            <w:vAlign w:val="top"/>
          </w:tcPr>
          <w:p>
            <w:pPr>
              <w:spacing w:before="103" w:line="219" w:lineRule="auto"/>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125%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457"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4"/>
                <w:sz w:val="18"/>
                <w:szCs w:val="18"/>
                <w14:textFill>
                  <w14:solidFill>
                    <w14:schemeClr w14:val="tx1"/>
                  </w14:solidFill>
                </w14:textFill>
              </w:rPr>
              <w:t>经费控制情况(万元)</w:t>
            </w:r>
          </w:p>
        </w:tc>
        <w:tc>
          <w:tcPr>
            <w:tcW w:w="2208" w:type="dxa"/>
            <w:gridSpan w:val="2"/>
            <w:noWrap w:val="0"/>
            <w:vAlign w:val="top"/>
          </w:tcPr>
          <w:p>
            <w:pPr>
              <w:spacing w:before="103" w:line="219" w:lineRule="auto"/>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2021年决算数</w:t>
            </w:r>
          </w:p>
        </w:tc>
        <w:tc>
          <w:tcPr>
            <w:tcW w:w="2325" w:type="dxa"/>
            <w:gridSpan w:val="2"/>
            <w:noWrap w:val="0"/>
            <w:vAlign w:val="top"/>
          </w:tcPr>
          <w:p>
            <w:pPr>
              <w:spacing w:before="103" w:line="219" w:lineRule="auto"/>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2022年预算数</w:t>
            </w:r>
          </w:p>
        </w:tc>
        <w:tc>
          <w:tcPr>
            <w:tcW w:w="1679" w:type="dxa"/>
            <w:gridSpan w:val="2"/>
            <w:noWrap w:val="0"/>
            <w:vAlign w:val="top"/>
          </w:tcPr>
          <w:p>
            <w:pPr>
              <w:spacing w:before="103" w:line="219" w:lineRule="auto"/>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3" w:hRule="atLeast"/>
        </w:trPr>
        <w:tc>
          <w:tcPr>
            <w:tcW w:w="3457"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3"/>
                <w:sz w:val="18"/>
                <w:szCs w:val="18"/>
                <w14:textFill>
                  <w14:solidFill>
                    <w14:schemeClr w14:val="tx1"/>
                  </w14:solidFill>
                </w14:textFill>
              </w:rPr>
              <w:t>三公经费</w:t>
            </w:r>
          </w:p>
        </w:tc>
        <w:tc>
          <w:tcPr>
            <w:tcW w:w="2208"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9.3</w:t>
            </w:r>
          </w:p>
        </w:tc>
        <w:tc>
          <w:tcPr>
            <w:tcW w:w="2325"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10.2</w:t>
            </w:r>
          </w:p>
        </w:tc>
        <w:tc>
          <w:tcPr>
            <w:tcW w:w="1679"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5.83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457"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z w:val="18"/>
                <w:szCs w:val="18"/>
                <w14:textFill>
                  <w14:solidFill>
                    <w14:schemeClr w14:val="tx1"/>
                  </w14:solidFill>
                </w14:textFill>
              </w:rPr>
              <w:t>1、公务用车购置和维护经费</w:t>
            </w:r>
          </w:p>
        </w:tc>
        <w:tc>
          <w:tcPr>
            <w:tcW w:w="2208"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5.66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457"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2"/>
                <w:sz w:val="18"/>
                <w:szCs w:val="18"/>
                <w14:textFill>
                  <w14:solidFill>
                    <w14:schemeClr w14:val="tx1"/>
                  </w14:solidFill>
                </w14:textFill>
              </w:rPr>
              <w:t>其中：公车购置</w:t>
            </w:r>
          </w:p>
        </w:tc>
        <w:tc>
          <w:tcPr>
            <w:tcW w:w="220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457"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2"/>
                <w:sz w:val="18"/>
                <w:szCs w:val="18"/>
                <w14:textFill>
                  <w14:solidFill>
                    <w14:schemeClr w14:val="tx1"/>
                  </w14:solidFill>
                </w14:textFill>
              </w:rPr>
              <w:t>公车运行维护</w:t>
            </w:r>
          </w:p>
        </w:tc>
        <w:tc>
          <w:tcPr>
            <w:tcW w:w="2208"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5.66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457"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2"/>
                <w:sz w:val="18"/>
                <w:szCs w:val="18"/>
                <w14:textFill>
                  <w14:solidFill>
                    <w14:schemeClr w14:val="tx1"/>
                  </w14:solidFill>
                </w14:textFill>
              </w:rPr>
              <w:t>2、出国经费</w:t>
            </w:r>
          </w:p>
        </w:tc>
        <w:tc>
          <w:tcPr>
            <w:tcW w:w="220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457"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1"/>
                <w:sz w:val="18"/>
                <w:szCs w:val="18"/>
                <w14:textFill>
                  <w14:solidFill>
                    <w14:schemeClr w14:val="tx1"/>
                  </w14:solidFill>
                </w14:textFill>
              </w:rPr>
              <w:t>3、公务接待</w:t>
            </w:r>
          </w:p>
        </w:tc>
        <w:tc>
          <w:tcPr>
            <w:tcW w:w="220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0.3</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0.2</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457"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19"/>
                <w:sz w:val="18"/>
                <w:szCs w:val="18"/>
                <w14:textFill>
                  <w14:solidFill>
                    <w14:schemeClr w14:val="tx1"/>
                  </w14:solidFill>
                </w14:textFill>
              </w:rPr>
              <w:t>项目支出：</w:t>
            </w:r>
          </w:p>
        </w:tc>
        <w:tc>
          <w:tcPr>
            <w:tcW w:w="220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3574.54</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530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2252.69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457"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1"/>
                <w:sz w:val="18"/>
                <w:szCs w:val="18"/>
                <w14:textFill>
                  <w14:solidFill>
                    <w14:schemeClr w14:val="tx1"/>
                  </w14:solidFill>
                </w14:textFill>
              </w:rPr>
              <w:t>1、业务工作经费</w:t>
            </w:r>
          </w:p>
        </w:tc>
        <w:tc>
          <w:tcPr>
            <w:tcW w:w="220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1360.05</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530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491.03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457"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pacing w:val="1"/>
                <w:sz w:val="18"/>
                <w:szCs w:val="18"/>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18"/>
                <w:szCs w:val="18"/>
                <w:lang w:eastAsia="zh-CN"/>
                <w14:textFill>
                  <w14:solidFill>
                    <w14:schemeClr w14:val="tx1"/>
                  </w14:solidFill>
                </w14:textFill>
              </w:rPr>
              <w:t>运转类项目</w:t>
            </w:r>
          </w:p>
        </w:tc>
        <w:tc>
          <w:tcPr>
            <w:tcW w:w="220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445.76</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457"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pacing w:val="1"/>
                <w:sz w:val="18"/>
                <w:szCs w:val="18"/>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18"/>
                <w:szCs w:val="18"/>
                <w:lang w:eastAsia="zh-CN"/>
                <w14:textFill>
                  <w14:solidFill>
                    <w14:schemeClr w14:val="tx1"/>
                  </w14:solidFill>
                </w14:textFill>
              </w:rPr>
              <w:t>环卫清扫工具与设备</w:t>
            </w:r>
          </w:p>
        </w:tc>
        <w:tc>
          <w:tcPr>
            <w:tcW w:w="220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914.29</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3457"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1"/>
                <w:sz w:val="18"/>
                <w:szCs w:val="18"/>
                <w14:textFill>
                  <w14:solidFill>
                    <w14:schemeClr w14:val="tx1"/>
                  </w14:solidFill>
                </w14:textFill>
              </w:rPr>
              <w:t>2、运行维护经费</w:t>
            </w:r>
          </w:p>
        </w:tc>
        <w:tc>
          <w:tcPr>
            <w:tcW w:w="220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457" w:type="dxa"/>
            <w:noWrap w:val="0"/>
            <w:vAlign w:val="top"/>
          </w:tcPr>
          <w:p>
            <w:pPr>
              <w:spacing w:before="93" w:line="219" w:lineRule="auto"/>
              <w:ind w:firstLine="368" w:firstLineChars="200"/>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2"/>
                <w:sz w:val="18"/>
                <w:szCs w:val="18"/>
                <w14:textFill>
                  <w14:solidFill>
                    <w14:schemeClr w14:val="tx1"/>
                  </w14:solidFill>
                </w14:textFill>
              </w:rPr>
              <w:t>3、</w:t>
            </w:r>
            <w:r>
              <w:rPr>
                <w:rFonts w:hint="eastAsia" w:asciiTheme="majorEastAsia" w:hAnsiTheme="majorEastAsia" w:eastAsiaTheme="majorEastAsia" w:cstheme="majorEastAsia"/>
                <w:color w:val="000000" w:themeColor="text1"/>
                <w:spacing w:val="2"/>
                <w:sz w:val="18"/>
                <w:szCs w:val="18"/>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18"/>
                <w:szCs w:val="18"/>
                <w14:textFill>
                  <w14:solidFill>
                    <w14:schemeClr w14:val="tx1"/>
                  </w14:solidFill>
                </w14:textFill>
              </w:rPr>
              <w:t>级专项资金(一个专项一行)</w:t>
            </w:r>
          </w:p>
        </w:tc>
        <w:tc>
          <w:tcPr>
            <w:tcW w:w="220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1387.08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3457" w:type="dxa"/>
            <w:noWrap w:val="0"/>
            <w:vAlign w:val="top"/>
          </w:tcPr>
          <w:p>
            <w:pPr>
              <w:jc w:val="left"/>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pPr>
            <w:r>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t>审批专项资金</w:t>
            </w:r>
          </w:p>
        </w:tc>
        <w:tc>
          <w:tcPr>
            <w:tcW w:w="220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630.32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5" w:hRule="atLeast"/>
        </w:trPr>
        <w:tc>
          <w:tcPr>
            <w:tcW w:w="3457" w:type="dxa"/>
            <w:noWrap w:val="0"/>
            <w:vAlign w:val="top"/>
          </w:tcPr>
          <w:p>
            <w:pPr>
              <w:jc w:val="left"/>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pPr>
            <w:r>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t>靓捷公司统筹经费</w:t>
            </w:r>
          </w:p>
        </w:tc>
        <w:tc>
          <w:tcPr>
            <w:tcW w:w="220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756.76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457" w:type="dxa"/>
            <w:noWrap w:val="0"/>
            <w:vAlign w:val="top"/>
          </w:tcPr>
          <w:p>
            <w:pPr>
              <w:jc w:val="left"/>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pPr>
            <w:r>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t>环卫工人人员经费</w:t>
            </w:r>
          </w:p>
        </w:tc>
        <w:tc>
          <w:tcPr>
            <w:tcW w:w="220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2062.99</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3457" w:type="dxa"/>
            <w:noWrap w:val="0"/>
            <w:vAlign w:val="top"/>
          </w:tcPr>
          <w:p>
            <w:pPr>
              <w:jc w:val="left"/>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pPr>
            <w:r>
              <w:rPr>
                <w:rFonts w:hint="eastAsia" w:asciiTheme="majorEastAsia" w:hAnsiTheme="majorEastAsia" w:eastAsiaTheme="majorEastAsia" w:cstheme="majorEastAsia"/>
                <w:color w:val="000000" w:themeColor="text1"/>
                <w:sz w:val="18"/>
                <w:szCs w:val="18"/>
                <w:lang w:eastAsia="zh-CN"/>
                <w14:textFill>
                  <w14:solidFill>
                    <w14:schemeClr w14:val="tx1"/>
                  </w14:solidFill>
                </w14:textFill>
              </w:rPr>
              <w:t>大城管委</w:t>
            </w:r>
          </w:p>
        </w:tc>
        <w:tc>
          <w:tcPr>
            <w:tcW w:w="220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151.5</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2" w:hRule="atLeast"/>
        </w:trPr>
        <w:tc>
          <w:tcPr>
            <w:tcW w:w="3457" w:type="dxa"/>
            <w:noWrap w:val="0"/>
            <w:vAlign w:val="top"/>
          </w:tcPr>
          <w:p>
            <w:pPr>
              <w:spacing w:before="85" w:line="220" w:lineRule="auto"/>
              <w:ind w:firstLine="372" w:firstLineChars="200"/>
              <w:jc w:val="left"/>
              <w:rPr>
                <w:rFonts w:hint="eastAsia" w:asciiTheme="majorEastAsia" w:hAnsiTheme="majorEastAsia" w:eastAsiaTheme="majorEastAsia" w:cstheme="majorEastAsia"/>
                <w:color w:val="000000" w:themeColor="text1"/>
                <w:spacing w:val="3"/>
                <w:sz w:val="18"/>
                <w:szCs w:val="18"/>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18"/>
                <w:szCs w:val="18"/>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18"/>
                <w:szCs w:val="18"/>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18"/>
                <w:szCs w:val="18"/>
                <w:lang w:eastAsia="zh-CN"/>
                <w14:textFill>
                  <w14:solidFill>
                    <w14:schemeClr w14:val="tx1"/>
                  </w14:solidFill>
                </w14:textFill>
              </w:rPr>
              <w:t>）</w:t>
            </w:r>
          </w:p>
        </w:tc>
        <w:tc>
          <w:tcPr>
            <w:tcW w:w="220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374.58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7" w:hRule="atLeast"/>
        </w:trPr>
        <w:tc>
          <w:tcPr>
            <w:tcW w:w="3457"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3"/>
                <w:sz w:val="18"/>
                <w:szCs w:val="18"/>
                <w14:textFill>
                  <w14:solidFill>
                    <w14:schemeClr w14:val="tx1"/>
                  </w14:solidFill>
                </w14:textFill>
              </w:rPr>
              <w:t>公用经费</w:t>
            </w:r>
          </w:p>
        </w:tc>
        <w:tc>
          <w:tcPr>
            <w:tcW w:w="2208" w:type="dxa"/>
            <w:gridSpan w:val="2"/>
            <w:noWrap w:val="0"/>
            <w:vAlign w:val="top"/>
          </w:tcPr>
          <w:p>
            <w:pP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75.99</w:t>
            </w:r>
          </w:p>
        </w:tc>
        <w:tc>
          <w:tcPr>
            <w:tcW w:w="2325" w:type="dxa"/>
            <w:gridSpan w:val="2"/>
            <w:noWrap w:val="0"/>
            <w:vAlign w:val="top"/>
          </w:tcPr>
          <w:p>
            <w:pP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68.4</w:t>
            </w:r>
          </w:p>
        </w:tc>
        <w:tc>
          <w:tcPr>
            <w:tcW w:w="1679" w:type="dxa"/>
            <w:gridSpan w:val="2"/>
            <w:noWrap w:val="0"/>
            <w:vAlign w:val="top"/>
          </w:tcPr>
          <w:p>
            <w:pPr>
              <w:rPr>
                <w:rFonts w:hint="default" w:asciiTheme="majorEastAsia" w:hAnsiTheme="majorEastAsia" w:eastAsiaTheme="majorEastAsia" w:cstheme="majorEastAsia"/>
                <w:color w:val="000000" w:themeColor="text1"/>
                <w:sz w:val="21"/>
                <w:highlight w:val="none"/>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66.36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2" w:hRule="atLeast"/>
        </w:trPr>
        <w:tc>
          <w:tcPr>
            <w:tcW w:w="3457"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1"/>
                <w:sz w:val="18"/>
                <w:szCs w:val="18"/>
                <w14:textFill>
                  <w14:solidFill>
                    <w14:schemeClr w14:val="tx1"/>
                  </w14:solidFill>
                </w14:textFill>
              </w:rPr>
              <w:t>其中：办公经费</w:t>
            </w:r>
          </w:p>
        </w:tc>
        <w:tc>
          <w:tcPr>
            <w:tcW w:w="220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10.46</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3457"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1"/>
                <w:sz w:val="18"/>
                <w:szCs w:val="18"/>
                <w14:textFill>
                  <w14:solidFill>
                    <w14:schemeClr w14:val="tx1"/>
                  </w14:solidFill>
                </w14:textFill>
              </w:rPr>
              <w:t>水费、电费、差旅费</w:t>
            </w:r>
          </w:p>
        </w:tc>
        <w:tc>
          <w:tcPr>
            <w:tcW w:w="220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4.15</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4.1</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 w:hRule="atLeast"/>
        </w:trPr>
        <w:tc>
          <w:tcPr>
            <w:tcW w:w="3457"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1"/>
                <w:sz w:val="18"/>
                <w:szCs w:val="18"/>
                <w14:textFill>
                  <w14:solidFill>
                    <w14:schemeClr w14:val="tx1"/>
                  </w14:solidFill>
                </w14:textFill>
              </w:rPr>
              <w:t>会议费、培训费</w:t>
            </w:r>
          </w:p>
        </w:tc>
        <w:tc>
          <w:tcPr>
            <w:tcW w:w="220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0.01</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 w:hRule="atLeast"/>
        </w:trPr>
        <w:tc>
          <w:tcPr>
            <w:tcW w:w="3457"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1"/>
                <w:sz w:val="18"/>
                <w:szCs w:val="18"/>
                <w14:textFill>
                  <w14:solidFill>
                    <w14:schemeClr w14:val="tx1"/>
                  </w14:solidFill>
                </w14:textFill>
              </w:rPr>
              <w:t>政府采购金额</w:t>
            </w:r>
          </w:p>
        </w:tc>
        <w:tc>
          <w:tcPr>
            <w:tcW w:w="2208"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813.72</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577.53</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1213.96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457"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1"/>
                <w:sz w:val="18"/>
                <w:szCs w:val="18"/>
                <w14:textFill>
                  <w14:solidFill>
                    <w14:schemeClr w14:val="tx1"/>
                  </w14:solidFill>
                </w14:textFill>
              </w:rPr>
              <w:t>部门基本支出预算调整</w:t>
            </w:r>
          </w:p>
        </w:tc>
        <w:tc>
          <w:tcPr>
            <w:tcW w:w="2208"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457"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18"/>
                <w:szCs w:val="18"/>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3"/>
                <w:sz w:val="18"/>
                <w:szCs w:val="18"/>
                <w14:textFill>
                  <w14:solidFill>
                    <w14:schemeClr w14:val="tx1"/>
                  </w14:solidFill>
                </w14:textFill>
              </w:rPr>
              <w:t>(2022年完工项目)</w:t>
            </w:r>
          </w:p>
        </w:tc>
        <w:tc>
          <w:tcPr>
            <w:tcW w:w="121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457"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18"/>
                <w:szCs w:val="18"/>
                <w14:textFill>
                  <w14:solidFill>
                    <w14:schemeClr w14:val="tx1"/>
                  </w14:solidFill>
                </w14:textFill>
              </w:rPr>
            </w:pPr>
          </w:p>
        </w:tc>
        <w:tc>
          <w:tcPr>
            <w:tcW w:w="1218"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457"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18"/>
                <w:szCs w:val="18"/>
                <w14:textFill>
                  <w14:solidFill>
                    <w14:schemeClr w14:val="tx1"/>
                  </w14:solidFill>
                </w14:textFill>
              </w:rPr>
            </w:pPr>
            <w:r>
              <w:rPr>
                <w:rFonts w:hint="eastAsia" w:asciiTheme="majorEastAsia" w:hAnsiTheme="majorEastAsia" w:eastAsiaTheme="majorEastAsia" w:cstheme="majorEastAsia"/>
                <w:color w:val="000000" w:themeColor="text1"/>
                <w:spacing w:val="1"/>
                <w:sz w:val="18"/>
                <w:szCs w:val="18"/>
                <w14:textFill>
                  <w14:solidFill>
                    <w14:schemeClr w14:val="tx1"/>
                  </w14:solidFill>
                </w14:textFill>
              </w:rPr>
              <w:t>厉行节约保障措施</w:t>
            </w:r>
          </w:p>
        </w:tc>
        <w:tc>
          <w:tcPr>
            <w:tcW w:w="6212"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         联系电话：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0" w:right="1417" w:bottom="0"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0"/>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岳阳市岳阳楼区市容环境卫生中心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1084.57</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2901.55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2901.55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2901.55</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648.86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2252.69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1.健全完善网格化全覆盖工作。</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2.扎实推进环卫常态化工作机制。</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3.开展环卫九大专项整治行动查工作机制。</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4.健全城市生活垃圾分类体系。</w:t>
            </w:r>
          </w:p>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0"/>
                <w14:textFill>
                  <w14:solidFill>
                    <w14:schemeClr w14:val="tx1"/>
                  </w14:solidFill>
                </w14:textFill>
              </w:rPr>
            </w:pP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宋体" w:hAnsi="宋体" w:eastAsia="宋体" w:cs="宋体"/>
                <w:color w:val="000000" w:themeColor="text1"/>
                <w:spacing w:val="7"/>
                <w:sz w:val="21"/>
                <w:szCs w:val="21"/>
                <w:lang w:val="en-US" w:eastAsia="zh-CN"/>
                <w14:textFill>
                  <w14:solidFill>
                    <w14:schemeClr w14:val="tx1"/>
                  </w14:solidFill>
                </w14:textFill>
              </w:rPr>
            </w:pPr>
            <w:r>
              <w:rPr>
                <w:rFonts w:hint="eastAsia" w:ascii="宋体" w:hAnsi="宋体" w:eastAsia="宋体" w:cs="宋体"/>
                <w:color w:val="000000" w:themeColor="text1"/>
                <w:spacing w:val="7"/>
                <w:sz w:val="21"/>
                <w:szCs w:val="21"/>
                <w:lang w:val="en-US" w:eastAsia="zh-CN"/>
                <w14:textFill>
                  <w14:solidFill>
                    <w14:schemeClr w14:val="tx1"/>
                  </w14:solidFill>
                </w14:textFill>
              </w:rPr>
              <w:t>1.对全区范围内675个大网格1819个微网格约1070万㎡实行清扫保洁全覆盖</w:t>
            </w: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宋体" w:hAnsi="宋体" w:eastAsia="宋体" w:cs="宋体"/>
                <w:color w:val="000000" w:themeColor="text1"/>
                <w:spacing w:val="7"/>
                <w:sz w:val="21"/>
                <w:szCs w:val="21"/>
                <w:lang w:val="en-US" w:eastAsia="zh-CN"/>
                <w14:textFill>
                  <w14:solidFill>
                    <w14:schemeClr w14:val="tx1"/>
                  </w14:solidFill>
                </w14:textFill>
              </w:rPr>
            </w:pPr>
            <w:r>
              <w:rPr>
                <w:rFonts w:hint="eastAsia" w:ascii="宋体" w:hAnsi="宋体" w:eastAsia="宋体" w:cs="宋体"/>
                <w:color w:val="000000" w:themeColor="text1"/>
                <w:spacing w:val="7"/>
                <w:sz w:val="21"/>
                <w:szCs w:val="21"/>
                <w:lang w:val="en-US" w:eastAsia="zh-CN"/>
                <w14:textFill>
                  <w14:solidFill>
                    <w14:schemeClr w14:val="tx1"/>
                  </w14:solidFill>
                </w14:textFill>
              </w:rPr>
              <w:t>2.创新市容环境卫生考评机制。实行“一月一考评、一月一排名、一月一通报、一月一奖惩、一月一讲评”机制。落实社区每周一次大扫除机制。</w:t>
            </w: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宋体" w:hAnsi="宋体" w:eastAsia="宋体" w:cs="宋体"/>
                <w:color w:val="000000" w:themeColor="text1"/>
                <w:spacing w:val="7"/>
                <w:sz w:val="21"/>
                <w:szCs w:val="21"/>
                <w:lang w:val="en-US" w:eastAsia="zh-CN"/>
                <w14:textFill>
                  <w14:solidFill>
                    <w14:schemeClr w14:val="tx1"/>
                  </w14:solidFill>
                </w14:textFill>
              </w:rPr>
            </w:pPr>
            <w:r>
              <w:rPr>
                <w:rFonts w:hint="eastAsia" w:ascii="宋体" w:hAnsi="宋体" w:eastAsia="宋体" w:cs="宋体"/>
                <w:color w:val="000000" w:themeColor="text1"/>
                <w:spacing w:val="7"/>
                <w:sz w:val="21"/>
                <w:szCs w:val="21"/>
                <w:lang w:val="en-US" w:eastAsia="zh-CN"/>
                <w14:textFill>
                  <w14:solidFill>
                    <w14:schemeClr w14:val="tx1"/>
                  </w14:solidFill>
                </w14:textFill>
              </w:rPr>
              <w:t>3.对农集贸市场及周边、无物业小区、项目拆迁区域、菜地、省运会场馆及酒店周边、垃圾分类、环卫装备设备清洗维护、智慧城管工单处置、环卫工人管理提质等九个方面为重点开展专项行动。</w:t>
            </w: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r>
              <w:rPr>
                <w:rFonts w:hint="eastAsia" w:ascii="宋体" w:hAnsi="宋体" w:eastAsia="宋体" w:cs="宋体"/>
                <w:color w:val="000000" w:themeColor="text1"/>
                <w:spacing w:val="7"/>
                <w:sz w:val="21"/>
                <w:szCs w:val="21"/>
                <w:lang w:val="en-US" w:eastAsia="zh-CN"/>
                <w14:textFill>
                  <w14:solidFill>
                    <w14:schemeClr w14:val="tx1"/>
                  </w14:solidFill>
                </w14:textFill>
              </w:rPr>
              <w:t>4.发展了1千多人的生活垃圾分类宣讲员和志愿者队伍，完成了全区260家区属公共机构生活垃圾四分类投放设施全覆盖，撤桶并点完成率100%。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14:textFill>
                  <w14:solidFill>
                    <w14:schemeClr w14:val="tx1"/>
                  </w14:solidFill>
                </w14:textFill>
              </w:rPr>
              <w:t>清扫网格面积</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1070万㎡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eastAsia="zh-CN"/>
                <w14:textFill>
                  <w14:solidFill>
                    <w14:schemeClr w14:val="tx1"/>
                  </w14:solidFill>
                </w14:textFill>
              </w:rPr>
              <w:t>1070万㎡</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14:textFill>
                  <w14:solidFill>
                    <w14:schemeClr w14:val="tx1"/>
                  </w14:solidFill>
                </w14:textFill>
              </w:rPr>
              <w:t>清理垃圾体积</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13.6万余m³</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eastAsia="zh-CN"/>
                <w14:textFill>
                  <w14:solidFill>
                    <w14:schemeClr w14:val="tx1"/>
                  </w14:solidFill>
                </w14:textFill>
              </w:rPr>
              <w:t>13.6万余m³</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1"/>
                <w14:textFill>
                  <w14:solidFill>
                    <w14:schemeClr w14:val="tx1"/>
                  </w14:solidFill>
                </w14:textFill>
              </w:rPr>
              <w:t>垃圾分类投放设施使用率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8"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社区（村）环境卫生大扫除</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14:textFill>
                  <w14:solidFill>
                    <w14:schemeClr w14:val="tx1"/>
                  </w14:solidFill>
                </w14:textFill>
              </w:rPr>
              <w:t>每周一次</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14:textFill>
                  <w14:solidFill>
                    <w14:schemeClr w14:val="tx1"/>
                  </w14:solidFill>
                </w14:textFill>
              </w:rPr>
              <w:t>每周一次</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2"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常态化考评</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每月一次</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每月一次</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支出预算控制</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2901.55万元</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2901.55万元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4"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人居环境改善程度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大为改善或者较大改善</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大为改善或者较大改善</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道路清扫、垃圾清理、空气除尘等改善情况</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大为改善或者较大改善</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大为改善或者较大改善</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制定市容环境卫生考评机制</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出台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出台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制定岳阳楼区生活垃圾分类工作实施方案</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出台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出台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14:textFill>
                  <w14:solidFill>
                    <w14:schemeClr w14:val="tx1"/>
                  </w14:solidFill>
                </w14:textFill>
              </w:rPr>
              <w:t>≥</w:t>
            </w:r>
            <w:r>
              <w:rPr>
                <w:rFonts w:hint="eastAsia" w:ascii="Arial"/>
                <w:color w:val="000000" w:themeColor="text1"/>
                <w:sz w:val="21"/>
                <w:lang w:val="en-US" w:eastAsia="zh-CN"/>
                <w14:textFill>
                  <w14:solidFill>
                    <w14:schemeClr w14:val="tx1"/>
                  </w14:solidFill>
                </w14:textFill>
              </w:rPr>
              <w:t>90%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84" w:type="dxa"/>
            <w:vMerge w:val="continue"/>
            <w:tcBorders>
              <w:top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岳阳楼区市容环境卫生中心</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年  月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2022年度岳阳楼区市容环境卫生中心</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widowControl/>
        <w:spacing w:line="600" w:lineRule="exact"/>
        <w:ind w:firstLine="643" w:firstLineChars="200"/>
        <w:rPr>
          <w:rFonts w:hint="eastAsia" w:ascii="仿宋" w:hAnsi="仿宋" w:eastAsia="仿宋" w:cs="仿宋_GB2312"/>
          <w:b/>
          <w:bCs/>
          <w:kern w:val="0"/>
          <w:sz w:val="32"/>
          <w:szCs w:val="32"/>
        </w:rPr>
      </w:pPr>
      <w:r>
        <w:rPr>
          <w:rFonts w:hint="eastAsia" w:ascii="仿宋" w:hAnsi="仿宋" w:eastAsia="仿宋" w:cs="仿宋_GB2312"/>
          <w:b/>
          <w:bCs/>
          <w:kern w:val="0"/>
          <w:sz w:val="32"/>
          <w:szCs w:val="32"/>
        </w:rPr>
        <w:t>（一）职能职责</w:t>
      </w:r>
    </w:p>
    <w:p>
      <w:pPr>
        <w:pStyle w:val="6"/>
        <w:keepNext w:val="0"/>
        <w:keepLines w:val="0"/>
        <w:widowControl/>
        <w:suppressLineNumbers w:val="0"/>
        <w:spacing w:before="0" w:beforeAutospacing="0" w:after="0" w:afterAutospacing="0" w:line="33" w:lineRule="atLeast"/>
        <w:ind w:right="0" w:firstLine="640" w:firstLineChars="200"/>
        <w:jc w:val="both"/>
        <w:rPr>
          <w:rFonts w:hint="eastAsia" w:ascii="仿宋" w:hAnsi="仿宋" w:eastAsia="仿宋" w:cs="仿宋_GB2312"/>
          <w:kern w:val="0"/>
          <w:sz w:val="32"/>
          <w:szCs w:val="32"/>
        </w:rPr>
      </w:pPr>
      <w:r>
        <w:rPr>
          <w:rFonts w:hint="eastAsia" w:ascii="仿宋" w:hAnsi="仿宋" w:eastAsia="仿宋" w:cs="仿宋_GB2312"/>
          <w:kern w:val="0"/>
          <w:sz w:val="32"/>
          <w:szCs w:val="32"/>
        </w:rPr>
        <w:t>1、负责组织与监督城市市容环卫管理法规、政策的贯彻拟定，组织拟订与报批相关的规范性文件，制定环卫行业标准。 </w:t>
      </w:r>
    </w:p>
    <w:p>
      <w:pPr>
        <w:pStyle w:val="6"/>
        <w:keepNext w:val="0"/>
        <w:keepLines w:val="0"/>
        <w:widowControl/>
        <w:suppressLineNumbers w:val="0"/>
        <w:spacing w:before="0" w:beforeAutospacing="0" w:after="0" w:afterAutospacing="0" w:line="33" w:lineRule="atLeast"/>
        <w:ind w:right="0" w:firstLine="640" w:firstLineChars="200"/>
        <w:jc w:val="both"/>
        <w:rPr>
          <w:rFonts w:hint="eastAsia" w:ascii="仿宋" w:hAnsi="仿宋" w:eastAsia="仿宋" w:cs="仿宋_GB2312"/>
          <w:kern w:val="0"/>
          <w:sz w:val="32"/>
          <w:szCs w:val="32"/>
        </w:rPr>
      </w:pPr>
      <w:r>
        <w:rPr>
          <w:rFonts w:hint="eastAsia" w:ascii="仿宋" w:hAnsi="仿宋" w:eastAsia="仿宋" w:cs="仿宋_GB2312"/>
          <w:kern w:val="0"/>
          <w:sz w:val="32"/>
          <w:szCs w:val="32"/>
        </w:rPr>
        <w:t>2、参与城市规划的评审和环卫工程设施规划设计的审查；负责组织环卫行业发展规划的拟订（修订）、评审及其产业政策实施计划的拟订、报批和组织实施；负责环卫工作社会从业单位的资质审批、合同签订和行业管理。 </w:t>
      </w:r>
    </w:p>
    <w:p>
      <w:pPr>
        <w:pStyle w:val="6"/>
        <w:keepNext w:val="0"/>
        <w:keepLines w:val="0"/>
        <w:widowControl/>
        <w:suppressLineNumbers w:val="0"/>
        <w:spacing w:before="0" w:beforeAutospacing="0" w:after="0" w:afterAutospacing="0" w:line="33" w:lineRule="atLeast"/>
        <w:ind w:right="0" w:firstLine="640" w:firstLineChars="200"/>
        <w:jc w:val="both"/>
        <w:rPr>
          <w:rFonts w:hint="eastAsia" w:ascii="仿宋" w:hAnsi="仿宋" w:eastAsia="仿宋" w:cs="仿宋_GB2312"/>
          <w:kern w:val="0"/>
          <w:sz w:val="32"/>
          <w:szCs w:val="32"/>
        </w:rPr>
      </w:pPr>
      <w:r>
        <w:rPr>
          <w:rFonts w:hint="eastAsia" w:ascii="仿宋" w:hAnsi="仿宋" w:eastAsia="仿宋" w:cs="仿宋_GB2312"/>
          <w:kern w:val="0"/>
          <w:sz w:val="32"/>
          <w:szCs w:val="32"/>
        </w:rPr>
        <w:t>3、负责市容环卫设施建设、设备及工具采购计划的编制和报批、采购招标工作，并具体组织实施。 </w:t>
      </w:r>
    </w:p>
    <w:p>
      <w:pPr>
        <w:pStyle w:val="6"/>
        <w:keepNext w:val="0"/>
        <w:keepLines w:val="0"/>
        <w:widowControl/>
        <w:suppressLineNumbers w:val="0"/>
        <w:spacing w:before="0" w:beforeAutospacing="0" w:after="0" w:afterAutospacing="0" w:line="33" w:lineRule="atLeast"/>
        <w:ind w:right="0" w:firstLine="640" w:firstLineChars="200"/>
        <w:jc w:val="both"/>
        <w:rPr>
          <w:rFonts w:hint="eastAsia" w:ascii="仿宋" w:hAnsi="仿宋" w:eastAsia="仿宋" w:cs="仿宋_GB2312"/>
          <w:kern w:val="0"/>
          <w:sz w:val="32"/>
          <w:szCs w:val="32"/>
        </w:rPr>
      </w:pPr>
      <w:r>
        <w:rPr>
          <w:rFonts w:hint="eastAsia" w:ascii="仿宋" w:hAnsi="仿宋" w:eastAsia="仿宋" w:cs="仿宋_GB2312"/>
          <w:kern w:val="0"/>
          <w:sz w:val="32"/>
          <w:szCs w:val="32"/>
        </w:rPr>
        <w:t>4、负责对各乡、街道办事处环卫工作进行业务指导、质量监督、考核考评管理、环卫资金的使用监督与审计。 </w:t>
      </w:r>
    </w:p>
    <w:p>
      <w:pPr>
        <w:pStyle w:val="6"/>
        <w:keepNext w:val="0"/>
        <w:keepLines w:val="0"/>
        <w:widowControl/>
        <w:suppressLineNumbers w:val="0"/>
        <w:spacing w:before="0" w:beforeAutospacing="0" w:after="0" w:afterAutospacing="0" w:line="33" w:lineRule="atLeast"/>
        <w:ind w:right="0" w:firstLine="640" w:firstLineChars="200"/>
        <w:jc w:val="both"/>
        <w:rPr>
          <w:rFonts w:hint="eastAsia" w:ascii="仿宋" w:hAnsi="仿宋" w:eastAsia="仿宋" w:cs="仿宋_GB2312"/>
          <w:kern w:val="0"/>
          <w:sz w:val="32"/>
          <w:szCs w:val="32"/>
        </w:rPr>
      </w:pPr>
      <w:r>
        <w:rPr>
          <w:rFonts w:hint="eastAsia" w:ascii="仿宋" w:hAnsi="仿宋" w:eastAsia="仿宋" w:cs="仿宋_GB2312"/>
          <w:kern w:val="0"/>
          <w:sz w:val="32"/>
          <w:szCs w:val="32"/>
        </w:rPr>
        <w:t>5、负责对各乡、街道办事处环卫专项资金使用情况的监督和审计。 </w:t>
      </w:r>
    </w:p>
    <w:p>
      <w:pPr>
        <w:pStyle w:val="6"/>
        <w:keepNext w:val="0"/>
        <w:keepLines w:val="0"/>
        <w:widowControl/>
        <w:suppressLineNumbers w:val="0"/>
        <w:spacing w:before="0" w:beforeAutospacing="0" w:after="0" w:afterAutospacing="0" w:line="33" w:lineRule="atLeast"/>
        <w:ind w:right="0" w:firstLine="640" w:firstLineChars="200"/>
        <w:jc w:val="both"/>
        <w:rPr>
          <w:rFonts w:hint="eastAsia" w:ascii="仿宋" w:hAnsi="仿宋" w:eastAsia="仿宋" w:cs="仿宋_GB2312"/>
          <w:kern w:val="0"/>
          <w:sz w:val="32"/>
          <w:szCs w:val="32"/>
        </w:rPr>
      </w:pPr>
      <w:r>
        <w:rPr>
          <w:rFonts w:hint="eastAsia" w:ascii="仿宋" w:hAnsi="仿宋" w:eastAsia="仿宋" w:cs="仿宋_GB2312"/>
          <w:kern w:val="0"/>
          <w:sz w:val="32"/>
          <w:szCs w:val="32"/>
        </w:rPr>
        <w:t>6、承办区委、区人民政府交办的其他事项。</w:t>
      </w:r>
    </w:p>
    <w:p>
      <w:pPr>
        <w:widowControl/>
        <w:spacing w:line="600" w:lineRule="exact"/>
        <w:ind w:firstLine="643" w:firstLineChars="200"/>
        <w:rPr>
          <w:rFonts w:hint="eastAsia" w:ascii="仿宋" w:hAnsi="仿宋" w:eastAsia="仿宋" w:cs="仿宋_GB2312"/>
          <w:b/>
          <w:bCs/>
          <w:kern w:val="0"/>
          <w:sz w:val="32"/>
          <w:szCs w:val="32"/>
        </w:rPr>
      </w:pPr>
      <w:r>
        <w:rPr>
          <w:rFonts w:hint="eastAsia" w:ascii="仿宋" w:hAnsi="仿宋" w:eastAsia="仿宋" w:cs="仿宋_GB2312"/>
          <w:b/>
          <w:bCs/>
          <w:kern w:val="0"/>
          <w:sz w:val="32"/>
          <w:szCs w:val="32"/>
        </w:rPr>
        <w:t>（二）机构设置</w:t>
      </w:r>
    </w:p>
    <w:p>
      <w:pPr>
        <w:pStyle w:val="6"/>
        <w:keepNext w:val="0"/>
        <w:keepLines w:val="0"/>
        <w:widowControl/>
        <w:suppressLineNumbers w:val="0"/>
        <w:spacing w:before="0" w:beforeAutospacing="0" w:after="0" w:afterAutospacing="0" w:line="33" w:lineRule="atLeast"/>
        <w:ind w:right="0" w:firstLine="640" w:firstLineChars="200"/>
        <w:jc w:val="both"/>
        <w:rPr>
          <w:rFonts w:hint="eastAsia" w:ascii="仿宋" w:hAnsi="仿宋" w:eastAsia="仿宋" w:cs="仿宋_GB2312"/>
          <w:kern w:val="0"/>
          <w:sz w:val="32"/>
          <w:szCs w:val="32"/>
        </w:rPr>
      </w:pPr>
      <w:r>
        <w:rPr>
          <w:rFonts w:hint="eastAsia" w:ascii="仿宋" w:hAnsi="仿宋" w:eastAsia="仿宋" w:cs="仿宋_GB2312"/>
          <w:kern w:val="0"/>
          <w:sz w:val="32"/>
          <w:szCs w:val="32"/>
        </w:rPr>
        <w:t>人员构成：本中心</w:t>
      </w:r>
      <w:r>
        <w:rPr>
          <w:rFonts w:hint="eastAsia" w:ascii="仿宋" w:hAnsi="仿宋" w:eastAsia="仿宋" w:cs="仿宋_GB2312"/>
          <w:kern w:val="0"/>
          <w:sz w:val="32"/>
          <w:szCs w:val="32"/>
          <w:lang w:eastAsia="zh-CN"/>
        </w:rPr>
        <w:t>编制数</w:t>
      </w:r>
      <w:r>
        <w:rPr>
          <w:rFonts w:hint="eastAsia" w:ascii="仿宋" w:hAnsi="仿宋" w:eastAsia="仿宋" w:cs="仿宋_GB2312"/>
          <w:kern w:val="0"/>
          <w:sz w:val="32"/>
          <w:szCs w:val="32"/>
          <w:lang w:val="en-US" w:eastAsia="zh-CN"/>
        </w:rPr>
        <w:t>32个，实际人数40人，其中在编人数40人</w:t>
      </w:r>
      <w:r>
        <w:rPr>
          <w:rFonts w:hint="eastAsia" w:ascii="仿宋" w:hAnsi="仿宋" w:eastAsia="仿宋" w:cs="仿宋_GB2312"/>
          <w:kern w:val="0"/>
          <w:sz w:val="32"/>
          <w:szCs w:val="32"/>
        </w:rPr>
        <w:t>。</w:t>
      </w:r>
    </w:p>
    <w:p>
      <w:pPr>
        <w:pStyle w:val="6"/>
        <w:keepNext w:val="0"/>
        <w:keepLines w:val="0"/>
        <w:widowControl/>
        <w:suppressLineNumbers w:val="0"/>
        <w:spacing w:before="0" w:beforeAutospacing="0" w:after="0" w:afterAutospacing="0" w:line="33" w:lineRule="atLeast"/>
        <w:ind w:right="0" w:firstLine="640" w:firstLineChars="200"/>
        <w:jc w:val="both"/>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_GB2312"/>
          <w:kern w:val="0"/>
          <w:sz w:val="32"/>
          <w:szCs w:val="32"/>
        </w:rPr>
        <w:t>内设股室</w:t>
      </w:r>
      <w:r>
        <w:rPr>
          <w:rFonts w:hint="eastAsia" w:ascii="仿宋" w:hAnsi="仿宋" w:eastAsia="仿宋" w:cs="仿宋_GB2312"/>
          <w:kern w:val="0"/>
          <w:sz w:val="32"/>
          <w:szCs w:val="32"/>
          <w:lang w:val="en-US" w:eastAsia="zh-CN"/>
        </w:rPr>
        <w:t>8</w:t>
      </w:r>
      <w:r>
        <w:rPr>
          <w:rFonts w:hint="eastAsia" w:ascii="仿宋" w:hAnsi="仿宋" w:eastAsia="仿宋" w:cs="仿宋_GB2312"/>
          <w:kern w:val="0"/>
          <w:sz w:val="32"/>
          <w:szCs w:val="32"/>
        </w:rPr>
        <w:t>个：办公室、综合管理股、计财审计股、基建设备股、岳阳楼区环境卫生考评办公室、法制股、垃圾分类股</w:t>
      </w:r>
      <w:r>
        <w:rPr>
          <w:rFonts w:hint="eastAsia" w:ascii="仿宋" w:hAnsi="仿宋" w:eastAsia="仿宋" w:cs="仿宋_GB2312"/>
          <w:kern w:val="0"/>
          <w:sz w:val="32"/>
          <w:szCs w:val="32"/>
          <w:lang w:eastAsia="zh-CN"/>
        </w:rPr>
        <w:t>、作业所。</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pStyle w:val="6"/>
        <w:keepNext w:val="0"/>
        <w:keepLines w:val="0"/>
        <w:widowControl/>
        <w:suppressLineNumbers w:val="0"/>
        <w:spacing w:before="0" w:beforeAutospacing="0" w:after="0" w:afterAutospacing="0" w:line="33" w:lineRule="atLeast"/>
        <w:ind w:right="0" w:firstLine="640" w:firstLineChars="200"/>
        <w:jc w:val="both"/>
        <w:rPr>
          <w:rFonts w:hint="eastAsia"/>
          <w:lang w:val="en-US" w:eastAsia="zh-CN"/>
        </w:rPr>
      </w:pPr>
      <w:r>
        <w:rPr>
          <w:rFonts w:hint="eastAsia" w:ascii="仿宋" w:hAnsi="仿宋" w:eastAsia="仿宋" w:cs="仿宋_GB2312"/>
          <w:kern w:val="0"/>
          <w:sz w:val="32"/>
          <w:szCs w:val="32"/>
          <w:lang w:eastAsia="zh-CN"/>
        </w:rPr>
        <w:t>2022年基本支出为</w:t>
      </w:r>
      <w:r>
        <w:rPr>
          <w:rFonts w:hint="eastAsia" w:ascii="仿宋" w:hAnsi="仿宋" w:eastAsia="仿宋" w:cs="仿宋_GB2312"/>
          <w:kern w:val="0"/>
          <w:sz w:val="32"/>
          <w:szCs w:val="32"/>
          <w:lang w:val="en-US" w:eastAsia="zh-CN"/>
        </w:rPr>
        <w:t>636.34</w:t>
      </w:r>
      <w:r>
        <w:rPr>
          <w:rFonts w:hint="eastAsia" w:ascii="仿宋" w:hAnsi="仿宋" w:eastAsia="仿宋" w:cs="仿宋_GB2312"/>
          <w:kern w:val="0"/>
          <w:sz w:val="32"/>
          <w:szCs w:val="32"/>
          <w:lang w:eastAsia="zh-CN"/>
        </w:rPr>
        <w:t>万元，其中：人员经费</w:t>
      </w:r>
      <w:r>
        <w:rPr>
          <w:rFonts w:hint="eastAsia" w:ascii="仿宋" w:hAnsi="仿宋" w:eastAsia="仿宋" w:cs="仿宋_GB2312"/>
          <w:kern w:val="0"/>
          <w:sz w:val="32"/>
          <w:szCs w:val="32"/>
          <w:lang w:val="en-US" w:eastAsia="zh-CN"/>
        </w:rPr>
        <w:t>569.98</w:t>
      </w:r>
      <w:r>
        <w:rPr>
          <w:rFonts w:hint="eastAsia" w:ascii="仿宋" w:hAnsi="仿宋" w:eastAsia="仿宋" w:cs="仿宋_GB2312"/>
          <w:kern w:val="0"/>
          <w:sz w:val="32"/>
          <w:szCs w:val="32"/>
          <w:lang w:eastAsia="zh-CN"/>
        </w:rPr>
        <w:t>万元，主要包括：基本工资、津贴补贴、奖金、绩效工资、机关事业单位基本养老保险缴费、职业年金缴费、职工基本医疗保险缴费、其他社会保障缴费、住房公积金、退休费、其他对个人和家庭的补助；商品和服务支出</w:t>
      </w:r>
      <w:r>
        <w:rPr>
          <w:rFonts w:hint="eastAsia" w:ascii="仿宋" w:hAnsi="仿宋" w:eastAsia="仿宋" w:cs="仿宋_GB2312"/>
          <w:kern w:val="0"/>
          <w:sz w:val="32"/>
          <w:szCs w:val="32"/>
          <w:lang w:val="en-US" w:eastAsia="zh-CN"/>
        </w:rPr>
        <w:t>66.36</w:t>
      </w:r>
      <w:r>
        <w:rPr>
          <w:rFonts w:hint="eastAsia" w:ascii="仿宋" w:hAnsi="仿宋" w:eastAsia="仿宋" w:cs="仿宋_GB2312"/>
          <w:kern w:val="0"/>
          <w:sz w:val="32"/>
          <w:szCs w:val="32"/>
          <w:lang w:eastAsia="zh-CN"/>
        </w:rPr>
        <w:t>万元，主要包括：办公费、印刷费、水费、电费、邮电费、维修（护）费、培训费、公务接待费、工会经费、其他商品和服务支出。</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（二）项目支出情况</w:t>
      </w:r>
    </w:p>
    <w:p>
      <w:pPr>
        <w:pStyle w:val="2"/>
        <w:ind w:firstLine="640" w:firstLineChars="200"/>
        <w:rPr>
          <w:rFonts w:hint="default"/>
          <w:lang w:val="en-US" w:eastAsia="zh-CN"/>
        </w:rPr>
      </w:pPr>
      <w:r>
        <w:rPr>
          <w:rFonts w:hint="eastAsia" w:ascii="仿宋" w:hAnsi="仿宋" w:eastAsia="仿宋" w:cs="仿宋_GB2312"/>
          <w:kern w:val="0"/>
          <w:sz w:val="32"/>
          <w:szCs w:val="32"/>
          <w:lang w:eastAsia="zh-CN"/>
        </w:rPr>
        <w:t>2022年项目支出为</w:t>
      </w:r>
      <w:r>
        <w:rPr>
          <w:rFonts w:hint="eastAsia" w:ascii="仿宋" w:hAnsi="仿宋" w:eastAsia="仿宋" w:cs="仿宋_GB2312"/>
          <w:kern w:val="0"/>
          <w:sz w:val="32"/>
          <w:szCs w:val="32"/>
          <w:lang w:val="en-US" w:eastAsia="zh-CN"/>
        </w:rPr>
        <w:t>2252.69</w:t>
      </w:r>
      <w:r>
        <w:rPr>
          <w:rFonts w:hint="eastAsia" w:ascii="仿宋" w:hAnsi="仿宋" w:eastAsia="仿宋" w:cs="仿宋_GB2312"/>
          <w:kern w:val="0"/>
          <w:sz w:val="32"/>
          <w:szCs w:val="32"/>
          <w:lang w:eastAsia="zh-CN"/>
        </w:rPr>
        <w:t>万元，其中：业务工作经费支出</w:t>
      </w:r>
      <w:r>
        <w:rPr>
          <w:rFonts w:hint="eastAsia" w:ascii="仿宋" w:hAnsi="仿宋" w:eastAsia="仿宋" w:cs="仿宋_GB2312"/>
          <w:kern w:val="0"/>
          <w:sz w:val="32"/>
          <w:szCs w:val="32"/>
          <w:lang w:val="en-US" w:eastAsia="zh-CN"/>
        </w:rPr>
        <w:t>491.03</w:t>
      </w:r>
      <w:r>
        <w:rPr>
          <w:rFonts w:hint="eastAsia" w:ascii="仿宋" w:hAnsi="仿宋" w:eastAsia="仿宋" w:cs="仿宋_GB2312"/>
          <w:kern w:val="0"/>
          <w:sz w:val="32"/>
          <w:szCs w:val="32"/>
          <w:lang w:eastAsia="zh-CN"/>
        </w:rPr>
        <w:t>万元，主要用于购买环卫工人劳保维稳用品费，机械化作业经费、环卫管理工作经费、机关公务用车运行维护经费等方面；审批专项资金</w:t>
      </w:r>
      <w:r>
        <w:rPr>
          <w:rFonts w:hint="eastAsia" w:ascii="仿宋" w:hAnsi="仿宋" w:eastAsia="仿宋" w:cs="仿宋_GB2312"/>
          <w:kern w:val="0"/>
          <w:sz w:val="32"/>
          <w:szCs w:val="32"/>
          <w:lang w:val="en-US" w:eastAsia="zh-CN"/>
        </w:rPr>
        <w:t>630.32万元，主要用于购买环卫工人劳动工具，设施设备维修维护、应急经费、垃圾分类等</w:t>
      </w:r>
      <w:r>
        <w:rPr>
          <w:rFonts w:hint="eastAsia" w:ascii="仿宋" w:hAnsi="仿宋" w:eastAsia="仿宋" w:cs="仿宋_GB2312"/>
          <w:kern w:val="0"/>
          <w:sz w:val="32"/>
          <w:szCs w:val="32"/>
          <w:lang w:eastAsia="zh-CN"/>
        </w:rPr>
        <w:t>。靓捷公司统筹经费</w:t>
      </w:r>
      <w:r>
        <w:rPr>
          <w:rFonts w:hint="eastAsia" w:ascii="仿宋" w:hAnsi="仿宋" w:eastAsia="仿宋" w:cs="仿宋_GB2312"/>
          <w:kern w:val="0"/>
          <w:sz w:val="32"/>
          <w:szCs w:val="32"/>
          <w:lang w:val="en-US" w:eastAsia="zh-CN"/>
        </w:rPr>
        <w:t>756.76万元，主要用于人员经费；垃圾分类收转运建设项目经费374.58万元，用于垃圾分类收转运项目建设购买设施设备等。</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本单位无政府性基金预算支出</w:t>
      </w:r>
    </w:p>
    <w:p>
      <w:pPr>
        <w:keepNext w:val="0"/>
        <w:keepLines w:val="0"/>
        <w:pageBreakBefore w:val="0"/>
        <w:widowControl w:val="0"/>
        <w:numPr>
          <w:ilvl w:val="0"/>
          <w:numId w:val="2"/>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本单位无国有资本经营预算支出</w:t>
      </w:r>
    </w:p>
    <w:p>
      <w:pPr>
        <w:keepNext w:val="0"/>
        <w:keepLines w:val="0"/>
        <w:pageBreakBefore w:val="0"/>
        <w:widowControl w:val="0"/>
        <w:numPr>
          <w:ilvl w:val="0"/>
          <w:numId w:val="2"/>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本单位无社会保险基金预算支出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kinsoku/>
        <w:wordWrap/>
        <w:overflowPunct/>
        <w:topLinePunct w:val="0"/>
        <w:bidi w:val="0"/>
        <w:snapToGrid/>
        <w:spacing w:line="540" w:lineRule="exact"/>
        <w:ind w:firstLine="643" w:firstLineChars="200"/>
        <w:textAlignment w:val="auto"/>
        <w:rPr>
          <w:rFonts w:hint="eastAsia" w:ascii="仿宋_GB2312" w:hAnsi="黑体" w:eastAsia="仿宋_GB2312" w:cs="仿宋_GB2312"/>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sz w:val="32"/>
          <w:szCs w:val="32"/>
        </w:rPr>
        <w:t>1.</w:t>
      </w:r>
      <w:r>
        <w:rPr>
          <w:rFonts w:hint="eastAsia" w:ascii="楷体_GB2312" w:hAnsi="楷体_GB2312" w:eastAsia="楷体_GB2312" w:cs="楷体_GB2312"/>
          <w:b/>
          <w:bCs/>
          <w:color w:val="000000"/>
          <w:sz w:val="32"/>
          <w:szCs w:val="32"/>
          <w:lang w:val="en-US" w:eastAsia="zh-CN"/>
        </w:rPr>
        <w:t>健全完善</w:t>
      </w:r>
      <w:r>
        <w:rPr>
          <w:rFonts w:hint="eastAsia" w:ascii="楷体_GB2312" w:hAnsi="楷体_GB2312" w:eastAsia="楷体_GB2312" w:cs="楷体_GB2312"/>
          <w:b/>
          <w:bCs/>
          <w:color w:val="000000"/>
          <w:sz w:val="32"/>
          <w:szCs w:val="32"/>
        </w:rPr>
        <w:t>网格化全覆盖工作。</w:t>
      </w:r>
      <w:r>
        <w:rPr>
          <w:rFonts w:hint="eastAsia" w:ascii="仿宋_GB2312" w:hAnsi="黑体" w:eastAsia="仿宋_GB2312"/>
          <w:sz w:val="32"/>
          <w:szCs w:val="32"/>
        </w:rPr>
        <w:t>对</w:t>
      </w:r>
      <w:r>
        <w:rPr>
          <w:rFonts w:hint="eastAsia" w:ascii="仿宋_GB2312" w:hAnsi="黑体" w:eastAsia="仿宋_GB2312" w:cs="仿宋_GB2312"/>
          <w:sz w:val="32"/>
          <w:szCs w:val="32"/>
        </w:rPr>
        <w:t>全区范围内675个大网格1819个微网格</w:t>
      </w:r>
      <w:r>
        <w:rPr>
          <w:rFonts w:hint="eastAsia" w:ascii="仿宋_GB2312" w:hAnsi="黑体" w:eastAsia="仿宋_GB2312" w:cs="仿宋_GB2312"/>
          <w:color w:val="000000"/>
          <w:sz w:val="32"/>
          <w:szCs w:val="32"/>
          <w:lang w:val="zh-CN"/>
        </w:rPr>
        <w:t>约1</w:t>
      </w:r>
      <w:r>
        <w:rPr>
          <w:rFonts w:hint="eastAsia" w:ascii="仿宋_GB2312" w:hAnsi="黑体" w:eastAsia="仿宋_GB2312" w:cs="仿宋_GB2312"/>
          <w:color w:val="000000"/>
          <w:sz w:val="32"/>
          <w:szCs w:val="32"/>
        </w:rPr>
        <w:t>070</w:t>
      </w:r>
      <w:r>
        <w:rPr>
          <w:rFonts w:hint="eastAsia" w:ascii="仿宋_GB2312" w:hAnsi="黑体" w:eastAsia="仿宋_GB2312" w:cs="仿宋_GB2312"/>
          <w:color w:val="000000"/>
          <w:sz w:val="32"/>
          <w:szCs w:val="32"/>
          <w:lang w:val="zh-CN"/>
        </w:rPr>
        <w:t>万</w:t>
      </w:r>
      <w:r>
        <w:rPr>
          <w:rFonts w:hint="eastAsia" w:ascii="Segoe UI Symbol" w:hAnsi="Segoe UI Symbol" w:eastAsia="Segoe UI Symbol" w:cs="Segoe UI Symbol"/>
          <w:color w:val="000000"/>
          <w:sz w:val="32"/>
          <w:szCs w:val="32"/>
          <w:lang w:val="zh-CN"/>
        </w:rPr>
        <w:t>㎡</w:t>
      </w:r>
      <w:r>
        <w:rPr>
          <w:rFonts w:hint="eastAsia" w:ascii="仿宋_GB2312" w:hAnsi="黑体" w:eastAsia="仿宋_GB2312"/>
          <w:sz w:val="32"/>
          <w:szCs w:val="32"/>
        </w:rPr>
        <w:t>实行清扫保洁全覆盖</w:t>
      </w:r>
      <w:r>
        <w:rPr>
          <w:rFonts w:hint="eastAsia" w:ascii="仿宋_GB2312" w:hAnsi="黑体" w:eastAsia="仿宋_GB2312" w:cs="仿宋_GB2312"/>
          <w:color w:val="000000"/>
          <w:sz w:val="32"/>
          <w:szCs w:val="32"/>
          <w:lang w:val="zh-CN"/>
        </w:rPr>
        <w:t>（</w:t>
      </w:r>
      <w:r>
        <w:rPr>
          <w:rFonts w:hint="eastAsia" w:ascii="仿宋_GB2312" w:hAnsi="黑体" w:eastAsia="仿宋_GB2312" w:cs="仿宋_GB2312"/>
          <w:color w:val="000000"/>
          <w:sz w:val="32"/>
          <w:szCs w:val="32"/>
        </w:rPr>
        <w:t>2021年</w:t>
      </w:r>
      <w:r>
        <w:rPr>
          <w:rFonts w:hint="eastAsia" w:ascii="仿宋_GB2312" w:hAnsi="黑体" w:eastAsia="仿宋_GB2312" w:cs="仿宋_GB2312"/>
          <w:color w:val="000000"/>
          <w:sz w:val="32"/>
          <w:szCs w:val="32"/>
          <w:lang w:val="zh-CN"/>
        </w:rPr>
        <w:t>网格化全覆盖前约790万</w:t>
      </w:r>
      <w:r>
        <w:rPr>
          <w:rFonts w:hint="eastAsia" w:ascii="Segoe UI Symbol" w:hAnsi="Segoe UI Symbol" w:eastAsia="Segoe UI Symbol" w:cs="Segoe UI Symbol"/>
          <w:color w:val="000000"/>
          <w:sz w:val="32"/>
          <w:szCs w:val="32"/>
          <w:lang w:val="zh-CN"/>
        </w:rPr>
        <w:t>㎡</w:t>
      </w:r>
      <w:r>
        <w:rPr>
          <w:rFonts w:hint="eastAsia" w:ascii="仿宋_GB2312" w:hAnsi="仿宋_GB2312" w:eastAsia="仿宋_GB2312" w:cs="仿宋_GB2312"/>
          <w:color w:val="000000"/>
          <w:sz w:val="32"/>
          <w:szCs w:val="32"/>
          <w:lang w:val="zh-CN"/>
        </w:rPr>
        <w:t>、</w:t>
      </w:r>
      <w:r>
        <w:rPr>
          <w:rFonts w:hint="eastAsia" w:ascii="仿宋_GB2312" w:hAnsi="黑体" w:eastAsia="仿宋_GB2312" w:cs="仿宋_GB2312"/>
          <w:color w:val="000000"/>
          <w:sz w:val="32"/>
          <w:szCs w:val="32"/>
        </w:rPr>
        <w:t>网格化全覆盖后</w:t>
      </w:r>
      <w:r>
        <w:rPr>
          <w:rFonts w:hint="eastAsia" w:ascii="仿宋_GB2312" w:hAnsi="黑体" w:eastAsia="仿宋_GB2312" w:cs="仿宋_GB2312"/>
          <w:color w:val="000000"/>
          <w:sz w:val="32"/>
          <w:szCs w:val="32"/>
          <w:lang w:val="zh-CN"/>
        </w:rPr>
        <w:t>新增无物业管理小区与城中村居民小区约280万</w:t>
      </w:r>
      <w:r>
        <w:rPr>
          <w:rFonts w:hint="eastAsia" w:ascii="Segoe UI Symbol" w:hAnsi="Segoe UI Symbol" w:eastAsia="Segoe UI Symbol" w:cs="Segoe UI Symbol"/>
          <w:color w:val="000000"/>
          <w:sz w:val="32"/>
          <w:szCs w:val="32"/>
          <w:lang w:val="zh-CN"/>
        </w:rPr>
        <w:t>㎡</w:t>
      </w:r>
      <w:r>
        <w:rPr>
          <w:rFonts w:hint="eastAsia" w:ascii="仿宋_GB2312" w:hAnsi="仿宋_GB2312" w:eastAsia="仿宋_GB2312" w:cs="仿宋_GB2312"/>
          <w:color w:val="000000"/>
          <w:sz w:val="32"/>
          <w:szCs w:val="32"/>
          <w:lang w:val="zh-CN"/>
        </w:rPr>
        <w:t>）、另外还新增了以菜地为主的辐射保洁面积约</w:t>
      </w:r>
      <w:r>
        <w:rPr>
          <w:rFonts w:hint="eastAsia" w:ascii="仿宋_GB2312" w:hAnsi="黑体" w:eastAsia="仿宋_GB2312" w:cs="仿宋_GB2312"/>
          <w:color w:val="000000"/>
          <w:sz w:val="32"/>
          <w:szCs w:val="32"/>
          <w:lang w:val="zh-CN"/>
        </w:rPr>
        <w:t>290万</w:t>
      </w:r>
      <w:r>
        <w:rPr>
          <w:rFonts w:hint="eastAsia" w:ascii="Segoe UI Symbol" w:hAnsi="Segoe UI Symbol" w:eastAsia="Segoe UI Symbol" w:cs="Segoe UI Symbol"/>
          <w:color w:val="000000"/>
          <w:sz w:val="32"/>
          <w:szCs w:val="32"/>
          <w:lang w:val="zh-CN"/>
        </w:rPr>
        <w:t>㎡</w:t>
      </w:r>
      <w:r>
        <w:rPr>
          <w:rFonts w:hint="eastAsia" w:ascii="仿宋_GB2312" w:hAnsi="仿宋_GB2312" w:eastAsia="仿宋_GB2312" w:cs="仿宋_GB2312"/>
          <w:color w:val="000000"/>
          <w:sz w:val="32"/>
          <w:szCs w:val="32"/>
          <w:lang w:val="zh-CN"/>
        </w:rPr>
        <w:t>，做到了</w:t>
      </w:r>
      <w:r>
        <w:rPr>
          <w:rFonts w:hint="eastAsia" w:ascii="仿宋_GB2312" w:hAnsi="黑体" w:eastAsia="仿宋_GB2312" w:cs="仿宋_GB2312"/>
          <w:kern w:val="0"/>
          <w:sz w:val="32"/>
          <w:szCs w:val="32"/>
          <w:lang w:val="zh-CN"/>
        </w:rPr>
        <w:t>对主次干道、背街小巷等公共区域实行重点保障、全面覆盖。</w:t>
      </w:r>
    </w:p>
    <w:p>
      <w:pPr>
        <w:ind w:firstLine="643" w:firstLineChars="200"/>
        <w:rPr>
          <w:rFonts w:hint="eastAsia" w:ascii="仿宋_GB2312" w:hAnsi="仿宋_GB2312" w:eastAsia="仿宋_GB2312" w:cs="仿宋_GB2312"/>
          <w:color w:val="000000"/>
          <w:sz w:val="32"/>
          <w:szCs w:val="32"/>
          <w:u w:val="none"/>
        </w:rPr>
      </w:pPr>
      <w:r>
        <w:rPr>
          <w:rFonts w:hint="eastAsia" w:ascii="楷体_GB2312" w:hAnsi="楷体_GB2312" w:eastAsia="楷体_GB2312" w:cs="楷体_GB2312"/>
          <w:b/>
          <w:bCs/>
          <w:color w:val="000000"/>
          <w:sz w:val="32"/>
          <w:szCs w:val="32"/>
        </w:rPr>
        <w:t>2.</w:t>
      </w:r>
      <w:r>
        <w:rPr>
          <w:rFonts w:hint="eastAsia" w:ascii="楷体_GB2312" w:hAnsi="楷体_GB2312" w:eastAsia="楷体_GB2312" w:cs="楷体_GB2312"/>
          <w:b/>
          <w:bCs/>
          <w:color w:val="000000"/>
          <w:sz w:val="32"/>
          <w:szCs w:val="32"/>
          <w:lang w:val="en-US" w:eastAsia="zh-CN"/>
        </w:rPr>
        <w:t>扎实推进环卫常态化工作机制。</w:t>
      </w:r>
      <w:r>
        <w:rPr>
          <w:rFonts w:hint="eastAsia" w:ascii="仿宋_GB2312" w:hAnsi="仿宋_GB2312" w:eastAsia="仿宋_GB2312" w:cs="仿宋_GB2312"/>
          <w:b/>
          <w:bCs/>
          <w:color w:val="000000"/>
          <w:sz w:val="32"/>
          <w:szCs w:val="32"/>
          <w:lang w:val="en-US" w:eastAsia="zh-CN"/>
        </w:rPr>
        <w:t>严格落实三级书记抓环卫和常态化巡街督查工作机制。</w:t>
      </w:r>
      <w:r>
        <w:rPr>
          <w:rFonts w:hint="eastAsia" w:ascii="仿宋_GB2312" w:hAnsi="仿宋_GB2312" w:eastAsia="仿宋_GB2312" w:cs="仿宋_GB2312"/>
          <w:color w:val="000000"/>
          <w:sz w:val="32"/>
          <w:szCs w:val="32"/>
        </w:rPr>
        <w:t>开展常态化巡街督导</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针对发现的问题，及时联系相关责任人按照分类处置要求及时整治处理</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创新市容环境卫生考评机制。</w:t>
      </w:r>
      <w:r>
        <w:rPr>
          <w:rFonts w:hint="eastAsia" w:ascii="仿宋_GB2312" w:hAnsi="仿宋_GB2312" w:eastAsia="仿宋_GB2312" w:cs="仿宋_GB2312"/>
          <w:sz w:val="32"/>
          <w:szCs w:val="32"/>
        </w:rPr>
        <w:t>充分发挥督查考评“指挥棒”作用，</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15个</w:t>
      </w:r>
      <w:r>
        <w:rPr>
          <w:rFonts w:hint="eastAsia" w:ascii="仿宋_GB2312" w:hAnsi="仿宋_GB2312" w:eastAsia="仿宋_GB2312" w:cs="仿宋_GB2312"/>
          <w:color w:val="000000"/>
          <w:sz w:val="32"/>
          <w:szCs w:val="32"/>
        </w:rPr>
        <w:t>街道（乡）</w:t>
      </w:r>
      <w:r>
        <w:rPr>
          <w:rFonts w:hint="eastAsia" w:ascii="仿宋_GB2312" w:hAnsi="仿宋_GB2312" w:eastAsia="仿宋_GB2312" w:cs="仿宋_GB2312"/>
          <w:color w:val="000000"/>
          <w:sz w:val="32"/>
          <w:szCs w:val="32"/>
          <w:lang w:val="en-US" w:eastAsia="zh-CN"/>
        </w:rPr>
        <w:t>和</w:t>
      </w:r>
      <w:r>
        <w:rPr>
          <w:rFonts w:hint="eastAsia" w:ascii="仿宋_GB2312" w:hAnsi="仿宋_GB2312" w:eastAsia="仿宋_GB2312" w:cs="仿宋_GB2312"/>
          <w:sz w:val="32"/>
          <w:szCs w:val="32"/>
        </w:rPr>
        <w:t>10</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个社区（村）环卫工作纳入常态化考评，实行“一月一考评、一月一排名、一月一通报、一月一奖惩、一</w:t>
      </w:r>
      <w:r>
        <w:rPr>
          <w:rFonts w:hint="eastAsia" w:ascii="仿宋_GB2312" w:hAnsi="仿宋_GB2312" w:eastAsia="仿宋_GB2312" w:cs="仿宋_GB2312"/>
          <w:sz w:val="32"/>
          <w:szCs w:val="32"/>
          <w:lang w:val="en-US" w:eastAsia="zh-CN"/>
        </w:rPr>
        <w:t>月</w:t>
      </w:r>
      <w:r>
        <w:rPr>
          <w:rFonts w:hint="eastAsia" w:ascii="仿宋_GB2312" w:hAnsi="仿宋_GB2312" w:eastAsia="仿宋_GB2312" w:cs="仿宋_GB2312"/>
          <w:sz w:val="32"/>
          <w:szCs w:val="32"/>
        </w:rPr>
        <w:t>一讲评”机制。</w:t>
      </w:r>
      <w:r>
        <w:rPr>
          <w:rFonts w:hint="eastAsia" w:ascii="仿宋_GB2312" w:hAnsi="仿宋_GB2312" w:eastAsia="仿宋_GB2312" w:cs="仿宋_GB2312"/>
          <w:color w:val="000000" w:themeColor="text1"/>
          <w:sz w:val="32"/>
          <w:szCs w:val="32"/>
          <w14:textFill>
            <w14:solidFill>
              <w14:schemeClr w14:val="tx1"/>
            </w14:solidFill>
          </w14:textFill>
        </w:rPr>
        <w:t>今年来，</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累计</w:t>
      </w:r>
      <w:r>
        <w:rPr>
          <w:rFonts w:hint="eastAsia" w:ascii="仿宋_GB2312" w:hAnsi="仿宋_GB2312" w:eastAsia="仿宋_GB2312" w:cs="仿宋_GB2312"/>
          <w:sz w:val="32"/>
          <w:szCs w:val="32"/>
          <w:lang w:val="en-US" w:eastAsia="zh-CN"/>
        </w:rPr>
        <w:t>督查考评发现问题32152处，现场交办整改26484处，下发问题交办函5668件、督促整改落实5668件；</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智慧平台累计</w:t>
      </w:r>
      <w:r>
        <w:rPr>
          <w:rFonts w:hint="eastAsia" w:ascii="仿宋_GB2312" w:hAnsi="仿宋_GB2312" w:eastAsia="仿宋_GB2312" w:cs="仿宋_GB2312"/>
          <w:color w:val="000000"/>
          <w:sz w:val="32"/>
          <w:szCs w:val="32"/>
          <w:u w:val="none"/>
        </w:rPr>
        <w:t>接派工单</w:t>
      </w:r>
      <w:r>
        <w:rPr>
          <w:rFonts w:hint="eastAsia" w:ascii="仿宋_GB2312" w:hAnsi="仿宋_GB2312" w:eastAsia="仿宋_GB2312" w:cs="仿宋_GB2312"/>
          <w:color w:val="000000"/>
          <w:sz w:val="32"/>
          <w:szCs w:val="32"/>
          <w:u w:val="none"/>
          <w:lang w:val="en-US" w:eastAsia="zh-CN"/>
        </w:rPr>
        <w:t>26580，</w:t>
      </w:r>
      <w:r>
        <w:rPr>
          <w:rFonts w:hint="eastAsia" w:ascii="仿宋_GB2312" w:hAnsi="仿宋_GB2312" w:eastAsia="仿宋_GB2312" w:cs="仿宋_GB2312"/>
          <w:color w:val="000000"/>
          <w:sz w:val="32"/>
          <w:szCs w:val="32"/>
          <w:u w:val="none"/>
        </w:rPr>
        <w:t>处置工单26</w:t>
      </w:r>
      <w:r>
        <w:rPr>
          <w:rFonts w:hint="eastAsia" w:ascii="仿宋_GB2312" w:hAnsi="仿宋_GB2312" w:eastAsia="仿宋_GB2312" w:cs="仿宋_GB2312"/>
          <w:color w:val="000000"/>
          <w:sz w:val="32"/>
          <w:szCs w:val="32"/>
          <w:u w:val="none"/>
          <w:lang w:val="en-US" w:eastAsia="zh-CN"/>
        </w:rPr>
        <w:t>127</w:t>
      </w:r>
      <w:r>
        <w:rPr>
          <w:rFonts w:hint="eastAsia" w:ascii="仿宋_GB2312" w:hAnsi="仿宋_GB2312" w:eastAsia="仿宋_GB2312" w:cs="仿宋_GB2312"/>
          <w:color w:val="000000"/>
          <w:sz w:val="32"/>
          <w:szCs w:val="32"/>
          <w:u w:val="none"/>
        </w:rPr>
        <w:t>单，工单处置率9</w:t>
      </w:r>
      <w:r>
        <w:rPr>
          <w:rFonts w:hint="eastAsia" w:ascii="仿宋_GB2312" w:hAnsi="仿宋_GB2312" w:eastAsia="仿宋_GB2312" w:cs="仿宋_GB2312"/>
          <w:color w:val="000000"/>
          <w:sz w:val="32"/>
          <w:szCs w:val="32"/>
          <w:u w:val="none"/>
          <w:lang w:val="en-US" w:eastAsia="zh-CN"/>
        </w:rPr>
        <w:t>8</w:t>
      </w:r>
      <w:r>
        <w:rPr>
          <w:rFonts w:hint="eastAsia" w:ascii="仿宋_GB2312" w:hAnsi="仿宋_GB2312" w:eastAsia="仿宋_GB2312" w:cs="仿宋_GB2312"/>
          <w:color w:val="000000"/>
          <w:sz w:val="32"/>
          <w:szCs w:val="32"/>
          <w:u w:val="none"/>
        </w:rPr>
        <w:t>%，按期处置数22</w:t>
      </w:r>
      <w:r>
        <w:rPr>
          <w:rFonts w:hint="eastAsia" w:ascii="仿宋_GB2312" w:hAnsi="仿宋_GB2312" w:eastAsia="仿宋_GB2312" w:cs="仿宋_GB2312"/>
          <w:color w:val="000000"/>
          <w:sz w:val="32"/>
          <w:szCs w:val="32"/>
          <w:u w:val="none"/>
          <w:lang w:val="en-US" w:eastAsia="zh-CN"/>
        </w:rPr>
        <w:t>313</w:t>
      </w:r>
      <w:r>
        <w:rPr>
          <w:rFonts w:hint="eastAsia" w:ascii="仿宋_GB2312" w:hAnsi="仿宋_GB2312" w:eastAsia="仿宋_GB2312" w:cs="仿宋_GB2312"/>
          <w:color w:val="000000"/>
          <w:sz w:val="32"/>
          <w:szCs w:val="32"/>
          <w:u w:val="none"/>
        </w:rPr>
        <w:t>、超期处置数389</w:t>
      </w:r>
      <w:r>
        <w:rPr>
          <w:rFonts w:hint="eastAsia" w:ascii="仿宋_GB2312" w:hAnsi="仿宋_GB2312" w:eastAsia="仿宋_GB2312" w:cs="仿宋_GB2312"/>
          <w:color w:val="000000"/>
          <w:sz w:val="32"/>
          <w:szCs w:val="32"/>
          <w:u w:val="none"/>
          <w:lang w:val="en-US" w:eastAsia="zh-CN"/>
        </w:rPr>
        <w:t>5</w:t>
      </w:r>
      <w:r>
        <w:rPr>
          <w:rFonts w:hint="eastAsia" w:ascii="仿宋_GB2312" w:hAnsi="仿宋_GB2312" w:eastAsia="仿宋_GB2312" w:cs="仿宋_GB2312"/>
          <w:color w:val="000000"/>
          <w:sz w:val="32"/>
          <w:szCs w:val="32"/>
          <w:u w:val="none"/>
        </w:rPr>
        <w:t>、按期处置率8</w:t>
      </w:r>
      <w:r>
        <w:rPr>
          <w:rFonts w:hint="eastAsia" w:ascii="仿宋_GB2312" w:hAnsi="仿宋_GB2312" w:eastAsia="仿宋_GB2312" w:cs="仿宋_GB2312"/>
          <w:color w:val="000000"/>
          <w:sz w:val="32"/>
          <w:szCs w:val="32"/>
          <w:u w:val="none"/>
          <w:lang w:val="en-US" w:eastAsia="zh-CN"/>
        </w:rPr>
        <w:t>6</w:t>
      </w:r>
      <w:r>
        <w:rPr>
          <w:rFonts w:hint="eastAsia" w:ascii="仿宋_GB2312" w:hAnsi="仿宋_GB2312" w:eastAsia="仿宋_GB2312" w:cs="仿宋_GB2312"/>
          <w:color w:val="000000"/>
          <w:sz w:val="32"/>
          <w:szCs w:val="32"/>
          <w:u w:val="none"/>
        </w:rPr>
        <w:t>%</w:t>
      </w:r>
      <w:r>
        <w:rPr>
          <w:rFonts w:hint="eastAsia" w:ascii="仿宋_GB2312" w:hAnsi="仿宋_GB2312" w:eastAsia="仿宋_GB2312" w:cs="仿宋_GB2312"/>
          <w:color w:val="000000"/>
          <w:sz w:val="32"/>
          <w:szCs w:val="32"/>
          <w:u w:val="none"/>
          <w:lang w:eastAsia="zh-CN"/>
        </w:rPr>
        <w:t>；</w:t>
      </w:r>
      <w:r>
        <w:rPr>
          <w:rFonts w:hint="eastAsia" w:ascii="仿宋_GB2312" w:hAnsi="仿宋_GB2312" w:eastAsia="仿宋_GB2312" w:cs="仿宋_GB2312"/>
          <w:sz w:val="32"/>
          <w:szCs w:val="32"/>
          <w:lang w:val="en-US" w:eastAsia="zh-CN"/>
        </w:rPr>
        <w:t>召开市容环境卫生工作讲评会议12次，下发情况通报12次，挂号销号重点问题60个，约谈乡街、社区（村）负责人13人次，</w:t>
      </w:r>
      <w:r>
        <w:rPr>
          <w:rFonts w:hint="eastAsia" w:ascii="仿宋_GB2312" w:hAnsi="仿宋_GB2312" w:eastAsia="仿宋_GB2312" w:cs="仿宋_GB2312"/>
          <w:color w:val="000000" w:themeColor="text1"/>
          <w:sz w:val="32"/>
          <w:szCs w:val="32"/>
          <w14:textFill>
            <w14:solidFill>
              <w14:schemeClr w14:val="tx1"/>
            </w14:solidFill>
          </w14:textFill>
        </w:rPr>
        <w:t>以奖代投</w:t>
      </w:r>
      <w:r>
        <w:rPr>
          <w:rFonts w:hint="eastAsia" w:ascii="仿宋_GB2312" w:hAnsi="仿宋_GB2312" w:eastAsia="仿宋_GB2312" w:cs="仿宋_GB2312"/>
          <w:sz w:val="32"/>
          <w:szCs w:val="32"/>
          <w:lang w:val="en-US" w:eastAsia="zh-CN"/>
        </w:rPr>
        <w:t>奖励环卫工作经费，全年共计奖励经费216万元</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sz w:val="32"/>
          <w:szCs w:val="32"/>
          <w:lang w:val="en-US" w:eastAsia="zh-CN"/>
        </w:rPr>
        <w:t>落实社区每周一次大扫除机制。发动全区108个社区（村）针对常态化巡街督查、督查考评中发生问题、环境卫生</w:t>
      </w:r>
      <w:r>
        <w:rPr>
          <w:rFonts w:hint="eastAsia" w:ascii="仿宋_GB2312" w:hAnsi="仿宋_GB2312" w:eastAsia="仿宋_GB2312" w:cs="仿宋_GB2312"/>
          <w:sz w:val="32"/>
          <w:szCs w:val="32"/>
        </w:rPr>
        <w:t>薄弱环节和重点区域每周开展一次环境卫生大扫除活动，累计开展大扫除活动</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000多次，</w:t>
      </w:r>
      <w:r>
        <w:rPr>
          <w:rFonts w:hint="eastAsia" w:ascii="仿宋_GB2312" w:hAnsi="仿宋_GB2312" w:eastAsia="仿宋_GB2312" w:cs="仿宋_GB2312"/>
          <w:sz w:val="32"/>
          <w:szCs w:val="32"/>
          <w:lang w:eastAsia="zh-CN"/>
        </w:rPr>
        <w:t>参与人员</w:t>
      </w:r>
      <w:r>
        <w:rPr>
          <w:rFonts w:hint="eastAsia" w:ascii="仿宋_GB2312" w:hAnsi="仿宋_GB2312" w:eastAsia="仿宋_GB2312" w:cs="仿宋_GB2312"/>
          <w:sz w:val="32"/>
          <w:szCs w:val="32"/>
          <w:lang w:val="en-US" w:eastAsia="zh-CN"/>
        </w:rPr>
        <w:t>50000余人次。</w:t>
      </w:r>
    </w:p>
    <w:p>
      <w:pPr>
        <w:keepNext w:val="0"/>
        <w:keepLines w:val="0"/>
        <w:pageBreakBefore w:val="0"/>
        <w:widowControl w:val="0"/>
        <w:kinsoku/>
        <w:wordWrap/>
        <w:overflowPunct/>
        <w:topLinePunct w:val="0"/>
        <w:bidi w:val="0"/>
        <w:snapToGrid/>
        <w:spacing w:line="540" w:lineRule="exact"/>
        <w:ind w:firstLine="643" w:firstLineChars="200"/>
        <w:textAlignment w:val="auto"/>
        <w:rPr>
          <w:rFonts w:hint="eastAsia" w:ascii="仿宋_GB2312" w:eastAsia="仿宋_GB2312"/>
          <w:sz w:val="32"/>
          <w:szCs w:val="32"/>
        </w:rPr>
      </w:pPr>
      <w:r>
        <w:rPr>
          <w:rFonts w:hint="eastAsia" w:ascii="楷体_GB2312" w:hAnsi="楷体_GB2312" w:eastAsia="楷体_GB2312" w:cs="楷体_GB2312"/>
          <w:b/>
          <w:bCs/>
          <w:color w:val="000000"/>
          <w:sz w:val="32"/>
          <w:szCs w:val="32"/>
          <w:lang w:val="en-US" w:eastAsia="zh-CN"/>
        </w:rPr>
        <w:t>3.健全城市生活</w:t>
      </w:r>
      <w:r>
        <w:rPr>
          <w:rFonts w:hint="eastAsia" w:ascii="楷体_GB2312" w:hAnsi="楷体_GB2312" w:eastAsia="楷体_GB2312" w:cs="楷体_GB2312"/>
          <w:b/>
          <w:bCs/>
          <w:color w:val="000000"/>
          <w:sz w:val="32"/>
          <w:szCs w:val="32"/>
        </w:rPr>
        <w:t>垃圾分类</w:t>
      </w:r>
      <w:r>
        <w:rPr>
          <w:rFonts w:hint="eastAsia" w:ascii="楷体_GB2312" w:hAnsi="楷体_GB2312" w:eastAsia="楷体_GB2312" w:cs="楷体_GB2312"/>
          <w:b/>
          <w:bCs/>
          <w:color w:val="000000"/>
          <w:sz w:val="32"/>
          <w:szCs w:val="32"/>
          <w:lang w:val="en-US" w:eastAsia="zh-CN"/>
        </w:rPr>
        <w:t>体系</w:t>
      </w:r>
      <w:r>
        <w:rPr>
          <w:rFonts w:hint="eastAsia" w:ascii="楷体_GB2312" w:hAnsi="楷体_GB2312" w:eastAsia="楷体_GB2312" w:cs="楷体_GB2312"/>
          <w:b/>
          <w:bCs/>
          <w:color w:val="000000"/>
          <w:sz w:val="32"/>
          <w:szCs w:val="32"/>
        </w:rPr>
        <w:t>。</w:t>
      </w:r>
      <w:r>
        <w:rPr>
          <w:rFonts w:hint="eastAsia" w:ascii="仿宋_GB2312" w:eastAsia="仿宋_GB2312"/>
          <w:sz w:val="32"/>
          <w:szCs w:val="32"/>
        </w:rPr>
        <w:t>成立了全区生活垃圾分类工作领导小组，制定了《岳阳楼区生活垃圾分类工作实施方案》，</w:t>
      </w:r>
      <w:r>
        <w:rPr>
          <w:rFonts w:hint="eastAsia" w:ascii="仿宋_GB2312" w:eastAsia="仿宋_GB2312"/>
          <w:sz w:val="32"/>
          <w:szCs w:val="32"/>
          <w:lang w:val="en-US" w:eastAsia="zh-CN"/>
        </w:rPr>
        <w:t>明确了相关单位职责任务分工</w:t>
      </w:r>
      <w:r>
        <w:rPr>
          <w:rFonts w:hint="eastAsia" w:ascii="仿宋_GB2312" w:eastAsia="仿宋_GB2312"/>
          <w:sz w:val="32"/>
          <w:szCs w:val="32"/>
        </w:rPr>
        <w:t>，</w:t>
      </w:r>
      <w:r>
        <w:rPr>
          <w:rFonts w:hint="eastAsia" w:ascii="仿宋_GB2312" w:hAnsi="黑体" w:eastAsia="仿宋_GB2312" w:cs="仿宋_GB2312"/>
          <w:sz w:val="32"/>
          <w:szCs w:val="32"/>
        </w:rPr>
        <w:t>树立了“管行业就要管垃圾分类”的工作理念，</w:t>
      </w:r>
      <w:r>
        <w:rPr>
          <w:rFonts w:hint="eastAsia" w:ascii="仿宋_GB2312" w:eastAsia="仿宋_GB2312"/>
          <w:sz w:val="32"/>
          <w:szCs w:val="32"/>
        </w:rPr>
        <w:t>建立了近千人的“引导员、督查员、督导员”三员队伍</w:t>
      </w:r>
      <w:r>
        <w:rPr>
          <w:rFonts w:hint="eastAsia" w:ascii="仿宋_GB2312" w:eastAsia="仿宋_GB2312"/>
          <w:sz w:val="32"/>
          <w:szCs w:val="32"/>
          <w:lang w:eastAsia="zh-CN"/>
        </w:rPr>
        <w:t>，</w:t>
      </w:r>
      <w:r>
        <w:rPr>
          <w:rFonts w:hint="eastAsia" w:ascii="仿宋_GB2312" w:eastAsia="仿宋_GB2312"/>
          <w:sz w:val="32"/>
          <w:szCs w:val="32"/>
        </w:rPr>
        <w:t>发展</w:t>
      </w:r>
      <w:r>
        <w:rPr>
          <w:rFonts w:hint="eastAsia" w:ascii="仿宋_GB2312" w:eastAsia="仿宋_GB2312"/>
          <w:sz w:val="32"/>
          <w:szCs w:val="32"/>
          <w:lang w:eastAsia="zh-CN"/>
        </w:rPr>
        <w:t>了</w:t>
      </w:r>
      <w:r>
        <w:rPr>
          <w:rFonts w:hint="eastAsia" w:ascii="仿宋_GB2312" w:eastAsia="仿宋_GB2312"/>
          <w:sz w:val="32"/>
          <w:szCs w:val="32"/>
        </w:rPr>
        <w:t>1千多人</w:t>
      </w:r>
      <w:r>
        <w:rPr>
          <w:rFonts w:hint="eastAsia" w:ascii="仿宋_GB2312" w:eastAsia="仿宋_GB2312"/>
          <w:sz w:val="32"/>
          <w:szCs w:val="32"/>
          <w:lang w:eastAsia="zh-CN"/>
        </w:rPr>
        <w:t>的</w:t>
      </w:r>
      <w:r>
        <w:rPr>
          <w:rFonts w:hint="eastAsia" w:ascii="仿宋_GB2312" w:eastAsia="仿宋_GB2312"/>
          <w:sz w:val="32"/>
          <w:szCs w:val="32"/>
        </w:rPr>
        <w:t>生活垃圾分类宣讲员</w:t>
      </w:r>
      <w:r>
        <w:rPr>
          <w:rFonts w:hint="eastAsia" w:ascii="仿宋_GB2312" w:eastAsia="仿宋_GB2312"/>
          <w:sz w:val="32"/>
          <w:szCs w:val="32"/>
          <w:lang w:val="en-US" w:eastAsia="zh-CN"/>
        </w:rPr>
        <w:t>和</w:t>
      </w:r>
      <w:r>
        <w:rPr>
          <w:rFonts w:hint="eastAsia" w:ascii="仿宋_GB2312" w:eastAsia="仿宋_GB2312"/>
          <w:sz w:val="32"/>
          <w:szCs w:val="32"/>
        </w:rPr>
        <w:t>志愿者队伍</w:t>
      </w:r>
      <w:r>
        <w:rPr>
          <w:rFonts w:hint="eastAsia" w:ascii="仿宋_GB2312" w:eastAsia="仿宋_GB2312"/>
          <w:sz w:val="32"/>
          <w:szCs w:val="32"/>
          <w:lang w:eastAsia="zh-CN"/>
        </w:rPr>
        <w:t>，</w:t>
      </w:r>
      <w:r>
        <w:rPr>
          <w:rFonts w:hint="eastAsia" w:ascii="Times New Roman" w:hAnsi="Times New Roman" w:eastAsia="仿宋_GB2312"/>
          <w:color w:val="000000"/>
          <w:sz w:val="32"/>
          <w:szCs w:val="32"/>
          <w:u w:val="none"/>
          <w:lang w:val="en-US" w:eastAsia="zh-CN"/>
        </w:rPr>
        <w:t>完成了</w:t>
      </w:r>
      <w:r>
        <w:rPr>
          <w:rFonts w:hint="eastAsia" w:ascii="仿宋_GB2312" w:eastAsia="仿宋_GB2312"/>
          <w:sz w:val="32"/>
          <w:szCs w:val="32"/>
          <w:u w:val="none"/>
        </w:rPr>
        <w:t>全区</w:t>
      </w:r>
      <w:r>
        <w:rPr>
          <w:rFonts w:ascii="仿宋_GB2312" w:eastAsia="仿宋_GB2312"/>
          <w:sz w:val="32"/>
          <w:szCs w:val="32"/>
          <w:u w:val="none"/>
        </w:rPr>
        <w:t>260</w:t>
      </w:r>
      <w:r>
        <w:rPr>
          <w:rFonts w:hint="eastAsia" w:ascii="仿宋_GB2312" w:eastAsia="仿宋_GB2312"/>
          <w:sz w:val="32"/>
          <w:szCs w:val="32"/>
          <w:u w:val="none"/>
        </w:rPr>
        <w:t>家区属公共机构生活垃圾四分类投放设施全覆盖，撤桶并点完成率</w:t>
      </w:r>
      <w:r>
        <w:rPr>
          <w:rFonts w:ascii="仿宋_GB2312" w:eastAsia="仿宋_GB2312"/>
          <w:sz w:val="32"/>
          <w:szCs w:val="32"/>
          <w:u w:val="none"/>
        </w:rPr>
        <w:t>100%</w:t>
      </w:r>
      <w:r>
        <w:rPr>
          <w:rFonts w:hint="eastAsia" w:ascii="仿宋_GB2312" w:eastAsia="仿宋_GB2312"/>
          <w:sz w:val="32"/>
          <w:szCs w:val="32"/>
          <w:u w:val="none"/>
          <w:lang w:eastAsia="zh-CN"/>
        </w:rPr>
        <w:t>，</w:t>
      </w:r>
      <w:r>
        <w:rPr>
          <w:rFonts w:hint="eastAsia" w:ascii="仿宋_GB2312" w:hAnsi="黑体" w:eastAsia="仿宋_GB2312"/>
          <w:color w:val="000000"/>
          <w:sz w:val="32"/>
          <w:szCs w:val="32"/>
        </w:rPr>
        <w:t>将</w:t>
      </w:r>
      <w:r>
        <w:rPr>
          <w:rFonts w:hint="eastAsia" w:ascii="仿宋_GB2312" w:hAnsi="黑体" w:eastAsia="仿宋_GB2312" w:cs="仿宋_GB2312"/>
          <w:color w:val="000000"/>
          <w:sz w:val="32"/>
          <w:szCs w:val="32"/>
        </w:rPr>
        <w:t>吕仙亭街道、东茅岭街道</w:t>
      </w:r>
      <w:r>
        <w:rPr>
          <w:rFonts w:hint="eastAsia" w:ascii="仿宋_GB2312" w:hAnsi="黑体" w:eastAsia="仿宋_GB2312"/>
          <w:color w:val="000000"/>
          <w:sz w:val="32"/>
          <w:szCs w:val="32"/>
        </w:rPr>
        <w:t>申报</w:t>
      </w:r>
      <w:r>
        <w:rPr>
          <w:rFonts w:hint="eastAsia" w:ascii="仿宋_GB2312" w:hAnsi="黑体" w:eastAsia="仿宋_GB2312" w:cs="仿宋_GB2312"/>
          <w:color w:val="000000"/>
          <w:sz w:val="32"/>
          <w:szCs w:val="32"/>
        </w:rPr>
        <w:t>为省市生活垃圾分类示范街道创建对象</w:t>
      </w:r>
      <w:r>
        <w:rPr>
          <w:rFonts w:hint="eastAsia" w:ascii="仿宋_GB2312" w:hAnsi="黑体" w:eastAsia="仿宋_GB2312" w:cs="仿宋_GB2312"/>
          <w:color w:val="000000"/>
          <w:sz w:val="32"/>
          <w:szCs w:val="32"/>
          <w:lang w:eastAsia="zh-CN"/>
        </w:rPr>
        <w:t>，</w:t>
      </w:r>
      <w:r>
        <w:rPr>
          <w:rFonts w:hint="eastAsia" w:ascii="仿宋_GB2312" w:hAnsi="黑体" w:eastAsia="仿宋_GB2312" w:cs="仿宋_GB2312"/>
          <w:color w:val="000000"/>
          <w:sz w:val="32"/>
          <w:szCs w:val="32"/>
          <w:u w:val="none"/>
          <w:lang w:val="en-US" w:eastAsia="zh-CN"/>
        </w:rPr>
        <w:t>并明确了</w:t>
      </w:r>
      <w:r>
        <w:rPr>
          <w:rFonts w:hint="eastAsia" w:ascii="仿宋_GB2312" w:hAnsi="黑体" w:eastAsia="仿宋_GB2312"/>
          <w:color w:val="000000"/>
          <w:sz w:val="32"/>
          <w:szCs w:val="32"/>
          <w:u w:val="none"/>
        </w:rPr>
        <w:t>各乡街按照要求应</w:t>
      </w:r>
      <w:r>
        <w:rPr>
          <w:rFonts w:hint="eastAsia" w:ascii="仿宋_GB2312" w:hAnsi="黑体" w:eastAsia="仿宋_GB2312" w:cs="仿宋_GB2312"/>
          <w:color w:val="000000"/>
          <w:sz w:val="32"/>
          <w:szCs w:val="32"/>
          <w:u w:val="none"/>
        </w:rPr>
        <w:t>建成不少于1个社区（村）生活垃圾分</w:t>
      </w:r>
      <w:r>
        <w:rPr>
          <w:rFonts w:hint="eastAsia" w:ascii="仿宋_GB2312" w:hAnsi="黑体" w:eastAsia="仿宋_GB2312"/>
          <w:color w:val="000000"/>
          <w:sz w:val="32"/>
          <w:szCs w:val="32"/>
          <w:u w:val="none"/>
        </w:rPr>
        <w:t>类</w:t>
      </w:r>
      <w:r>
        <w:rPr>
          <w:rFonts w:hint="eastAsia" w:ascii="Times New Roman" w:hAnsi="Times New Roman" w:eastAsia="仿宋_GB2312"/>
          <w:color w:val="000000"/>
          <w:sz w:val="32"/>
          <w:szCs w:val="32"/>
          <w:u w:val="none"/>
        </w:rPr>
        <w:t>示范片区</w:t>
      </w:r>
      <w:r>
        <w:rPr>
          <w:rFonts w:hint="eastAsia" w:ascii="Times New Roman" w:hAnsi="Times New Roman" w:eastAsia="仿宋_GB2312"/>
          <w:color w:val="000000"/>
          <w:sz w:val="32"/>
          <w:szCs w:val="32"/>
          <w:u w:val="none"/>
          <w:lang w:eastAsia="zh-CN"/>
        </w:rPr>
        <w:t>的</w:t>
      </w:r>
      <w:r>
        <w:rPr>
          <w:rFonts w:hint="eastAsia" w:ascii="Times New Roman" w:hAnsi="Times New Roman" w:eastAsia="仿宋_GB2312"/>
          <w:color w:val="000000"/>
          <w:sz w:val="32"/>
          <w:szCs w:val="32"/>
          <w:u w:val="none"/>
          <w:lang w:val="en-US" w:eastAsia="zh-CN"/>
        </w:rPr>
        <w:t>工作任务</w:t>
      </w:r>
      <w:r>
        <w:rPr>
          <w:rFonts w:hint="eastAsia" w:ascii="Times New Roman" w:hAnsi="Times New Roman" w:eastAsia="仿宋_GB2312"/>
          <w:color w:val="000000"/>
          <w:sz w:val="32"/>
          <w:szCs w:val="32"/>
          <w:u w:val="none"/>
        </w:rPr>
        <w:t>。</w:t>
      </w:r>
      <w:r>
        <w:rPr>
          <w:rFonts w:hint="eastAsia" w:ascii="仿宋_GB2312" w:eastAsia="仿宋_GB2312"/>
          <w:sz w:val="32"/>
          <w:szCs w:val="32"/>
        </w:rPr>
        <w:t>生活垃圾分类工作稳居全市前列。</w:t>
      </w:r>
    </w:p>
    <w:p>
      <w:pPr>
        <w:keepNext w:val="0"/>
        <w:keepLines w:val="0"/>
        <w:pageBreakBefore w:val="0"/>
        <w:widowControl w:val="0"/>
        <w:kinsoku/>
        <w:wordWrap/>
        <w:overflowPunct/>
        <w:topLinePunct w:val="0"/>
        <w:autoSpaceDE w:val="0"/>
        <w:autoSpaceDN w:val="0"/>
        <w:bidi w:val="0"/>
        <w:adjustRightInd w:val="0"/>
        <w:snapToGrid/>
        <w:spacing w:line="540" w:lineRule="exact"/>
        <w:ind w:firstLine="643" w:firstLineChars="200"/>
        <w:textAlignment w:val="auto"/>
        <w:rPr>
          <w:rFonts w:hint="eastAsia" w:ascii="仿宋_GB2312" w:hAnsi="仿宋_GB2312" w:eastAsia="仿宋_GB2312" w:cs="仿宋_GB2312"/>
          <w:color w:val="auto"/>
          <w:sz w:val="32"/>
          <w:szCs w:val="32"/>
          <w:u w:val="none"/>
        </w:rPr>
      </w:pPr>
      <w:r>
        <w:rPr>
          <w:rFonts w:hint="eastAsia" w:ascii="楷体_GB2312" w:hAnsi="楷体_GB2312" w:eastAsia="楷体_GB2312" w:cs="楷体_GB2312"/>
          <w:b/>
          <w:bCs/>
          <w:color w:val="000000"/>
          <w:sz w:val="32"/>
          <w:szCs w:val="32"/>
          <w:lang w:val="en-US" w:eastAsia="zh-CN"/>
        </w:rPr>
        <w:t>4.开展环卫九大专项整治行动</w:t>
      </w:r>
      <w:r>
        <w:rPr>
          <w:rFonts w:hint="eastAsia" w:ascii="楷体_GB2312" w:hAnsi="楷体_GB2312" w:eastAsia="楷体_GB2312" w:cs="楷体_GB2312"/>
          <w:b/>
          <w:bCs/>
          <w:color w:val="000000"/>
          <w:sz w:val="32"/>
          <w:szCs w:val="32"/>
        </w:rPr>
        <w:t>。</w:t>
      </w:r>
      <w:r>
        <w:rPr>
          <w:rFonts w:hint="eastAsia" w:ascii="仿宋_GB2312" w:hAnsi="仿宋_GB2312" w:eastAsia="仿宋_GB2312" w:cs="仿宋_GB2312"/>
          <w:color w:val="auto"/>
          <w:sz w:val="32"/>
          <w:szCs w:val="32"/>
          <w:u w:val="none"/>
          <w:lang w:val="en-US" w:eastAsia="zh-CN"/>
        </w:rPr>
        <w:t>对</w:t>
      </w:r>
      <w:r>
        <w:rPr>
          <w:rFonts w:hint="eastAsia" w:ascii="仿宋_GB2312" w:hAnsi="仿宋_GB2312" w:eastAsia="仿宋_GB2312" w:cs="仿宋_GB2312"/>
          <w:color w:val="auto"/>
          <w:sz w:val="32"/>
          <w:szCs w:val="32"/>
          <w:u w:val="none"/>
        </w:rPr>
        <w:t>农集贸市场及周边、无物业小区、项目拆迁区域、菜地、省运会场馆及酒店周边</w:t>
      </w:r>
      <w:r>
        <w:rPr>
          <w:rFonts w:hint="eastAsia" w:ascii="仿宋_GB2312" w:hAnsi="仿宋_GB2312" w:eastAsia="仿宋_GB2312" w:cs="仿宋_GB2312"/>
          <w:color w:val="auto"/>
          <w:sz w:val="32"/>
          <w:szCs w:val="32"/>
          <w:u w:val="none"/>
          <w:lang w:eastAsia="zh-CN"/>
        </w:rPr>
        <w:t>、</w:t>
      </w:r>
      <w:r>
        <w:rPr>
          <w:rFonts w:hint="eastAsia" w:ascii="仿宋_GB2312" w:hAnsi="仿宋_GB2312" w:eastAsia="仿宋_GB2312" w:cs="仿宋_GB2312"/>
          <w:color w:val="auto"/>
          <w:sz w:val="32"/>
          <w:szCs w:val="32"/>
          <w:u w:val="none"/>
        </w:rPr>
        <w:t>垃圾分类、环卫装备设备清洗维护、</w:t>
      </w:r>
      <w:r>
        <w:rPr>
          <w:rFonts w:hint="eastAsia" w:ascii="仿宋_GB2312" w:hAnsi="楷体_GB2312" w:eastAsia="仿宋_GB2312" w:cs="楷体_GB2312"/>
          <w:bCs/>
          <w:color w:val="auto"/>
          <w:sz w:val="32"/>
          <w:szCs w:val="32"/>
          <w:u w:val="none"/>
        </w:rPr>
        <w:t>智慧城管工单处置</w:t>
      </w:r>
      <w:r>
        <w:rPr>
          <w:rFonts w:hint="eastAsia" w:ascii="仿宋_GB2312" w:hAnsi="仿宋_GB2312" w:eastAsia="仿宋_GB2312" w:cs="仿宋_GB2312"/>
          <w:color w:val="auto"/>
          <w:sz w:val="32"/>
          <w:szCs w:val="32"/>
          <w:u w:val="none"/>
        </w:rPr>
        <w:t>、环卫工人管理提质等九个方面为重点开展专项行动，今年来，针对项目拆迁区域、</w:t>
      </w:r>
      <w:r>
        <w:rPr>
          <w:rFonts w:hint="eastAsia" w:ascii="仿宋_GB2312" w:hAnsi="仿宋_GB2312" w:eastAsia="仿宋_GB2312" w:cs="仿宋_GB2312"/>
          <w:color w:val="auto"/>
          <w:sz w:val="32"/>
          <w:u w:val="none"/>
          <w:lang w:val="zh-CN"/>
        </w:rPr>
        <w:t>菜地</w:t>
      </w:r>
      <w:r>
        <w:rPr>
          <w:rFonts w:hint="eastAsia" w:ascii="仿宋_GB2312" w:hAnsi="仿宋_GB2312" w:eastAsia="仿宋_GB2312" w:cs="仿宋_GB2312"/>
          <w:color w:val="auto"/>
          <w:sz w:val="32"/>
          <w:u w:val="none"/>
        </w:rPr>
        <w:t>、农集贸市场周边、脏乱差小区等开展各类专项整治行动</w:t>
      </w:r>
      <w:r>
        <w:rPr>
          <w:rFonts w:ascii="仿宋_GB2312" w:hAnsi="仿宋_GB2312" w:eastAsia="仿宋_GB2312" w:cs="仿宋_GB2312"/>
          <w:color w:val="auto"/>
          <w:sz w:val="32"/>
          <w:u w:val="none"/>
        </w:rPr>
        <w:t>60</w:t>
      </w:r>
      <w:r>
        <w:rPr>
          <w:rFonts w:hint="eastAsia" w:ascii="仿宋_GB2312" w:hAnsi="仿宋_GB2312" w:eastAsia="仿宋_GB2312" w:cs="仿宋_GB2312"/>
          <w:color w:val="auto"/>
          <w:sz w:val="32"/>
          <w:u w:val="none"/>
        </w:rPr>
        <w:t>多次，其中知青场项目周边区域</w:t>
      </w:r>
      <w:r>
        <w:rPr>
          <w:rFonts w:hint="eastAsia" w:ascii="仿宋_GB2312" w:hAnsi="仿宋_GB2312" w:eastAsia="仿宋_GB2312" w:cs="仿宋_GB2312"/>
          <w:color w:val="auto"/>
          <w:sz w:val="32"/>
          <w:szCs w:val="32"/>
          <w:u w:val="none"/>
        </w:rPr>
        <w:t>、</w:t>
      </w:r>
      <w:r>
        <w:rPr>
          <w:rFonts w:hint="eastAsia" w:ascii="仿宋_GB2312" w:hAnsi="仿宋_GB2312" w:eastAsia="仿宋_GB2312" w:cs="仿宋_GB2312"/>
          <w:color w:val="auto"/>
          <w:sz w:val="32"/>
          <w:u w:val="none"/>
        </w:rPr>
        <w:t>原陶家畈项目地块、华铁小区</w:t>
      </w:r>
      <w:r>
        <w:rPr>
          <w:rFonts w:hint="eastAsia" w:ascii="仿宋_GB2312" w:hAnsi="仿宋_GB2312" w:eastAsia="仿宋_GB2312" w:cs="仿宋_GB2312"/>
          <w:color w:val="auto"/>
          <w:sz w:val="32"/>
          <w:szCs w:val="32"/>
          <w:u w:val="none"/>
        </w:rPr>
        <w:t>脏乱差问题得到有效改善。</w:t>
      </w:r>
    </w:p>
    <w:p>
      <w:pPr>
        <w:keepNext w:val="0"/>
        <w:keepLines w:val="0"/>
        <w:pageBreakBefore w:val="0"/>
        <w:widowControl w:val="0"/>
        <w:kinsoku/>
        <w:wordWrap/>
        <w:overflowPunct/>
        <w:topLinePunct w:val="0"/>
        <w:bidi w:val="0"/>
        <w:snapToGrid/>
        <w:spacing w:line="540" w:lineRule="exact"/>
        <w:ind w:firstLine="643" w:firstLineChars="200"/>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sz w:val="32"/>
          <w:szCs w:val="32"/>
          <w:u w:val="none"/>
          <w:lang w:val="en-US" w:eastAsia="zh-CN"/>
        </w:rPr>
        <w:t>5.</w:t>
      </w:r>
      <w:r>
        <w:rPr>
          <w:rFonts w:hint="eastAsia" w:ascii="楷体_GB2312" w:hAnsi="楷体_GB2312" w:eastAsia="楷体_GB2312" w:cs="楷体_GB2312"/>
          <w:b/>
          <w:bCs/>
          <w:color w:val="000000"/>
          <w:sz w:val="32"/>
          <w:szCs w:val="32"/>
          <w:lang w:eastAsia="zh-CN"/>
        </w:rPr>
        <w:t>保障各项工作任务圆满完成</w:t>
      </w:r>
      <w:r>
        <w:rPr>
          <w:rFonts w:hint="eastAsia" w:ascii="楷体_GB2312" w:hAnsi="楷体_GB2312" w:eastAsia="楷体_GB2312" w:cs="楷体_GB2312"/>
          <w:b/>
          <w:bCs/>
          <w:color w:val="000000"/>
          <w:sz w:val="32"/>
          <w:szCs w:val="32"/>
        </w:rPr>
        <w:t>。</w:t>
      </w:r>
      <w:r>
        <w:rPr>
          <w:rFonts w:hint="eastAsia" w:ascii="仿宋_GB2312" w:hAnsi="仿宋_GB2312" w:eastAsia="仿宋_GB2312" w:cs="仿宋_GB2312"/>
          <w:b/>
          <w:bCs/>
          <w:color w:val="000000"/>
          <w:sz w:val="32"/>
          <w:szCs w:val="32"/>
        </w:rPr>
        <w:t>一是应急保障反应迅速。</w:t>
      </w:r>
      <w:r>
        <w:rPr>
          <w:rFonts w:hint="eastAsia" w:ascii="仿宋_GB2312" w:hAnsi="仿宋_GB2312" w:eastAsia="仿宋_GB2312" w:cs="仿宋_GB2312"/>
          <w:color w:val="000000"/>
          <w:sz w:val="32"/>
          <w:szCs w:val="32"/>
          <w:lang w:val="en-US" w:eastAsia="zh-CN"/>
        </w:rPr>
        <w:t>按照</w:t>
      </w:r>
      <w:r>
        <w:rPr>
          <w:rFonts w:hint="eastAsia" w:ascii="仿宋_GB2312" w:hAnsi="仿宋_GB2312" w:eastAsia="仿宋_GB2312" w:cs="仿宋_GB2312"/>
          <w:color w:val="000000"/>
          <w:sz w:val="32"/>
          <w:szCs w:val="32"/>
        </w:rPr>
        <w:t>区委区政府工作部署，</w:t>
      </w:r>
      <w:r>
        <w:rPr>
          <w:rFonts w:hint="eastAsia" w:ascii="仿宋_GB2312" w:hAnsi="仿宋_GB2312" w:eastAsia="仿宋_GB2312" w:cs="仿宋_GB2312"/>
          <w:color w:val="000000"/>
          <w:sz w:val="32"/>
          <w:szCs w:val="32"/>
          <w:lang w:val="en-US" w:eastAsia="zh-CN"/>
        </w:rPr>
        <w:t>扛牢主职主责，</w:t>
      </w:r>
      <w:r>
        <w:rPr>
          <w:rFonts w:hint="eastAsia" w:ascii="仿宋_GB2312" w:hAnsi="仿宋_GB2312" w:eastAsia="仿宋_GB2312" w:cs="仿宋_GB2312"/>
          <w:color w:val="000000"/>
          <w:sz w:val="32"/>
          <w:szCs w:val="32"/>
        </w:rPr>
        <w:t>先后完成了各级迎检活动、内涝清淤保畅、拆迁降尘、除污去渍本色行动、洞庭渔火季、</w:t>
      </w:r>
      <w:r>
        <w:rPr>
          <w:rFonts w:hint="eastAsia" w:ascii="仿宋_GB2312" w:hAnsi="仿宋_GB2312" w:eastAsia="仿宋_GB2312" w:cs="仿宋_GB2312"/>
          <w:color w:val="000000"/>
          <w:sz w:val="32"/>
          <w:szCs w:val="32"/>
          <w:lang w:val="en-US" w:eastAsia="zh-CN"/>
        </w:rPr>
        <w:t>文明创建复查迎检、</w:t>
      </w:r>
      <w:r>
        <w:rPr>
          <w:rFonts w:hint="eastAsia" w:ascii="仿宋_GB2312" w:hAnsi="仿宋_GB2312" w:eastAsia="仿宋_GB2312" w:cs="仿宋_GB2312"/>
          <w:color w:val="000000"/>
          <w:sz w:val="32"/>
          <w:szCs w:val="32"/>
        </w:rPr>
        <w:t>省运会场馆及宿地周边等各类环境卫生应急保障任务100多次。</w:t>
      </w:r>
      <w:r>
        <w:rPr>
          <w:rFonts w:hint="eastAsia" w:ascii="仿宋_GB2312" w:hAnsi="仿宋_GB2312" w:eastAsia="仿宋_GB2312" w:cs="仿宋_GB2312"/>
          <w:b/>
          <w:bCs/>
          <w:color w:val="000000"/>
          <w:sz w:val="32"/>
          <w:szCs w:val="32"/>
        </w:rPr>
        <w:t>二是</w:t>
      </w:r>
      <w:r>
        <w:rPr>
          <w:rFonts w:hint="eastAsia" w:ascii="仿宋_GB2312" w:hAnsi="仿宋_GB2312" w:eastAsia="仿宋_GB2312" w:cs="仿宋_GB2312"/>
          <w:b/>
          <w:bCs/>
          <w:color w:val="000000"/>
          <w:sz w:val="32"/>
          <w:szCs w:val="32"/>
          <w:lang w:val="en-US" w:eastAsia="zh-CN"/>
        </w:rPr>
        <w:t>环卫机械作业高频高效</w:t>
      </w:r>
      <w:r>
        <w:rPr>
          <w:rFonts w:hint="eastAsia" w:ascii="仿宋_GB2312" w:hAnsi="仿宋_GB2312" w:eastAsia="仿宋_GB2312" w:cs="仿宋_GB2312"/>
          <w:b/>
          <w:bCs/>
          <w:color w:val="000000"/>
          <w:sz w:val="32"/>
          <w:szCs w:val="32"/>
        </w:rPr>
        <w:t>。</w:t>
      </w:r>
      <w:r>
        <w:rPr>
          <w:rFonts w:hint="eastAsia" w:ascii="仿宋_GB2312" w:hAnsi="仿宋_GB2312" w:eastAsia="仿宋_GB2312" w:cs="仿宋_GB2312"/>
          <w:sz w:val="32"/>
          <w:szCs w:val="32"/>
        </w:rPr>
        <w:t>2022年，</w:t>
      </w:r>
      <w:r>
        <w:rPr>
          <w:rFonts w:hint="eastAsia" w:ascii="仿宋_GB2312" w:hAnsi="仿宋_GB2312" w:eastAsia="仿宋_GB2312" w:cs="仿宋_GB2312"/>
          <w:sz w:val="32"/>
          <w:szCs w:val="32"/>
          <w:lang w:eastAsia="zh-CN"/>
        </w:rPr>
        <w:t>我</w:t>
      </w:r>
      <w:r>
        <w:rPr>
          <w:rFonts w:hint="eastAsia" w:ascii="仿宋_GB2312" w:hAnsi="仿宋_GB2312" w:eastAsia="仿宋_GB2312" w:cs="仿宋_GB2312"/>
          <w:sz w:val="32"/>
          <w:szCs w:val="32"/>
        </w:rPr>
        <w:t>中心对所辖</w:t>
      </w:r>
      <w:r>
        <w:rPr>
          <w:rFonts w:hint="eastAsia" w:ascii="仿宋_GB2312" w:hAnsi="仿宋_GB2312" w:eastAsia="仿宋_GB2312" w:cs="仿宋_GB2312"/>
          <w:sz w:val="32"/>
          <w:szCs w:val="32"/>
          <w:lang w:val="en-US" w:eastAsia="zh-CN"/>
        </w:rPr>
        <w:t>70余</w:t>
      </w:r>
      <w:r>
        <w:rPr>
          <w:rFonts w:hint="eastAsia" w:ascii="仿宋_GB2312" w:hAnsi="仿宋_GB2312" w:eastAsia="仿宋_GB2312" w:cs="仿宋_GB2312"/>
          <w:sz w:val="32"/>
          <w:szCs w:val="32"/>
        </w:rPr>
        <w:t>条道路和</w:t>
      </w:r>
      <w:r>
        <w:rPr>
          <w:rFonts w:hint="eastAsia" w:ascii="仿宋_GB2312" w:hAnsi="仿宋_GB2312" w:eastAsia="仿宋_GB2312" w:cs="仿宋_GB2312"/>
          <w:sz w:val="32"/>
          <w:szCs w:val="32"/>
          <w:lang w:val="en-US" w:eastAsia="zh-CN"/>
        </w:rPr>
        <w:t>140余</w:t>
      </w:r>
      <w:r>
        <w:rPr>
          <w:rFonts w:hint="eastAsia" w:ascii="仿宋_GB2312" w:hAnsi="仿宋_GB2312" w:eastAsia="仿宋_GB2312" w:cs="仿宋_GB2312"/>
          <w:sz w:val="32"/>
          <w:szCs w:val="32"/>
        </w:rPr>
        <w:t>个垃圾清运点，累计出动清运车辆</w:t>
      </w:r>
      <w:r>
        <w:rPr>
          <w:rFonts w:hint="eastAsia" w:ascii="仿宋_GB2312" w:hAnsi="仿宋_GB2312" w:eastAsia="仿宋_GB2312" w:cs="仿宋_GB2312"/>
          <w:sz w:val="32"/>
          <w:szCs w:val="32"/>
          <w:lang w:val="en-US" w:eastAsia="zh-CN"/>
        </w:rPr>
        <w:t>3.8万</w:t>
      </w:r>
      <w:r>
        <w:rPr>
          <w:rFonts w:hint="eastAsia" w:ascii="仿宋_GB2312" w:hAnsi="仿宋_GB2312" w:eastAsia="仿宋_GB2312" w:cs="仿宋_GB2312"/>
          <w:sz w:val="32"/>
          <w:szCs w:val="32"/>
        </w:rPr>
        <w:t>余台次，清运日常垃圾</w:t>
      </w:r>
      <w:r>
        <w:rPr>
          <w:rFonts w:hint="eastAsia" w:ascii="仿宋_GB2312" w:hAnsi="仿宋_GB2312" w:eastAsia="仿宋_GB2312" w:cs="仿宋_GB2312"/>
          <w:sz w:val="32"/>
          <w:szCs w:val="32"/>
          <w:lang w:val="en-US" w:eastAsia="zh-CN"/>
        </w:rPr>
        <w:t>13.6万</w:t>
      </w:r>
      <w:r>
        <w:rPr>
          <w:rFonts w:hint="eastAsia" w:ascii="仿宋_GB2312" w:hAnsi="仿宋_GB2312" w:eastAsia="仿宋_GB2312" w:cs="仿宋_GB2312"/>
          <w:sz w:val="32"/>
          <w:szCs w:val="32"/>
        </w:rPr>
        <w:t>余m³，出动洒水作业车辆</w:t>
      </w:r>
      <w:r>
        <w:rPr>
          <w:rFonts w:hint="eastAsia" w:ascii="仿宋_GB2312" w:hAnsi="仿宋_GB2312" w:eastAsia="仿宋_GB2312" w:cs="仿宋_GB2312"/>
          <w:sz w:val="32"/>
          <w:szCs w:val="32"/>
          <w:lang w:val="en-US" w:eastAsia="zh-CN"/>
        </w:rPr>
        <w:t>2万</w:t>
      </w:r>
      <w:r>
        <w:rPr>
          <w:rFonts w:hint="eastAsia" w:ascii="仿宋_GB2312" w:hAnsi="仿宋_GB2312" w:eastAsia="仿宋_GB2312" w:cs="仿宋_GB2312"/>
          <w:sz w:val="32"/>
          <w:szCs w:val="32"/>
        </w:rPr>
        <w:t>余台次，共计洒水</w:t>
      </w:r>
      <w:r>
        <w:rPr>
          <w:rFonts w:hint="eastAsia" w:ascii="仿宋_GB2312" w:hAnsi="仿宋_GB2312" w:eastAsia="仿宋_GB2312" w:cs="仿宋_GB2312"/>
          <w:sz w:val="32"/>
          <w:szCs w:val="32"/>
          <w:lang w:val="en-US" w:eastAsia="zh-CN"/>
        </w:rPr>
        <w:t>18.1万</w:t>
      </w:r>
      <w:r>
        <w:rPr>
          <w:rFonts w:hint="eastAsia" w:ascii="仿宋_GB2312" w:hAnsi="仿宋_GB2312" w:eastAsia="仿宋_GB2312" w:cs="仿宋_GB2312"/>
          <w:sz w:val="32"/>
          <w:szCs w:val="32"/>
        </w:rPr>
        <w:t>余吨，应急出动各类环卫机械作业车辆</w:t>
      </w:r>
      <w:r>
        <w:rPr>
          <w:rFonts w:hint="eastAsia" w:ascii="仿宋_GB2312" w:hAnsi="仿宋_GB2312" w:eastAsia="仿宋_GB2312" w:cs="仿宋_GB2312"/>
          <w:sz w:val="32"/>
          <w:szCs w:val="32"/>
          <w:lang w:val="en-US" w:eastAsia="zh-CN"/>
        </w:rPr>
        <w:t>7000余</w:t>
      </w:r>
      <w:r>
        <w:rPr>
          <w:rFonts w:hint="eastAsia" w:ascii="仿宋_GB2312" w:hAnsi="仿宋_GB2312" w:eastAsia="仿宋_GB2312" w:cs="仿宋_GB2312"/>
          <w:sz w:val="32"/>
          <w:szCs w:val="32"/>
        </w:rPr>
        <w:t>台次，环卫作业用</w:t>
      </w:r>
      <w:r>
        <w:rPr>
          <w:rFonts w:hint="eastAsia" w:ascii="仿宋_GB2312" w:hAnsi="仿宋_GB2312" w:eastAsia="仿宋_GB2312" w:cs="仿宋_GB2312"/>
          <w:sz w:val="32"/>
          <w:szCs w:val="32"/>
          <w:lang w:val="en-US" w:eastAsia="zh-CN"/>
        </w:rPr>
        <w:t>水5100余</w:t>
      </w:r>
      <w:r>
        <w:rPr>
          <w:rFonts w:hint="eastAsia" w:ascii="仿宋_GB2312" w:hAnsi="仿宋_GB2312" w:eastAsia="仿宋_GB2312" w:cs="仿宋_GB2312"/>
          <w:sz w:val="32"/>
          <w:szCs w:val="32"/>
        </w:rPr>
        <w:t>吨，清理各类垃圾</w:t>
      </w:r>
      <w:r>
        <w:rPr>
          <w:rFonts w:hint="eastAsia" w:ascii="仿宋_GB2312" w:hAnsi="仿宋_GB2312" w:eastAsia="仿宋_GB2312" w:cs="仿宋_GB2312"/>
          <w:sz w:val="32"/>
          <w:szCs w:val="32"/>
          <w:lang w:val="en-US" w:eastAsia="zh-CN"/>
        </w:rPr>
        <w:t>2.1万</w:t>
      </w:r>
      <w:r>
        <w:rPr>
          <w:rFonts w:hint="eastAsia" w:ascii="仿宋_GB2312" w:hAnsi="仿宋_GB2312" w:eastAsia="仿宋_GB2312" w:cs="仿宋_GB2312"/>
          <w:sz w:val="32"/>
          <w:szCs w:val="32"/>
        </w:rPr>
        <w:t>余m³，高标准地完成了各项环卫保障任务。</w:t>
      </w:r>
      <w:r>
        <w:rPr>
          <w:rFonts w:hint="eastAsia" w:ascii="仿宋_GB2312" w:hAnsi="仿宋_GB2312" w:eastAsia="仿宋_GB2312" w:cs="仿宋_GB2312"/>
          <w:b/>
          <w:bCs/>
          <w:color w:val="000000"/>
          <w:sz w:val="32"/>
          <w:szCs w:val="32"/>
        </w:rPr>
        <w:t>三是污染防治扎实有效。</w:t>
      </w:r>
      <w:r>
        <w:rPr>
          <w:rFonts w:hint="eastAsia" w:ascii="仿宋_GB2312" w:eastAsia="仿宋_GB2312"/>
          <w:color w:val="000000" w:themeColor="text1"/>
          <w:sz w:val="32"/>
          <w:szCs w:val="32"/>
          <w:lang w:val="en-US" w:eastAsia="zh-CN"/>
          <w14:textFill>
            <w14:solidFill>
              <w14:schemeClr w14:val="tx1"/>
            </w14:solidFill>
          </w14:textFill>
        </w:rPr>
        <w:t>对枫桥湖路、临湖公路、云梦路等主次道路加大频率冲洗降尘，对夏万路、骆家坡2个监测点周边派驻2台专门车辆，每日循环作业，实行饱和式洒水降尘。今年来累计派出洒水作业车辆4000余台次，共计洒水3.6万余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1、财政预算不科学、不合理、无法有效控制支出。</w:t>
      </w:r>
    </w:p>
    <w:p>
      <w:pPr>
        <w:keepNext w:val="0"/>
        <w:keepLines w:val="0"/>
        <w:pageBreakBefore w:val="0"/>
        <w:widowControl w:val="0"/>
        <w:tabs>
          <w:tab w:val="left" w:pos="312"/>
        </w:tabs>
        <w:kinsoku/>
        <w:wordWrap/>
        <w:overflowPunct/>
        <w:topLinePunct w:val="0"/>
        <w:bidi w:val="0"/>
        <w:snapToGrid/>
        <w:spacing w:line="54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w:t>
      </w:r>
      <w:r>
        <w:rPr>
          <w:rFonts w:hint="eastAsia" w:ascii="仿宋_GB2312" w:hAnsi="仿宋_GB2312" w:eastAsia="仿宋_GB2312" w:cs="仿宋_GB2312"/>
          <w:sz w:val="32"/>
          <w:szCs w:val="32"/>
        </w:rPr>
        <w:t>力量不足的问题。</w:t>
      </w:r>
      <w:r>
        <w:rPr>
          <w:rFonts w:ascii="仿宋_GB2312" w:hAnsi="仿宋_GB2312" w:eastAsia="仿宋_GB2312" w:cs="仿宋_GB2312"/>
          <w:sz w:val="32"/>
          <w:szCs w:val="32"/>
        </w:rPr>
        <w:t>根据清扫保洁全覆盖工作要求，加之近年来城市建设新增清扫保洁区域和市级下划清扫保洁责任区域，我区现有清扫保洁力量严重不足。</w:t>
      </w:r>
      <w:r>
        <w:rPr>
          <w:rFonts w:hint="eastAsia" w:ascii="仿宋_GB2312" w:hAnsi="仿宋_GB2312" w:eastAsia="仿宋_GB2312" w:cs="仿宋_GB2312"/>
          <w:sz w:val="32"/>
          <w:szCs w:val="32"/>
        </w:rPr>
        <w:t>一是新增道路清扫保洁力量不足。二是城乡结合部公共区域全覆盖清扫保洁力量不足。</w:t>
      </w:r>
    </w:p>
    <w:p>
      <w:pPr>
        <w:keepNext w:val="0"/>
        <w:keepLines w:val="0"/>
        <w:pageBreakBefore w:val="0"/>
        <w:widowControl w:val="0"/>
        <w:kinsoku/>
        <w:wordWrap/>
        <w:overflowPunct/>
        <w:topLinePunct w:val="0"/>
        <w:bidi w:val="0"/>
        <w:snapToGrid/>
        <w:spacing w:line="540" w:lineRule="exact"/>
        <w:ind w:firstLine="640" w:firstLineChars="200"/>
        <w:jc w:val="left"/>
        <w:textAlignment w:val="auto"/>
        <w:rPr>
          <w:rFonts w:hint="eastAsia" w:ascii="仿宋_GB2312" w:hAnsi="黑体" w:eastAsia="仿宋_GB2312" w:cs="仿宋_GB2312"/>
          <w:sz w:val="32"/>
          <w:szCs w:val="32"/>
          <w:lang w:eastAsia="zh-CN"/>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垃圾分类的问题。</w:t>
      </w:r>
      <w:r>
        <w:rPr>
          <w:rFonts w:hint="eastAsia" w:ascii="仿宋_GB2312" w:hAnsi="黑体" w:eastAsia="仿宋_GB2312" w:cs="仿宋_GB2312"/>
          <w:sz w:val="32"/>
          <w:szCs w:val="32"/>
        </w:rPr>
        <w:t>在宣传教育方面</w:t>
      </w:r>
      <w:r>
        <w:rPr>
          <w:rFonts w:hint="eastAsia" w:ascii="仿宋_GB2312" w:hAnsi="黑体" w:eastAsia="仿宋_GB2312" w:cs="仿宋_GB2312"/>
          <w:sz w:val="32"/>
          <w:szCs w:val="32"/>
          <w:lang w:eastAsia="zh-CN"/>
        </w:rPr>
        <w:t>。</w:t>
      </w:r>
      <w:r>
        <w:rPr>
          <w:rFonts w:hint="eastAsia" w:ascii="仿宋_GB2312" w:hAnsi="黑体" w:eastAsia="仿宋_GB2312" w:cs="仿宋_GB2312"/>
          <w:sz w:val="32"/>
          <w:szCs w:val="32"/>
          <w:lang w:val="en-US" w:eastAsia="zh-CN"/>
        </w:rPr>
        <w:t>我中心开展了一系列垃圾分类宣传教育活动，</w:t>
      </w:r>
      <w:r>
        <w:rPr>
          <w:rFonts w:hint="eastAsia" w:ascii="仿宋_GB2312" w:hAnsi="黑体" w:eastAsia="仿宋_GB2312" w:cs="仿宋_GB2312"/>
          <w:sz w:val="32"/>
          <w:szCs w:val="32"/>
        </w:rPr>
        <w:t>虽然取得了一定效果，但</w:t>
      </w:r>
      <w:r>
        <w:rPr>
          <w:rFonts w:hint="eastAsia" w:ascii="仿宋_GB2312" w:hAnsi="黑体" w:eastAsia="仿宋_GB2312" w:cs="仿宋_GB2312"/>
          <w:sz w:val="32"/>
          <w:szCs w:val="32"/>
          <w:lang w:val="en-US" w:eastAsia="zh-CN"/>
        </w:rPr>
        <w:t>因</w:t>
      </w:r>
      <w:r>
        <w:rPr>
          <w:rFonts w:hint="eastAsia" w:ascii="仿宋_GB2312" w:hAnsi="黑体" w:eastAsia="仿宋_GB2312" w:cs="仿宋_GB2312"/>
          <w:sz w:val="32"/>
          <w:szCs w:val="32"/>
        </w:rPr>
        <w:t>居民垃圾分类意识不强，分类投放效果</w:t>
      </w:r>
      <w:r>
        <w:rPr>
          <w:rFonts w:hint="eastAsia" w:ascii="仿宋_GB2312" w:hAnsi="黑体" w:eastAsia="仿宋_GB2312" w:cs="仿宋_GB2312"/>
          <w:sz w:val="32"/>
          <w:szCs w:val="32"/>
          <w:lang w:val="en-US" w:eastAsia="zh-CN"/>
        </w:rPr>
        <w:t>还</w:t>
      </w:r>
      <w:r>
        <w:rPr>
          <w:rFonts w:hint="eastAsia" w:ascii="仿宋_GB2312" w:hAnsi="黑体" w:eastAsia="仿宋_GB2312" w:cs="仿宋_GB2312"/>
          <w:sz w:val="32"/>
          <w:szCs w:val="32"/>
        </w:rPr>
        <w:t>不够理想。</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p>
    <w:p>
      <w:pPr>
        <w:pStyle w:val="2"/>
        <w:keepNext w:val="0"/>
        <w:keepLines w:val="0"/>
        <w:pageBreakBefore w:val="0"/>
        <w:widowControl w:val="0"/>
        <w:kinsoku/>
        <w:wordWrap/>
        <w:overflowPunct/>
        <w:topLinePunct w:val="0"/>
        <w:autoSpaceDE/>
        <w:autoSpaceDN/>
        <w:bidi w:val="0"/>
        <w:adjustRightInd/>
        <w:snapToGrid w:val="0"/>
        <w:spacing w:line="360" w:lineRule="exact"/>
        <w:ind w:firstLine="640" w:firstLineChars="200"/>
        <w:textAlignment w:val="auto"/>
        <w:rPr>
          <w:rFonts w:hint="eastAsia" w:ascii="仿宋_GB2312" w:hAnsi="黑体" w:eastAsia="仿宋_GB2312" w:cs="仿宋_GB2312"/>
          <w:kern w:val="2"/>
          <w:sz w:val="32"/>
          <w:szCs w:val="32"/>
          <w:lang w:val="en-US" w:eastAsia="zh-CN" w:bidi="ar-SA"/>
        </w:rPr>
      </w:pPr>
      <w:r>
        <w:rPr>
          <w:rFonts w:hint="eastAsia" w:ascii="仿宋_GB2312" w:hAnsi="黑体" w:eastAsia="仿宋_GB2312" w:cs="仿宋_GB2312"/>
          <w:kern w:val="2"/>
          <w:sz w:val="32"/>
          <w:szCs w:val="32"/>
          <w:lang w:val="en-US" w:eastAsia="zh-CN" w:bidi="ar-SA"/>
        </w:rPr>
        <w:t>1.进一步完善环卫网格化全覆盖。</w:t>
      </w:r>
    </w:p>
    <w:p>
      <w:pPr>
        <w:keepNext w:val="0"/>
        <w:keepLines w:val="0"/>
        <w:pageBreakBefore w:val="0"/>
        <w:widowControl w:val="0"/>
        <w:kinsoku/>
        <w:wordWrap/>
        <w:overflowPunct/>
        <w:topLinePunct w:val="0"/>
        <w:autoSpaceDE/>
        <w:autoSpaceDN/>
        <w:bidi w:val="0"/>
        <w:adjustRightInd/>
        <w:snapToGrid w:val="0"/>
        <w:spacing w:line="360" w:lineRule="exact"/>
        <w:ind w:firstLine="640" w:firstLineChars="200"/>
        <w:textAlignment w:val="auto"/>
        <w:rPr>
          <w:rFonts w:hint="eastAsia" w:ascii="仿宋_GB2312" w:hAnsi="黑体" w:eastAsia="仿宋_GB2312" w:cs="仿宋_GB2312"/>
          <w:kern w:val="2"/>
          <w:sz w:val="32"/>
          <w:szCs w:val="32"/>
          <w:lang w:val="en-US" w:eastAsia="zh-CN" w:bidi="ar-SA"/>
        </w:rPr>
      </w:pPr>
      <w:r>
        <w:rPr>
          <w:rFonts w:hint="eastAsia" w:ascii="仿宋_GB2312" w:hAnsi="黑体" w:eastAsia="仿宋_GB2312" w:cs="仿宋_GB2312"/>
          <w:kern w:val="2"/>
          <w:sz w:val="32"/>
          <w:szCs w:val="32"/>
          <w:lang w:val="en-US" w:eastAsia="zh-CN" w:bidi="ar-SA"/>
        </w:rPr>
        <w:t>2.进一步落实环卫工作机制。</w:t>
      </w:r>
    </w:p>
    <w:p>
      <w:pPr>
        <w:pStyle w:val="2"/>
        <w:keepNext w:val="0"/>
        <w:keepLines w:val="0"/>
        <w:pageBreakBefore w:val="0"/>
        <w:widowControl w:val="0"/>
        <w:kinsoku/>
        <w:wordWrap/>
        <w:overflowPunct/>
        <w:topLinePunct w:val="0"/>
        <w:autoSpaceDE/>
        <w:autoSpaceDN/>
        <w:bidi w:val="0"/>
        <w:adjustRightInd/>
        <w:snapToGrid w:val="0"/>
        <w:spacing w:line="360" w:lineRule="exact"/>
        <w:ind w:firstLine="640" w:firstLineChars="200"/>
        <w:textAlignment w:val="auto"/>
        <w:rPr>
          <w:rFonts w:hint="eastAsia" w:ascii="仿宋_GB2312" w:hAnsi="黑体" w:eastAsia="仿宋_GB2312" w:cs="仿宋_GB2312"/>
          <w:kern w:val="2"/>
          <w:sz w:val="32"/>
          <w:szCs w:val="32"/>
          <w:lang w:val="en-US" w:eastAsia="zh-CN" w:bidi="ar-SA"/>
        </w:rPr>
      </w:pPr>
      <w:r>
        <w:rPr>
          <w:rFonts w:hint="eastAsia" w:ascii="仿宋_GB2312" w:hAnsi="黑体" w:eastAsia="仿宋_GB2312" w:cs="仿宋_GB2312"/>
          <w:kern w:val="2"/>
          <w:sz w:val="32"/>
          <w:szCs w:val="32"/>
          <w:lang w:val="en-US" w:eastAsia="zh-CN" w:bidi="ar-SA"/>
        </w:rPr>
        <w:t>3.进一步加强环境卫生专项整治。</w:t>
      </w:r>
    </w:p>
    <w:p>
      <w:pPr>
        <w:keepNext w:val="0"/>
        <w:keepLines w:val="0"/>
        <w:pageBreakBefore w:val="0"/>
        <w:widowControl w:val="0"/>
        <w:kinsoku/>
        <w:wordWrap/>
        <w:overflowPunct/>
        <w:topLinePunct w:val="0"/>
        <w:autoSpaceDE/>
        <w:autoSpaceDN/>
        <w:bidi w:val="0"/>
        <w:adjustRightInd/>
        <w:snapToGrid w:val="0"/>
        <w:spacing w:line="360" w:lineRule="exact"/>
        <w:ind w:firstLine="640" w:firstLineChars="200"/>
        <w:textAlignment w:val="auto"/>
        <w:rPr>
          <w:rFonts w:hint="eastAsia" w:ascii="仿宋_GB2312" w:hAnsi="黑体" w:eastAsia="仿宋_GB2312" w:cs="仿宋_GB2312"/>
          <w:kern w:val="2"/>
          <w:sz w:val="32"/>
          <w:szCs w:val="32"/>
          <w:lang w:val="en-US" w:eastAsia="zh-CN" w:bidi="ar-SA"/>
        </w:rPr>
      </w:pPr>
      <w:r>
        <w:rPr>
          <w:rFonts w:hint="eastAsia" w:ascii="仿宋_GB2312" w:hAnsi="黑体" w:eastAsia="仿宋_GB2312" w:cs="仿宋_GB2312"/>
          <w:kern w:val="2"/>
          <w:sz w:val="32"/>
          <w:szCs w:val="32"/>
          <w:lang w:val="en-US" w:eastAsia="zh-CN" w:bidi="ar-SA"/>
        </w:rPr>
        <w:t>4.进一步推动城市生活垃圾分类。</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0"/>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975"/>
        <w:gridCol w:w="1125"/>
        <w:gridCol w:w="1035"/>
        <w:gridCol w:w="1281"/>
        <w:gridCol w:w="849"/>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业务工作经费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215"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楼区政府</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3009"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岳阳市岳阳楼区市容环境卫生中心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05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05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530</w:t>
            </w: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530</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491.03</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05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530</w:t>
            </w: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530</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491.03</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05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05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21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29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21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仿宋_GB2312" w:hAnsi="宋体" w:eastAsia="仿宋_GB2312"/>
                <w:sz w:val="24"/>
                <w:lang w:eastAsia="zh-CN"/>
              </w:rPr>
              <w:t>按预算、按进度、按合同拨付各项经费，确保环卫建设工作顺利开展</w:t>
            </w:r>
          </w:p>
        </w:tc>
        <w:tc>
          <w:tcPr>
            <w:tcW w:w="429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仿宋_GB2312" w:hAnsi="宋体" w:eastAsia="仿宋_GB2312"/>
                <w:sz w:val="24"/>
                <w:lang w:eastAsia="zh-CN"/>
              </w:rPr>
              <w:t>均按预算、合同、进度进行拨付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9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9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机械化作业面积</w:t>
            </w: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1070万㎡</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1070万㎡</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劳保用品按预算采购</w:t>
            </w: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手套、口罩、洗衣粉、毛巾、雨衣、雨鞋、服装</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手套54456双、口罩54456个、洗衣粉27228袋、毛巾9076条、雨衣2269套、雨鞋2269双、服装11345件</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75"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eastAsia="仿宋_GB2312"/>
                <w:sz w:val="21"/>
                <w:szCs w:val="21"/>
                <w:lang w:eastAsia="zh-CN"/>
              </w:rPr>
              <w:t>劳保用品合格率</w:t>
            </w: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90%</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90%</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75"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eastAsia="仿宋_GB2312"/>
                <w:szCs w:val="21"/>
                <w:lang w:eastAsia="zh-CN"/>
              </w:rPr>
              <w:t>劳保用品采购和发放的及时性</w:t>
            </w: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每月一次</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每月一次</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75"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支出预算控制</w:t>
            </w: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530万元</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491.03万元</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975"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节约机关公务用车运营维护费</w:t>
            </w: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40%</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2"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75"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保障环卫工人生命健康</w:t>
            </w: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0起安全事故</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0起安全事故</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975"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1035"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w:t>
            </w:r>
            <w:r>
              <w:rPr>
                <w:rFonts w:hint="eastAsia" w:ascii="Arial"/>
                <w:color w:val="000000" w:themeColor="text1"/>
                <w:sz w:val="21"/>
                <w:lang w:val="en-US" w:eastAsia="zh-CN"/>
                <w14:textFill>
                  <w14:solidFill>
                    <w14:schemeClr w14:val="tx1"/>
                  </w14:solidFill>
                </w14:textFill>
              </w:rPr>
              <w:t>90%</w:t>
            </w:r>
          </w:p>
        </w:tc>
        <w:tc>
          <w:tcPr>
            <w:tcW w:w="1281"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90%</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71"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0"/>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967"/>
        <w:gridCol w:w="1140"/>
        <w:gridCol w:w="849"/>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审批专项经费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356"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楼区政府</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3009"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岳阳市岳阳楼区市容环境卫生中心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630.32</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630.32</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630.32</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630.32</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35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149"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35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仿宋_GB2312" w:hAnsi="宋体" w:eastAsia="仿宋_GB2312"/>
                <w:sz w:val="24"/>
                <w:lang w:eastAsia="zh-CN"/>
              </w:rPr>
              <w:t>按预算、按进度、按合同拨付各项经费，确保环卫建设工作顺利开展</w:t>
            </w:r>
          </w:p>
        </w:tc>
        <w:tc>
          <w:tcPr>
            <w:tcW w:w="4149"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仿宋_GB2312" w:hAnsi="宋体" w:eastAsia="仿宋_GB2312"/>
                <w:sz w:val="24"/>
                <w:lang w:eastAsia="zh-CN"/>
              </w:rPr>
              <w:t>均按预算、合同、进度进行拨付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劳动工具采购</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大、小扫把、塑料垃圾桶、撮箕、铁锹、木板车、不锈钢板车</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大扫把163368把；小扫把81684把；塑料垃圾桶2580个；撮箕1700个；铁锹1000把；木板车200台；不锈钢板车50台</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设施设备维修计划完成率</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完成更换设施设备195个</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195个</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eastAsia="仿宋_GB2312"/>
                <w:sz w:val="21"/>
                <w:szCs w:val="21"/>
                <w:lang w:eastAsia="zh-CN"/>
              </w:rPr>
              <w:t>劳动工具采购合格率</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设备完好率</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90%</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eastAsia="仿宋_GB2312"/>
                <w:szCs w:val="21"/>
                <w:lang w:eastAsia="zh-CN"/>
              </w:rPr>
              <w:t>劳动工具采购完成时限</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每月一次</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每月一次</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支出预算控制</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630.32万元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630.32万元</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保障环卫工人生命健康</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0起安全事故</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0起安全事故</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仿宋_GB2312" w:hAnsi="仿宋_GB2312" w:eastAsia="仿宋_GB2312" w:cs="仿宋_GB2312"/>
                <w:color w:val="000000"/>
                <w:sz w:val="21"/>
                <w:szCs w:val="21"/>
                <w:lang w:eastAsia="zh-CN"/>
              </w:rPr>
              <w:t>减少垃圾焚烧对环境的污染</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较大程度的减少</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较大程度的减少</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w:t>
            </w:r>
            <w:r>
              <w:rPr>
                <w:rFonts w:hint="eastAsia" w:ascii="Arial"/>
                <w:color w:val="000000" w:themeColor="text1"/>
                <w:sz w:val="21"/>
                <w:lang w:val="en-US" w:eastAsia="zh-CN"/>
                <w14:textFill>
                  <w14:solidFill>
                    <w14:schemeClr w14:val="tx1"/>
                  </w14:solidFill>
                </w14:textFill>
              </w:rPr>
              <w:t>95%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100%</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67"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71"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849"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7"/>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17</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12</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94</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方正舒体"/>
    <w:panose1 w:val="02000000000000000000"/>
    <w:charset w:val="86"/>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Segoe UI Symbol">
    <w:panose1 w:val="020B0502040204020203"/>
    <w:charset w:val="00"/>
    <w:family w:val="swiss"/>
    <w:pitch w:val="default"/>
    <w:sig w:usb0="800001E3" w:usb1="1200FFEF" w:usb2="00040000" w:usb3="04000000" w:csb0="00000001" w:csb1="4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3F46F5"/>
    <w:multiLevelType w:val="singleLevel"/>
    <w:tmpl w:val="823F46F5"/>
    <w:lvl w:ilvl="0" w:tentative="0">
      <w:start w:val="1"/>
      <w:numFmt w:val="chineseCounting"/>
      <w:suff w:val="nothing"/>
      <w:lvlText w:val="%1、"/>
      <w:lvlJc w:val="left"/>
      <w:rPr>
        <w:rFonts w:hint="eastAsia"/>
      </w:rPr>
    </w:lvl>
  </w:abstractNum>
  <w:abstractNum w:abstractNumId="1">
    <w:nsid w:val="26D0BFAA"/>
    <w:multiLevelType w:val="singleLevel"/>
    <w:tmpl w:val="26D0BFAA"/>
    <w:lvl w:ilvl="0" w:tentative="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mZWIzNDg2MmIzZjExOTIzMmViNTBmYTMwYTk0ZWYifQ=="/>
  </w:docVars>
  <w:rsids>
    <w:rsidRoot w:val="53FC3987"/>
    <w:rsid w:val="000A3765"/>
    <w:rsid w:val="001D7282"/>
    <w:rsid w:val="0034385F"/>
    <w:rsid w:val="0039081D"/>
    <w:rsid w:val="005E6ECB"/>
    <w:rsid w:val="00744EA1"/>
    <w:rsid w:val="009419CA"/>
    <w:rsid w:val="00955854"/>
    <w:rsid w:val="009C7330"/>
    <w:rsid w:val="00A00FBB"/>
    <w:rsid w:val="00AF68EE"/>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2D345D"/>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034245"/>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481DC3"/>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B67F37"/>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870360"/>
    <w:rsid w:val="289539A5"/>
    <w:rsid w:val="289F019A"/>
    <w:rsid w:val="28CC6ED5"/>
    <w:rsid w:val="28F010D9"/>
    <w:rsid w:val="28F05C88"/>
    <w:rsid w:val="29082E70"/>
    <w:rsid w:val="291343EF"/>
    <w:rsid w:val="29166F16"/>
    <w:rsid w:val="294D5371"/>
    <w:rsid w:val="29504C55"/>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2FF15126"/>
    <w:rsid w:val="301F1E0F"/>
    <w:rsid w:val="302E6295"/>
    <w:rsid w:val="303329F0"/>
    <w:rsid w:val="303818E5"/>
    <w:rsid w:val="303F1851"/>
    <w:rsid w:val="303F79AD"/>
    <w:rsid w:val="304705F9"/>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BF403F"/>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B20AA3"/>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6020A"/>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DB6ED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11E33"/>
    <w:rsid w:val="51721A38"/>
    <w:rsid w:val="517D016D"/>
    <w:rsid w:val="51A45867"/>
    <w:rsid w:val="51AD7250"/>
    <w:rsid w:val="51CF1465"/>
    <w:rsid w:val="51D1247D"/>
    <w:rsid w:val="51EC4955"/>
    <w:rsid w:val="51F067B7"/>
    <w:rsid w:val="52062A12"/>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5B7126"/>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4"/>
    <w:basedOn w:val="1"/>
    <w:next w:val="1"/>
    <w:qFormat/>
    <w:uiPriority w:val="99"/>
    <w:pPr>
      <w:keepNext/>
      <w:keepLines/>
      <w:spacing w:before="280" w:after="290" w:line="376" w:lineRule="auto"/>
      <w:outlineLvl w:val="3"/>
    </w:pPr>
    <w:rPr>
      <w:rFonts w:ascii="Arial" w:hAnsi="Arial" w:eastAsia="黑体"/>
      <w:b/>
      <w:bCs/>
      <w:sz w:val="28"/>
      <w:szCs w:val="28"/>
    </w:rPr>
  </w:style>
  <w:style w:type="character" w:default="1" w:styleId="9">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toa heading"/>
    <w:basedOn w:val="1"/>
    <w:next w:val="1"/>
    <w:qFormat/>
    <w:uiPriority w:val="99"/>
    <w:pPr>
      <w:spacing w:before="120" w:after="200" w:line="276" w:lineRule="auto"/>
    </w:pPr>
    <w:rPr>
      <w:rFonts w:ascii="Arial" w:hAnsi="Arial"/>
      <w:sz w:val="24"/>
    </w:r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autoRedefine/>
    <w:qFormat/>
    <w:uiPriority w:val="0"/>
    <w:pPr>
      <w:spacing w:before="100" w:beforeAutospacing="1" w:after="100" w:afterAutospacing="1"/>
      <w:ind w:left="0" w:right="0"/>
      <w:jc w:val="left"/>
    </w:pPr>
    <w:rPr>
      <w:kern w:val="0"/>
      <w:sz w:val="24"/>
      <w:lang w:val="en-US" w:eastAsia="zh-CN" w:bidi="ar"/>
    </w:rPr>
  </w:style>
  <w:style w:type="table" w:styleId="8">
    <w:name w:val="Table Grid"/>
    <w:basedOn w:val="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5836</Words>
  <Characters>6544</Characters>
  <Lines>0</Lines>
  <Paragraphs>0</Paragraphs>
  <TotalTime>19</TotalTime>
  <ScaleCrop>false</ScaleCrop>
  <LinksUpToDate>false</LinksUpToDate>
  <CharactersWithSpaces>6741</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阿朵</cp:lastModifiedBy>
  <cp:lastPrinted>2023-08-28T04:20:00Z</cp:lastPrinted>
  <dcterms:modified xsi:type="dcterms:W3CDTF">2024-05-24T01:15:03Z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50306CC149C84F98BF850919EA3E5AFB_13</vt:lpwstr>
  </property>
</Properties>
</file>