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附件1</w:t>
      </w:r>
    </w:p>
    <w:p>
      <w:pPr>
        <w:spacing w:line="700" w:lineRule="exact"/>
        <w:jc w:val="right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2022年度预算单位整体支出绩效评价基础数据表</w:t>
      </w:r>
    </w:p>
    <w:p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1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vAlign w:val="center"/>
          </w:tcPr>
          <w:p>
            <w:pPr>
              <w:spacing w:before="33" w:line="198" w:lineRule="auto"/>
              <w:ind w:right="118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预算单位名称</w:t>
            </w:r>
          </w:p>
        </w:tc>
        <w:tc>
          <w:tcPr>
            <w:tcW w:w="5819" w:type="dxa"/>
            <w:gridSpan w:val="6"/>
          </w:tcPr>
          <w:p>
            <w:pPr>
              <w:spacing w:before="103" w:line="219" w:lineRule="auto"/>
              <w:ind w:left="708"/>
              <w:rPr>
                <w:rFonts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岳阳市岳阳楼区司法局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</w:tcPr>
          <w:p>
            <w:pPr>
              <w:spacing w:before="262" w:line="219" w:lineRule="auto"/>
              <w:ind w:left="575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</w:tcPr>
          <w:p>
            <w:pPr>
              <w:spacing w:before="103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</w:tcPr>
          <w:p>
            <w:pPr>
              <w:spacing w:before="83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</w:tcPr>
          <w:p>
            <w:pPr>
              <w:spacing w:before="103" w:line="219" w:lineRule="auto"/>
              <w:ind w:left="708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</w:tcPr>
          <w:p>
            <w:pPr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79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68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86%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</w:tcPr>
          <w:p>
            <w:pPr>
              <w:spacing w:before="140" w:line="202" w:lineRule="auto"/>
              <w:ind w:left="684"/>
              <w:jc w:val="left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</w:tcPr>
          <w:p>
            <w:pPr>
              <w:spacing w:before="119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</w:tcPr>
          <w:p>
            <w:pPr>
              <w:spacing w:before="119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</w:tcPr>
          <w:p>
            <w:pPr>
              <w:spacing w:before="76"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4"/>
                <w:sz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7" w:hRule="atLeast"/>
        </w:trPr>
        <w:tc>
          <w:tcPr>
            <w:tcW w:w="3850" w:type="dxa"/>
          </w:tcPr>
          <w:p>
            <w:pPr>
              <w:spacing w:before="141" w:line="202" w:lineRule="auto"/>
              <w:ind w:left="11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5.51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18.00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10.8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149" w:line="193" w:lineRule="auto"/>
              <w:ind w:left="41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2.07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12.00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8.39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spacing w:before="81" w:line="219" w:lineRule="auto"/>
              <w:ind w:left="81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</w:tcPr>
          <w:p>
            <w:pPr>
              <w:spacing w:before="91" w:line="219" w:lineRule="auto"/>
              <w:ind w:left="142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2.07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12.00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8.39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</w:tcPr>
          <w:p>
            <w:pPr>
              <w:spacing w:before="81" w:line="220" w:lineRule="auto"/>
              <w:ind w:left="38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2" w:line="219" w:lineRule="auto"/>
              <w:ind w:left="38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3.44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6.00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2.41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spacing w:before="143" w:line="200" w:lineRule="auto"/>
              <w:ind w:left="8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166.50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363.80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363.80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>
            <w:pPr>
              <w:spacing w:before="133" w:line="200" w:lineRule="auto"/>
              <w:ind w:left="38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166.50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163.80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163.80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</w:tcPr>
          <w:p>
            <w:pPr>
              <w:spacing w:before="143" w:line="209" w:lineRule="auto"/>
              <w:ind w:left="38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200.00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200.00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</w:tcPr>
          <w:p>
            <w:pPr>
              <w:spacing w:before="93" w:line="219" w:lineRule="auto"/>
              <w:ind w:firstLine="488" w:firstLineChars="200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14:textFill>
                  <w14:solidFill>
                    <w14:schemeClr w14:val="tx1"/>
                  </w14:solidFill>
                </w14:textFill>
              </w:rPr>
              <w:t>3、区级专项资金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5" w:line="220" w:lineRule="auto"/>
              <w:ind w:firstLine="492" w:firstLineChars="200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(一个专项一行）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85" w:line="220" w:lineRule="auto"/>
              <w:ind w:left="9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434.50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163.20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83.71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spacing w:before="85" w:line="219" w:lineRule="auto"/>
              <w:ind w:left="38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46.85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49.60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46.22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>
            <w:pPr>
              <w:spacing w:before="135" w:line="198" w:lineRule="auto"/>
              <w:ind w:left="111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4.19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19.00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3.48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</w:tcPr>
          <w:p>
            <w:pPr>
              <w:spacing w:before="144" w:line="198" w:lineRule="auto"/>
              <w:ind w:left="112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</w:tcPr>
          <w:p>
            <w:pPr>
              <w:spacing w:before="145" w:line="189" w:lineRule="auto"/>
              <w:ind w:left="10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86.09</w:t>
            </w: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446.90</w:t>
            </w: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446.90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</w:tcPr>
          <w:p>
            <w:pPr>
              <w:spacing w:before="145" w:line="198" w:lineRule="auto"/>
              <w:ind w:left="114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vAlign w:val="center"/>
          </w:tcPr>
          <w:p>
            <w:pPr>
              <w:spacing w:before="65" w:line="39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99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4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1185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81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869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</w:tcPr>
          <w:p>
            <w:pPr>
              <w:jc w:val="center"/>
              <w:rPr>
                <w:rFonts w:asciiTheme="majorEastAsia" w:hAnsiTheme="majorEastAsia" w:eastAsiaTheme="majorEastAsia" w:cstheme="majorEastAsia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410" w:lineRule="exact"/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>
      <w:pPr>
        <w:jc w:val="left"/>
        <w:rPr>
          <w:rFonts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         填报日期：2023.6.10</w:t>
      </w: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cols w:space="0" w:num="1"/>
          <w:docGrid w:type="lines" w:linePitch="312" w:charSpace="0"/>
        </w:sect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附件2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 xml:space="preserve">  2022年度预算单位整体支出绩效自评表</w:t>
      </w:r>
    </w:p>
    <w:p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11"/>
        <w:tblW w:w="9961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319"/>
        <w:gridCol w:w="1259"/>
        <w:gridCol w:w="719"/>
        <w:gridCol w:w="802"/>
        <w:gridCol w:w="140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</w:tcPr>
          <w:p>
            <w:pPr>
              <w:spacing w:line="198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单位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877" w:type="dxa"/>
            <w:gridSpan w:val="8"/>
          </w:tcPr>
          <w:p>
            <w:pPr>
              <w:tabs>
                <w:tab w:val="left" w:pos="3787"/>
              </w:tabs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ab/>
            </w: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岳阳市岳阳楼区司法局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</w:tcPr>
          <w:p>
            <w:pPr>
              <w:spacing w:line="418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80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319" w:type="dxa"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259" w:type="dxa"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401" w:type="dxa"/>
            <w:vAlign w:val="center"/>
          </w:tcPr>
          <w:p>
            <w:pPr>
              <w:spacing w:line="194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vAlign w:val="center"/>
          </w:tcPr>
          <w:p>
            <w:pPr>
              <w:spacing w:line="193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1522.51</w:t>
            </w:r>
          </w:p>
        </w:tc>
        <w:tc>
          <w:tcPr>
            <w:tcW w:w="131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1506.61</w:t>
            </w:r>
          </w:p>
        </w:tc>
        <w:tc>
          <w:tcPr>
            <w:tcW w:w="125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1506.61</w:t>
            </w:r>
          </w:p>
        </w:tc>
        <w:tc>
          <w:tcPr>
            <w:tcW w:w="719" w:type="dxa"/>
            <w:vAlign w:val="center"/>
          </w:tcPr>
          <w:p>
            <w:pPr>
              <w:spacing w:line="147" w:lineRule="exact"/>
              <w:jc w:val="center"/>
              <w:rPr>
                <w:rFonts w:ascii="宋体" w:hAnsi="宋体" w:eastAsia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401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181" w:type="dxa"/>
            <w:gridSpan w:val="4"/>
            <w:vAlign w:val="center"/>
          </w:tcPr>
          <w:p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spacing w:line="193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1506.61</w:t>
            </w:r>
          </w:p>
        </w:tc>
        <w:tc>
          <w:tcPr>
            <w:tcW w:w="4181" w:type="dxa"/>
            <w:gridSpan w:val="4"/>
            <w:vAlign w:val="center"/>
          </w:tcPr>
          <w:p>
            <w:pPr>
              <w:spacing w:line="194" w:lineRule="auto"/>
              <w:ind w:firstLine="210" w:firstLineChars="1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1506.61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spacing w:line="202" w:lineRule="auto"/>
              <w:ind w:firstLine="1050" w:firstLineChars="5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181" w:type="dxa"/>
            <w:gridSpan w:val="4"/>
            <w:vAlign w:val="center"/>
          </w:tcPr>
          <w:p>
            <w:pPr>
              <w:spacing w:line="201" w:lineRule="auto"/>
              <w:ind w:firstLine="840" w:firstLineChars="4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spacing w:line="192" w:lineRule="auto"/>
              <w:ind w:firstLine="1050" w:firstLineChars="5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181" w:type="dxa"/>
            <w:gridSpan w:val="4"/>
            <w:vAlign w:val="center"/>
          </w:tcPr>
          <w:p>
            <w:pPr>
              <w:spacing w:line="239" w:lineRule="exact"/>
              <w:jc w:val="left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spacing w:line="192" w:lineRule="auto"/>
              <w:ind w:firstLine="1050" w:firstLineChars="500"/>
              <w:jc w:val="left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4181" w:type="dxa"/>
            <w:gridSpan w:val="4"/>
            <w:vAlign w:val="center"/>
          </w:tcPr>
          <w:p>
            <w:pPr>
              <w:spacing w:line="240" w:lineRule="exact"/>
              <w:jc w:val="left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</w:tcPr>
          <w:p>
            <w:pPr>
              <w:spacing w:line="21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696" w:type="dxa"/>
            <w:gridSpan w:val="4"/>
            <w:vAlign w:val="center"/>
          </w:tcPr>
          <w:p>
            <w:pPr>
              <w:spacing w:line="19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181" w:type="dxa"/>
            <w:gridSpan w:val="4"/>
            <w:vAlign w:val="center"/>
          </w:tcPr>
          <w:p>
            <w:pPr>
              <w:spacing w:line="19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</w:tcPr>
          <w:p>
            <w:pPr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696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181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textDirection w:val="tbRlV"/>
          </w:tcPr>
          <w:p>
            <w:pPr>
              <w:spacing w:line="367" w:lineRule="auto"/>
              <w:jc w:val="center"/>
              <w:rPr>
                <w:rFonts w:ascii="Arial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1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401" w:type="dxa"/>
            <w:vAlign w:val="center"/>
          </w:tcPr>
          <w:p>
            <w:pPr>
              <w:spacing w:line="211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>
            <w:pPr>
              <w:spacing w:line="19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vAlign w:val="center"/>
          </w:tcPr>
          <w:p>
            <w:pPr>
              <w:spacing w:line="269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69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70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70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481" w:lineRule="exact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  <w:p>
            <w:pPr>
              <w:spacing w:line="250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1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1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51" w:lineRule="auto"/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办结行政复议案件数</w:t>
            </w:r>
          </w:p>
        </w:tc>
        <w:tc>
          <w:tcPr>
            <w:tcW w:w="131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60</w:t>
            </w:r>
          </w:p>
        </w:tc>
        <w:tc>
          <w:tcPr>
            <w:tcW w:w="125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72</w:t>
            </w:r>
          </w:p>
        </w:tc>
        <w:tc>
          <w:tcPr>
            <w:tcW w:w="71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审查规范性文件、合同、协议件数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260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242</w:t>
            </w:r>
          </w:p>
        </w:tc>
        <w:tc>
          <w:tcPr>
            <w:tcW w:w="71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401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接收社区矫正对象数</w:t>
            </w:r>
          </w:p>
        </w:tc>
        <w:tc>
          <w:tcPr>
            <w:tcW w:w="131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150</w:t>
            </w:r>
          </w:p>
        </w:tc>
        <w:tc>
          <w:tcPr>
            <w:tcW w:w="125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171</w:t>
            </w:r>
          </w:p>
        </w:tc>
        <w:tc>
          <w:tcPr>
            <w:tcW w:w="71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01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接收安置帮教人员数</w:t>
            </w:r>
          </w:p>
        </w:tc>
        <w:tc>
          <w:tcPr>
            <w:tcW w:w="131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200</w:t>
            </w:r>
          </w:p>
        </w:tc>
        <w:tc>
          <w:tcPr>
            <w:tcW w:w="125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223</w:t>
            </w:r>
          </w:p>
        </w:tc>
        <w:tc>
          <w:tcPr>
            <w:tcW w:w="71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01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收治病残吸毒人员数</w:t>
            </w:r>
          </w:p>
        </w:tc>
        <w:tc>
          <w:tcPr>
            <w:tcW w:w="131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60</w:t>
            </w:r>
          </w:p>
        </w:tc>
        <w:tc>
          <w:tcPr>
            <w:tcW w:w="125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65</w:t>
            </w:r>
          </w:p>
        </w:tc>
        <w:tc>
          <w:tcPr>
            <w:tcW w:w="719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01" w:type="dxa"/>
            <w:vAlign w:val="center"/>
          </w:tcPr>
          <w:p>
            <w:pPr>
              <w:spacing w:line="23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调解矛盾纠纷起数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650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726</w:t>
            </w:r>
          </w:p>
        </w:tc>
        <w:tc>
          <w:tcPr>
            <w:tcW w:w="7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0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以奖代补金额数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23.34万元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23.34万元</w:t>
            </w:r>
          </w:p>
        </w:tc>
        <w:tc>
          <w:tcPr>
            <w:tcW w:w="7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受理法律援助案件数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400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400</w:t>
            </w:r>
          </w:p>
        </w:tc>
        <w:tc>
          <w:tcPr>
            <w:tcW w:w="7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接待法律咨询人次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750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840</w:t>
            </w:r>
          </w:p>
        </w:tc>
        <w:tc>
          <w:tcPr>
            <w:tcW w:w="7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一村（社区）法律顾问签约个数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108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108</w:t>
            </w:r>
          </w:p>
        </w:tc>
        <w:tc>
          <w:tcPr>
            <w:tcW w:w="719" w:type="dxa"/>
            <w:vAlign w:val="center"/>
          </w:tcPr>
          <w:p>
            <w:pPr>
              <w:tabs>
                <w:tab w:val="left" w:pos="232"/>
              </w:tabs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普法宣传天数</w:t>
            </w:r>
          </w:p>
        </w:tc>
        <w:tc>
          <w:tcPr>
            <w:tcW w:w="131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75</w:t>
            </w:r>
          </w:p>
        </w:tc>
        <w:tc>
          <w:tcPr>
            <w:tcW w:w="125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75</w:t>
            </w:r>
          </w:p>
        </w:tc>
        <w:tc>
          <w:tcPr>
            <w:tcW w:w="71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pStyle w:val="2"/>
              <w:jc w:val="center"/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接收社区矫正对象管理情况</w:t>
            </w:r>
          </w:p>
        </w:tc>
        <w:tc>
          <w:tcPr>
            <w:tcW w:w="131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零脱管、零漏管</w:t>
            </w:r>
          </w:p>
        </w:tc>
        <w:tc>
          <w:tcPr>
            <w:tcW w:w="125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零脱管、</w:t>
            </w:r>
          </w:p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零漏管</w:t>
            </w:r>
          </w:p>
        </w:tc>
        <w:tc>
          <w:tcPr>
            <w:tcW w:w="71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病残吸毒人员收治情况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应收尽收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应收尽收</w:t>
            </w:r>
          </w:p>
        </w:tc>
        <w:tc>
          <w:tcPr>
            <w:tcW w:w="7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tabs>
                <w:tab w:val="left" w:pos="425"/>
              </w:tabs>
              <w:jc w:val="left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各类矛盾纠纷调处成功率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大于等于80%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83.5%</w:t>
            </w:r>
          </w:p>
        </w:tc>
        <w:tc>
          <w:tcPr>
            <w:tcW w:w="7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法律援助结案率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60%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65%</w:t>
            </w:r>
          </w:p>
        </w:tc>
        <w:tc>
          <w:tcPr>
            <w:tcW w:w="7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村（社区）法律顾问覆盖率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spacing w:line="220" w:lineRule="exact"/>
              <w:jc w:val="center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  <w:t>法律援助案件办理质量检查合格率</w:t>
            </w:r>
          </w:p>
        </w:tc>
        <w:tc>
          <w:tcPr>
            <w:tcW w:w="1319" w:type="dxa"/>
            <w:vAlign w:val="center"/>
          </w:tcPr>
          <w:p>
            <w:pPr>
              <w:spacing w:line="220" w:lineRule="exact"/>
              <w:jc w:val="center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259" w:type="dxa"/>
            <w:vAlign w:val="center"/>
          </w:tcPr>
          <w:p>
            <w:pPr>
              <w:spacing w:line="220" w:lineRule="exact"/>
              <w:jc w:val="center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vAlign w:val="center"/>
          </w:tcPr>
          <w:p>
            <w:pPr>
              <w:spacing w:line="220" w:lineRule="exact"/>
              <w:jc w:val="center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spacing w:line="220" w:lineRule="exact"/>
              <w:jc w:val="center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spacing w:line="220" w:lineRule="exact"/>
              <w:jc w:val="center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资金到位</w:t>
            </w:r>
          </w:p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及时性</w:t>
            </w:r>
          </w:p>
        </w:tc>
        <w:tc>
          <w:tcPr>
            <w:tcW w:w="131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小于等于12个月</w:t>
            </w:r>
          </w:p>
        </w:tc>
        <w:tc>
          <w:tcPr>
            <w:tcW w:w="125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小于等于12个月</w:t>
            </w:r>
          </w:p>
        </w:tc>
        <w:tc>
          <w:tcPr>
            <w:tcW w:w="71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完成履职工作任务所需经费</w:t>
            </w:r>
          </w:p>
        </w:tc>
        <w:tc>
          <w:tcPr>
            <w:tcW w:w="131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1522.51万元</w:t>
            </w:r>
          </w:p>
        </w:tc>
        <w:tc>
          <w:tcPr>
            <w:tcW w:w="125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1506.61万元</w:t>
            </w:r>
          </w:p>
        </w:tc>
        <w:tc>
          <w:tcPr>
            <w:tcW w:w="719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401" w:type="dxa"/>
            <w:vAlign w:val="center"/>
          </w:tcPr>
          <w:p>
            <w:pPr>
              <w:spacing w:line="239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spacing w:line="220" w:lineRule="auto"/>
              <w:jc w:val="center"/>
            </w:pPr>
            <w:r>
              <w:rPr>
                <w:rFonts w:hint="eastAsia"/>
              </w:rPr>
              <w:t>效益指标</w:t>
            </w:r>
          </w:p>
          <w:p>
            <w:pPr>
              <w:pStyle w:val="2"/>
              <w:jc w:val="center"/>
            </w:pPr>
            <w:r>
              <w:rPr>
                <w:rFonts w:hint="eastAsia" w:ascii="宋体" w:hAnsi="宋体" w:cs="宋体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（30分）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经济效益指标</w:t>
            </w:r>
          </w:p>
        </w:tc>
        <w:tc>
          <w:tcPr>
            <w:tcW w:w="126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稳定的社会治安环境是否有益于岳阳经济的发展</w:t>
            </w:r>
          </w:p>
        </w:tc>
        <w:tc>
          <w:tcPr>
            <w:tcW w:w="131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对岳阳的经济发展有益</w:t>
            </w:r>
          </w:p>
        </w:tc>
        <w:tc>
          <w:tcPr>
            <w:tcW w:w="125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对岳阳的经济发展有益</w:t>
            </w:r>
          </w:p>
        </w:tc>
        <w:tc>
          <w:tcPr>
            <w:tcW w:w="71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802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401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vAlign w:val="center"/>
          </w:tcPr>
          <w:p>
            <w:pPr>
              <w:spacing w:line="21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vAlign w:val="center"/>
          </w:tcPr>
          <w:p>
            <w:pPr>
              <w:tabs>
                <w:tab w:val="left" w:pos="424"/>
              </w:tabs>
              <w:spacing w:line="240" w:lineRule="exact"/>
              <w:jc w:val="left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是否让市民</w:t>
            </w:r>
          </w:p>
          <w:p>
            <w:pPr>
              <w:tabs>
                <w:tab w:val="left" w:pos="424"/>
              </w:tabs>
              <w:spacing w:line="240" w:lineRule="exact"/>
              <w:jc w:val="left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有安全感</w:t>
            </w:r>
          </w:p>
        </w:tc>
        <w:tc>
          <w:tcPr>
            <w:tcW w:w="131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有安全感</w:t>
            </w:r>
          </w:p>
        </w:tc>
        <w:tc>
          <w:tcPr>
            <w:tcW w:w="125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有安全感</w:t>
            </w:r>
          </w:p>
        </w:tc>
        <w:tc>
          <w:tcPr>
            <w:tcW w:w="71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802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401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重新犯罪率</w:t>
            </w:r>
          </w:p>
        </w:tc>
        <w:tc>
          <w:tcPr>
            <w:tcW w:w="131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小于1%</w:t>
            </w:r>
          </w:p>
        </w:tc>
        <w:tc>
          <w:tcPr>
            <w:tcW w:w="125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小于1%</w:t>
            </w:r>
          </w:p>
        </w:tc>
        <w:tc>
          <w:tcPr>
            <w:tcW w:w="71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802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401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>
            <w:pPr>
              <w:spacing w:line="237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普法宣传是否对环境有负面影响</w:t>
            </w:r>
          </w:p>
        </w:tc>
        <w:tc>
          <w:tcPr>
            <w:tcW w:w="131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无负面影响</w:t>
            </w:r>
          </w:p>
        </w:tc>
        <w:tc>
          <w:tcPr>
            <w:tcW w:w="125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无负面影响</w:t>
            </w:r>
          </w:p>
        </w:tc>
        <w:tc>
          <w:tcPr>
            <w:tcW w:w="719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802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01" w:type="dxa"/>
            <w:vAlign w:val="center"/>
          </w:tcPr>
          <w:p>
            <w:pPr>
              <w:spacing w:line="240" w:lineRule="exact"/>
              <w:jc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vAlign w:val="center"/>
          </w:tcPr>
          <w:p>
            <w:pPr>
              <w:spacing w:line="203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是否可持续影响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</w:tc>
        <w:tc>
          <w:tcPr>
            <w:tcW w:w="7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40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tcBorders>
              <w:bottom w:val="nil"/>
            </w:tcBorders>
            <w:vAlign w:val="center"/>
          </w:tcPr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tcBorders>
              <w:bottom w:val="nil"/>
            </w:tcBorders>
            <w:vAlign w:val="center"/>
          </w:tcPr>
          <w:p>
            <w:pPr>
              <w:spacing w:line="202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>
            <w:pPr>
              <w:spacing w:line="219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>
            <w:pPr>
              <w:spacing w:line="22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社矫对象</w:t>
            </w:r>
          </w:p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</w:tc>
        <w:tc>
          <w:tcPr>
            <w:tcW w:w="13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大于等于95%</w:t>
            </w:r>
          </w:p>
        </w:tc>
        <w:tc>
          <w:tcPr>
            <w:tcW w:w="125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大于等于95%</w:t>
            </w:r>
          </w:p>
        </w:tc>
        <w:tc>
          <w:tcPr>
            <w:tcW w:w="719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40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6"/>
            <w:vAlign w:val="center"/>
          </w:tcPr>
          <w:p>
            <w:pPr>
              <w:spacing w:line="251" w:lineRule="exact"/>
              <w:ind w:firstLine="3274"/>
              <w:jc w:val="center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vAlign w:val="center"/>
          </w:tcPr>
          <w:p>
            <w:pPr>
              <w:spacing w:line="160" w:lineRule="auto"/>
              <w:jc w:val="center"/>
              <w:rPr>
                <w:rFonts w:ascii="宋体" w:hAnsi="宋体" w:eastAsia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t>92</w:t>
            </w:r>
          </w:p>
        </w:tc>
        <w:tc>
          <w:tcPr>
            <w:tcW w:w="1401" w:type="dxa"/>
            <w:vAlign w:val="center"/>
          </w:tcPr>
          <w:p>
            <w:pPr>
              <w:jc w:val="center"/>
              <w:rPr>
                <w:rFonts w:ascii="Arial"/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jc w:val="left"/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hint="eastAsia"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2023.6.10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sectPr>
          <w:pgSz w:w="11906" w:h="16838"/>
          <w:pgMar w:top="1134" w:right="1417" w:bottom="1134" w:left="1134" w:header="851" w:footer="992" w:gutter="0"/>
          <w:cols w:space="0" w:num="1"/>
          <w:docGrid w:type="lines" w:linePitch="312" w:charSpace="0"/>
        </w:sectPr>
      </w:pPr>
      <w:r>
        <w:rPr>
          <w:rFonts w:hint="eastAsia"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  <w:t xml:space="preserve">   </w:t>
      </w: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3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岳阳市岳阳楼区司法局</w:t>
      </w: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整体支出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方正小标宋简体" w:hAnsi="方正小标宋简体" w:eastAsia="方正小标宋简体" w:cs="方正小标宋简体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  <w:t>绩效自评报告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center"/>
        <w:rPr>
          <w:rFonts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部门(单位)名称：   ( 盖 章 )</w:t>
      </w:r>
    </w:p>
    <w:p>
      <w:pPr>
        <w:jc w:val="center"/>
        <w:rPr>
          <w:rFonts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  <w:t>2023年 6 月 10 日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2022年度岳阳楼区司法局</w:t>
      </w:r>
    </w:p>
    <w:p>
      <w:pPr>
        <w:spacing w:line="7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单位整体支出绩效自评报告</w:t>
      </w: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jc w:val="left"/>
        <w:rPr>
          <w:rFonts w:ascii="仿宋" w:hAnsi="仿宋" w:eastAsia="仿宋" w:cs="仿宋"/>
          <w:color w:val="000000" w:themeColor="text1"/>
          <w:sz w:val="22"/>
          <w:szCs w:val="22"/>
          <w14:textFill>
            <w14:solidFill>
              <w14:schemeClr w14:val="tx1"/>
            </w14:solidFill>
          </w14:textFill>
        </w:rPr>
      </w:pPr>
    </w:p>
    <w:p>
      <w:pPr>
        <w:numPr>
          <w:ilvl w:val="0"/>
          <w:numId w:val="1"/>
        </w:num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单位基本情况</w:t>
      </w:r>
    </w:p>
    <w:p>
      <w:pPr>
        <w:widowControl/>
        <w:spacing w:line="600" w:lineRule="exact"/>
        <w:ind w:firstLine="643" w:firstLineChars="200"/>
        <w:rPr>
          <w:rFonts w:ascii="仿宋" w:hAnsi="仿宋" w:eastAsia="仿宋" w:cs="仿宋_GB2312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kern w:val="0"/>
          <w:sz w:val="32"/>
          <w:szCs w:val="32"/>
        </w:rPr>
        <w:t>（一）职能职责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1、贯彻执行国家和省、市有关司法行政工作的方针、政策、法律、法规，编制全区司法行政发展中、长期规划和年度计划并监督实施，指导、管理全区法律服务机构和法律服务市场。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2、制定全区法制宣传教育和依法治理规划并组织实施，指导全区地方、行业、基层的依法治理工作，负责全区干部学法用法培训、考试、考核工作，负责牵头“法治楼区”建设工作。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3、管理指导监督全区律师、法律顾问工作，管理直属本局的法律服务机构，协助组织司法考试。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4、管理指导监督公证业务活动。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5、代表政府实施法律援助工作 ，对受援对象提花法律服务。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6、管理指导全区街道乡、司法所、基层法律服务所和人民调解委员会工作，负责全区“调委会”组织建设和业务培训工作，负责全区法律服务机构的申报、年检和法律服务工作者资格考试、年检、注册工作，参与社会治安综合治理。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7、负责对全区的刑满释放人员的安置帮教工作，承担区刑释解教安置帮教领导小组办公室日常工作。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8、负责对全区的社区矫正工作，承担区社区矫正领导小组办公室的日常工作。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9、负责对市中心城区患有尿毒症、癌症、脉管炎、肺结核等涉毒重症违法犯罪人员进行集中收治。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10、指导管理全区面向社区服务的司法鉴定工作。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11、管理指导全区司法行政系统的队伍建设和思想政法工作，管理司法所编制和人事任免工作。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12、依法监督商业投资企业执行有关法律法规规章、合同章程的情况并协调解决有关问题，及时预防调处商业纠纷；进行专项法制宣传，提供相应法律服务。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kern w:val="0"/>
          <w:sz w:val="32"/>
          <w:szCs w:val="32"/>
        </w:rPr>
        <w:t>13、负责本单位、本系统的信访维稳和安全生产工作。承办区委、区人民政府交办的其他事项。岳阳楼区司法局主要负责全区司法行政工作。</w:t>
      </w:r>
    </w:p>
    <w:p>
      <w:pPr>
        <w:widowControl/>
        <w:spacing w:line="600" w:lineRule="exact"/>
        <w:ind w:firstLine="643" w:firstLineChars="200"/>
        <w:rPr>
          <w:rFonts w:ascii="仿宋" w:hAnsi="仿宋" w:eastAsia="仿宋" w:cs="仿宋_GB2312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b/>
          <w:bCs/>
          <w:kern w:val="0"/>
          <w:sz w:val="32"/>
          <w:szCs w:val="32"/>
        </w:rPr>
        <w:t>（二）机构设置</w:t>
      </w:r>
    </w:p>
    <w:p>
      <w:pPr>
        <w:widowControl/>
        <w:spacing w:line="600" w:lineRule="exact"/>
        <w:ind w:firstLine="640" w:firstLineChars="200"/>
        <w:rPr>
          <w:rFonts w:ascii="仿宋" w:hAnsi="仿宋" w:eastAsia="仿宋" w:cs="仿宋_GB2312"/>
          <w:b/>
          <w:bCs/>
          <w:kern w:val="0"/>
          <w:sz w:val="32"/>
          <w:szCs w:val="32"/>
        </w:rPr>
      </w:pPr>
      <w:r>
        <w:rPr>
          <w:rFonts w:ascii="仿宋" w:hAnsi="仿宋" w:eastAsia="仿宋" w:cs="仿宋_GB2312"/>
          <w:kern w:val="0"/>
          <w:sz w:val="32"/>
          <w:szCs w:val="32"/>
        </w:rPr>
        <w:t>本部门现有干部职工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68</w:t>
      </w:r>
      <w:r>
        <w:rPr>
          <w:rFonts w:ascii="仿宋" w:hAnsi="仿宋" w:eastAsia="仿宋" w:cs="仿宋_GB2312"/>
          <w:kern w:val="0"/>
          <w:sz w:val="32"/>
          <w:szCs w:val="32"/>
        </w:rPr>
        <w:t>人，其中：公务员编制干部44人，事业编制职工2</w:t>
      </w:r>
      <w:r>
        <w:rPr>
          <w:rFonts w:hint="eastAsia" w:ascii="仿宋" w:hAnsi="仿宋" w:eastAsia="仿宋" w:cs="仿宋_GB2312"/>
          <w:kern w:val="0"/>
          <w:sz w:val="32"/>
          <w:szCs w:val="32"/>
          <w:lang w:val="en-US" w:eastAsia="zh-CN"/>
        </w:rPr>
        <w:t>4</w:t>
      </w:r>
      <w:r>
        <w:rPr>
          <w:rFonts w:ascii="仿宋" w:hAnsi="仿宋" w:eastAsia="仿宋" w:cs="仿宋_GB2312"/>
          <w:kern w:val="0"/>
          <w:sz w:val="32"/>
          <w:szCs w:val="32"/>
        </w:rPr>
        <w:t>人。本部门内设：</w:t>
      </w:r>
      <w:r>
        <w:rPr>
          <w:rFonts w:hint="eastAsia" w:ascii="仿宋" w:hAnsi="仿宋" w:eastAsia="仿宋" w:cs="仿宋_GB2312"/>
          <w:kern w:val="0"/>
          <w:sz w:val="32"/>
          <w:szCs w:val="32"/>
        </w:rPr>
        <w:t>办公室、政工室、行政复议股、规范性文件审查股、律师管理股、基层工作管理股、社区矫正工作管理股、法制宣传教育股、执法监督股、财务装备股10个股室；下设三个二级机构：岳阳市中心城区涉毒重症违法犯罪人员收治中心、岳阳市岳阳楼区法律援助中心、岳阳市岳阳楼区商业纠纷预防调处服务中心。</w:t>
      </w:r>
    </w:p>
    <w:p>
      <w:pPr>
        <w:ind w:firstLine="320" w:firstLineChars="1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二、一般公共预算支出情况</w:t>
      </w:r>
    </w:p>
    <w:p>
      <w:pPr>
        <w:ind w:firstLine="643" w:firstLineChars="200"/>
        <w:jc w:val="left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(一)基本支出情况</w:t>
      </w:r>
    </w:p>
    <w:p>
      <w:pPr>
        <w:spacing w:line="48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2022年基本支出1,506.61万元，主要列支人员工资福利和公用工作经费。具体支出项目如下：</w:t>
      </w:r>
    </w:p>
    <w:p>
      <w:pPr>
        <w:spacing w:line="48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1，人员工资福利经费支出9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87.79</w:t>
      </w:r>
      <w:r>
        <w:rPr>
          <w:rFonts w:hint="eastAsia" w:ascii="仿宋" w:hAnsi="仿宋" w:eastAsia="仿宋" w:cs="仿宋"/>
          <w:sz w:val="32"/>
          <w:szCs w:val="32"/>
        </w:rPr>
        <w:t>万元，主要用于在职职工基本工资、绩效工资、奖金、津贴补贴、社会保障缴费、住房公积金、伙食补助费等;</w:t>
      </w:r>
    </w:p>
    <w:p>
      <w:pPr>
        <w:spacing w:line="48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2，商品和服务支出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390.71</w:t>
      </w:r>
      <w:r>
        <w:rPr>
          <w:rFonts w:hint="eastAsia" w:ascii="仿宋" w:hAnsi="仿宋" w:eastAsia="仿宋" w:cs="仿宋"/>
          <w:sz w:val="32"/>
          <w:szCs w:val="32"/>
        </w:rPr>
        <w:t>万元，主要用于办公费、水电费、维修费、劳务费、专用材料费、工会经费等单位基本运行费用支出;</w:t>
      </w:r>
    </w:p>
    <w:p>
      <w:pPr>
        <w:spacing w:line="48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3，对个人和家庭补助支出55.55万元，主要用于退休费支出;</w:t>
      </w:r>
    </w:p>
    <w:p>
      <w:pPr>
        <w:pStyle w:val="3"/>
        <w:ind w:firstLine="640" w:firstLineChars="200"/>
        <w:rPr>
          <w:rFonts w:ascii="仿宋" w:hAnsi="仿宋" w:eastAsia="仿宋" w:cs="仿宋"/>
          <w:szCs w:val="32"/>
        </w:rPr>
      </w:pPr>
      <w:r>
        <w:rPr>
          <w:rFonts w:hint="eastAsia" w:ascii="仿宋" w:hAnsi="仿宋" w:eastAsia="仿宋" w:cs="仿宋"/>
          <w:szCs w:val="32"/>
        </w:rPr>
        <w:t>4,资本性支出72.56万元,主要用于办公设备购置。</w:t>
      </w:r>
    </w:p>
    <w:p>
      <w:pPr>
        <w:pStyle w:val="4"/>
        <w:ind w:left="0" w:leftChars="0"/>
      </w:pPr>
      <w:r>
        <w:rPr>
          <w:rFonts w:hint="eastAsia" w:ascii="仿宋" w:hAnsi="仿宋" w:eastAsia="仿宋" w:cs="仿宋"/>
          <w:sz w:val="32"/>
          <w:szCs w:val="32"/>
        </w:rPr>
        <w:t xml:space="preserve">    5，本年度公务接待费0.00万元，公务用车购置和运行维护费0.00元，因公出国（境）费用0.00万元。</w:t>
      </w:r>
    </w:p>
    <w:p>
      <w:pPr>
        <w:numPr>
          <w:ilvl w:val="0"/>
          <w:numId w:val="2"/>
        </w:numPr>
        <w:ind w:firstLine="643" w:firstLineChars="200"/>
        <w:jc w:val="left"/>
        <w:rPr>
          <w:rFonts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项目支出情况</w:t>
      </w:r>
    </w:p>
    <w:p>
      <w:pPr>
        <w:pStyle w:val="3"/>
        <w:ind w:firstLine="640" w:firstLineChars="200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t>2022年项目支出</w:t>
      </w:r>
      <w:r>
        <w:rPr>
          <w:rFonts w:hint="eastAsia" w:ascii="仿宋" w:hAnsi="仿宋" w:eastAsia="仿宋" w:cs="仿宋"/>
          <w:lang w:val="en-US" w:eastAsia="zh-CN"/>
        </w:rPr>
        <w:t>0.00</w:t>
      </w:r>
      <w:bookmarkStart w:id="0" w:name="_GoBack"/>
      <w:bookmarkEnd w:id="0"/>
      <w:r>
        <w:rPr>
          <w:rFonts w:hint="eastAsia" w:ascii="仿宋" w:hAnsi="仿宋" w:eastAsia="仿宋" w:cs="仿宋"/>
        </w:rPr>
        <w:t>万元，主要列支社区矫正安置帮教、政府购买服务、矛盾多元化调解、法治普法、法律援助、三调联动、戒毒收治中心运行维护等费用。</w:t>
      </w:r>
    </w:p>
    <w:p>
      <w:pPr>
        <w:tabs>
          <w:tab w:val="left" w:pos="605"/>
        </w:tabs>
        <w:ind w:firstLine="320" w:firstLineChars="1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三、政府性基金预算支出情况</w:t>
      </w:r>
    </w:p>
    <w:p>
      <w:pPr>
        <w:tabs>
          <w:tab w:val="left" w:pos="632"/>
        </w:tabs>
        <w:ind w:firstLine="320" w:firstLineChars="1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四、国有资本经营预算支出情况</w:t>
      </w:r>
    </w:p>
    <w:p>
      <w:pPr>
        <w:ind w:firstLine="320" w:firstLineChars="1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五、社会保险基金预算支出情况</w:t>
      </w:r>
    </w:p>
    <w:p>
      <w:pPr>
        <w:ind w:firstLine="320" w:firstLineChars="1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六、部门整体支出绩效情况</w:t>
      </w:r>
    </w:p>
    <w:p>
      <w:pPr>
        <w:adjustRightInd w:val="0"/>
        <w:snapToGrid w:val="0"/>
        <w:spacing w:line="540" w:lineRule="atLeast"/>
        <w:ind w:firstLine="321" w:firstLineChars="100"/>
        <w:contextualSpacing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（一）部门整体支出情况分析</w:t>
      </w:r>
    </w:p>
    <w:p>
      <w:pPr>
        <w:adjustRightInd w:val="0"/>
        <w:snapToGrid w:val="0"/>
        <w:spacing w:line="540" w:lineRule="atLeast"/>
        <w:ind w:firstLine="664" w:firstLineChars="200"/>
        <w:contextualSpacing/>
        <w:rPr>
          <w:rFonts w:ascii="仿宋" w:hAnsi="仿宋" w:eastAsia="仿宋" w:cs="仿宋"/>
          <w:spacing w:val="6"/>
          <w:sz w:val="32"/>
          <w:szCs w:val="32"/>
        </w:rPr>
      </w:pPr>
      <w:r>
        <w:rPr>
          <w:rFonts w:hint="eastAsia" w:ascii="仿宋" w:hAnsi="仿宋" w:eastAsia="仿宋" w:cs="仿宋"/>
          <w:spacing w:val="6"/>
          <w:sz w:val="32"/>
          <w:szCs w:val="32"/>
        </w:rPr>
        <w:t>从整体情况来看，我局严格按照年初预算进行部门整体支出。在支出过程中，能严格遵守各项规章制度，“三公经费”明显下降。所有项目都详细制定了方案，严格按方案组织实施，并加强了监督。尤其是在专项经费支出上，我们能专款专用，按项目实施计划的进度情况进行资金拨付，无截留、无挪用等现象。为建设</w:t>
      </w:r>
      <w:r>
        <w:rPr>
          <w:rFonts w:hint="eastAsia" w:ascii="Times New Roman" w:hAnsi="Times New Roman" w:eastAsia="仿宋_GB2312"/>
          <w:spacing w:val="6"/>
          <w:sz w:val="32"/>
          <w:szCs w:val="32"/>
        </w:rPr>
        <w:t>“名副其实的省域副中心城市”</w:t>
      </w:r>
      <w:r>
        <w:rPr>
          <w:rFonts w:hint="eastAsia" w:ascii="仿宋" w:hAnsi="仿宋" w:eastAsia="仿宋" w:cs="仿宋"/>
          <w:spacing w:val="6"/>
          <w:sz w:val="32"/>
          <w:szCs w:val="32"/>
        </w:rPr>
        <w:t>目标任务做出了重要贡献。实行了先有预算、后有执行、“用钱必问效、无效必问责”的新常态。</w:t>
      </w:r>
    </w:p>
    <w:p>
      <w:pPr>
        <w:adjustRightInd w:val="0"/>
        <w:snapToGrid w:val="0"/>
        <w:spacing w:line="400" w:lineRule="exact"/>
        <w:ind w:firstLine="643" w:firstLineChars="200"/>
        <w:contextualSpacing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（二）、绩效评价工作情况</w:t>
      </w:r>
    </w:p>
    <w:p>
      <w:pPr>
        <w:adjustRightInd w:val="0"/>
        <w:snapToGrid w:val="0"/>
        <w:spacing w:line="520" w:lineRule="exact"/>
        <w:ind w:firstLine="640" w:firstLineChars="200"/>
        <w:contextualSpacing/>
        <w:rPr>
          <w:rFonts w:ascii="Times New Roman" w:hAnsi="Times New Roman" w:eastAsia="楷体_GB2312"/>
          <w:sz w:val="32"/>
          <w:szCs w:val="32"/>
        </w:rPr>
      </w:pPr>
      <w:r>
        <w:rPr>
          <w:rFonts w:hint="eastAsia" w:ascii="Times New Roman" w:hAnsi="Times New Roman" w:eastAsia="楷体_GB2312"/>
          <w:sz w:val="32"/>
          <w:szCs w:val="32"/>
        </w:rPr>
        <w:t>1，</w:t>
      </w:r>
      <w:r>
        <w:rPr>
          <w:rFonts w:ascii="Times New Roman" w:hAnsi="Times New Roman" w:eastAsia="楷体_GB2312"/>
          <w:sz w:val="32"/>
          <w:szCs w:val="32"/>
        </w:rPr>
        <w:t>绩效评价目的</w:t>
      </w:r>
    </w:p>
    <w:p>
      <w:pPr>
        <w:adjustRightInd w:val="0"/>
        <w:snapToGrid w:val="0"/>
        <w:spacing w:line="520" w:lineRule="exact"/>
        <w:ind w:firstLine="640" w:firstLineChars="200"/>
        <w:contextualSpacing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此次绩效评价的目的是：严格落实《预算法》及省、市</w:t>
      </w:r>
      <w:r>
        <w:rPr>
          <w:rFonts w:hint="eastAsia" w:ascii="Times New Roman" w:hAnsi="Times New Roman" w:eastAsia="仿宋_GB2312"/>
          <w:sz w:val="32"/>
          <w:szCs w:val="32"/>
        </w:rPr>
        <w:t>、区</w:t>
      </w:r>
      <w:r>
        <w:rPr>
          <w:rFonts w:ascii="Times New Roman" w:hAnsi="Times New Roman" w:eastAsia="仿宋_GB2312"/>
          <w:sz w:val="32"/>
          <w:szCs w:val="32"/>
        </w:rPr>
        <w:t>绩效管理工作的有关规定，进一步规范财政资金的管理，强化财政支出绩效理念，提升部门责任意识，提高资金使用效益，促进</w:t>
      </w:r>
      <w:r>
        <w:rPr>
          <w:rFonts w:hint="eastAsia" w:ascii="Times New Roman" w:hAnsi="Times New Roman" w:eastAsia="仿宋_GB2312"/>
          <w:sz w:val="32"/>
          <w:szCs w:val="32"/>
        </w:rPr>
        <w:t>司法</w:t>
      </w:r>
      <w:r>
        <w:rPr>
          <w:rFonts w:ascii="Times New Roman" w:hAnsi="Times New Roman" w:eastAsia="仿宋_GB2312"/>
          <w:sz w:val="32"/>
          <w:szCs w:val="32"/>
        </w:rPr>
        <w:t>事业的发展。</w:t>
      </w:r>
    </w:p>
    <w:p>
      <w:pPr>
        <w:adjustRightInd w:val="0"/>
        <w:snapToGrid w:val="0"/>
        <w:spacing w:line="520" w:lineRule="exact"/>
        <w:ind w:firstLine="640" w:firstLineChars="200"/>
        <w:contextualSpacing/>
        <w:rPr>
          <w:rFonts w:ascii="Times New Roman" w:hAnsi="Times New Roman" w:eastAsia="楷体_GB2312"/>
          <w:sz w:val="32"/>
          <w:szCs w:val="32"/>
        </w:rPr>
      </w:pPr>
      <w:r>
        <w:rPr>
          <w:rFonts w:hint="eastAsia" w:ascii="Times New Roman" w:hAnsi="Times New Roman" w:eastAsia="楷体_GB2312"/>
          <w:sz w:val="32"/>
          <w:szCs w:val="32"/>
        </w:rPr>
        <w:t>2，</w:t>
      </w:r>
      <w:r>
        <w:rPr>
          <w:rFonts w:ascii="Times New Roman" w:hAnsi="Times New Roman" w:eastAsia="楷体_GB2312"/>
          <w:sz w:val="32"/>
          <w:szCs w:val="32"/>
        </w:rPr>
        <w:t>绩效评价的主要过程</w:t>
      </w:r>
    </w:p>
    <w:p>
      <w:pPr>
        <w:adjustRightInd w:val="0"/>
        <w:snapToGrid w:val="0"/>
        <w:spacing w:line="520" w:lineRule="exact"/>
        <w:ind w:firstLine="640" w:firstLineChars="200"/>
        <w:contextualSpacing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根据绩效评价的要求，我们成立了自评工作领导小组，对照自评方案进行研究和布署，党</w:t>
      </w:r>
      <w:r>
        <w:rPr>
          <w:rFonts w:hint="eastAsia" w:ascii="Times New Roman" w:hAnsi="Times New Roman" w:eastAsia="仿宋_GB2312"/>
          <w:sz w:val="32"/>
          <w:szCs w:val="32"/>
        </w:rPr>
        <w:t>总支</w:t>
      </w:r>
      <w:r>
        <w:rPr>
          <w:rFonts w:ascii="Times New Roman" w:hAnsi="Times New Roman" w:eastAsia="仿宋_GB2312"/>
          <w:sz w:val="32"/>
          <w:szCs w:val="32"/>
        </w:rPr>
        <w:t>成员及机关各</w:t>
      </w:r>
      <w:r>
        <w:rPr>
          <w:rFonts w:hint="eastAsia" w:ascii="Times New Roman" w:hAnsi="Times New Roman" w:eastAsia="仿宋_GB2312"/>
          <w:sz w:val="32"/>
          <w:szCs w:val="32"/>
        </w:rPr>
        <w:t>股</w:t>
      </w:r>
      <w:r>
        <w:rPr>
          <w:rFonts w:ascii="Times New Roman" w:hAnsi="Times New Roman" w:eastAsia="仿宋_GB2312"/>
          <w:sz w:val="32"/>
          <w:szCs w:val="32"/>
        </w:rPr>
        <w:t>室</w:t>
      </w:r>
      <w:r>
        <w:rPr>
          <w:rFonts w:hint="eastAsia" w:ascii="Times New Roman" w:hAnsi="Times New Roman" w:eastAsia="仿宋_GB2312"/>
          <w:sz w:val="32"/>
          <w:szCs w:val="32"/>
        </w:rPr>
        <w:t>成员</w:t>
      </w:r>
      <w:r>
        <w:rPr>
          <w:rFonts w:ascii="Times New Roman" w:hAnsi="Times New Roman" w:eastAsia="仿宋_GB2312"/>
          <w:sz w:val="32"/>
          <w:szCs w:val="32"/>
        </w:rPr>
        <w:t>全程参与，按照自评方案的要求，对照各实施项目的内容逐条逐项自评。在自评过程发现问题，查找原因，及时纠正偏差，为下一步工作夯实基础。</w:t>
      </w:r>
    </w:p>
    <w:p>
      <w:pPr>
        <w:adjustRightInd w:val="0"/>
        <w:snapToGrid w:val="0"/>
        <w:spacing w:line="400" w:lineRule="exact"/>
        <w:ind w:firstLine="643" w:firstLineChars="200"/>
        <w:contextualSpacing/>
        <w:rPr>
          <w:rFonts w:ascii="宋体" w:hAnsi="宋体" w:eastAsia="宋体" w:cs="宋体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（三）、主要绩效及评价结论</w:t>
      </w:r>
    </w:p>
    <w:p>
      <w:pPr>
        <w:adjustRightInd w:val="0"/>
        <w:snapToGrid w:val="0"/>
        <w:spacing w:line="400" w:lineRule="exact"/>
        <w:ind w:firstLine="640" w:firstLineChars="200"/>
        <w:contextualSpacing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2022年，在区委、区政府的坚强领导下，在市司法局、区政法委的具体指导下，我们紧紧围绕建设“名副其实的省域副中心城市”工作大局，充分发挥职能作用，积极创新工作机制，为我区经济社会发展、社会和谐稳定提供了坚实的法治保障，全面完成了各项工作任务。</w:t>
      </w:r>
    </w:p>
    <w:p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1，统筹推进全面依法治区工作，成果显著。</w:t>
      </w:r>
    </w:p>
    <w:p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2022年，我局持续深化行政复议体制改革，着力提升行政复议公信力。严格执行行政机关负责人出庭应诉制度。强化复议听证审理机制，通过公开听证，切实提高我区行政复议工作的办案质量和效率。健全行政复议案件审理机制，今年办理行政复议案同比增长109%。履行行政执法监督职能，对相关单位和部门开展督察整风整纪。严格行政规范性文件合法审查，今年实现了对政府文件合法性审查的全覆盖。</w:t>
      </w:r>
    </w:p>
    <w:p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2，参与市域治理现代化试点工作，效果明显。</w:t>
      </w:r>
    </w:p>
    <w:p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 xml:space="preserve">依托智慧矫正平台，加强对矫正人员的管控，实现远程视频督查和网上巡查值守。加强对刑满释放人员和解除矫正人员的衔接管控、情况摸排和风险评估，形成全方位的帮教管理。全面落实《湖南省病残吸毒人员收戒收治工作办法》，通过资源共享、共同管理的模式，做到了“应收尽收”。多措并举推进人民调解工作，今年以来共调解各类矛盾纠纷767起，将矛盾纠纷及时化解。    </w:t>
      </w:r>
    </w:p>
    <w:p>
      <w:pPr>
        <w:widowControl/>
        <w:shd w:val="clear" w:color="auto" w:fill="FFFFFF"/>
        <w:spacing w:line="520" w:lineRule="exact"/>
        <w:ind w:firstLine="684" w:firstLineChars="200"/>
        <w:jc w:val="left"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3，全面提升公共法律服务水平，服务民众。</w:t>
      </w:r>
    </w:p>
    <w:p>
      <w:pPr>
        <w:widowControl/>
        <w:shd w:val="clear" w:color="auto" w:fill="FFFFFF"/>
        <w:spacing w:line="520" w:lineRule="exact"/>
        <w:ind w:firstLine="684" w:firstLineChars="200"/>
        <w:jc w:val="left"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全面提升普法依法治理成效，开展集中宣传活动，制作普法电影，开展法律咨询，发放宣传资料等形式，进行普法宣传。打造楼区法治文化宣传阵地，全区各社区、村均设置法制宣传专栏。组织全区近万名国家工作人员网上参加学法用法考试，巩固法律知识。提高便民公共法律服务水平，深入开展“我为群从办实事”活动，今年共受理法律援助案400件。创新工作机制，搭建服务平台与检察机关建立信息互通机制，对接法律帮助事项。加强法律援助案件办理的日常监督和指导，组织全区开展法律援助案件质量同行评估活动，促进办案质量提质提效。</w:t>
      </w:r>
    </w:p>
    <w:p>
      <w:pPr>
        <w:numPr>
          <w:ilvl w:val="0"/>
          <w:numId w:val="3"/>
        </w:numPr>
        <w:adjustRightInd w:val="0"/>
        <w:snapToGrid w:val="0"/>
        <w:spacing w:line="400" w:lineRule="exact"/>
        <w:ind w:firstLine="640" w:firstLineChars="200"/>
        <w:contextualSpacing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着力打造司法行政队伍</w:t>
      </w:r>
    </w:p>
    <w:p>
      <w:pPr>
        <w:pStyle w:val="2"/>
        <w:rPr>
          <w:rFonts w:ascii="仿宋" w:hAnsi="仿宋" w:eastAsia="仿宋" w:cs="仿宋"/>
          <w:sz w:val="32"/>
          <w:szCs w:val="32"/>
        </w:rPr>
      </w:pPr>
      <w:r>
        <w:rPr>
          <w:rFonts w:hint="eastAsia"/>
        </w:rPr>
        <w:t xml:space="preserve">      </w:t>
      </w:r>
      <w:r>
        <w:rPr>
          <w:rFonts w:hint="eastAsia" w:ascii="仿宋" w:hAnsi="仿宋" w:eastAsia="仿宋" w:cs="仿宋"/>
          <w:sz w:val="32"/>
          <w:szCs w:val="32"/>
        </w:rPr>
        <w:t>加强意识形态理论学习，通过理论学习、视频学习、交流研讨会、邀请专家讲课等方式增强干部职工的法治素养和依法行政能力。大力开展廉政建设专项督查，优化了政法队伍政治生态。新增行政复议受案大厅、听证室、青年法治讲堂等法治阵地，切实营造全局良好的法治文化环境。</w:t>
      </w:r>
    </w:p>
    <w:p>
      <w:pPr>
        <w:pStyle w:val="2"/>
        <w:ind w:firstLine="684" w:firstLineChars="200"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回顾一年的工作，有亮点、有突破、有提升，得到了区委、区政府的充分肯定和市民的普遍好评。我区被正式命名为全省首批法治政府建设区。</w:t>
      </w:r>
    </w:p>
    <w:p>
      <w:pPr>
        <w:adjustRightInd w:val="0"/>
        <w:snapToGrid w:val="0"/>
        <w:spacing w:line="520" w:lineRule="exact"/>
        <w:ind w:firstLine="684" w:firstLineChars="200"/>
        <w:contextualSpacing/>
        <w:rPr>
          <w:rFonts w:ascii="仿宋" w:hAnsi="仿宋" w:eastAsia="仿宋" w:cs="仿宋"/>
          <w:spacing w:val="11"/>
          <w:position w:val="1"/>
          <w:sz w:val="32"/>
          <w:szCs w:val="32"/>
        </w:rPr>
      </w:pPr>
      <w:r>
        <w:rPr>
          <w:rFonts w:hint="eastAsia" w:ascii="仿宋" w:hAnsi="仿宋" w:eastAsia="仿宋" w:cs="仿宋"/>
          <w:spacing w:val="11"/>
          <w:position w:val="1"/>
          <w:sz w:val="32"/>
          <w:szCs w:val="32"/>
        </w:rPr>
        <w:t>根据对我单位2022年部门整体支出项目绩效评价指标体系和绩效情况的检查，2022年我单位部门整体绩效自评分92分，为“优”等级（附件2）。</w:t>
      </w:r>
    </w:p>
    <w:p>
      <w:pPr>
        <w:numPr>
          <w:ilvl w:val="0"/>
          <w:numId w:val="4"/>
        </w:num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存在的问题及原因分析</w:t>
      </w:r>
    </w:p>
    <w:p>
      <w:pPr>
        <w:pStyle w:val="2"/>
        <w:rPr>
          <w:rFonts w:ascii="仿宋" w:hAnsi="仿宋" w:eastAsia="仿宋" w:cs="仿宋"/>
          <w:sz w:val="32"/>
          <w:szCs w:val="32"/>
        </w:rPr>
      </w:pPr>
      <w:r>
        <w:rPr>
          <w:rFonts w:hint="eastAsia"/>
        </w:rPr>
        <w:t xml:space="preserve">     </w:t>
      </w:r>
      <w:r>
        <w:rPr>
          <w:rFonts w:hint="eastAsia" w:ascii="仿宋" w:hAnsi="仿宋" w:eastAsia="仿宋" w:cs="仿宋"/>
          <w:sz w:val="32"/>
          <w:szCs w:val="32"/>
        </w:rPr>
        <w:t xml:space="preserve"> 1，执法部门及其执法人员法制观念有待加强。部分行政执法部门对执法主体资格、主权范围认识不清；部分执法人员法治意识不强，矛盾化解不到位。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/>
        </w:rPr>
        <w:t xml:space="preserve">     </w:t>
      </w:r>
      <w:r>
        <w:rPr>
          <w:rFonts w:hint="eastAsia" w:ascii="仿宋" w:hAnsi="仿宋" w:eastAsia="仿宋" w:cs="仿宋"/>
          <w:sz w:val="32"/>
          <w:szCs w:val="32"/>
        </w:rPr>
        <w:t xml:space="preserve"> 2，相关制度落实实施有待加强。部分行政机关存在“重实体、轻程序”现象。政府法律顾问制度落实不到位。“谁执法、谁普法”普法责任制度落实还不到位。</w:t>
      </w:r>
    </w:p>
    <w:p>
      <w:pPr>
        <w:pStyle w:val="2"/>
      </w:pPr>
      <w:r>
        <w:rPr>
          <w:rFonts w:hint="eastAsia" w:ascii="仿宋" w:hAnsi="仿宋" w:eastAsia="仿宋" w:cs="仿宋"/>
          <w:sz w:val="32"/>
          <w:szCs w:val="32"/>
        </w:rPr>
        <w:t xml:space="preserve">    3，政法部门协作配合有待加强，存在部门之间沟通不到位、信息不一致、协作不紧密、整体联动工作机制不完善等现象。  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八、下一步改进措施</w:t>
      </w:r>
    </w:p>
    <w:p>
      <w:pPr>
        <w:pStyle w:val="2"/>
        <w:ind w:firstLine="640"/>
        <w:rPr>
          <w:rFonts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，坚持统筹推进法治政府建设，落实党政主要负责人履行推进法治政府建设第一责任人职责规定；开展规范性文件备案审查、规范清理工作，落实证明事项告知承诺制度；强化行政复议监督力度，建立健全败诉案件通报制度。</w:t>
      </w:r>
    </w:p>
    <w:p>
      <w:pPr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2，坚持维护社会和谐稳定大局。完善矛盾纠纷多元化调解机制，加大对人民调解员的指导、培训力度，提升矛盾纠纷化解能力；加强重点人员摸排管控工作，确保做到不脱管、不漏管，加大收治力度。</w:t>
      </w:r>
    </w:p>
    <w:p>
      <w:pPr>
        <w:pStyle w:val="2"/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，坚持抓好民生领域法律服务。打造法律援助惠民工程，完善法律援助案件质量监控体系，引导律师事务所拓宽服务领域，参与化解矛盾纠纷和涉法涉诉信访案件，深入推进“一村（社区）一法律顾问”工作，完善考核奖惩机制。</w:t>
      </w:r>
    </w:p>
    <w:p>
      <w:pPr>
        <w:ind w:firstLine="64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4，坚持全面提高干部队伍素质。通过完善考评体系，树立实干实绩失效导向；鼓励政法干部深化继续教育，提高干部法律职业资格政考试通过率。</w:t>
      </w:r>
    </w:p>
    <w:p>
      <w:pPr>
        <w:ind w:firstLine="640" w:firstLineChars="200"/>
        <w:jc w:val="left"/>
        <w:rPr>
          <w:rFonts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其他需要说明的情况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报告需要以下附件：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1、部门整体支出绩效评价基础数据表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2、部门整体支出绩效自评表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4、政府性基金预算支出情况表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5、国有资本经营预算支出情况表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6、社会保险基金预算支出情况表</w:t>
      </w: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before="169" w:line="776" w:lineRule="exact"/>
        <w:ind w:left="372"/>
        <w:rPr>
          <w:rFonts w:ascii="宋体" w:hAnsi="宋体" w:eastAsia="宋体" w:cs="宋体"/>
          <w:b/>
          <w:bCs/>
          <w:color w:val="000000" w:themeColor="text1"/>
          <w:spacing w:val="19"/>
          <w:position w:val="17"/>
          <w:sz w:val="36"/>
          <w:szCs w:val="36"/>
          <w14:textFill>
            <w14:solidFill>
              <w14:schemeClr w14:val="tx1"/>
            </w14:solidFill>
          </w14:textFill>
        </w:rPr>
        <w:sectPr>
          <w:pgSz w:w="11906" w:h="16838"/>
          <w:pgMar w:top="1701" w:right="1701" w:bottom="1701" w:left="1701" w:header="851" w:footer="992" w:gutter="0"/>
          <w:cols w:space="0" w:num="1"/>
          <w:docGrid w:type="lines" w:linePitch="312" w:charSpace="0"/>
        </w:sectPr>
      </w:pPr>
    </w:p>
    <w:p>
      <w:pPr>
        <w:rPr>
          <w:rFonts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10"/>
          <w:sz w:val="32"/>
          <w:szCs w:val="32"/>
          <w14:textFill>
            <w14:solidFill>
              <w14:schemeClr w14:val="tx1"/>
            </w14:solidFill>
          </w14:textFill>
        </w:rPr>
        <w:t>附件5</w:t>
      </w:r>
    </w:p>
    <w:p>
      <w:pPr>
        <w:ind w:firstLine="1440" w:firstLineChars="400"/>
        <w:rPr>
          <w:rFonts w:eastAsia="方正小标宋简体"/>
          <w:sz w:val="36"/>
          <w:szCs w:val="36"/>
        </w:rPr>
      </w:pPr>
    </w:p>
    <w:p>
      <w:pPr>
        <w:ind w:firstLine="1440" w:firstLineChars="400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8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32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单位自查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区级预算单位都要开展绩效自查，转移支付项目单位都要开展绩效自查，区级主管部门都要汇总本区域转移支付情况；以上各项每发现一个单位没有做相应工作的，扣1分，最多扣20分。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19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提交报告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按时向区财政局报送报告的得10分；每推迟一天报送报告的扣1分，最多扣10分。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 xml:space="preserve">  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70分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的完整性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1.绩效自评报告正文部分内容齐全的，得8分；否则每少一个部分扣2分，最多扣8分。</w:t>
            </w:r>
          </w:p>
          <w:p>
            <w:pPr>
              <w:spacing w:line="240" w:lineRule="exact"/>
              <w:ind w:firstLine="21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14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绩效自评表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1.部门整体支出和项目支出绩效指标反映产出、效益、服务对象满意度方面的指标和预算执行率的权重符合《岳阳市市级预算部门绩效自评操作规程》的，得5分，否则按比例扣除相应的分数。</w:t>
            </w:r>
          </w:p>
          <w:p>
            <w:pPr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2.部门整体支出和项目支出绩效指标全部细化到三级指标的，得5分；部分细化的，酌情扣分；没有细化的，不得分。</w:t>
            </w:r>
          </w:p>
          <w:p>
            <w:pPr>
              <w:ind w:firstLine="420" w:firstLineChars="200"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18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绩效评价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报告反映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问题情况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30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18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针对问题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提出可行性建议的情况</w:t>
            </w:r>
          </w:p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6" w:firstLineChars="100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14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92</w:t>
            </w:r>
          </w:p>
        </w:tc>
      </w:tr>
    </w:tbl>
    <w:p>
      <w:pPr>
        <w:ind w:firstLine="640" w:firstLineChars="200"/>
        <w:jc w:val="left"/>
        <w:rPr>
          <w:rFonts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9j2DAsAgAAV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PQa5aFrd5ZHqGj&#10;eN6ujgECtrpGUToleq3QbW1l+smI7fznvo16+hssHw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r2PYMC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BC75C79"/>
    <w:multiLevelType w:val="singleLevel"/>
    <w:tmpl w:val="BBC75C79"/>
    <w:lvl w:ilvl="0" w:tentative="0">
      <w:start w:val="7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CB914920"/>
    <w:multiLevelType w:val="singleLevel"/>
    <w:tmpl w:val="CB914920"/>
    <w:lvl w:ilvl="0" w:tentative="0">
      <w:start w:val="4"/>
      <w:numFmt w:val="decimal"/>
      <w:suff w:val="nothing"/>
      <w:lvlText w:val="%1，"/>
      <w:lvlJc w:val="left"/>
    </w:lvl>
  </w:abstractNum>
  <w:abstractNum w:abstractNumId="2">
    <w:nsid w:val="FFEBDE9E"/>
    <w:multiLevelType w:val="singleLevel"/>
    <w:tmpl w:val="FFEBDE9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22C26E8E"/>
    <w:multiLevelType w:val="singleLevel"/>
    <w:tmpl w:val="22C26E8E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VhM2RiODNhYzYwODk5ZTg2MTVmODIyMGIzNjA1OGYifQ=="/>
  </w:docVars>
  <w:rsids>
    <w:rsidRoot w:val="53FC3987"/>
    <w:rsid w:val="000A3765"/>
    <w:rsid w:val="001D7282"/>
    <w:rsid w:val="0039081D"/>
    <w:rsid w:val="003C57DA"/>
    <w:rsid w:val="005E6ECB"/>
    <w:rsid w:val="00744EA1"/>
    <w:rsid w:val="007816CC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0F73FC2"/>
    <w:rsid w:val="00FB0AFC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A540B"/>
    <w:rsid w:val="03BD010E"/>
    <w:rsid w:val="03E2685C"/>
    <w:rsid w:val="03E66326"/>
    <w:rsid w:val="03FF6E0F"/>
    <w:rsid w:val="0404259A"/>
    <w:rsid w:val="04051601"/>
    <w:rsid w:val="04141A49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8A073A"/>
    <w:rsid w:val="04914D95"/>
    <w:rsid w:val="0495144B"/>
    <w:rsid w:val="04AC07A1"/>
    <w:rsid w:val="04BC5DC2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E7FFF"/>
    <w:rsid w:val="05621117"/>
    <w:rsid w:val="058C5045"/>
    <w:rsid w:val="059C7C89"/>
    <w:rsid w:val="05A50C70"/>
    <w:rsid w:val="05B525CA"/>
    <w:rsid w:val="05C4448F"/>
    <w:rsid w:val="05D84E57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845139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82E99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AFD5271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8E3BF5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0B23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1FD0EF1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27CC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135D4E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4321C2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5A5DFA"/>
    <w:rsid w:val="2E63548C"/>
    <w:rsid w:val="2E640C1C"/>
    <w:rsid w:val="2E6B523D"/>
    <w:rsid w:val="2E7A08F9"/>
    <w:rsid w:val="2E7B33BD"/>
    <w:rsid w:val="2E83680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B2942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0A3C27"/>
    <w:rsid w:val="34441786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5771D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7851C1"/>
    <w:rsid w:val="367E260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0098E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2DE1"/>
    <w:rsid w:val="3B08641D"/>
    <w:rsid w:val="3B1C7A19"/>
    <w:rsid w:val="3B2B5582"/>
    <w:rsid w:val="3B4234D4"/>
    <w:rsid w:val="3B7622BA"/>
    <w:rsid w:val="3B7C1C88"/>
    <w:rsid w:val="3B8107C8"/>
    <w:rsid w:val="3B824942"/>
    <w:rsid w:val="3B8972AA"/>
    <w:rsid w:val="3BA219B8"/>
    <w:rsid w:val="3BA96003"/>
    <w:rsid w:val="3BB014AF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B401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2A68D0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EB2295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770C98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3D7F76"/>
    <w:rsid w:val="69544350"/>
    <w:rsid w:val="69703FA0"/>
    <w:rsid w:val="69997B9C"/>
    <w:rsid w:val="69A84304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E704C2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00690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9E4C1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99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next w:val="1"/>
    <w:qFormat/>
    <w:uiPriority w:val="99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1"/>
      <w:lang w:val="en-US" w:eastAsia="zh-CN" w:bidi="ar-SA"/>
    </w:rPr>
  </w:style>
  <w:style w:type="paragraph" w:styleId="3">
    <w:name w:val="Body Text"/>
    <w:next w:val="4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4">
    <w:name w:val="toc 5"/>
    <w:next w:val="1"/>
    <w:qFormat/>
    <w:uiPriority w:val="99"/>
    <w:pPr>
      <w:widowControl w:val="0"/>
      <w:ind w:left="1680" w:leftChars="80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toc 2"/>
    <w:next w:val="1"/>
    <w:qFormat/>
    <w:uiPriority w:val="0"/>
    <w:pPr>
      <w:widowControl w:val="0"/>
      <w:ind w:left="420" w:leftChars="20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11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5449</Words>
  <Characters>5925</Characters>
  <Lines>47</Lines>
  <Paragraphs>13</Paragraphs>
  <TotalTime>4</TotalTime>
  <ScaleCrop>false</ScaleCrop>
  <LinksUpToDate>false</LinksUpToDate>
  <CharactersWithSpaces>6080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Gat</cp:lastModifiedBy>
  <cp:lastPrinted>2023-05-26T08:11:00Z</cp:lastPrinted>
  <dcterms:modified xsi:type="dcterms:W3CDTF">2024-07-15T03:54:01Z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50306CC149C84F98BF850919EA3E5AFB_13</vt:lpwstr>
  </property>
</Properties>
</file>