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bookmarkStart w:id="0" w:name="_GoBack"/>
      <w:bookmarkEnd w:id="0"/>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center"/>
          </w:tcPr>
          <w:p>
            <w:pPr>
              <w:spacing w:before="103" w:line="219" w:lineRule="auto"/>
              <w:jc w:val="cente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岳阳市岳阳楼区广场小学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17</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17</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91.73</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199.41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91.73</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199.41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164.68</w:t>
            </w:r>
          </w:p>
        </w:tc>
        <w:tc>
          <w:tcPr>
            <w:tcW w:w="2325"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15.39</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15.38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 xml:space="preserve">9.11 </w:t>
            </w:r>
          </w:p>
        </w:tc>
        <w:tc>
          <w:tcPr>
            <w:tcW w:w="2325" w:type="dxa"/>
            <w:gridSpan w:val="2"/>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1.99</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center"/>
          </w:tcPr>
          <w:p>
            <w:pPr>
              <w:keepNext w:val="0"/>
              <w:keepLines w:val="0"/>
              <w:widowControl/>
              <w:suppressLineNumbers w:val="0"/>
              <w:jc w:val="center"/>
              <w:textAlignment w:val="bottom"/>
              <w:rPr>
                <w:rFonts w:hint="eastAsia" w:ascii="Arial" w:hAnsi="Arial" w:cs="Arial" w:eastAsiaTheme="minorEastAsia"/>
                <w:i w:val="0"/>
                <w:iCs w:val="0"/>
                <w:color w:val="000000"/>
                <w:kern w:val="2"/>
                <w:sz w:val="20"/>
                <w:szCs w:val="20"/>
                <w:u w:val="none"/>
                <w:lang w:val="en-US" w:eastAsia="zh-CN" w:bidi="ar-SA"/>
              </w:rPr>
            </w:pPr>
            <w:r>
              <w:rPr>
                <w:rFonts w:hint="eastAsia" w:ascii="Arial" w:hAnsi="Arial" w:eastAsia="宋体" w:cs="Arial"/>
                <w:i w:val="0"/>
                <w:iCs w:val="0"/>
                <w:color w:val="000000"/>
                <w:kern w:val="0"/>
                <w:sz w:val="20"/>
                <w:szCs w:val="20"/>
                <w:u w:val="none"/>
                <w:lang w:val="en-US" w:eastAsia="zh-CN" w:bidi="ar"/>
              </w:rPr>
              <w:t>4.17</w:t>
            </w:r>
          </w:p>
        </w:tc>
        <w:tc>
          <w:tcPr>
            <w:tcW w:w="2325" w:type="dxa"/>
            <w:gridSpan w:val="2"/>
            <w:noWrap w:val="0"/>
            <w:vAlign w:val="center"/>
          </w:tcPr>
          <w:p>
            <w:pPr>
              <w:keepNext w:val="0"/>
              <w:keepLines w:val="0"/>
              <w:widowControl/>
              <w:suppressLineNumbers w:val="0"/>
              <w:jc w:val="center"/>
              <w:textAlignment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2.8</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center"/>
          </w:tcPr>
          <w:p>
            <w:pPr>
              <w:keepNext w:val="0"/>
              <w:keepLines w:val="0"/>
              <w:widowControl/>
              <w:suppressLineNumbers w:val="0"/>
              <w:jc w:val="center"/>
              <w:textAlignment w:val="bottom"/>
              <w:rPr>
                <w:rFonts w:hint="default" w:ascii="Arial" w:hAnsi="Arial" w:cs="Arial" w:eastAsiaTheme="minorEastAsia"/>
                <w:i w:val="0"/>
                <w:iCs w:val="0"/>
                <w:color w:val="000000"/>
                <w:kern w:val="2"/>
                <w:sz w:val="20"/>
                <w:szCs w:val="20"/>
                <w:u w:val="none"/>
                <w:lang w:val="en-US" w:eastAsia="zh-CN" w:bidi="ar-SA"/>
              </w:rPr>
            </w:pPr>
            <w:r>
              <w:rPr>
                <w:rFonts w:hint="eastAsia" w:ascii="Arial" w:hAnsi="Arial" w:eastAsia="宋体" w:cs="Arial"/>
                <w:i w:val="0"/>
                <w:iCs w:val="0"/>
                <w:color w:val="000000"/>
                <w:kern w:val="0"/>
                <w:sz w:val="20"/>
                <w:szCs w:val="20"/>
                <w:u w:val="none"/>
                <w:lang w:val="en-US" w:eastAsia="zh-CN" w:bidi="ar"/>
              </w:rPr>
              <w:t>3.31</w:t>
            </w:r>
          </w:p>
        </w:tc>
        <w:tc>
          <w:tcPr>
            <w:tcW w:w="2325"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11.95</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8.99</w:t>
            </w:r>
            <w:r>
              <w:rPr>
                <w:rFonts w:hint="eastAsia" w:asciiTheme="majorEastAsia" w:hAnsiTheme="majorEastAsia" w:eastAsiaTheme="majorEastAsia" w:cstheme="majorEastAsia"/>
                <w:color w:val="000000" w:themeColor="text1"/>
                <w:sz w:val="21"/>
                <w14:textFill>
                  <w14:solidFill>
                    <w14:schemeClr w14:val="tx1"/>
                  </w14:solidFill>
                </w14:textFill>
              </w:rPr>
              <w:t xml:space="preserve"> </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         联系电话：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8"/>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center"/>
          </w:tcPr>
          <w:p>
            <w:pPr>
              <w:jc w:val="center"/>
              <w:rPr>
                <w:rFonts w:hint="eastAsia" w:ascii="Arial" w:eastAsiaTheme="minorEastAsia"/>
                <w:color w:val="000000" w:themeColor="text1"/>
                <w:sz w:val="21"/>
                <w:lang w:eastAsia="zh-CN"/>
                <w14:textFill>
                  <w14:solidFill>
                    <w14:schemeClr w14:val="tx1"/>
                  </w14:solidFill>
                </w14:textFill>
              </w:rPr>
            </w:pPr>
            <w:r>
              <w:rPr>
                <w:rFonts w:hint="eastAsia" w:ascii="宋体" w:hAnsi="宋体" w:eastAsia="宋体" w:cs="宋体"/>
                <w:color w:val="000000" w:themeColor="text1"/>
                <w:spacing w:val="2"/>
                <w:sz w:val="21"/>
                <w:szCs w:val="21"/>
                <w:lang w:eastAsia="zh-CN"/>
                <w14:textFill>
                  <w14:solidFill>
                    <w14:schemeClr w14:val="tx1"/>
                  </w14:solidFill>
                </w14:textFill>
              </w:rPr>
              <w:t>岳阳市岳阳楼区广场小学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single" w:color="000000" w:sz="4" w:space="0"/>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485.15</w:t>
            </w:r>
          </w:p>
        </w:tc>
        <w:tc>
          <w:tcPr>
            <w:tcW w:w="131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593.51</w:t>
            </w:r>
          </w:p>
        </w:tc>
        <w:tc>
          <w:tcPr>
            <w:tcW w:w="125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593.51</w:t>
            </w:r>
          </w:p>
        </w:tc>
        <w:tc>
          <w:tcPr>
            <w:tcW w:w="71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Theme="minorEastAsia" w:hAnsiTheme="minorEastAsia" w:eastAsiaTheme="minorEastAsia" w:cstheme="minorEastAsia"/>
                <w:color w:val="000000" w:themeColor="text1"/>
                <w:spacing w:val="0"/>
                <w:kern w:val="2"/>
                <w:sz w:val="21"/>
                <w:szCs w:val="21"/>
                <w:lang w:val="en-US" w:eastAsia="zh-CN" w:bidi="ar-SA"/>
                <w14:textFill>
                  <w14:solidFill>
                    <w14:schemeClr w14:val="tx1"/>
                  </w14:solidFill>
                </w14:textFill>
              </w:rPr>
            </w:pPr>
            <w:r>
              <w:rPr>
                <w:rFonts w:hint="eastAsia" w:asciiTheme="minorEastAsia" w:hAnsiTheme="minorEastAsia" w:cstheme="minorEastAsia"/>
                <w:color w:val="000000" w:themeColor="text1"/>
                <w:spacing w:val="0"/>
                <w:sz w:val="21"/>
                <w:szCs w:val="21"/>
                <w:lang w:val="en-US" w:eastAsia="zh-CN"/>
                <w14:textFill>
                  <w14:solidFill>
                    <w14:schemeClr w14:val="tx1"/>
                  </w14:solidFill>
                </w14:textFill>
              </w:rPr>
              <w:t>100%</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Theme="minorEastAsia" w:hAnsiTheme="minorEastAsia" w:eastAsiaTheme="minorEastAsia" w:cstheme="minorEastAsia"/>
                <w:color w:val="000000" w:themeColor="text1"/>
                <w:spacing w:val="0"/>
                <w:kern w:val="2"/>
                <w:sz w:val="21"/>
                <w:szCs w:val="21"/>
                <w:lang w:val="en-US" w:eastAsia="zh-CN" w:bidi="ar-SA"/>
                <w14:textFill>
                  <w14:solidFill>
                    <w14:schemeClr w14:val="tx1"/>
                  </w14:solidFill>
                </w14:textFill>
              </w:rPr>
            </w:pPr>
            <w:r>
              <w:rPr>
                <w:rFonts w:hint="eastAsia" w:asciiTheme="minorEastAsia" w:hAnsiTheme="minorEastAsia" w:cstheme="minorEastAsia"/>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single" w:color="000000" w:sz="4" w:space="0"/>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single" w:color="000000" w:sz="4" w:space="0"/>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542.24</w:t>
            </w:r>
          </w:p>
        </w:tc>
        <w:tc>
          <w:tcPr>
            <w:tcW w:w="4055"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394.1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single" w:color="000000" w:sz="4" w:space="0"/>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199.41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single" w:color="000000" w:sz="4" w:space="0"/>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000000" w:sz="4" w:space="0"/>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51.27</w:t>
            </w:r>
          </w:p>
        </w:tc>
        <w:tc>
          <w:tcPr>
            <w:tcW w:w="4055"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top w:val="single" w:color="000000" w:sz="4" w:space="0"/>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leftChars="0" w:right="0" w:rightChars="0" w:firstLine="0" w:firstLineChars="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000000" w:sz="4" w:space="0"/>
              <w:bottom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ascii="Arial"/>
                <w:color w:val="000000" w:themeColor="text1"/>
                <w:sz w:val="21"/>
                <w:szCs w:val="21"/>
                <w14:textFill>
                  <w14:solidFill>
                    <w14:schemeClr w14:val="tx1"/>
                  </w14:solidFill>
                </w14:textFill>
              </w:rPr>
            </w:pPr>
          </w:p>
        </w:tc>
        <w:tc>
          <w:tcPr>
            <w:tcW w:w="4696" w:type="dxa"/>
            <w:gridSpan w:val="4"/>
            <w:tcBorders>
              <w:top w:val="single" w:color="000000" w:sz="4" w:space="0"/>
              <w:bottom w:val="single" w:color="000000" w:sz="4" w:space="0"/>
            </w:tcBorders>
            <w:noWrap w:val="0"/>
            <w:vAlign w:val="center"/>
          </w:tcPr>
          <w:p>
            <w:pPr>
              <w:autoSpaceDN w:val="0"/>
              <w:spacing w:line="320" w:lineRule="exact"/>
              <w:jc w:val="left"/>
              <w:textAlignment w:val="center"/>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目标1：加强队伍建设。</w:t>
            </w:r>
            <w:r>
              <w:rPr>
                <w:rFonts w:hint="eastAsia" w:ascii="Arial"/>
                <w:color w:val="000000" w:themeColor="text1"/>
                <w:spacing w:val="0"/>
                <w:sz w:val="20"/>
                <w14:textFill>
                  <w14:solidFill>
                    <w14:schemeClr w14:val="tx1"/>
                  </w14:solidFill>
                </w14:textFill>
              </w:rPr>
              <w:tab/>
            </w:r>
            <w:r>
              <w:rPr>
                <w:rFonts w:hint="eastAsia" w:ascii="Arial"/>
                <w:color w:val="000000" w:themeColor="text1"/>
                <w:spacing w:val="0"/>
                <w:sz w:val="20"/>
                <w14:textFill>
                  <w14:solidFill>
                    <w14:schemeClr w14:val="tx1"/>
                  </w14:solidFill>
                </w14:textFill>
              </w:rPr>
              <w:tab/>
            </w:r>
            <w:r>
              <w:rPr>
                <w:rFonts w:hint="eastAsia" w:ascii="Arial"/>
                <w:color w:val="000000" w:themeColor="text1"/>
                <w:spacing w:val="0"/>
                <w:sz w:val="20"/>
                <w14:textFill>
                  <w14:solidFill>
                    <w14:schemeClr w14:val="tx1"/>
                  </w14:solidFill>
                </w14:textFill>
              </w:rPr>
              <w:tab/>
            </w:r>
          </w:p>
          <w:p>
            <w:pPr>
              <w:autoSpaceDN w:val="0"/>
              <w:spacing w:line="320" w:lineRule="exact"/>
              <w:jc w:val="left"/>
              <w:textAlignment w:val="center"/>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目标2：抓实常规管理。</w:t>
            </w:r>
            <w:r>
              <w:rPr>
                <w:rFonts w:hint="eastAsia" w:ascii="Arial"/>
                <w:color w:val="000000" w:themeColor="text1"/>
                <w:spacing w:val="0"/>
                <w:sz w:val="20"/>
                <w14:textFill>
                  <w14:solidFill>
                    <w14:schemeClr w14:val="tx1"/>
                  </w14:solidFill>
                </w14:textFill>
              </w:rPr>
              <w:tab/>
            </w:r>
            <w:r>
              <w:rPr>
                <w:rFonts w:hint="eastAsia" w:ascii="Arial"/>
                <w:color w:val="000000" w:themeColor="text1"/>
                <w:spacing w:val="0"/>
                <w:sz w:val="20"/>
                <w14:textFill>
                  <w14:solidFill>
                    <w14:schemeClr w14:val="tx1"/>
                  </w14:solidFill>
                </w14:textFill>
              </w:rPr>
              <w:tab/>
            </w:r>
            <w:r>
              <w:rPr>
                <w:rFonts w:hint="eastAsia" w:ascii="Arial"/>
                <w:color w:val="000000" w:themeColor="text1"/>
                <w:spacing w:val="0"/>
                <w:sz w:val="20"/>
                <w14:textFill>
                  <w14:solidFill>
                    <w14:schemeClr w14:val="tx1"/>
                  </w14:solidFill>
                </w14:textFill>
              </w:rPr>
              <w:tab/>
            </w:r>
          </w:p>
          <w:p>
            <w:pPr>
              <w:autoSpaceDN w:val="0"/>
              <w:spacing w:line="320" w:lineRule="exact"/>
              <w:jc w:val="left"/>
              <w:textAlignment w:val="center"/>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目标3：加强教学管理。</w:t>
            </w:r>
            <w:r>
              <w:rPr>
                <w:rFonts w:hint="eastAsia" w:ascii="Arial"/>
                <w:color w:val="000000" w:themeColor="text1"/>
                <w:spacing w:val="0"/>
                <w:sz w:val="20"/>
                <w14:textFill>
                  <w14:solidFill>
                    <w14:schemeClr w14:val="tx1"/>
                  </w14:solidFill>
                </w14:textFill>
              </w:rPr>
              <w:tab/>
            </w:r>
            <w:r>
              <w:rPr>
                <w:rFonts w:hint="eastAsia" w:ascii="Arial"/>
                <w:color w:val="000000" w:themeColor="text1"/>
                <w:spacing w:val="0"/>
                <w:sz w:val="20"/>
                <w14:textFill>
                  <w14:solidFill>
                    <w14:schemeClr w14:val="tx1"/>
                  </w14:solidFill>
                </w14:textFill>
              </w:rPr>
              <w:tab/>
            </w:r>
            <w:r>
              <w:rPr>
                <w:rFonts w:hint="eastAsia" w:ascii="Arial"/>
                <w:color w:val="000000" w:themeColor="text1"/>
                <w:spacing w:val="0"/>
                <w:sz w:val="20"/>
                <w14:textFill>
                  <w14:solidFill>
                    <w14:schemeClr w14:val="tx1"/>
                  </w14:solidFill>
                </w14:textFill>
              </w:rPr>
              <w:tab/>
            </w:r>
          </w:p>
          <w:p>
            <w:pPr>
              <w:autoSpaceDN w:val="0"/>
              <w:spacing w:line="320" w:lineRule="exact"/>
              <w:jc w:val="left"/>
              <w:textAlignment w:val="center"/>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目标4：注重德育实效。</w:t>
            </w:r>
            <w:r>
              <w:rPr>
                <w:rFonts w:hint="eastAsia" w:ascii="Arial"/>
                <w:color w:val="000000" w:themeColor="text1"/>
                <w:spacing w:val="0"/>
                <w:sz w:val="20"/>
                <w14:textFill>
                  <w14:solidFill>
                    <w14:schemeClr w14:val="tx1"/>
                  </w14:solidFill>
                </w14:textFill>
              </w:rPr>
              <w:tab/>
            </w:r>
            <w:r>
              <w:rPr>
                <w:rFonts w:hint="eastAsia" w:ascii="Arial"/>
                <w:color w:val="000000" w:themeColor="text1"/>
                <w:spacing w:val="0"/>
                <w:sz w:val="20"/>
                <w14:textFill>
                  <w14:solidFill>
                    <w14:schemeClr w14:val="tx1"/>
                  </w14:solidFill>
                </w14:textFill>
              </w:rPr>
              <w:tab/>
            </w:r>
            <w:r>
              <w:rPr>
                <w:rFonts w:hint="eastAsia" w:ascii="Arial"/>
                <w:color w:val="000000" w:themeColor="text1"/>
                <w:spacing w:val="0"/>
                <w:sz w:val="20"/>
                <w14:textFill>
                  <w14:solidFill>
                    <w14:schemeClr w14:val="tx1"/>
                  </w14:solidFill>
                </w14:textFill>
              </w:rPr>
              <w:tab/>
            </w:r>
          </w:p>
        </w:tc>
        <w:tc>
          <w:tcPr>
            <w:tcW w:w="4055" w:type="dxa"/>
            <w:gridSpan w:val="4"/>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目标1：以师德师风建设年为契机，进一步加强学校教师师德师风建设，建立并形成一支求真务实、勤政敬业、主动高效的“创新型”学校管理队伍。</w:t>
            </w:r>
            <w:r>
              <w:rPr>
                <w:rFonts w:hint="eastAsia" w:ascii="Arial"/>
                <w:color w:val="000000" w:themeColor="text1"/>
                <w:spacing w:val="0"/>
                <w:sz w:val="20"/>
                <w:lang w:val="en-US"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目标2：着力打造平安、文明、洁净、和谐的校园环境。</w:t>
            </w:r>
            <w:r>
              <w:rPr>
                <w:rFonts w:hint="eastAsia" w:ascii="Arial"/>
                <w:color w:val="000000" w:themeColor="text1"/>
                <w:spacing w:val="0"/>
                <w:sz w:val="20"/>
                <w:lang w:val="en-US"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目标3：认真做好每月的教育质量调研与指导工作。</w:t>
            </w:r>
            <w:r>
              <w:rPr>
                <w:rFonts w:hint="eastAsia" w:ascii="Arial"/>
                <w:color w:val="000000" w:themeColor="text1"/>
                <w:spacing w:val="0"/>
                <w:sz w:val="20"/>
                <w:lang w:val="en-US"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目标4：开展行之有效的德育活动，关注留守学生。</w:t>
            </w:r>
            <w:r>
              <w:rPr>
                <w:rFonts w:hint="eastAsia" w:ascii="Arial"/>
                <w:color w:val="000000" w:themeColor="text1"/>
                <w:spacing w:val="0"/>
                <w:sz w:val="20"/>
                <w:lang w:val="en-US"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top w:val="single" w:color="000000" w:sz="4" w:space="0"/>
              <w:bottom w:val="single" w:color="000000" w:sz="4" w:space="0"/>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leftChars="0" w:right="0" w:rightChars="0" w:firstLine="0" w:firstLineChars="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lef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宋体" w:hAnsi="宋体" w:eastAsia="宋体" w:cs="宋体"/>
                <w:color w:val="000000" w:themeColor="text1"/>
                <w:sz w:val="21"/>
                <w:szCs w:val="21"/>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产出指标（50分）</w:t>
            </w:r>
          </w:p>
        </w:tc>
        <w:tc>
          <w:tcPr>
            <w:tcW w:w="102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数</w:t>
            </w:r>
            <w:r>
              <w:rPr>
                <w:rFonts w:ascii="宋体" w:hAnsi="宋体" w:eastAsia="宋体" w:cs="宋体"/>
                <w:color w:val="000000" w:themeColor="text1"/>
                <w:spacing w:val="-2"/>
                <w:sz w:val="21"/>
                <w:szCs w:val="21"/>
                <w14:textFill>
                  <w14:solidFill>
                    <w14:schemeClr w14:val="tx1"/>
                  </w14:solidFill>
                </w14:textFill>
              </w:rPr>
              <w:t>量指标</w:t>
            </w:r>
          </w:p>
        </w:tc>
        <w:tc>
          <w:tcPr>
            <w:tcW w:w="126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color w:val="000000" w:themeColor="text1"/>
                <w:sz w:val="20"/>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完成在校学生在的智体美劳全面培养与教育</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在校学生5班次</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5班次</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3</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3</w:t>
            </w:r>
          </w:p>
        </w:tc>
        <w:tc>
          <w:tcPr>
            <w:tcW w:w="1275" w:type="dxa"/>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color w:val="000000" w:themeColor="text1"/>
                <w:sz w:val="21"/>
                <w:lang w:val="en-US" w:eastAsia="zh-CN"/>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p>
        </w:tc>
        <w:tc>
          <w:tcPr>
            <w:tcW w:w="126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在校学生120人</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120人</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5</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5</w:t>
            </w:r>
          </w:p>
        </w:tc>
        <w:tc>
          <w:tcPr>
            <w:tcW w:w="1275" w:type="dxa"/>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color w:val="000000" w:themeColor="text1"/>
                <w:sz w:val="21"/>
                <w:lang w:val="en-US" w:eastAsia="zh-CN"/>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p>
        </w:tc>
        <w:tc>
          <w:tcPr>
            <w:tcW w:w="126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按时足额发放教师职工及退休人员工资奖金及福利待遇</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在职20人</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20人</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3</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3</w:t>
            </w:r>
          </w:p>
        </w:tc>
        <w:tc>
          <w:tcPr>
            <w:tcW w:w="1275" w:type="dxa"/>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color w:val="000000" w:themeColor="text1"/>
                <w:sz w:val="21"/>
                <w:lang w:val="en-US" w:eastAsia="zh-CN"/>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p>
        </w:tc>
        <w:tc>
          <w:tcPr>
            <w:tcW w:w="126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退休53人</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53人</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2</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2</w:t>
            </w:r>
          </w:p>
        </w:tc>
        <w:tc>
          <w:tcPr>
            <w:tcW w:w="1275" w:type="dxa"/>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color w:val="000000" w:themeColor="text1"/>
                <w:sz w:val="21"/>
                <w:lang w:val="en-US" w:eastAsia="zh-CN"/>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召开主题教育家长会次数</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≧2次</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2次</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275" w:type="dxa"/>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color w:val="000000" w:themeColor="text1"/>
                <w:sz w:val="21"/>
                <w:lang w:val="en-US" w:eastAsia="zh-CN"/>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校园安全教育工作开展次数</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≧10次</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12次</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1275" w:type="dxa"/>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color w:val="000000" w:themeColor="text1"/>
                <w:sz w:val="21"/>
                <w14:textFill>
                  <w14:solidFill>
                    <w14:schemeClr w14:val="tx1"/>
                  </w14:solidFill>
                </w14:textFill>
              </w:rPr>
            </w:pPr>
            <w:r>
              <w:rPr>
                <w:rFonts w:hint="eastAsia" w:ascii="Arial"/>
                <w:color w:val="000000" w:themeColor="text1"/>
                <w:spacing w:val="0"/>
                <w:sz w:val="20"/>
                <w14:textFill>
                  <w14:solidFill>
                    <w14:schemeClr w14:val="tx1"/>
                  </w14:solidFill>
                </w14:textFill>
              </w:rPr>
              <w:t>质量指标</w:t>
            </w: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小学毕业率</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≧95%</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color w:val="000000" w:themeColor="text1"/>
                <w:sz w:val="21"/>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“双减”制度落实率</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对应数量指标的质量合格率</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≧95%</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Arial"/>
                <w:color w:val="000000" w:themeColor="text1"/>
                <w:sz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及时发放教职工待遇</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及时</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年内已完成</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5</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5</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Arial"/>
                <w:color w:val="000000" w:themeColor="text1"/>
                <w:sz w:val="21"/>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19"/>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按时完成承诺的产出任务</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2022-12-31</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年内已完成</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leftChars="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全年经费开支控制在预算以内</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控制在预算以内</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年内已完成</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Arial"/>
                <w:color w:val="000000" w:themeColor="text1"/>
                <w:sz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w:t>
            </w:r>
            <w:r>
              <w:rPr>
                <w:rFonts w:hint="eastAsia" w:ascii="宋体" w:hAnsi="宋体" w:eastAsia="宋体" w:cs="宋体"/>
                <w:color w:val="000000" w:themeColor="text1"/>
                <w:spacing w:val="9"/>
                <w:sz w:val="21"/>
                <w:szCs w:val="21"/>
                <w:lang w:val="en-US" w:eastAsia="zh-CN"/>
                <w14:textFill>
                  <w14:solidFill>
                    <w14:schemeClr w14:val="tx1"/>
                  </w14:solidFill>
                </w14:textFill>
              </w:rPr>
              <w:t>30</w:t>
            </w:r>
            <w:r>
              <w:rPr>
                <w:rFonts w:ascii="宋体" w:hAnsi="宋体" w:eastAsia="宋体" w:cs="宋体"/>
                <w:color w:val="000000" w:themeColor="text1"/>
                <w:spacing w:val="9"/>
                <w:sz w:val="21"/>
                <w:szCs w:val="21"/>
                <w14:textFill>
                  <w14:solidFill>
                    <w14:schemeClr w14:val="tx1"/>
                  </w14:solidFill>
                </w14:textFill>
              </w:rPr>
              <w:t>分)</w:t>
            </w:r>
          </w:p>
        </w:tc>
        <w:tc>
          <w:tcPr>
            <w:tcW w:w="102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Arial"/>
                <w:color w:val="000000" w:themeColor="text1"/>
                <w:sz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不适用</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不适用</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不适用</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0</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0</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Arial"/>
                <w:color w:val="000000" w:themeColor="text1"/>
                <w:sz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重视思想教育、办党和人民满意的教育</w:t>
            </w:r>
          </w:p>
        </w:tc>
        <w:tc>
          <w:tcPr>
            <w:tcW w:w="1319" w:type="dxa"/>
            <w:vMerge w:val="restart"/>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有所提高</w:t>
            </w:r>
          </w:p>
        </w:tc>
        <w:tc>
          <w:tcPr>
            <w:tcW w:w="1259" w:type="dxa"/>
            <w:vMerge w:val="restart"/>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有所提高</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7</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提示教学质量、为社会输送合规人才</w:t>
            </w:r>
          </w:p>
        </w:tc>
        <w:tc>
          <w:tcPr>
            <w:tcW w:w="1319" w:type="dxa"/>
            <w:vMerge w:val="continue"/>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c>
          <w:tcPr>
            <w:tcW w:w="1259" w:type="dxa"/>
            <w:vMerge w:val="continue"/>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7</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优化教育教学条件，提高学校好评度</w:t>
            </w:r>
          </w:p>
        </w:tc>
        <w:tc>
          <w:tcPr>
            <w:tcW w:w="1319" w:type="dxa"/>
            <w:vMerge w:val="continue"/>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c>
          <w:tcPr>
            <w:tcW w:w="1259" w:type="dxa"/>
            <w:vMerge w:val="continue"/>
            <w:tcBorders>
              <w:top w:val="single" w:color="000000" w:sz="4" w:space="0"/>
              <w:bottom w:val="single" w:color="000000" w:sz="4" w:space="0"/>
            </w:tcBorders>
            <w:noWrap w:val="0"/>
            <w:vAlign w:val="center"/>
          </w:tcPr>
          <w:p>
            <w:pPr>
              <w:jc w:val="center"/>
              <w:rPr>
                <w:rFonts w:ascii="Arial"/>
                <w:color w:val="000000" w:themeColor="text1"/>
                <w:sz w:val="20"/>
                <w14:textFill>
                  <w14:solidFill>
                    <w14:schemeClr w14:val="tx1"/>
                  </w14:solidFill>
                </w14:textFill>
              </w:rPr>
            </w:pP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Arial"/>
                <w:color w:val="000000" w:themeColor="text1"/>
                <w:sz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通过学校的宣传教育，提高全体教职人员及学生的生态保护意识</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有所提高</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有所提高</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宋体" w:hAnsi="宋体" w:eastAsia="宋体" w:cs="宋体"/>
                <w:color w:val="000000" w:themeColor="text1"/>
                <w:sz w:val="21"/>
                <w:szCs w:val="21"/>
                <w14:textFill>
                  <w14:solidFill>
                    <w14:schemeClr w14:val="tx1"/>
                  </w14:solidFill>
                </w14:textFill>
              </w:rPr>
            </w:pPr>
          </w:p>
        </w:tc>
        <w:tc>
          <w:tcPr>
            <w:tcW w:w="102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对学校展有持续和建设性指标，如持续发展把教师的发展放在首位，通过教师的发展带动学生的发展，促进学校的发展、形成学校优良传统、特色特长保持等</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持续发展</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持续发展</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Arial"/>
                <w:color w:val="000000" w:themeColor="text1"/>
                <w:sz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vMerge w:val="restart"/>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ascii="Arial"/>
                <w:color w:val="000000" w:themeColor="text1"/>
                <w:sz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学生满意度</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≧95%</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96%</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家长满意度</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≧95%</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95%</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000000" w:sz="4" w:space="0"/>
              <w:bottom w:val="single" w:color="000000"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tcBorders>
              <w:top w:val="single" w:color="000000" w:sz="4" w:space="0"/>
              <w:bottom w:val="single" w:color="000000" w:sz="4" w:space="0"/>
            </w:tcBorders>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社会公众满意度</w:t>
            </w:r>
          </w:p>
        </w:tc>
        <w:tc>
          <w:tcPr>
            <w:tcW w:w="13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≧95%</w:t>
            </w:r>
          </w:p>
        </w:tc>
        <w:tc>
          <w:tcPr>
            <w:tcW w:w="125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95%</w:t>
            </w:r>
          </w:p>
        </w:tc>
        <w:tc>
          <w:tcPr>
            <w:tcW w:w="719"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802" w:type="dxa"/>
            <w:tcBorders>
              <w:top w:val="single" w:color="000000" w:sz="4" w:space="0"/>
              <w:bottom w:val="single" w:color="000000" w:sz="4" w:space="0"/>
            </w:tcBorders>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7039" w:type="dxa"/>
            <w:gridSpan w:val="6"/>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leftChars="0" w:firstLine="3274" w:firstLineChars="0"/>
              <w:jc w:val="center"/>
              <w:textAlignment w:val="auto"/>
              <w:rPr>
                <w:rFonts w:ascii="Arial"/>
                <w:color w:val="000000" w:themeColor="text1"/>
                <w:sz w:val="20"/>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leftChars="0"/>
              <w:jc w:val="center"/>
              <w:textAlignment w:val="auto"/>
              <w:rPr>
                <w:rFonts w:ascii="Arial"/>
                <w:color w:val="000000" w:themeColor="text1"/>
                <w:sz w:val="20"/>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1275" w:type="dxa"/>
            <w:tcBorders>
              <w:top w:val="single" w:color="000000" w:sz="4" w:space="0"/>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0"/>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岳阳市岳阳楼区广场小学</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岳阳市岳阳楼区广场小学</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（一）职能职责</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1、负责教育教学工作。 </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2、正确贯彻执行党和国家的教育方针、政策、法规。 </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3、维护学校的教学秩序，为学生创造良好的学习环境。 </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4、积极稳妥地推进教育改革，按教育规律办事，不断提高教育质量。 </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5、根据学校规模，设置学校管理机构，建立健全各项规章制度和岗位责任制。 </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6、坚持教书育人，服务育人，环境育人方针，加强对学生的思想品德教育，使学生的德智体全面发展。 </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7、抓好教师队伍建设，使每个教师都热心于教育事业。 </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8、做好安全防范，保证学生的人身安全。 </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（二）机构设置</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本单位单位内设机构包括：校务办、教研室、德育办、后勤保卫办。根据编办核定，我校共有教职工73人，其中：在职编制20人；离退休53人。其中：事业编制职工10人。</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ind w:firstLine="64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基本支出2022年度总支出</w:t>
      </w:r>
      <w:r>
        <w:rPr>
          <w:rFonts w:hint="eastAsia" w:ascii="仿宋_GB2312" w:hAnsi="仿宋_GB2312" w:eastAsia="仿宋_GB2312" w:cs="仿宋_GB2312"/>
          <w:b w:val="0"/>
          <w:bCs/>
          <w:sz w:val="28"/>
          <w:szCs w:val="28"/>
          <w:lang w:val="en-US" w:eastAsia="zh-CN"/>
        </w:rPr>
        <w:t>394.1</w:t>
      </w:r>
      <w:r>
        <w:rPr>
          <w:rFonts w:hint="eastAsia" w:ascii="仿宋_GB2312" w:hAnsi="仿宋_GB2312" w:eastAsia="仿宋_GB2312" w:cs="仿宋_GB2312"/>
          <w:bCs/>
          <w:sz w:val="28"/>
          <w:szCs w:val="28"/>
          <w:lang w:val="en-US" w:eastAsia="zh-CN"/>
        </w:rPr>
        <w:t>万元，</w:t>
      </w:r>
    </w:p>
    <w:p>
      <w:pPr>
        <w:ind w:firstLine="64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 xml:space="preserve">其中：人员经费378.72万元：包括基本工资87.67 万元；津贴补贴0.61 万元；奖金56.02万元；伙食补助费0万元； 绩效工资46.54  万元；机关事业单位基本养老保险缴费19.93 万元；职业年金缴费0万元；职工基本医疗保险缴费9.25 万元；公务员医疗补助缴费0万元；其他社会保障缴费1.71 万元；住房公积金15.59 万元；医疗费0万元；其他工资福利支出0万元；离休费0万元；退休费140.47 万元；抚恤金0万元；生活补助0万元；医疗费补助0万元；助学金0万元；奖励金0万元；其他对个人和家庭的补助0.93 万元。 </w:t>
      </w:r>
    </w:p>
    <w:p>
      <w:pPr>
        <w:ind w:firstLine="64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公用经费15.38万元：包括办公费1.98 万元；印刷费0.50  万元；咨询费0万元；手续费0万元；水费0.80 万元；电费2.00 万元；邮电费0万元； 物业管理费0万元；差旅费0万元；维修（护）费7.00  万元；租赁费0万元；会议费0万元；培训费3.10 万元； 公务接待费0万元；专用材料费0万元；劳务费0万元；委托业务费0万元；工会经费0万元；福利费0万元；其他交通费用0万元；其他商品和服务支出0 万元；办公设备购置0万元；专用设备购置0万元；其他资本性支出0万元。</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p>
    <w:p>
      <w:pPr>
        <w:spacing w:line="560" w:lineRule="exact"/>
        <w:ind w:firstLine="560" w:firstLineChars="200"/>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本单位2022年度项目支出199.41万元，非专项资金，为保证学校正常运行各项工作经费。</w:t>
      </w:r>
    </w:p>
    <w:p>
      <w:pPr>
        <w:pStyle w:val="2"/>
        <w:numPr>
          <w:ilvl w:val="0"/>
          <w:numId w:val="0"/>
        </w:numPr>
        <w:rPr>
          <w:rFonts w:hint="default"/>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pStyle w:val="2"/>
        <w:ind w:firstLine="560" w:firstLineChars="200"/>
        <w:rPr>
          <w:rFonts w:hint="default"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本单位2022年度无政府性基金预算支出</w:t>
      </w:r>
      <w:r>
        <w:rPr>
          <w:rFonts w:hint="eastAsia" w:ascii="仿宋" w:hAnsi="仿宋" w:eastAsia="仿宋" w:cs="仿宋"/>
          <w:bCs/>
          <w:sz w:val="28"/>
          <w:szCs w:val="28"/>
          <w:lang w:val="en-US" w:eastAsia="zh-CN"/>
        </w:rPr>
        <w:t>0</w:t>
      </w:r>
      <w:r>
        <w:rPr>
          <w:rFonts w:hint="eastAsia" w:ascii="仿宋_GB2312" w:hAnsi="仿宋_GB2312" w:eastAsia="仿宋_GB2312" w:cs="仿宋_GB2312"/>
          <w:bCs/>
          <w:kern w:val="2"/>
          <w:sz w:val="28"/>
          <w:szCs w:val="28"/>
          <w:lang w:val="en-US" w:eastAsia="zh-CN" w:bidi="ar-SA"/>
        </w:rPr>
        <w:t>万元。</w:t>
      </w:r>
    </w:p>
    <w:p>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pStyle w:val="2"/>
        <w:numPr>
          <w:ilvl w:val="0"/>
          <w:numId w:val="0"/>
        </w:numPr>
        <w:ind w:firstLine="560" w:firstLineChars="200"/>
        <w:rPr>
          <w:rFonts w:hint="eastAsia"/>
          <w:lang w:val="en-US" w:eastAsia="zh-CN"/>
        </w:rPr>
      </w:pPr>
      <w:r>
        <w:rPr>
          <w:rFonts w:hint="eastAsia" w:ascii="仿宋_GB2312" w:hAnsi="仿宋_GB2312" w:eastAsia="仿宋_GB2312" w:cs="仿宋_GB2312"/>
          <w:bCs/>
          <w:kern w:val="2"/>
          <w:sz w:val="28"/>
          <w:szCs w:val="28"/>
          <w:lang w:val="en-US" w:eastAsia="zh-CN" w:bidi="ar-SA"/>
        </w:rPr>
        <w:t>本单位2022年度国有资本经营预算支出</w:t>
      </w:r>
      <w:r>
        <w:rPr>
          <w:rFonts w:hint="eastAsia" w:ascii="仿宋" w:hAnsi="仿宋" w:eastAsia="仿宋" w:cs="仿宋"/>
          <w:bCs/>
          <w:sz w:val="28"/>
          <w:szCs w:val="28"/>
          <w:lang w:val="en-US" w:eastAsia="zh-CN"/>
        </w:rPr>
        <w:t>0万元。</w:t>
      </w:r>
    </w:p>
    <w:p>
      <w:pPr>
        <w:keepNext w:val="0"/>
        <w:keepLines w:val="0"/>
        <w:pageBreakBefore w:val="0"/>
        <w:widowControl w:val="0"/>
        <w:numPr>
          <w:ilvl w:val="0"/>
          <w:numId w:val="2"/>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pStyle w:val="2"/>
        <w:numPr>
          <w:ilvl w:val="0"/>
          <w:numId w:val="0"/>
        </w:numPr>
        <w:ind w:leftChars="200"/>
        <w:rPr>
          <w:rFonts w:hint="eastAsia"/>
          <w:lang w:val="en-US" w:eastAsia="zh-CN"/>
        </w:rPr>
      </w:pPr>
      <w:r>
        <w:rPr>
          <w:rFonts w:hint="eastAsia" w:ascii="仿宋_GB2312" w:hAnsi="仿宋_GB2312" w:eastAsia="仿宋_GB2312" w:cs="仿宋_GB2312"/>
          <w:bCs/>
          <w:kern w:val="2"/>
          <w:sz w:val="28"/>
          <w:szCs w:val="28"/>
          <w:lang w:val="en-US" w:eastAsia="zh-CN" w:bidi="ar-SA"/>
        </w:rPr>
        <w:t>本单位2022年度社会保险基金预算支出</w:t>
      </w:r>
      <w:r>
        <w:rPr>
          <w:rFonts w:hint="eastAsia" w:ascii="仿宋" w:hAnsi="仿宋" w:eastAsia="仿宋" w:cs="仿宋"/>
          <w:bCs/>
          <w:sz w:val="28"/>
          <w:szCs w:val="28"/>
          <w:lang w:val="en-US" w:eastAsia="zh-CN"/>
        </w:rPr>
        <w:t>0万元。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一、德育方面:正面教育 突出引领</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1.爱心主题。经常组织学生开展向贫困学生和重病学子献爱心活动，让爱的阳光常驻心灵，在“学雷锋”专题活动中，六年级少先队员走上街头给学校附近的百姓讲解预防新冠的小知识，沿路清扫街面垃圾，给校园树木刮白，学生在实践中体会了雷锋不怕苦、不怕累、甘于奉献的精神。三年级开展了“粽香满校园，劳动最光荣”为主题包粽子大赛，为留守儿童带去节日的温暖，岳阳晚报对此进行了专题报道。</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2.感恩主题。举办“学会感恩”主题班队活动，还组织学生给父母写信、举行感恩主题班会、开展感恩主题征文等活动，培育了感恩文化。</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3.爱国主题。组织观看爱国主义影片和撰写观后感等活动，利用宣传窗、黑板报营造了弘扬民族精神的良好氛围。五年级大胆创新，写寄语、画风筝、放风筝，用喜欢的方式深入挖掘了清明节丰厚的文化意蕴。四年级少先队员绘制长画卷为党的二十大召开献上美好祝福，103班全体学生在喜迎二十大的升旗仪式上组织了科技活动，神州飞船、航天飞机等科幻作品主题鲜明，想象丰富，气势磅礴，充分反映了全体学生爱国爱党的思想情感，并再一次把爱党爱国热潮推进了每一位在场的师生心。这几项活动都在教育局少年说、今日头条进行了报道。</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4.爱校主题。通过校园环境卫生专项整治等活动，教育学生爱护学校的一草一木、一砖一瓦，清洁校园，营造良好的育人环境。通过大队干部值日，班级流动红旗评比，激励学生养成良好的行为习惯。学校要求全体教师把学生的个性发展与体验成功结合起来。为此，探索出五种措施：一是重视激发学生成功的愿望，特别是对学困生，我们要求老师给予更多的关爱；二是结合双减帮助学生减轻学习负担（作业量）让学生个性发展；三是积极为不同层次的学生提供成功的条件和机会，使其树立起“我能行”的信念，各学科教师积极开展培优扶潜工作；四采用新的评价机制，评价学生既要“好中寻优”，鼓励冒尖，又要“错中找对”，激励全体。五是培养学生的合作精神，团队意识。</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二、教育教学方面：搭建教研平台  促进专业发展</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（一）细化常规管理提升质量</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1.制度导向，思想重视，从细节上落实常规。我校在地域、生源、师资均不占优势的现实背景下，靠什么去和别的学校竞争？靠的是管理。管理出效益！这是学校行政一班人形成的共识，思想是行动的先导。为了让这一理念在教师中得到落实，我们利用教师会议宣传动员学习了《岳阳楼区中小学教学常规管理实施细则》、《广场小学教学常规月目标管理实施细则》，使得做好常规工作已经成了教师成就自我、发展学校、促进学生成才的自觉行动。 </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2.规范管理，严格要求；教育教学无小事，日积月累出成效。我们一方面狠抓教师的备、教、批辅工作；一方面在晨检工作上花大力气进行巡查。二是值日行政每天对课堂教学情况进行一次巡查。内容包括课堂教学组织情况、教室卫生、多媒体使用情况等；三是每次教育教学工作例会，教导处都会对上一次常规检查进行讲评，优点继续发扬，关键找出不足提出整改建议，讲评点到年级、班级、科目、任教老师。四是建立行政教学联系年级制度。行政人员率先垂范，身体力行；学校领导深入一线，给教师充分的信任，营造一个平等团结、尊重的氛围，创造一个宜教、宜学的人文环境。下年级行政负责本年级相关事务的处理、协调，为老师们排忧解难，使老师们能轻松、愉悦的工作。9月18日我校组织开了“走进千家万户  关爱万千心灵”为主题的大家访活动，及时了解学生生活、学习和思想等各方面情况；详细掌握家长对学生的家庭教育情况；广泛征集家长对学校和教育工作的意见与建议，切实破解学校教育教学工作难题，促进教育政风行风建设，办好人民满意的学校。每位行政都下到年级班级和班主任一起家访，家访活动在老师和家长、学校和社会之间架起了一座友谊之桥、沟通之桥、信任之桥。五是建立科任教师联系潜能生辅导制度，实施“潜能生”辅导包干制。我校学生生源复杂，学生基础参差不齐，因此做好潜能生辅导工作对提高我校教学质量具有重要意义。我们具体办法是“三定”：定辅导对象、定辅导时间、定辅导措施。“两结合”：实行课内和课外相结合、校内和校外相结合。辅导措施主要有三点：第一，课堂上，教师重点辅导这些对象。教师上课，起点是潜能生，课堂上提问，黑板上板演习题，做实验都是潜能生来打“头阵”。第二，让优秀生带好潜能生。每个班主任在排座位时，坚持好生、潜能生同桌，便于优胜帮助潜能生。课堂讨论时，前后同桌相互配合，好生发现潜能生对思考题的回答有偏差或错误时给予帮助纠正。第三，实施潜能生过关制度。坚持利用课堂上的“边角时间”，有重点地检查潜能生的自学情况，潜能生的作业优先批阅。这样不仅是优潜能生同时得到提高，而且营造出良好的互相学习氛围，大大提高了课堂教学效果，学生学得轻松，学得生动，为全面提高教学质量提供了保证。</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（二）助力课堂提升水平</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1.他山之石可攻玉。为了快速提升学校青年教师课堂教学水平，我们大力推行“走出去，请进来”工作方式。在9月份的教师活动中，我校廖育平主任以数学教研组长身份参加了楼区教科室数学名师工作室组织的学习。11月份，我校杨其主任以数学学名师工作室骨干教师参加了在千亩湖小学举行的研讨活动；10月份，我校丁颖、丁佳俊、许悦等老师参加“梧桐花开”学习活动；11月份，我校彭剑锋校长带领李建林副校长、杨其主任、丁佳俊老师参加了教育局教师工作股组织的信息2.0工程培训，回来组织全体语文组教师和综合组教师参加湖南省信息2.0工程，网络学习全部参与教师均已达标，全体教师反响强烈，教师们开阔了眼界，更新了观念，拓宽了思路。</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立足课堂促发展。由于我校规模小，教师少，青年教师相对较多，今年又新进教师2人，为了帮助青年教师更好地规范教学，尽快提高教学水平和教学技能，优化课堂教学效益。教导处通过跟踪课堂教学，推门听课等积极为青年教师成长铺设“快车道”。9月28日教导处组织开展了“广场杯”教学竞赛，我校办公室主任廖育平积极参加，并获得一等奖，为年轻教师树立了榜样。我校参加教学竞赛的老师共6人，共授出4堂精品课，教师在反复磨课及教学研讨中提升了课堂教学的研究水平和文本解读的能力。我校虽小但教师教研教改意识强兴趣浓厚，集体备课制度一直延续，并落到实处，以周雅丽为组长的英语备课组参加2022年湖南省备课大赛荣获三等奖。</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三、队伍建设方面：以身作则  带头示范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1.行政队伍：学校班子由7人组成，全部具有专科及专科以上学历，作为学校行政，我们首先对自己高标准、严要求，处处以身作则，努力起到模范带头作用，做到有主见，增学识，想干事，能干事，干成事；时刻牢记学校无小责，职工无小事，时时事事为职工，时时处处为学校。我们恪守“关爱每一名学生，关注每一位教师”的管理原则，精心谋划，周密部署。行政班子富有事业心和责任感，带头作用发挥好，勇于批评和自我批评，促进了学校工作的顺利开展。</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2.教师队伍。我们建立和健全教职工代表大会制度，加强学校的民主管理和民主监督。激发教师作为广场人的责任感和自豪感，积极为学校的发展献计献策。并在教师中大力倡导敬业爱岗、严谨治学、教书育人的高尚师德，在困难的条件下，我们开设了教师食堂，为教师提供早餐、中餐，免去了教师路途中带来的各种不便，凝聚了人心，方便教师管理班级，提升质量。</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3.班主任队伍：班主任是学校德育工作的主力军，加强班主任队伍建设，是搞好学校德育工作的关键。班主任是班集体的组织者、领导者、教育者，是联系班级各任课教师的纽带，是沟通学校教育、家庭教育、社会教育的桥梁，是学校管理和德育工作的骨干力量，是学生德智体美劳全面发展的引路人。班主任思想品德优劣，业务水平和工作能力高低，对学生个人的健康成长、对优秀班集体的形成、对整个学校教育教学质量的不断提高起着举足轻重的作用。学校高度重视班主任工作，采取了如下措施：1.我们精心选拔教育教学经验足，能力、责任心强的教师担任班主任，为提高学校教育教学质量提供了强有力的保障。2.我们安排了5名年轻教师当班主任，年轻教师是学校最具活力的群体，学校的发展将来要靠他们挑大梁。一方面我们让他们在实践中得到锻炼，尽快成长，另一方面也为学校发展打算，使班主任队伍后继有人。3.我们注意班主任力求以老带新，以新促老，老少共进，形成比较合理的班主任队伍结构。   </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560" w:firstLineChars="200"/>
        <w:jc w:val="left"/>
        <w:textAlignment w:val="auto"/>
        <w:rPr>
          <w:rFonts w:hint="eastAsia" w:ascii="仿宋_GB2312" w:hAnsi="仿宋_GB2312" w:eastAsia="仿宋_GB2312" w:cs="仿宋_GB2312"/>
          <w:color w:val="000000" w:themeColor="text1"/>
          <w:spacing w:val="0"/>
          <w:position w:val="0"/>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28"/>
          <w:szCs w:val="28"/>
          <w:lang w:val="en-US" w:eastAsia="zh-CN"/>
          <w14:textFill>
            <w14:solidFill>
              <w14:schemeClr w14:val="tx1"/>
            </w14:solidFill>
          </w14:textFill>
        </w:rPr>
        <w:t>年初预算绩效目标不明确，绩效指标细化和量化不精准。</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细化预算指标，提高预算科学性。预算编制前根据年度内单位可预见的工作任务，确定单位年度预算目标，细化预算指标，科学合理编制部门预算，推进预算编制科学化、准确化。年度预算编制后，根据实际情况，定期做好预算执行分析，掌握预算执行进度，纠正偏差，为下一次科学、准确地编制部门预算积累经验。</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560" w:firstLineChars="200"/>
        <w:jc w:val="left"/>
        <w:textAlignment w:val="auto"/>
        <w:rPr>
          <w:rFonts w:hint="default" w:ascii="仿宋_GB2312" w:hAnsi="仿宋_GB2312" w:eastAsia="仿宋_GB2312" w:cs="仿宋_GB2312"/>
          <w:color w:val="000000" w:themeColor="text1"/>
          <w:spacing w:val="0"/>
          <w:position w:val="0"/>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28"/>
          <w:szCs w:val="28"/>
          <w:lang w:val="en-US" w:eastAsia="zh-CN"/>
          <w14:textFill>
            <w14:solidFill>
              <w14:schemeClr w14:val="tx1"/>
            </w14:solidFill>
          </w14:textFill>
        </w:rPr>
        <w:t>建立了与部门预算相结合的结果应用机制，强化评价结果在部门预算编制和执行中的应用。实现绩效评价结果在部门预算编制和执行中的应用，实现绩效评价与部门预算的有机结合，促进财政资金的合理分配与有效使用。同时将评价结果按照政府信息公开的方式进行公开，加强社会公众对财政资金使用效益的监督。</w:t>
      </w:r>
    </w:p>
    <w:p>
      <w:pPr>
        <w:pStyle w:val="2"/>
        <w:numPr>
          <w:ilvl w:val="0"/>
          <w:numId w:val="0"/>
        </w:numPr>
        <w:ind w:leftChars="200"/>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pPr>
        <w:pStyle w:val="2"/>
        <w:ind w:firstLine="560" w:firstLineChars="200"/>
        <w:rPr>
          <w:rFonts w:hint="default" w:ascii="仿宋_GB2312" w:hAnsi="仿宋_GB2312" w:eastAsia="仿宋_GB2312" w:cs="仿宋_GB2312"/>
          <w:color w:val="000000" w:themeColor="text1"/>
          <w:spacing w:val="0"/>
          <w:kern w:val="2"/>
          <w:position w:val="0"/>
          <w:sz w:val="28"/>
          <w:szCs w:val="28"/>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28"/>
          <w:szCs w:val="28"/>
          <w:lang w:val="en-US" w:eastAsia="zh-CN" w:bidi="ar-SA"/>
          <w14:textFill>
            <w14:solidFill>
              <w14:schemeClr w14:val="tx1"/>
            </w14:solidFill>
          </w14:textFill>
        </w:rPr>
        <w:t>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highlight w:val="none"/>
          <w:lang w:val="en-US" w:eastAsia="zh-CN"/>
          <w14:textFill>
            <w14:solidFill>
              <w14:schemeClr w14:val="tx1"/>
            </w14:solidFill>
          </w14:textFill>
        </w:rPr>
        <w:t>2022年度项目支出绩效自评表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leftChars="0" w:right="0" w:rightChars="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14</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95</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0312D5"/>
    <w:multiLevelType w:val="singleLevel"/>
    <w:tmpl w:val="AB0312D5"/>
    <w:lvl w:ilvl="0" w:tentative="0">
      <w:start w:val="8"/>
      <w:numFmt w:val="chineseCounting"/>
      <w:suff w:val="nothing"/>
      <w:lvlText w:val="%1、"/>
      <w:lvlJc w:val="left"/>
      <w:rPr>
        <w:rFonts w:hint="eastAsia"/>
      </w:rPr>
    </w:lvl>
  </w:abstractNum>
  <w:abstractNum w:abstractNumId="1">
    <w:nsid w:val="DEDD5395"/>
    <w:multiLevelType w:val="singleLevel"/>
    <w:tmpl w:val="DEDD5395"/>
    <w:lvl w:ilvl="0" w:tentative="0">
      <w:start w:val="1"/>
      <w:numFmt w:val="chineseCounting"/>
      <w:suff w:val="nothing"/>
      <w:lvlText w:val="%1、"/>
      <w:lvlJc w:val="left"/>
      <w:rPr>
        <w:rFonts w:hint="eastAsia"/>
      </w:rPr>
    </w:lvl>
  </w:abstractNum>
  <w:abstractNum w:abstractNumId="2">
    <w:nsid w:val="E796C888"/>
    <w:multiLevelType w:val="singleLevel"/>
    <w:tmpl w:val="E796C888"/>
    <w:lvl w:ilvl="0" w:tentative="0">
      <w:start w:val="4"/>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I1MjVlYjI5ODEyZDE5ZmFjYmIxYjdjNjllM2EzMTkifQ=="/>
  </w:docVars>
  <w:rsids>
    <w:rsidRoot w:val="53FC3987"/>
    <w:rsid w:val="000A3765"/>
    <w:rsid w:val="001D7282"/>
    <w:rsid w:val="00303F39"/>
    <w:rsid w:val="0039081D"/>
    <w:rsid w:val="00535E7A"/>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A81A11"/>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9F343C"/>
    <w:rsid w:val="04AC07A1"/>
    <w:rsid w:val="04C63115"/>
    <w:rsid w:val="04CF5236"/>
    <w:rsid w:val="04CF5AF0"/>
    <w:rsid w:val="04D24FF1"/>
    <w:rsid w:val="04DE1BAB"/>
    <w:rsid w:val="04E411E4"/>
    <w:rsid w:val="04E54F0C"/>
    <w:rsid w:val="04F37BBA"/>
    <w:rsid w:val="05085366"/>
    <w:rsid w:val="05145F64"/>
    <w:rsid w:val="05393890"/>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866745"/>
    <w:rsid w:val="078B5EF9"/>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4F312F"/>
    <w:rsid w:val="086508EB"/>
    <w:rsid w:val="08674899"/>
    <w:rsid w:val="08754155"/>
    <w:rsid w:val="0878647D"/>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01641A"/>
    <w:rsid w:val="0B163034"/>
    <w:rsid w:val="0B1F5B6D"/>
    <w:rsid w:val="0B2F4AF7"/>
    <w:rsid w:val="0B3312B6"/>
    <w:rsid w:val="0B4064B3"/>
    <w:rsid w:val="0B6E529C"/>
    <w:rsid w:val="0B701D27"/>
    <w:rsid w:val="0B7245CE"/>
    <w:rsid w:val="0B7C0AD7"/>
    <w:rsid w:val="0B943886"/>
    <w:rsid w:val="0B9C3CD1"/>
    <w:rsid w:val="0BB324D8"/>
    <w:rsid w:val="0BB672C7"/>
    <w:rsid w:val="0BBA4FFF"/>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35822"/>
    <w:rsid w:val="0CCA7495"/>
    <w:rsid w:val="0CD16BA2"/>
    <w:rsid w:val="0CD745A0"/>
    <w:rsid w:val="0CDE4E30"/>
    <w:rsid w:val="0D012A51"/>
    <w:rsid w:val="0D091D9A"/>
    <w:rsid w:val="0D094F84"/>
    <w:rsid w:val="0D280615"/>
    <w:rsid w:val="0D2C07EB"/>
    <w:rsid w:val="0D2F57DE"/>
    <w:rsid w:val="0D353632"/>
    <w:rsid w:val="0D392C4E"/>
    <w:rsid w:val="0D482FA9"/>
    <w:rsid w:val="0D4A4299"/>
    <w:rsid w:val="0D5F1E28"/>
    <w:rsid w:val="0D671080"/>
    <w:rsid w:val="0D783B34"/>
    <w:rsid w:val="0D81754C"/>
    <w:rsid w:val="0DBE0DD6"/>
    <w:rsid w:val="0DBE6AB7"/>
    <w:rsid w:val="0DBF116A"/>
    <w:rsid w:val="0DC00E38"/>
    <w:rsid w:val="0DC8400B"/>
    <w:rsid w:val="0DD34552"/>
    <w:rsid w:val="0DE03EAA"/>
    <w:rsid w:val="0DE12394"/>
    <w:rsid w:val="0DF36262"/>
    <w:rsid w:val="0E1E619E"/>
    <w:rsid w:val="0E267F81"/>
    <w:rsid w:val="0E365DE9"/>
    <w:rsid w:val="0E475709"/>
    <w:rsid w:val="0E4822EE"/>
    <w:rsid w:val="0E4E185D"/>
    <w:rsid w:val="0E522FBE"/>
    <w:rsid w:val="0E5D141B"/>
    <w:rsid w:val="0E8648D6"/>
    <w:rsid w:val="0E8C08DC"/>
    <w:rsid w:val="0E8E43C0"/>
    <w:rsid w:val="0E964CBE"/>
    <w:rsid w:val="0EB05323"/>
    <w:rsid w:val="0EBE40CB"/>
    <w:rsid w:val="0EC36A56"/>
    <w:rsid w:val="0EC62499"/>
    <w:rsid w:val="0ECE4E6F"/>
    <w:rsid w:val="0ED14B39"/>
    <w:rsid w:val="0EDA5C56"/>
    <w:rsid w:val="0EFE4287"/>
    <w:rsid w:val="0F0D525E"/>
    <w:rsid w:val="0F2A2A37"/>
    <w:rsid w:val="0F2E6C95"/>
    <w:rsid w:val="0F4675CA"/>
    <w:rsid w:val="0F471A79"/>
    <w:rsid w:val="0F500384"/>
    <w:rsid w:val="0F544B86"/>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474D18"/>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D51F7A"/>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2E6E70"/>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0C1E5E"/>
    <w:rsid w:val="1D124C24"/>
    <w:rsid w:val="1D2642A2"/>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3E386E"/>
    <w:rsid w:val="1E450758"/>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871525"/>
    <w:rsid w:val="20A45C99"/>
    <w:rsid w:val="20AD18F5"/>
    <w:rsid w:val="20B77D0F"/>
    <w:rsid w:val="20BB288C"/>
    <w:rsid w:val="20D06EB4"/>
    <w:rsid w:val="20E40557"/>
    <w:rsid w:val="20EF04D3"/>
    <w:rsid w:val="210550DB"/>
    <w:rsid w:val="210C69CF"/>
    <w:rsid w:val="21107C1A"/>
    <w:rsid w:val="211C1789"/>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80F2E"/>
    <w:rsid w:val="235B5F37"/>
    <w:rsid w:val="235C3EA6"/>
    <w:rsid w:val="23604810"/>
    <w:rsid w:val="237A7609"/>
    <w:rsid w:val="238479F7"/>
    <w:rsid w:val="23BE4330"/>
    <w:rsid w:val="23BF0A62"/>
    <w:rsid w:val="23C263BB"/>
    <w:rsid w:val="23D04F68"/>
    <w:rsid w:val="23D50A64"/>
    <w:rsid w:val="23F36A10"/>
    <w:rsid w:val="23FB786F"/>
    <w:rsid w:val="23FC0268"/>
    <w:rsid w:val="240B4621"/>
    <w:rsid w:val="241061D3"/>
    <w:rsid w:val="24114322"/>
    <w:rsid w:val="24122F3C"/>
    <w:rsid w:val="24181A61"/>
    <w:rsid w:val="241A4D23"/>
    <w:rsid w:val="243F3E9B"/>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E24F53"/>
    <w:rsid w:val="24F86BC7"/>
    <w:rsid w:val="250F44FD"/>
    <w:rsid w:val="2514288A"/>
    <w:rsid w:val="256609A5"/>
    <w:rsid w:val="25781237"/>
    <w:rsid w:val="257A6914"/>
    <w:rsid w:val="25851BD3"/>
    <w:rsid w:val="2588530F"/>
    <w:rsid w:val="25963C8A"/>
    <w:rsid w:val="25AB3731"/>
    <w:rsid w:val="25B464A2"/>
    <w:rsid w:val="25BA0209"/>
    <w:rsid w:val="25BB4BF0"/>
    <w:rsid w:val="25C04DD4"/>
    <w:rsid w:val="25E62DA9"/>
    <w:rsid w:val="25F465E7"/>
    <w:rsid w:val="25F6641C"/>
    <w:rsid w:val="25F74FA1"/>
    <w:rsid w:val="25FC3091"/>
    <w:rsid w:val="25FD11FA"/>
    <w:rsid w:val="25FF3210"/>
    <w:rsid w:val="2611098A"/>
    <w:rsid w:val="264221C6"/>
    <w:rsid w:val="265D3370"/>
    <w:rsid w:val="26666555"/>
    <w:rsid w:val="26865DB2"/>
    <w:rsid w:val="268B7C99"/>
    <w:rsid w:val="268C4A4A"/>
    <w:rsid w:val="269A7501"/>
    <w:rsid w:val="26A3584F"/>
    <w:rsid w:val="26A66B0A"/>
    <w:rsid w:val="26A73989"/>
    <w:rsid w:val="26A86D42"/>
    <w:rsid w:val="26C30557"/>
    <w:rsid w:val="26CB2EBC"/>
    <w:rsid w:val="26CB4B73"/>
    <w:rsid w:val="26E34A7B"/>
    <w:rsid w:val="26E9756C"/>
    <w:rsid w:val="26EF06E2"/>
    <w:rsid w:val="26F947D6"/>
    <w:rsid w:val="26FA4570"/>
    <w:rsid w:val="27217FF0"/>
    <w:rsid w:val="27242893"/>
    <w:rsid w:val="272A0E3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95E3B"/>
    <w:rsid w:val="2CCC5126"/>
    <w:rsid w:val="2CF756B7"/>
    <w:rsid w:val="2CF9252D"/>
    <w:rsid w:val="2CF97782"/>
    <w:rsid w:val="2D107154"/>
    <w:rsid w:val="2D143281"/>
    <w:rsid w:val="2D1C79F8"/>
    <w:rsid w:val="2D324177"/>
    <w:rsid w:val="2D5A7835"/>
    <w:rsid w:val="2D6578A0"/>
    <w:rsid w:val="2D7343C9"/>
    <w:rsid w:val="2DE44256"/>
    <w:rsid w:val="2DE557EB"/>
    <w:rsid w:val="2DEE2BBA"/>
    <w:rsid w:val="2E0E6D42"/>
    <w:rsid w:val="2E0F4249"/>
    <w:rsid w:val="2E2F0A58"/>
    <w:rsid w:val="2E447583"/>
    <w:rsid w:val="2E4B4467"/>
    <w:rsid w:val="2E5520B9"/>
    <w:rsid w:val="2E63548C"/>
    <w:rsid w:val="2E640C1C"/>
    <w:rsid w:val="2E6B523D"/>
    <w:rsid w:val="2E7A08F9"/>
    <w:rsid w:val="2E7B33BD"/>
    <w:rsid w:val="2E836803"/>
    <w:rsid w:val="2E96363C"/>
    <w:rsid w:val="2EB55486"/>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DF358A"/>
    <w:rsid w:val="30EC01FB"/>
    <w:rsid w:val="30F54D00"/>
    <w:rsid w:val="31026564"/>
    <w:rsid w:val="310A5122"/>
    <w:rsid w:val="312107CD"/>
    <w:rsid w:val="31210CA8"/>
    <w:rsid w:val="31215285"/>
    <w:rsid w:val="312D0344"/>
    <w:rsid w:val="31346C1B"/>
    <w:rsid w:val="314A407E"/>
    <w:rsid w:val="314D5D90"/>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4A1FCD"/>
    <w:rsid w:val="32643522"/>
    <w:rsid w:val="326470BA"/>
    <w:rsid w:val="32744A8B"/>
    <w:rsid w:val="32753DA5"/>
    <w:rsid w:val="32886DB3"/>
    <w:rsid w:val="32895C45"/>
    <w:rsid w:val="32A43D99"/>
    <w:rsid w:val="32B141E0"/>
    <w:rsid w:val="32B44D2D"/>
    <w:rsid w:val="32C90A49"/>
    <w:rsid w:val="32F72511"/>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D03899"/>
    <w:rsid w:val="33DD2188"/>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433B03"/>
    <w:rsid w:val="386A46AA"/>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C31C46"/>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3F6F8E"/>
    <w:rsid w:val="3D5A60CA"/>
    <w:rsid w:val="3D9F4364"/>
    <w:rsid w:val="3DA702BF"/>
    <w:rsid w:val="3DB92106"/>
    <w:rsid w:val="3DCF457D"/>
    <w:rsid w:val="3DE418E4"/>
    <w:rsid w:val="3DF169A7"/>
    <w:rsid w:val="3DF2399F"/>
    <w:rsid w:val="3DF40FE4"/>
    <w:rsid w:val="3E0519AD"/>
    <w:rsid w:val="3E142DAC"/>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C54AA"/>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CD2825"/>
    <w:rsid w:val="40D23962"/>
    <w:rsid w:val="40D61BC8"/>
    <w:rsid w:val="40DC4F1D"/>
    <w:rsid w:val="40DF2097"/>
    <w:rsid w:val="40E71ABD"/>
    <w:rsid w:val="413606A8"/>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1CEE"/>
    <w:rsid w:val="423C6CFA"/>
    <w:rsid w:val="42442693"/>
    <w:rsid w:val="428D1B97"/>
    <w:rsid w:val="42B608A5"/>
    <w:rsid w:val="42BC6C8F"/>
    <w:rsid w:val="42C5446D"/>
    <w:rsid w:val="42E12FC1"/>
    <w:rsid w:val="42E94337"/>
    <w:rsid w:val="43031943"/>
    <w:rsid w:val="431327F1"/>
    <w:rsid w:val="43182DB2"/>
    <w:rsid w:val="435412BA"/>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03ED1"/>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A174B"/>
    <w:rsid w:val="49BF4D00"/>
    <w:rsid w:val="49D1562B"/>
    <w:rsid w:val="49DE1EF5"/>
    <w:rsid w:val="49E579C4"/>
    <w:rsid w:val="49E8275C"/>
    <w:rsid w:val="49EA2381"/>
    <w:rsid w:val="49F43753"/>
    <w:rsid w:val="49F54A10"/>
    <w:rsid w:val="49F94CE9"/>
    <w:rsid w:val="49FE0E45"/>
    <w:rsid w:val="4A040938"/>
    <w:rsid w:val="4A11169A"/>
    <w:rsid w:val="4A212635"/>
    <w:rsid w:val="4A2175B6"/>
    <w:rsid w:val="4A234F52"/>
    <w:rsid w:val="4A4260CB"/>
    <w:rsid w:val="4A611E1A"/>
    <w:rsid w:val="4A7055A6"/>
    <w:rsid w:val="4A9C47ED"/>
    <w:rsid w:val="4AA71D5E"/>
    <w:rsid w:val="4AAA6CA9"/>
    <w:rsid w:val="4AE008D2"/>
    <w:rsid w:val="4B0B3617"/>
    <w:rsid w:val="4B2815DF"/>
    <w:rsid w:val="4B3D2633"/>
    <w:rsid w:val="4B473F5E"/>
    <w:rsid w:val="4B49191E"/>
    <w:rsid w:val="4B507FB2"/>
    <w:rsid w:val="4B647620"/>
    <w:rsid w:val="4B695935"/>
    <w:rsid w:val="4B7A55E6"/>
    <w:rsid w:val="4B82653E"/>
    <w:rsid w:val="4B894031"/>
    <w:rsid w:val="4B8C1A83"/>
    <w:rsid w:val="4B946154"/>
    <w:rsid w:val="4BB12731"/>
    <w:rsid w:val="4BD56D10"/>
    <w:rsid w:val="4BE10A59"/>
    <w:rsid w:val="4BE123D1"/>
    <w:rsid w:val="4C0A534C"/>
    <w:rsid w:val="4C0F01F9"/>
    <w:rsid w:val="4C270B31"/>
    <w:rsid w:val="4C3202E6"/>
    <w:rsid w:val="4C6370A1"/>
    <w:rsid w:val="4C736886"/>
    <w:rsid w:val="4C7F7CEF"/>
    <w:rsid w:val="4C821AA7"/>
    <w:rsid w:val="4C8524E4"/>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CB3509"/>
    <w:rsid w:val="4DDA6A5F"/>
    <w:rsid w:val="4DDB7205"/>
    <w:rsid w:val="4DDF772B"/>
    <w:rsid w:val="4DEB15AD"/>
    <w:rsid w:val="4DF87443"/>
    <w:rsid w:val="4E222378"/>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D03A76"/>
    <w:rsid w:val="4FFE4A87"/>
    <w:rsid w:val="500344EA"/>
    <w:rsid w:val="500B7B4C"/>
    <w:rsid w:val="503C3296"/>
    <w:rsid w:val="504B0F0D"/>
    <w:rsid w:val="50527689"/>
    <w:rsid w:val="5060129E"/>
    <w:rsid w:val="506633AA"/>
    <w:rsid w:val="507237E3"/>
    <w:rsid w:val="50834F8C"/>
    <w:rsid w:val="50911DB8"/>
    <w:rsid w:val="50943033"/>
    <w:rsid w:val="509D389C"/>
    <w:rsid w:val="50A642FD"/>
    <w:rsid w:val="50AF647F"/>
    <w:rsid w:val="50BB317D"/>
    <w:rsid w:val="50D06E68"/>
    <w:rsid w:val="50D37C72"/>
    <w:rsid w:val="50DB6B76"/>
    <w:rsid w:val="50E466DC"/>
    <w:rsid w:val="50EA1869"/>
    <w:rsid w:val="50FD00F4"/>
    <w:rsid w:val="50FF056E"/>
    <w:rsid w:val="510D119A"/>
    <w:rsid w:val="510F2A7F"/>
    <w:rsid w:val="512746EF"/>
    <w:rsid w:val="51283E4C"/>
    <w:rsid w:val="51291D35"/>
    <w:rsid w:val="512B3A7F"/>
    <w:rsid w:val="51414399"/>
    <w:rsid w:val="515D5FD6"/>
    <w:rsid w:val="51651ECD"/>
    <w:rsid w:val="516A7012"/>
    <w:rsid w:val="51721A38"/>
    <w:rsid w:val="517D016D"/>
    <w:rsid w:val="51A45867"/>
    <w:rsid w:val="51AD7250"/>
    <w:rsid w:val="51CF1465"/>
    <w:rsid w:val="51D1247D"/>
    <w:rsid w:val="51EC4955"/>
    <w:rsid w:val="51F067B7"/>
    <w:rsid w:val="52077D46"/>
    <w:rsid w:val="52097835"/>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03061C"/>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45537F"/>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8F6181"/>
    <w:rsid w:val="55990578"/>
    <w:rsid w:val="55A56891"/>
    <w:rsid w:val="55AC66CB"/>
    <w:rsid w:val="55C33131"/>
    <w:rsid w:val="55CD7903"/>
    <w:rsid w:val="55E172A0"/>
    <w:rsid w:val="55E24605"/>
    <w:rsid w:val="55F67FAE"/>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64938"/>
    <w:rsid w:val="581D1F94"/>
    <w:rsid w:val="582872BA"/>
    <w:rsid w:val="5829318A"/>
    <w:rsid w:val="582D7EE9"/>
    <w:rsid w:val="583343BB"/>
    <w:rsid w:val="583439B3"/>
    <w:rsid w:val="583B5787"/>
    <w:rsid w:val="586759C7"/>
    <w:rsid w:val="58C07CA9"/>
    <w:rsid w:val="58DE5A38"/>
    <w:rsid w:val="58E6255C"/>
    <w:rsid w:val="58FA7B16"/>
    <w:rsid w:val="58FB22A6"/>
    <w:rsid w:val="59003437"/>
    <w:rsid w:val="59182EE7"/>
    <w:rsid w:val="5921212C"/>
    <w:rsid w:val="59395687"/>
    <w:rsid w:val="596F472F"/>
    <w:rsid w:val="5974345D"/>
    <w:rsid w:val="597534AA"/>
    <w:rsid w:val="59951C91"/>
    <w:rsid w:val="59982867"/>
    <w:rsid w:val="59A11ED6"/>
    <w:rsid w:val="59AB0DFC"/>
    <w:rsid w:val="59C04B5B"/>
    <w:rsid w:val="59C1557F"/>
    <w:rsid w:val="59C8615E"/>
    <w:rsid w:val="59E771C2"/>
    <w:rsid w:val="59E84659"/>
    <w:rsid w:val="59FF2575"/>
    <w:rsid w:val="5A344FB0"/>
    <w:rsid w:val="5A360707"/>
    <w:rsid w:val="5A482568"/>
    <w:rsid w:val="5A4E7FD5"/>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320DA4"/>
    <w:rsid w:val="5C4E1E1E"/>
    <w:rsid w:val="5C4F343B"/>
    <w:rsid w:val="5C6A79EB"/>
    <w:rsid w:val="5C912690"/>
    <w:rsid w:val="5C970365"/>
    <w:rsid w:val="5C9F632F"/>
    <w:rsid w:val="5CCB04A2"/>
    <w:rsid w:val="5CCD7E04"/>
    <w:rsid w:val="5CD51F6A"/>
    <w:rsid w:val="5CD6026B"/>
    <w:rsid w:val="5CE319F6"/>
    <w:rsid w:val="5CE42846"/>
    <w:rsid w:val="5CE9406B"/>
    <w:rsid w:val="5D0656E1"/>
    <w:rsid w:val="5D46495E"/>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9C3A3F"/>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C2983"/>
    <w:rsid w:val="62FF3767"/>
    <w:rsid w:val="63074094"/>
    <w:rsid w:val="63256E52"/>
    <w:rsid w:val="6337684E"/>
    <w:rsid w:val="63403C73"/>
    <w:rsid w:val="6351410B"/>
    <w:rsid w:val="635D4427"/>
    <w:rsid w:val="635F082F"/>
    <w:rsid w:val="63710CD7"/>
    <w:rsid w:val="639A0C81"/>
    <w:rsid w:val="63A00543"/>
    <w:rsid w:val="63B81E84"/>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6D4100"/>
    <w:rsid w:val="687222C2"/>
    <w:rsid w:val="68790CF7"/>
    <w:rsid w:val="6879445C"/>
    <w:rsid w:val="687A5897"/>
    <w:rsid w:val="687D194E"/>
    <w:rsid w:val="68945561"/>
    <w:rsid w:val="689D6C87"/>
    <w:rsid w:val="68A05E34"/>
    <w:rsid w:val="68A4599C"/>
    <w:rsid w:val="68AD0074"/>
    <w:rsid w:val="68D36F06"/>
    <w:rsid w:val="68D4182F"/>
    <w:rsid w:val="68DA458B"/>
    <w:rsid w:val="68E565D8"/>
    <w:rsid w:val="68ED4DA7"/>
    <w:rsid w:val="68FC5EBD"/>
    <w:rsid w:val="69122538"/>
    <w:rsid w:val="69194FE8"/>
    <w:rsid w:val="691F4315"/>
    <w:rsid w:val="69544350"/>
    <w:rsid w:val="69674FF3"/>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8A4544"/>
    <w:rsid w:val="6A99048F"/>
    <w:rsid w:val="6AA077DB"/>
    <w:rsid w:val="6AA47C92"/>
    <w:rsid w:val="6AB909BB"/>
    <w:rsid w:val="6ABA0C51"/>
    <w:rsid w:val="6ABD020C"/>
    <w:rsid w:val="6ADD6D64"/>
    <w:rsid w:val="6AE21FF0"/>
    <w:rsid w:val="6B0F06C2"/>
    <w:rsid w:val="6B2B6878"/>
    <w:rsid w:val="6B633F4F"/>
    <w:rsid w:val="6B70680D"/>
    <w:rsid w:val="6B816F14"/>
    <w:rsid w:val="6B8A298B"/>
    <w:rsid w:val="6B8A779B"/>
    <w:rsid w:val="6BAD6C20"/>
    <w:rsid w:val="6BB456BB"/>
    <w:rsid w:val="6BB62A44"/>
    <w:rsid w:val="6BD81D0A"/>
    <w:rsid w:val="6BE052CE"/>
    <w:rsid w:val="6BE741CA"/>
    <w:rsid w:val="6BF2692A"/>
    <w:rsid w:val="6BF358A4"/>
    <w:rsid w:val="6C051F4E"/>
    <w:rsid w:val="6C096C12"/>
    <w:rsid w:val="6C1A5960"/>
    <w:rsid w:val="6C2C6080"/>
    <w:rsid w:val="6C417EB8"/>
    <w:rsid w:val="6C613F45"/>
    <w:rsid w:val="6C756221"/>
    <w:rsid w:val="6C7B08BB"/>
    <w:rsid w:val="6C816AF9"/>
    <w:rsid w:val="6C846694"/>
    <w:rsid w:val="6C97174C"/>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200EB"/>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865C19"/>
    <w:rsid w:val="71901CEF"/>
    <w:rsid w:val="719438F4"/>
    <w:rsid w:val="719D7F3F"/>
    <w:rsid w:val="71B55DFD"/>
    <w:rsid w:val="71B834E8"/>
    <w:rsid w:val="71D0750E"/>
    <w:rsid w:val="71D803D1"/>
    <w:rsid w:val="71E501C6"/>
    <w:rsid w:val="71F40A44"/>
    <w:rsid w:val="7202163F"/>
    <w:rsid w:val="720C498A"/>
    <w:rsid w:val="723B04C8"/>
    <w:rsid w:val="724E6817"/>
    <w:rsid w:val="72600D68"/>
    <w:rsid w:val="72604620"/>
    <w:rsid w:val="726B02C1"/>
    <w:rsid w:val="726D2C67"/>
    <w:rsid w:val="728C4A86"/>
    <w:rsid w:val="729A0F74"/>
    <w:rsid w:val="72CD4EB3"/>
    <w:rsid w:val="72F03574"/>
    <w:rsid w:val="72F77CB6"/>
    <w:rsid w:val="731438BD"/>
    <w:rsid w:val="733155C8"/>
    <w:rsid w:val="73422D3C"/>
    <w:rsid w:val="73625723"/>
    <w:rsid w:val="737007D9"/>
    <w:rsid w:val="738B5B50"/>
    <w:rsid w:val="73AA445A"/>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B3733F"/>
    <w:rsid w:val="74C26B38"/>
    <w:rsid w:val="74C55FC1"/>
    <w:rsid w:val="74CC7EC1"/>
    <w:rsid w:val="74DA7552"/>
    <w:rsid w:val="74E41FDD"/>
    <w:rsid w:val="74EF6361"/>
    <w:rsid w:val="74F347DF"/>
    <w:rsid w:val="74FA7FE6"/>
    <w:rsid w:val="74FD4A9B"/>
    <w:rsid w:val="751D43A6"/>
    <w:rsid w:val="75453AE1"/>
    <w:rsid w:val="75573AC9"/>
    <w:rsid w:val="75595449"/>
    <w:rsid w:val="75625DB0"/>
    <w:rsid w:val="758B283A"/>
    <w:rsid w:val="75907680"/>
    <w:rsid w:val="75BD313A"/>
    <w:rsid w:val="75BF6D3D"/>
    <w:rsid w:val="75DC1EF4"/>
    <w:rsid w:val="75E50837"/>
    <w:rsid w:val="75EF084A"/>
    <w:rsid w:val="75EF5520"/>
    <w:rsid w:val="75F63713"/>
    <w:rsid w:val="76143A54"/>
    <w:rsid w:val="761C7166"/>
    <w:rsid w:val="7637074A"/>
    <w:rsid w:val="763B63B0"/>
    <w:rsid w:val="764772A3"/>
    <w:rsid w:val="767B7960"/>
    <w:rsid w:val="769A6195"/>
    <w:rsid w:val="76A44430"/>
    <w:rsid w:val="76A71FBB"/>
    <w:rsid w:val="76AA5D81"/>
    <w:rsid w:val="76AB50DC"/>
    <w:rsid w:val="76B3005E"/>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20820"/>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36F4A"/>
    <w:rsid w:val="790B5E4F"/>
    <w:rsid w:val="790D572F"/>
    <w:rsid w:val="79233654"/>
    <w:rsid w:val="79455569"/>
    <w:rsid w:val="79470AE2"/>
    <w:rsid w:val="795123A8"/>
    <w:rsid w:val="79522462"/>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311D9"/>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0A3A47"/>
    <w:rsid w:val="7C110306"/>
    <w:rsid w:val="7C212B8A"/>
    <w:rsid w:val="7C7B75FB"/>
    <w:rsid w:val="7C8464A1"/>
    <w:rsid w:val="7C9D2D7B"/>
    <w:rsid w:val="7CA26867"/>
    <w:rsid w:val="7CB43A8E"/>
    <w:rsid w:val="7CC106AB"/>
    <w:rsid w:val="7CDF4250"/>
    <w:rsid w:val="7D09113D"/>
    <w:rsid w:val="7D0D7808"/>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2117BD"/>
    <w:rsid w:val="7E4B691E"/>
    <w:rsid w:val="7E616C7B"/>
    <w:rsid w:val="7E733A70"/>
    <w:rsid w:val="7E8A0780"/>
    <w:rsid w:val="7EA574A2"/>
    <w:rsid w:val="7EB4618D"/>
    <w:rsid w:val="7EBB0DC0"/>
    <w:rsid w:val="7EC42E15"/>
    <w:rsid w:val="7EC50C54"/>
    <w:rsid w:val="7ECE3A36"/>
    <w:rsid w:val="7ED11A3C"/>
    <w:rsid w:val="7ED91C72"/>
    <w:rsid w:val="7EEB5BB3"/>
    <w:rsid w:val="7EF70770"/>
    <w:rsid w:val="7F1568D7"/>
    <w:rsid w:val="7F2E0D24"/>
    <w:rsid w:val="7F312E91"/>
    <w:rsid w:val="7F33645C"/>
    <w:rsid w:val="7F4E4DC2"/>
    <w:rsid w:val="7F66205C"/>
    <w:rsid w:val="7FA8327A"/>
    <w:rsid w:val="7FB32EED"/>
    <w:rsid w:val="7FB6358D"/>
    <w:rsid w:val="7FBB4F7A"/>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List Paragraph_a0f507d5-6e28-4914-b37f-020b7d2b0f7c"/>
    <w:qFormat/>
    <w:uiPriority w:val="99"/>
    <w:pPr>
      <w:widowControl w:val="0"/>
      <w:ind w:firstLine="420" w:firstLineChars="20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7111</Words>
  <Characters>7498</Characters>
  <Lines>0</Lines>
  <Paragraphs>0</Paragraphs>
  <TotalTime>0</TotalTime>
  <ScaleCrop>false</ScaleCrop>
  <LinksUpToDate>false</LinksUpToDate>
  <CharactersWithSpaces>7767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一颗糖</cp:lastModifiedBy>
  <cp:lastPrinted>2023-05-26T08:11:00Z</cp:lastPrinted>
  <dcterms:modified xsi:type="dcterms:W3CDTF">2024-07-01T08:45:10Z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50306CC149C84F98BF850919EA3E5AFB_13</vt:lpwstr>
  </property>
</Properties>
</file>