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765DC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320160BE">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494EC76C">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70B1B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1AD5ACE7">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46A2FB75">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岳阳市岳阳楼区蔡家小学</w:t>
            </w:r>
          </w:p>
        </w:tc>
      </w:tr>
      <w:tr w14:paraId="5F6F0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3A31445D">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6A3260AA">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623BDA78">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12BF466F">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7BEE0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0BA7E16D">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14:paraId="6C36134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26</w:t>
            </w:r>
          </w:p>
        </w:tc>
        <w:tc>
          <w:tcPr>
            <w:tcW w:w="2325" w:type="dxa"/>
            <w:gridSpan w:val="2"/>
            <w:noWrap w:val="0"/>
            <w:vAlign w:val="center"/>
          </w:tcPr>
          <w:p w14:paraId="7EFC93EF">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26</w:t>
            </w:r>
          </w:p>
        </w:tc>
        <w:tc>
          <w:tcPr>
            <w:tcW w:w="1679" w:type="dxa"/>
            <w:gridSpan w:val="2"/>
            <w:noWrap w:val="0"/>
            <w:vAlign w:val="center"/>
          </w:tcPr>
          <w:p w14:paraId="0B579E88">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3A768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450C623D">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01B0FA4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5BEA2DD0">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6E05D725">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1C0D9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B9A38AF">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14:paraId="44B7F888">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center"/>
          </w:tcPr>
          <w:p w14:paraId="4622A65D">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1679" w:type="dxa"/>
            <w:gridSpan w:val="2"/>
            <w:noWrap w:val="0"/>
            <w:vAlign w:val="center"/>
          </w:tcPr>
          <w:p w14:paraId="3AD60A4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r>
      <w:tr w14:paraId="71C6A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950F3E5">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14:paraId="706C7F3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718D039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14:paraId="6C0B4ED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680B6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727FB4F">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14:paraId="25173D1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098BBDA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0EC4307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EAC2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8ECA691">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14:paraId="5A7C27CD">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2701954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86C510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F2BED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9CFBA92">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14:paraId="3DC4A3A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57BC438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14:paraId="61B0FD1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64242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92A76AC">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14:paraId="53CCD9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1F49408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center"/>
          </w:tcPr>
          <w:p w14:paraId="1AA319B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022C5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E0CF449">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14:paraId="2BB8E034">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473E1284">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52.66</w:t>
            </w:r>
          </w:p>
        </w:tc>
        <w:tc>
          <w:tcPr>
            <w:tcW w:w="1679" w:type="dxa"/>
            <w:gridSpan w:val="2"/>
            <w:noWrap w:val="0"/>
            <w:vAlign w:val="center"/>
          </w:tcPr>
          <w:p w14:paraId="7C242F3E">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6B72F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FD1CE2B">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14:paraId="6B940B2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3B5E110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52.66</w:t>
            </w:r>
          </w:p>
        </w:tc>
        <w:tc>
          <w:tcPr>
            <w:tcW w:w="1679" w:type="dxa"/>
            <w:gridSpan w:val="2"/>
            <w:noWrap w:val="0"/>
            <w:vAlign w:val="center"/>
          </w:tcPr>
          <w:p w14:paraId="2576082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6045D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3696A8F9">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14:paraId="4526FD7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109EF30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E8054B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56A2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BED62F7">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1815" w:type="dxa"/>
            <w:gridSpan w:val="2"/>
            <w:noWrap w:val="0"/>
            <w:vAlign w:val="center"/>
          </w:tcPr>
          <w:p w14:paraId="439F2026">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5B8B857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5B44B6E2">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0AAB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3850" w:type="dxa"/>
            <w:noWrap w:val="0"/>
            <w:vAlign w:val="top"/>
          </w:tcPr>
          <w:p w14:paraId="38BA8E09">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14:paraId="7D48A61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23D6BA4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C78BE6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BDBC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1C6BA345">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center"/>
          </w:tcPr>
          <w:p w14:paraId="036391E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2E23EED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2A6510C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4A6C4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D85DCE8">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14:paraId="2580C11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14:paraId="2B32B04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26934C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6D26A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1DAB560">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14:paraId="7F58C84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190.87</w:t>
            </w:r>
          </w:p>
        </w:tc>
        <w:tc>
          <w:tcPr>
            <w:tcW w:w="2325" w:type="dxa"/>
            <w:gridSpan w:val="2"/>
            <w:noWrap w:val="0"/>
            <w:vAlign w:val="center"/>
          </w:tcPr>
          <w:p w14:paraId="3F8E4FF4">
            <w:pPr>
              <w:jc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44.97</w:t>
            </w:r>
          </w:p>
        </w:tc>
        <w:tc>
          <w:tcPr>
            <w:tcW w:w="1679" w:type="dxa"/>
            <w:gridSpan w:val="2"/>
            <w:noWrap w:val="0"/>
            <w:vAlign w:val="center"/>
          </w:tcPr>
          <w:p w14:paraId="35509CC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97.14</w:t>
            </w:r>
          </w:p>
        </w:tc>
      </w:tr>
      <w:tr w14:paraId="5D560E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3CD4E79">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center"/>
          </w:tcPr>
          <w:p w14:paraId="338E3B1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3.41</w:t>
            </w:r>
          </w:p>
        </w:tc>
        <w:tc>
          <w:tcPr>
            <w:tcW w:w="2325" w:type="dxa"/>
            <w:gridSpan w:val="2"/>
            <w:noWrap w:val="0"/>
            <w:vAlign w:val="center"/>
          </w:tcPr>
          <w:p w14:paraId="769E69B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15.00</w:t>
            </w:r>
          </w:p>
        </w:tc>
        <w:tc>
          <w:tcPr>
            <w:tcW w:w="1679" w:type="dxa"/>
            <w:gridSpan w:val="2"/>
            <w:noWrap w:val="0"/>
            <w:vAlign w:val="center"/>
          </w:tcPr>
          <w:p w14:paraId="0063155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9.43</w:t>
            </w:r>
          </w:p>
        </w:tc>
      </w:tr>
      <w:tr w14:paraId="7A0CF6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03F9B9A">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center"/>
          </w:tcPr>
          <w:p w14:paraId="6B7D173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2.38</w:t>
            </w:r>
          </w:p>
        </w:tc>
        <w:tc>
          <w:tcPr>
            <w:tcW w:w="2325" w:type="dxa"/>
            <w:gridSpan w:val="2"/>
            <w:noWrap w:val="0"/>
            <w:vAlign w:val="center"/>
          </w:tcPr>
          <w:p w14:paraId="3888AC6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679" w:type="dxa"/>
            <w:gridSpan w:val="2"/>
            <w:noWrap w:val="0"/>
            <w:vAlign w:val="center"/>
          </w:tcPr>
          <w:p w14:paraId="0CFF9EF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4.95</w:t>
            </w:r>
          </w:p>
        </w:tc>
      </w:tr>
      <w:tr w14:paraId="256FB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59A157B">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center"/>
          </w:tcPr>
          <w:p w14:paraId="3A39E1E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1.86</w:t>
            </w:r>
          </w:p>
        </w:tc>
        <w:tc>
          <w:tcPr>
            <w:tcW w:w="2325" w:type="dxa"/>
            <w:gridSpan w:val="2"/>
            <w:noWrap w:val="0"/>
            <w:vAlign w:val="center"/>
          </w:tcPr>
          <w:p w14:paraId="23E50A2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6.00</w:t>
            </w:r>
          </w:p>
        </w:tc>
        <w:tc>
          <w:tcPr>
            <w:tcW w:w="1679" w:type="dxa"/>
            <w:gridSpan w:val="2"/>
            <w:noWrap w:val="0"/>
            <w:vAlign w:val="center"/>
          </w:tcPr>
          <w:p w14:paraId="60D10A4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2.67</w:t>
            </w:r>
          </w:p>
        </w:tc>
      </w:tr>
      <w:tr w14:paraId="32E593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6554679">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14:paraId="541D011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center"/>
          </w:tcPr>
          <w:p w14:paraId="6EB565E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35.93</w:t>
            </w:r>
          </w:p>
        </w:tc>
        <w:tc>
          <w:tcPr>
            <w:tcW w:w="1679" w:type="dxa"/>
            <w:gridSpan w:val="2"/>
            <w:noWrap w:val="0"/>
            <w:vAlign w:val="center"/>
          </w:tcPr>
          <w:p w14:paraId="0069C29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14:paraId="68C7D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E922106">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57569332">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30FA9D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BDDB025">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7B3D4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0014A0AE">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505BE27A">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06039D1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309C46A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444B3C2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19DA9CD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65D31D0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79EE625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4B2AAE2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12C8B86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34D7250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2D2F69D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4FC188D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0F5CEFB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0CEBE7F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59802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081CBDA4">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7BF79AA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362AF60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3658FF7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4A3FF7F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7DDD0E4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0DDCFD95">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F2AB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5517193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465D958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74F10B83">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04B895B3">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1C1FAEE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65065DF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6CEB899D">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09BBC48F">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4CE1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6FCB6201">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54C1534E">
            <w:pPr>
              <w:spacing w:line="480" w:lineRule="auto"/>
              <w:jc w:val="center"/>
              <w:rPr>
                <w:rFonts w:hint="default"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岳阳市岳阳楼区蔡家小学</w:t>
            </w:r>
          </w:p>
        </w:tc>
      </w:tr>
      <w:tr w14:paraId="74D78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7E4CA58D">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40626FFC">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4FDE9EEC">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5F6E885B">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0F6907D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42F182E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4303825B">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7C9B98F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6F50435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27C4C18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02A4B42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54E8A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 w:hRule="atLeast"/>
        </w:trPr>
        <w:tc>
          <w:tcPr>
            <w:tcW w:w="1084" w:type="dxa"/>
            <w:vMerge w:val="continue"/>
            <w:tcBorders>
              <w:top w:val="nil"/>
              <w:bottom w:val="nil"/>
            </w:tcBorders>
            <w:noWrap w:val="0"/>
            <w:vAlign w:val="top"/>
          </w:tcPr>
          <w:p w14:paraId="36D2C36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bookmarkStart w:id="0" w:name="OLE_LINK1" w:colFirst="3" w:colLast="4"/>
          </w:p>
        </w:tc>
        <w:tc>
          <w:tcPr>
            <w:tcW w:w="2108" w:type="dxa"/>
            <w:gridSpan w:val="2"/>
            <w:noWrap w:val="0"/>
            <w:vAlign w:val="center"/>
          </w:tcPr>
          <w:p w14:paraId="2233AB63">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107339D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433.65</w:t>
            </w:r>
          </w:p>
        </w:tc>
        <w:tc>
          <w:tcPr>
            <w:tcW w:w="1319" w:type="dxa"/>
            <w:noWrap w:val="0"/>
            <w:vAlign w:val="center"/>
          </w:tcPr>
          <w:p w14:paraId="3E24552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549.22</w:t>
            </w:r>
          </w:p>
        </w:tc>
        <w:tc>
          <w:tcPr>
            <w:tcW w:w="1259" w:type="dxa"/>
            <w:noWrap w:val="0"/>
            <w:vAlign w:val="center"/>
          </w:tcPr>
          <w:p w14:paraId="5904F07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543.98</w:t>
            </w:r>
          </w:p>
        </w:tc>
        <w:tc>
          <w:tcPr>
            <w:tcW w:w="719" w:type="dxa"/>
            <w:noWrap w:val="0"/>
            <w:vAlign w:val="center"/>
          </w:tcPr>
          <w:p w14:paraId="71C5FFC7">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7589061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99.05%</w:t>
            </w:r>
          </w:p>
        </w:tc>
        <w:tc>
          <w:tcPr>
            <w:tcW w:w="1275" w:type="dxa"/>
            <w:noWrap w:val="0"/>
            <w:vAlign w:val="center"/>
          </w:tcPr>
          <w:p w14:paraId="5A23A13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bookmarkEnd w:id="0"/>
      <w:tr w14:paraId="619CD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728328F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B7E7F8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070F546A">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543.98</w:t>
            </w:r>
          </w:p>
        </w:tc>
      </w:tr>
      <w:tr w14:paraId="49D05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241A3BB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EC5E93A">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509.48</w:t>
            </w:r>
          </w:p>
        </w:tc>
        <w:tc>
          <w:tcPr>
            <w:tcW w:w="4055" w:type="dxa"/>
            <w:gridSpan w:val="4"/>
            <w:noWrap w:val="0"/>
            <w:vAlign w:val="center"/>
          </w:tcPr>
          <w:p w14:paraId="3C1E441C">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543.98</w:t>
            </w:r>
          </w:p>
        </w:tc>
      </w:tr>
      <w:tr w14:paraId="4D6B1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1084" w:type="dxa"/>
            <w:vMerge w:val="continue"/>
            <w:tcBorders>
              <w:top w:val="nil"/>
              <w:bottom w:val="nil"/>
            </w:tcBorders>
            <w:noWrap w:val="0"/>
            <w:vAlign w:val="top"/>
          </w:tcPr>
          <w:p w14:paraId="0966A95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3F704F4">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0.00</w:t>
            </w:r>
          </w:p>
        </w:tc>
        <w:tc>
          <w:tcPr>
            <w:tcW w:w="4055" w:type="dxa"/>
            <w:gridSpan w:val="4"/>
            <w:noWrap w:val="0"/>
            <w:vAlign w:val="center"/>
          </w:tcPr>
          <w:p w14:paraId="109FA8C3">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0.00</w:t>
            </w:r>
          </w:p>
        </w:tc>
      </w:tr>
      <w:tr w14:paraId="0A7F1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EDCF63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E0D7C0D">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0.00</w:t>
            </w:r>
          </w:p>
        </w:tc>
        <w:tc>
          <w:tcPr>
            <w:tcW w:w="4055" w:type="dxa"/>
            <w:gridSpan w:val="4"/>
            <w:noWrap w:val="0"/>
            <w:vAlign w:val="center"/>
          </w:tcPr>
          <w:p w14:paraId="21EBDEE2">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4DFE95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0004D3A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38BB1F1">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39.74</w:t>
            </w:r>
          </w:p>
        </w:tc>
        <w:tc>
          <w:tcPr>
            <w:tcW w:w="4055" w:type="dxa"/>
            <w:gridSpan w:val="4"/>
            <w:noWrap w:val="0"/>
            <w:vAlign w:val="center"/>
          </w:tcPr>
          <w:p w14:paraId="5274E2CD">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2436B2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2CFD7D2E">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5A5F4205">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168A50D8">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DECA8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490F9D8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5F78A20">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目标1：贯彻落实教育行政主管部门布置的各项工作，完成九年义务教育教学工作。</w:t>
            </w:r>
          </w:p>
          <w:p w14:paraId="3208430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目标2：负责日常教学过程的管理工作，确保各项教学管理工作的顺利进行。</w:t>
            </w:r>
          </w:p>
          <w:p w14:paraId="30C69E08">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目标3：做好招生宣传，审核上报、录取注册等工作，规范学籍管理，完善学员档案，为各级学校输送合格学生。</w:t>
            </w:r>
          </w:p>
        </w:tc>
        <w:tc>
          <w:tcPr>
            <w:tcW w:w="4055" w:type="dxa"/>
            <w:gridSpan w:val="4"/>
            <w:noWrap w:val="0"/>
            <w:vAlign w:val="center"/>
          </w:tcPr>
          <w:p w14:paraId="102D648F">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目标1：贯彻落实教育行政主管部门布置的各项工作</w:t>
            </w:r>
            <w:r>
              <w:rPr>
                <w:rFonts w:hint="eastAsia" w:ascii="Arial"/>
                <w:color w:val="000000" w:themeColor="text1"/>
                <w:spacing w:val="0"/>
                <w:sz w:val="20"/>
                <w:lang w:eastAsia="zh-CN"/>
                <w14:textFill>
                  <w14:solidFill>
                    <w14:schemeClr w14:val="tx1"/>
                  </w14:solidFill>
                </w14:textFill>
              </w:rPr>
              <w:t>，</w:t>
            </w:r>
            <w:r>
              <w:rPr>
                <w:rFonts w:hint="eastAsia" w:ascii="Arial"/>
                <w:color w:val="000000" w:themeColor="text1"/>
                <w:spacing w:val="0"/>
                <w:sz w:val="20"/>
                <w14:textFill>
                  <w14:solidFill>
                    <w14:schemeClr w14:val="tx1"/>
                  </w14:solidFill>
                </w14:textFill>
              </w:rPr>
              <w:t>把教学质量所占比例提高到绩效总量的三分之一，有力地调动了教师的工作积极性。</w:t>
            </w:r>
          </w:p>
          <w:p w14:paraId="7DBF22FF">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目标2：保障教职员工的工资福利待遇，保证学校各项工作顺利开展</w:t>
            </w:r>
            <w:r>
              <w:rPr>
                <w:rFonts w:hint="eastAsia" w:ascii="Arial"/>
                <w:color w:val="000000" w:themeColor="text1"/>
                <w:spacing w:val="0"/>
                <w:sz w:val="20"/>
                <w:lang w:eastAsia="zh-CN"/>
                <w14:textFill>
                  <w14:solidFill>
                    <w14:schemeClr w14:val="tx1"/>
                  </w14:solidFill>
                </w14:textFill>
              </w:rPr>
              <w:t>。</w:t>
            </w:r>
          </w:p>
          <w:p w14:paraId="7F3DA2AA">
            <w:pPr>
              <w:keepNext w:val="0"/>
              <w:keepLines w:val="0"/>
              <w:pageBreakBefore w:val="0"/>
              <w:widowControl w:val="0"/>
              <w:kinsoku/>
              <w:wordWrap/>
              <w:overflowPunct/>
              <w:topLinePunct w:val="0"/>
              <w:autoSpaceDE/>
              <w:autoSpaceDN/>
              <w:bidi w:val="0"/>
              <w:adjustRightInd/>
              <w:snapToGrid/>
              <w:spacing w:line="240" w:lineRule="exact"/>
              <w:ind w:left="0" w:leftChars="0"/>
              <w:jc w:val="left"/>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14:textFill>
                  <w14:solidFill>
                    <w14:schemeClr w14:val="tx1"/>
                  </w14:solidFill>
                </w14:textFill>
              </w:rPr>
              <w:t>目标3：保障教育教学发展需要，教育教学工作放在首位，完成各项教育教学工作任务，提升教育教学水平</w:t>
            </w:r>
            <w:r>
              <w:rPr>
                <w:rFonts w:hint="eastAsia" w:ascii="Arial"/>
                <w:color w:val="000000" w:themeColor="text1"/>
                <w:spacing w:val="0"/>
                <w:sz w:val="20"/>
                <w:lang w:eastAsia="zh-CN"/>
                <w14:textFill>
                  <w14:solidFill>
                    <w14:schemeClr w14:val="tx1"/>
                  </w14:solidFill>
                </w14:textFill>
              </w:rPr>
              <w:t>，</w:t>
            </w:r>
            <w:r>
              <w:rPr>
                <w:rFonts w:hint="eastAsia" w:ascii="Arial"/>
                <w:color w:val="000000" w:themeColor="text1"/>
                <w:spacing w:val="0"/>
                <w:sz w:val="20"/>
                <w14:textFill>
                  <w14:solidFill>
                    <w14:schemeClr w14:val="tx1"/>
                  </w14:solidFill>
                </w14:textFill>
              </w:rPr>
              <w:t>促进学生全面发展</w:t>
            </w:r>
            <w:r>
              <w:rPr>
                <w:rFonts w:hint="eastAsia" w:ascii="Arial"/>
                <w:color w:val="000000" w:themeColor="text1"/>
                <w:spacing w:val="0"/>
                <w:sz w:val="20"/>
                <w:lang w:eastAsia="zh-CN"/>
                <w14:textFill>
                  <w14:solidFill>
                    <w14:schemeClr w14:val="tx1"/>
                  </w14:solidFill>
                </w14:textFill>
              </w:rPr>
              <w:t>，</w:t>
            </w:r>
            <w:r>
              <w:rPr>
                <w:rFonts w:hint="eastAsia" w:ascii="Arial"/>
                <w:color w:val="000000" w:themeColor="text1"/>
                <w:spacing w:val="0"/>
                <w:sz w:val="20"/>
                <w14:textFill>
                  <w14:solidFill>
                    <w14:schemeClr w14:val="tx1"/>
                  </w14:solidFill>
                </w14:textFill>
              </w:rPr>
              <w:t>加强德育教育，学生合格率100%</w:t>
            </w:r>
            <w:r>
              <w:rPr>
                <w:rFonts w:hint="eastAsia" w:ascii="Arial"/>
                <w:color w:val="000000" w:themeColor="text1"/>
                <w:spacing w:val="0"/>
                <w:sz w:val="20"/>
                <w:lang w:eastAsia="zh-CN"/>
                <w14:textFill>
                  <w14:solidFill>
                    <w14:schemeClr w14:val="tx1"/>
                  </w14:solidFill>
                </w14:textFill>
              </w:rPr>
              <w:t>。</w:t>
            </w:r>
          </w:p>
        </w:tc>
      </w:tr>
      <w:tr w14:paraId="4A76D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32C83D06">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4794FD21">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2934E71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4735B1D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6AC4EA5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6DB2B08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0E99317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396A21E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631C641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06800C30">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69B78ABF">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4EBCE1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06EDF9A">
            <w:pPr>
              <w:rPr>
                <w:rFonts w:ascii="Arial"/>
                <w:color w:val="000000" w:themeColor="text1"/>
                <w:sz w:val="21"/>
                <w14:textFill>
                  <w14:solidFill>
                    <w14:schemeClr w14:val="tx1"/>
                  </w14:solidFill>
                </w14:textFill>
              </w:rPr>
            </w:pPr>
          </w:p>
        </w:tc>
        <w:tc>
          <w:tcPr>
            <w:tcW w:w="1079" w:type="dxa"/>
            <w:vMerge w:val="restart"/>
            <w:tcBorders>
              <w:top w:val="nil"/>
            </w:tcBorders>
            <w:noWrap w:val="0"/>
            <w:vAlign w:val="center"/>
          </w:tcPr>
          <w:p w14:paraId="173E875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产出指标（50分）</w:t>
            </w:r>
          </w:p>
        </w:tc>
        <w:tc>
          <w:tcPr>
            <w:tcW w:w="1029" w:type="dxa"/>
            <w:vMerge w:val="restart"/>
            <w:tcBorders>
              <w:top w:val="nil"/>
            </w:tcBorders>
            <w:noWrap w:val="0"/>
            <w:vAlign w:val="center"/>
          </w:tcPr>
          <w:p w14:paraId="62C90A7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数</w:t>
            </w:r>
            <w:r>
              <w:rPr>
                <w:rFonts w:ascii="宋体" w:hAnsi="宋体" w:eastAsia="宋体" w:cs="宋体"/>
                <w:color w:val="000000" w:themeColor="text1"/>
                <w:spacing w:val="-2"/>
                <w:sz w:val="21"/>
                <w:szCs w:val="21"/>
                <w14:textFill>
                  <w14:solidFill>
                    <w14:schemeClr w14:val="tx1"/>
                  </w14:solidFill>
                </w14:textFill>
              </w:rPr>
              <w:t>量指标</w:t>
            </w:r>
          </w:p>
        </w:tc>
        <w:tc>
          <w:tcPr>
            <w:tcW w:w="1269" w:type="dxa"/>
            <w:noWrap w:val="0"/>
            <w:vAlign w:val="center"/>
          </w:tcPr>
          <w:p w14:paraId="38D2E69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完成在校学生德智体美劳全面教育与培养</w:t>
            </w:r>
          </w:p>
        </w:tc>
        <w:tc>
          <w:tcPr>
            <w:tcW w:w="1319" w:type="dxa"/>
            <w:noWrap w:val="0"/>
            <w:vAlign w:val="center"/>
          </w:tcPr>
          <w:p w14:paraId="4A36BF0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484人</w:t>
            </w:r>
          </w:p>
        </w:tc>
        <w:tc>
          <w:tcPr>
            <w:tcW w:w="1259" w:type="dxa"/>
            <w:noWrap w:val="0"/>
            <w:vAlign w:val="center"/>
          </w:tcPr>
          <w:p w14:paraId="485179F5">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484人</w:t>
            </w:r>
          </w:p>
        </w:tc>
        <w:tc>
          <w:tcPr>
            <w:tcW w:w="719" w:type="dxa"/>
            <w:noWrap w:val="0"/>
            <w:vAlign w:val="center"/>
          </w:tcPr>
          <w:p w14:paraId="479E398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802" w:type="dxa"/>
            <w:noWrap w:val="0"/>
            <w:vAlign w:val="center"/>
          </w:tcPr>
          <w:p w14:paraId="7A889A2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14:paraId="49CCE84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F2AE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20E16A1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94B862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46CFA5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A0A38A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足额发放老师工资福利</w:t>
            </w:r>
          </w:p>
        </w:tc>
        <w:tc>
          <w:tcPr>
            <w:tcW w:w="1319" w:type="dxa"/>
            <w:noWrap w:val="0"/>
            <w:vAlign w:val="center"/>
          </w:tcPr>
          <w:p w14:paraId="6C316D4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26人</w:t>
            </w:r>
          </w:p>
        </w:tc>
        <w:tc>
          <w:tcPr>
            <w:tcW w:w="1259" w:type="dxa"/>
            <w:noWrap w:val="0"/>
            <w:vAlign w:val="center"/>
          </w:tcPr>
          <w:p w14:paraId="2B997F8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26人</w:t>
            </w:r>
          </w:p>
        </w:tc>
        <w:tc>
          <w:tcPr>
            <w:tcW w:w="719" w:type="dxa"/>
            <w:noWrap w:val="0"/>
            <w:vAlign w:val="center"/>
          </w:tcPr>
          <w:p w14:paraId="432D051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70E66E8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7734592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62C20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2284846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4F80CA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AC4FB3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C55819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足额发放退休人员工资福利</w:t>
            </w:r>
          </w:p>
        </w:tc>
        <w:tc>
          <w:tcPr>
            <w:tcW w:w="1319" w:type="dxa"/>
            <w:noWrap w:val="0"/>
            <w:vAlign w:val="center"/>
          </w:tcPr>
          <w:p w14:paraId="14A9ACB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6人</w:t>
            </w:r>
          </w:p>
        </w:tc>
        <w:tc>
          <w:tcPr>
            <w:tcW w:w="1259" w:type="dxa"/>
            <w:noWrap w:val="0"/>
            <w:vAlign w:val="center"/>
          </w:tcPr>
          <w:p w14:paraId="3216A9DF">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6人</w:t>
            </w:r>
          </w:p>
        </w:tc>
        <w:tc>
          <w:tcPr>
            <w:tcW w:w="719" w:type="dxa"/>
            <w:noWrap w:val="0"/>
            <w:vAlign w:val="center"/>
          </w:tcPr>
          <w:p w14:paraId="23FAA52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644732C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33BC03B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69936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610C557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4B337C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825522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2B513B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开展教学教研、读书活动等各项比赛</w:t>
            </w:r>
          </w:p>
        </w:tc>
        <w:tc>
          <w:tcPr>
            <w:tcW w:w="1319" w:type="dxa"/>
            <w:noWrap w:val="0"/>
            <w:vAlign w:val="center"/>
          </w:tcPr>
          <w:p w14:paraId="54CDD2E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≧8次</w:t>
            </w:r>
          </w:p>
        </w:tc>
        <w:tc>
          <w:tcPr>
            <w:tcW w:w="1259" w:type="dxa"/>
            <w:noWrap w:val="0"/>
            <w:vAlign w:val="center"/>
          </w:tcPr>
          <w:p w14:paraId="7A0F6B9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10次</w:t>
            </w:r>
          </w:p>
        </w:tc>
        <w:tc>
          <w:tcPr>
            <w:tcW w:w="719" w:type="dxa"/>
            <w:noWrap w:val="0"/>
            <w:vAlign w:val="center"/>
          </w:tcPr>
          <w:p w14:paraId="56636A8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624FC73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5806BAA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B4FB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97852B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E64659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E23EC2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质量指标</w:t>
            </w:r>
          </w:p>
        </w:tc>
        <w:tc>
          <w:tcPr>
            <w:tcW w:w="1269" w:type="dxa"/>
            <w:noWrap w:val="0"/>
            <w:vAlign w:val="center"/>
          </w:tcPr>
          <w:p w14:paraId="6598406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小学生毕业率</w:t>
            </w:r>
          </w:p>
        </w:tc>
        <w:tc>
          <w:tcPr>
            <w:tcW w:w="1319" w:type="dxa"/>
            <w:noWrap w:val="0"/>
            <w:vAlign w:val="center"/>
          </w:tcPr>
          <w:p w14:paraId="1D82CA7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384A832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0EB9C18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4D9D780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3281205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0958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630ECCD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8E4427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A3BEA4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097B8E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推门听课活动覆盖率</w:t>
            </w:r>
          </w:p>
        </w:tc>
        <w:tc>
          <w:tcPr>
            <w:tcW w:w="1319" w:type="dxa"/>
            <w:noWrap w:val="0"/>
            <w:vAlign w:val="center"/>
          </w:tcPr>
          <w:p w14:paraId="17D7E5C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100%</w:t>
            </w:r>
          </w:p>
        </w:tc>
        <w:tc>
          <w:tcPr>
            <w:tcW w:w="1259" w:type="dxa"/>
            <w:noWrap w:val="0"/>
            <w:vAlign w:val="center"/>
          </w:tcPr>
          <w:p w14:paraId="35159A9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719" w:type="dxa"/>
            <w:noWrap w:val="0"/>
            <w:vAlign w:val="center"/>
          </w:tcPr>
          <w:p w14:paraId="6B611DB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1B008B00">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0C11C5E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C4D0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346F57F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D956B1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32C0E43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524DEB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安全教育宣传覆盖</w:t>
            </w:r>
            <w:r>
              <w:rPr>
                <w:rFonts w:hint="eastAsia" w:ascii="Arial"/>
                <w:color w:val="000000" w:themeColor="text1"/>
                <w:spacing w:val="0"/>
                <w:sz w:val="20"/>
                <w14:textFill>
                  <w14:solidFill>
                    <w14:schemeClr w14:val="tx1"/>
                  </w14:solidFill>
                </w14:textFill>
              </w:rPr>
              <w:t>率</w:t>
            </w:r>
          </w:p>
        </w:tc>
        <w:tc>
          <w:tcPr>
            <w:tcW w:w="1319" w:type="dxa"/>
            <w:noWrap w:val="0"/>
            <w:vAlign w:val="center"/>
          </w:tcPr>
          <w:p w14:paraId="0D6158B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59" w:type="dxa"/>
            <w:noWrap w:val="0"/>
            <w:vAlign w:val="center"/>
          </w:tcPr>
          <w:p w14:paraId="1316E9A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719" w:type="dxa"/>
            <w:noWrap w:val="0"/>
            <w:vAlign w:val="center"/>
          </w:tcPr>
          <w:p w14:paraId="047BB0F3">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2</w:t>
            </w:r>
          </w:p>
        </w:tc>
        <w:tc>
          <w:tcPr>
            <w:tcW w:w="802" w:type="dxa"/>
            <w:noWrap w:val="0"/>
            <w:vAlign w:val="center"/>
          </w:tcPr>
          <w:p w14:paraId="398F18C7">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2</w:t>
            </w:r>
          </w:p>
        </w:tc>
        <w:tc>
          <w:tcPr>
            <w:tcW w:w="1275" w:type="dxa"/>
            <w:noWrap w:val="0"/>
            <w:vAlign w:val="center"/>
          </w:tcPr>
          <w:p w14:paraId="7A12C1F1">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4BEF4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6720AEF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6CE43F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195869C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41F1F99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pacing w:val="0"/>
                <w:sz w:val="20"/>
                <w14:textFill>
                  <w14:solidFill>
                    <w14:schemeClr w14:val="tx1"/>
                  </w14:solidFill>
                </w14:textFill>
              </w:rPr>
              <w:t>教职员工的工资福利待遇</w:t>
            </w:r>
            <w:r>
              <w:rPr>
                <w:rFonts w:hint="eastAsia" w:ascii="Arial"/>
                <w:color w:val="000000" w:themeColor="text1"/>
                <w:spacing w:val="0"/>
                <w:sz w:val="20"/>
                <w:lang w:val="en-US" w:eastAsia="zh-CN"/>
                <w14:textFill>
                  <w14:solidFill>
                    <w14:schemeClr w14:val="tx1"/>
                  </w14:solidFill>
                </w14:textFill>
              </w:rPr>
              <w:t>按时发放</w:t>
            </w:r>
          </w:p>
        </w:tc>
        <w:tc>
          <w:tcPr>
            <w:tcW w:w="1319" w:type="dxa"/>
            <w:noWrap w:val="0"/>
            <w:vAlign w:val="center"/>
          </w:tcPr>
          <w:p w14:paraId="5BC2A67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及时</w:t>
            </w:r>
          </w:p>
        </w:tc>
        <w:tc>
          <w:tcPr>
            <w:tcW w:w="1259" w:type="dxa"/>
            <w:noWrap w:val="0"/>
            <w:vAlign w:val="center"/>
          </w:tcPr>
          <w:p w14:paraId="1AB6795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年内已完成</w:t>
            </w:r>
          </w:p>
        </w:tc>
        <w:tc>
          <w:tcPr>
            <w:tcW w:w="719" w:type="dxa"/>
            <w:noWrap w:val="0"/>
            <w:vAlign w:val="center"/>
          </w:tcPr>
          <w:p w14:paraId="1CC982B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7EB1A44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37BFBDE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59749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79F612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47F1FA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7B415D2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03AA861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全年经费开支控制</w:t>
            </w:r>
          </w:p>
        </w:tc>
        <w:tc>
          <w:tcPr>
            <w:tcW w:w="1319" w:type="dxa"/>
            <w:noWrap w:val="0"/>
            <w:vAlign w:val="center"/>
          </w:tcPr>
          <w:p w14:paraId="263CAA4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控制在预算内</w:t>
            </w:r>
          </w:p>
        </w:tc>
        <w:tc>
          <w:tcPr>
            <w:tcW w:w="1259" w:type="dxa"/>
            <w:noWrap w:val="0"/>
            <w:vAlign w:val="center"/>
          </w:tcPr>
          <w:p w14:paraId="0992E5F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年内已完成</w:t>
            </w:r>
          </w:p>
        </w:tc>
        <w:tc>
          <w:tcPr>
            <w:tcW w:w="719" w:type="dxa"/>
            <w:noWrap w:val="0"/>
            <w:vAlign w:val="center"/>
          </w:tcPr>
          <w:p w14:paraId="19545B2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6B94C19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767C1A6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87E3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20C0A0A">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5D4C4F41">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7D19643B">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73D2CCC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4FC2FA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7CE14136">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1B722B4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30</w:t>
            </w:r>
            <w:r>
              <w:rPr>
                <w:rFonts w:ascii="宋体" w:hAnsi="宋体" w:eastAsia="宋体" w:cs="宋体"/>
                <w:color w:val="000000" w:themeColor="text1"/>
                <w:spacing w:val="9"/>
                <w:sz w:val="21"/>
                <w:szCs w:val="21"/>
                <w14:textFill>
                  <w14:solidFill>
                    <w14:schemeClr w14:val="tx1"/>
                  </w14:solidFill>
                </w14:textFill>
              </w:rPr>
              <w:t>分)</w:t>
            </w:r>
          </w:p>
        </w:tc>
        <w:tc>
          <w:tcPr>
            <w:tcW w:w="1029" w:type="dxa"/>
            <w:tcBorders>
              <w:bottom w:val="nil"/>
            </w:tcBorders>
            <w:noWrap w:val="0"/>
            <w:vAlign w:val="center"/>
          </w:tcPr>
          <w:p w14:paraId="240C2B44">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222A728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5E118C0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319" w:type="dxa"/>
            <w:noWrap w:val="0"/>
            <w:vAlign w:val="center"/>
          </w:tcPr>
          <w:p w14:paraId="182C712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259" w:type="dxa"/>
            <w:noWrap w:val="0"/>
            <w:vAlign w:val="center"/>
          </w:tcPr>
          <w:p w14:paraId="3EE7C63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719" w:type="dxa"/>
            <w:noWrap w:val="0"/>
            <w:vAlign w:val="center"/>
          </w:tcPr>
          <w:p w14:paraId="73DECB7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802" w:type="dxa"/>
            <w:noWrap w:val="0"/>
            <w:vAlign w:val="center"/>
          </w:tcPr>
          <w:p w14:paraId="74EB967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1275" w:type="dxa"/>
            <w:noWrap w:val="0"/>
            <w:vAlign w:val="center"/>
          </w:tcPr>
          <w:p w14:paraId="5CD48F5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56D4E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13080F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1FC944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12A5E3C">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0D1E5B8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6B81DA8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优化教育教学条件，提高学校好评度</w:t>
            </w:r>
          </w:p>
        </w:tc>
        <w:tc>
          <w:tcPr>
            <w:tcW w:w="1319" w:type="dxa"/>
            <w:noWrap w:val="0"/>
            <w:vAlign w:val="center"/>
          </w:tcPr>
          <w:p w14:paraId="4BEAA2F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1259" w:type="dxa"/>
            <w:noWrap w:val="0"/>
            <w:vAlign w:val="center"/>
          </w:tcPr>
          <w:p w14:paraId="1B045D5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719" w:type="dxa"/>
            <w:noWrap w:val="0"/>
            <w:vAlign w:val="center"/>
          </w:tcPr>
          <w:p w14:paraId="7E64E6E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02B2F6C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w:t>
            </w:r>
          </w:p>
        </w:tc>
        <w:tc>
          <w:tcPr>
            <w:tcW w:w="1275" w:type="dxa"/>
            <w:noWrap w:val="0"/>
            <w:vAlign w:val="center"/>
          </w:tcPr>
          <w:p w14:paraId="7650BB8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400BA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E38E00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98977F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A2EEF5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8B49A8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eastAsia="zh-CN"/>
                <w14:textFill>
                  <w14:solidFill>
                    <w14:schemeClr w14:val="tx1"/>
                  </w14:solidFill>
                </w14:textFill>
              </w:rPr>
              <w:t>促</w:t>
            </w:r>
            <w:r>
              <w:rPr>
                <w:rFonts w:hint="eastAsia" w:ascii="Arial"/>
                <w:color w:val="000000" w:themeColor="text1"/>
                <w:sz w:val="20"/>
                <w14:textFill>
                  <w14:solidFill>
                    <w14:schemeClr w14:val="tx1"/>
                  </w14:solidFill>
                </w14:textFill>
              </w:rPr>
              <w:t>进学生全面发展，把教育教学质量放在首位，办人民满意的教育</w:t>
            </w:r>
          </w:p>
        </w:tc>
        <w:tc>
          <w:tcPr>
            <w:tcW w:w="1319" w:type="dxa"/>
            <w:noWrap w:val="0"/>
            <w:vAlign w:val="center"/>
          </w:tcPr>
          <w:p w14:paraId="4D88D068">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1259" w:type="dxa"/>
            <w:noWrap w:val="0"/>
            <w:vAlign w:val="center"/>
          </w:tcPr>
          <w:p w14:paraId="396D023A">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719" w:type="dxa"/>
            <w:noWrap w:val="0"/>
            <w:vAlign w:val="center"/>
          </w:tcPr>
          <w:p w14:paraId="7FB2825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2D73313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w:t>
            </w:r>
          </w:p>
        </w:tc>
        <w:tc>
          <w:tcPr>
            <w:tcW w:w="1275" w:type="dxa"/>
            <w:noWrap w:val="0"/>
            <w:vAlign w:val="center"/>
          </w:tcPr>
          <w:p w14:paraId="02543B2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2531B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6938FC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EDB2A8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22046D4">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728CBB2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291AC19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开展宣传教育，提高教职人员及学生的生态环保意识</w:t>
            </w:r>
          </w:p>
        </w:tc>
        <w:tc>
          <w:tcPr>
            <w:tcW w:w="1319" w:type="dxa"/>
            <w:noWrap w:val="0"/>
            <w:vAlign w:val="center"/>
          </w:tcPr>
          <w:p w14:paraId="02B11E0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1259" w:type="dxa"/>
            <w:noWrap w:val="0"/>
            <w:vAlign w:val="center"/>
          </w:tcPr>
          <w:p w14:paraId="5E1CF872">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719" w:type="dxa"/>
            <w:noWrap w:val="0"/>
            <w:vAlign w:val="center"/>
          </w:tcPr>
          <w:p w14:paraId="4F2E4B8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0A86363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14:paraId="0B841D7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7C2F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0D2E822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D035E0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5986067F">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783F102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1ECFD27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培养儿童良好习惯</w:t>
            </w:r>
          </w:p>
        </w:tc>
        <w:tc>
          <w:tcPr>
            <w:tcW w:w="1319" w:type="dxa"/>
            <w:noWrap w:val="0"/>
            <w:vAlign w:val="center"/>
          </w:tcPr>
          <w:p w14:paraId="544B4C3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长期坚持</w:t>
            </w:r>
          </w:p>
        </w:tc>
        <w:tc>
          <w:tcPr>
            <w:tcW w:w="1259" w:type="dxa"/>
            <w:noWrap w:val="0"/>
            <w:vAlign w:val="center"/>
          </w:tcPr>
          <w:p w14:paraId="1838360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长期坚持</w:t>
            </w:r>
          </w:p>
        </w:tc>
        <w:tc>
          <w:tcPr>
            <w:tcW w:w="719" w:type="dxa"/>
            <w:noWrap w:val="0"/>
            <w:vAlign w:val="center"/>
          </w:tcPr>
          <w:p w14:paraId="2864458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14:paraId="319457D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14:paraId="7D383BC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13DA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744E32B4">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086139C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0A39B62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3EF146B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14:paraId="707D8E32">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1F9DE0D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460D50C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5E62A31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宋体" w:hAnsi="宋体" w:eastAsia="宋体" w:cs="宋体"/>
                <w:color w:val="000000"/>
                <w:spacing w:val="-2"/>
                <w:sz w:val="21"/>
                <w:szCs w:val="21"/>
                <w:lang w:val="en-US" w:eastAsia="zh-CN"/>
              </w:rPr>
              <w:t>学生</w:t>
            </w:r>
            <w:r>
              <w:rPr>
                <w:rFonts w:ascii="宋体" w:hAnsi="宋体" w:eastAsia="宋体" w:cs="宋体"/>
                <w:color w:val="000000"/>
                <w:spacing w:val="-2"/>
                <w:sz w:val="21"/>
                <w:szCs w:val="21"/>
              </w:rPr>
              <w:t>对学</w:t>
            </w:r>
            <w:r>
              <w:rPr>
                <w:rFonts w:ascii="宋体" w:hAnsi="宋体" w:eastAsia="宋体" w:cs="宋体"/>
                <w:color w:val="000000"/>
                <w:spacing w:val="-1"/>
                <w:sz w:val="21"/>
                <w:szCs w:val="21"/>
              </w:rPr>
              <w:t>校管理满意度</w:t>
            </w:r>
          </w:p>
        </w:tc>
        <w:tc>
          <w:tcPr>
            <w:tcW w:w="1319" w:type="dxa"/>
            <w:noWrap w:val="0"/>
            <w:vAlign w:val="center"/>
          </w:tcPr>
          <w:p w14:paraId="609393E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95%</w:t>
            </w:r>
          </w:p>
        </w:tc>
        <w:tc>
          <w:tcPr>
            <w:tcW w:w="1259" w:type="dxa"/>
            <w:noWrap w:val="0"/>
            <w:vAlign w:val="center"/>
          </w:tcPr>
          <w:p w14:paraId="4FB6FC4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719" w:type="dxa"/>
            <w:noWrap w:val="0"/>
            <w:vAlign w:val="center"/>
          </w:tcPr>
          <w:p w14:paraId="4F8FDC1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14C9D00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1878369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70380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14:paraId="4567AD8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66565A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0F1827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F4A17AB">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ascii="宋体" w:hAnsi="宋体" w:eastAsia="宋体" w:cs="宋体"/>
                <w:color w:val="000000"/>
                <w:spacing w:val="-2"/>
                <w:sz w:val="21"/>
                <w:szCs w:val="21"/>
              </w:rPr>
              <w:t>家长对学</w:t>
            </w:r>
            <w:r>
              <w:rPr>
                <w:rFonts w:ascii="宋体" w:hAnsi="宋体" w:eastAsia="宋体" w:cs="宋体"/>
                <w:color w:val="000000"/>
                <w:spacing w:val="-1"/>
                <w:sz w:val="21"/>
                <w:szCs w:val="21"/>
              </w:rPr>
              <w:t>校管理满意度</w:t>
            </w:r>
          </w:p>
        </w:tc>
        <w:tc>
          <w:tcPr>
            <w:tcW w:w="1319" w:type="dxa"/>
            <w:noWrap w:val="0"/>
            <w:vAlign w:val="center"/>
          </w:tcPr>
          <w:p w14:paraId="6426529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95%</w:t>
            </w:r>
          </w:p>
        </w:tc>
        <w:tc>
          <w:tcPr>
            <w:tcW w:w="1259" w:type="dxa"/>
            <w:noWrap w:val="0"/>
            <w:vAlign w:val="center"/>
          </w:tcPr>
          <w:p w14:paraId="3274C1B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719" w:type="dxa"/>
            <w:noWrap w:val="0"/>
            <w:vAlign w:val="center"/>
          </w:tcPr>
          <w:p w14:paraId="3B5D2A6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07B0EEE0">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5A95440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6BE09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noWrap w:val="0"/>
            <w:textDirection w:val="tbRlV"/>
            <w:vAlign w:val="top"/>
          </w:tcPr>
          <w:p w14:paraId="61AE15B1">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380EE6F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6005CE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CC04941">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宋体" w:hAnsi="宋体" w:eastAsia="宋体" w:cs="宋体"/>
                <w:color w:val="000000"/>
                <w:spacing w:val="-1"/>
                <w:sz w:val="21"/>
                <w:szCs w:val="21"/>
                <w:lang w:val="en-US" w:eastAsia="zh-CN"/>
              </w:rPr>
              <w:t>社会公众</w:t>
            </w:r>
            <w:r>
              <w:rPr>
                <w:rFonts w:ascii="宋体" w:hAnsi="宋体" w:eastAsia="宋体" w:cs="宋体"/>
                <w:color w:val="000000"/>
                <w:spacing w:val="-1"/>
                <w:sz w:val="21"/>
                <w:szCs w:val="21"/>
              </w:rPr>
              <w:t>满意度</w:t>
            </w:r>
          </w:p>
        </w:tc>
        <w:tc>
          <w:tcPr>
            <w:tcW w:w="1319" w:type="dxa"/>
            <w:noWrap w:val="0"/>
            <w:vAlign w:val="center"/>
          </w:tcPr>
          <w:p w14:paraId="515E0BD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宋体" w:hAnsi="宋体" w:eastAsia="宋体" w:cs="宋体"/>
                <w:color w:val="000000" w:themeColor="text1"/>
                <w:sz w:val="19"/>
                <w:lang w:val="en-US" w:eastAsia="zh-CN"/>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90%</w:t>
            </w:r>
          </w:p>
        </w:tc>
        <w:tc>
          <w:tcPr>
            <w:tcW w:w="1259" w:type="dxa"/>
            <w:noWrap w:val="0"/>
            <w:vAlign w:val="center"/>
          </w:tcPr>
          <w:p w14:paraId="23C3E9E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14:paraId="48169FD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802" w:type="dxa"/>
            <w:noWrap w:val="0"/>
            <w:vAlign w:val="center"/>
          </w:tcPr>
          <w:p w14:paraId="1A72614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noWrap w:val="0"/>
            <w:vAlign w:val="center"/>
          </w:tcPr>
          <w:p w14:paraId="4045AFD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70E6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3884B048">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41696561">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73C63B8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w:t>
            </w:r>
          </w:p>
        </w:tc>
        <w:tc>
          <w:tcPr>
            <w:tcW w:w="1275" w:type="dxa"/>
            <w:noWrap w:val="0"/>
            <w:vAlign w:val="center"/>
          </w:tcPr>
          <w:p w14:paraId="2C5D9E6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35DA9AB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54BF70C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15FE100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48781D76">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13C3B59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岳阳市岳阳楼区蔡家小学</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2B9C2DDB">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1E06CA9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D9A6B8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76445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103FDA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AB4709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577C24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28B0A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EDAF53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69DCBE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3C82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D09686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DF2333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30F2B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39B87C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CAB34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9AF2C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CFACD6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FF2EE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61BE0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90F34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FF0FE3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E9902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1F3F86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65B51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9B994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B427AD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E9105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7128B50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14:paraId="31AE922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5EC2A5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6AA8D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64A81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8FD87C">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岳阳楼区蔡家小学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14:paraId="68DB0AE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E947EC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63B7F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AA89496">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3A2BFB82">
      <w:pPr>
        <w:spacing w:line="560" w:lineRule="exact"/>
        <w:ind w:firstLine="600" w:firstLineChars="200"/>
        <w:rPr>
          <w:rFonts w:hint="eastAsia" w:ascii="仿宋" w:hAnsi="仿宋" w:eastAsia="仿宋" w:cs="仿宋"/>
          <w:bCs/>
          <w:sz w:val="30"/>
          <w:szCs w:val="30"/>
        </w:rPr>
      </w:pPr>
      <w:r>
        <w:rPr>
          <w:rFonts w:hint="eastAsia" w:ascii="仿宋" w:hAnsi="仿宋" w:eastAsia="仿宋" w:cs="仿宋"/>
          <w:bCs/>
          <w:sz w:val="30"/>
          <w:szCs w:val="30"/>
        </w:rPr>
        <w:t>（一）学校基本情况</w:t>
      </w:r>
    </w:p>
    <w:p w14:paraId="02AB8222">
      <w:pPr>
        <w:snapToGrid w:val="0"/>
        <w:ind w:firstLine="600" w:firstLineChars="200"/>
        <w:rPr>
          <w:rFonts w:hint="eastAsia" w:ascii="仿宋" w:hAnsi="仿宋" w:eastAsia="仿宋" w:cs="仿宋"/>
          <w:sz w:val="30"/>
          <w:szCs w:val="30"/>
        </w:rPr>
      </w:pPr>
      <w:r>
        <w:rPr>
          <w:rFonts w:hint="eastAsia" w:ascii="仿宋" w:hAnsi="仿宋" w:eastAsia="仿宋" w:cs="仿宋"/>
          <w:sz w:val="30"/>
          <w:szCs w:val="30"/>
        </w:rPr>
        <w:t>1、机构情况</w:t>
      </w:r>
    </w:p>
    <w:p w14:paraId="4E3D5EB0">
      <w:pPr>
        <w:snapToGrid w:val="0"/>
        <w:ind w:firstLine="480" w:firstLineChars="200"/>
        <w:rPr>
          <w:rFonts w:hint="eastAsia" w:ascii="仿宋" w:hAnsi="仿宋" w:eastAsia="仿宋" w:cs="仿宋"/>
          <w:sz w:val="30"/>
          <w:szCs w:val="30"/>
        </w:rPr>
      </w:pPr>
      <w:r>
        <w:rPr>
          <w:rFonts w:ascii="微软雅黑" w:hAnsi="微软雅黑" w:eastAsia="微软雅黑" w:cs="微软雅黑"/>
          <w:i w:val="0"/>
          <w:iCs w:val="0"/>
          <w:caps w:val="0"/>
          <w:color w:val="333333"/>
          <w:spacing w:val="0"/>
          <w:sz w:val="24"/>
          <w:szCs w:val="24"/>
          <w:shd w:val="clear" w:fill="FFFFFF"/>
        </w:rPr>
        <w:t>　</w:t>
      </w:r>
      <w:r>
        <w:rPr>
          <w:rFonts w:hint="eastAsia" w:ascii="仿宋" w:hAnsi="仿宋" w:eastAsia="仿宋" w:cs="仿宋"/>
          <w:bCs/>
          <w:kern w:val="2"/>
          <w:sz w:val="30"/>
          <w:szCs w:val="30"/>
          <w:lang w:val="en-US" w:eastAsia="zh-CN" w:bidi="ar-SA"/>
        </w:rPr>
        <w:t>本单位内设机构包括：校务办、教研室、德育办、后勤保卫办。</w:t>
      </w:r>
    </w:p>
    <w:p w14:paraId="2CB9322A">
      <w:pPr>
        <w:numPr>
          <w:ilvl w:val="0"/>
          <w:numId w:val="2"/>
        </w:numPr>
        <w:snapToGrid w:val="0"/>
        <w:ind w:firstLine="600" w:firstLineChars="200"/>
        <w:rPr>
          <w:rFonts w:hint="eastAsia" w:ascii="仿宋" w:hAnsi="仿宋" w:eastAsia="仿宋" w:cs="仿宋"/>
          <w:sz w:val="30"/>
          <w:szCs w:val="30"/>
        </w:rPr>
      </w:pPr>
      <w:r>
        <w:rPr>
          <w:rFonts w:hint="eastAsia" w:ascii="仿宋" w:hAnsi="仿宋" w:eastAsia="仿宋" w:cs="仿宋"/>
          <w:sz w:val="30"/>
          <w:szCs w:val="30"/>
        </w:rPr>
        <w:t>人员情况</w:t>
      </w:r>
    </w:p>
    <w:p w14:paraId="1E45515B">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600" w:firstLineChars="20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我校共有教职工32人，其中：在职编制26人；离退休6人。其中：事业编制职工26人。</w:t>
      </w:r>
    </w:p>
    <w:p w14:paraId="7DDDC0FF">
      <w:pPr>
        <w:numPr>
          <w:ilvl w:val="0"/>
          <w:numId w:val="3"/>
        </w:numPr>
        <w:spacing w:line="560" w:lineRule="exact"/>
        <w:ind w:firstLine="600" w:firstLineChars="200"/>
        <w:rPr>
          <w:rFonts w:hint="eastAsia" w:ascii="仿宋" w:hAnsi="仿宋" w:eastAsia="仿宋" w:cs="仿宋"/>
          <w:bCs/>
          <w:sz w:val="30"/>
          <w:szCs w:val="30"/>
        </w:rPr>
      </w:pPr>
      <w:r>
        <w:rPr>
          <w:rFonts w:hint="eastAsia" w:ascii="仿宋" w:hAnsi="仿宋" w:eastAsia="仿宋" w:cs="仿宋"/>
          <w:bCs/>
          <w:sz w:val="30"/>
          <w:szCs w:val="30"/>
        </w:rPr>
        <w:t>学校职能职责</w:t>
      </w:r>
    </w:p>
    <w:p w14:paraId="58725229">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600" w:firstLineChars="20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1、正确贯彻执行党和国家的教育方针、政策、法规。</w:t>
      </w:r>
    </w:p>
    <w:p w14:paraId="38BD1457">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2、维护学校的教学秩序，为学生创造良好的学习环境。</w:t>
      </w:r>
    </w:p>
    <w:p w14:paraId="0CCBE011">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3、积极稳妥地推进教育改革，按教育规律办事，不断提高教育质量。</w:t>
      </w:r>
    </w:p>
    <w:p w14:paraId="5284842F">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4、根据学校规模，设置学校管理机构，建立健全各项规章制度和岗位责任制。</w:t>
      </w:r>
    </w:p>
    <w:p w14:paraId="6D8C7EE3">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5、坚持教书育人，服务育人，环境育人方针，加强对学生的思想品德教育，使学生的德智体全面发展。</w:t>
      </w:r>
    </w:p>
    <w:p w14:paraId="7397F368">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6、抓好教师队伍建设，使每个教师都热心于教育事业。</w:t>
      </w:r>
    </w:p>
    <w:p w14:paraId="3A840EDC">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bCs/>
          <w:kern w:val="2"/>
          <w:sz w:val="30"/>
          <w:szCs w:val="30"/>
          <w:lang w:val="en-US" w:eastAsia="zh-CN" w:bidi="ar-SA"/>
        </w:rPr>
      </w:pPr>
      <w:r>
        <w:rPr>
          <w:rFonts w:hint="eastAsia" w:ascii="仿宋" w:hAnsi="仿宋" w:eastAsia="仿宋" w:cs="仿宋"/>
          <w:bCs/>
          <w:kern w:val="2"/>
          <w:sz w:val="30"/>
          <w:szCs w:val="30"/>
          <w:lang w:val="en-US" w:eastAsia="zh-CN" w:bidi="ar-SA"/>
        </w:rPr>
        <w:t>　　7、做好安全防范，保证学生的人身安全。</w:t>
      </w:r>
    </w:p>
    <w:p w14:paraId="723D9ACF">
      <w:pPr>
        <w:numPr>
          <w:ilvl w:val="0"/>
          <w:numId w:val="0"/>
        </w:numPr>
        <w:spacing w:line="560" w:lineRule="exact"/>
        <w:rPr>
          <w:rFonts w:hint="eastAsia" w:ascii="仿宋" w:hAnsi="仿宋" w:eastAsia="仿宋" w:cs="仿宋"/>
          <w:bCs/>
          <w:sz w:val="30"/>
          <w:szCs w:val="30"/>
        </w:rPr>
      </w:pPr>
    </w:p>
    <w:p w14:paraId="18CB2F2B">
      <w:pPr>
        <w:keepNext w:val="0"/>
        <w:keepLines w:val="0"/>
        <w:pageBreakBefore w:val="0"/>
        <w:widowControl w:val="0"/>
        <w:numPr>
          <w:ilvl w:val="0"/>
          <w:numId w:val="0"/>
        </w:numPr>
        <w:kinsoku/>
        <w:wordWrap/>
        <w:overflowPunct/>
        <w:topLinePunct w:val="0"/>
        <w:autoSpaceDE/>
        <w:autoSpaceDN/>
        <w:bidi w:val="0"/>
        <w:adjustRightInd/>
        <w:snapToGrid/>
        <w:ind w:firstLine="420" w:firstLineChars="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（三）年度工作内容</w:t>
      </w:r>
    </w:p>
    <w:p w14:paraId="5F6FDA89">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1、抓党建，促养成，刷新德育工作亮点。</w:t>
      </w:r>
    </w:p>
    <w:p w14:paraId="1A01C22F">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2、抓管理，促落实，不断激发办学活力。</w:t>
      </w:r>
    </w:p>
    <w:p w14:paraId="699AE40D">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3、抓教研，促课改，全面提升教育质量。</w:t>
      </w:r>
    </w:p>
    <w:p w14:paraId="6805AD3B">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4、抓安全，促平安，竭力打造和谐校园。</w:t>
      </w:r>
    </w:p>
    <w:p w14:paraId="08329B2C">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一般公共预算支出情况</w:t>
      </w:r>
    </w:p>
    <w:p w14:paraId="567D8310">
      <w:pPr>
        <w:keepNext w:val="0"/>
        <w:keepLines w:val="0"/>
        <w:pageBreakBefore w:val="0"/>
        <w:widowControl w:val="0"/>
        <w:kinsoku/>
        <w:wordWrap/>
        <w:overflowPunct/>
        <w:topLinePunct w:val="0"/>
        <w:autoSpaceDE/>
        <w:autoSpaceDN/>
        <w:bidi w:val="0"/>
        <w:adjustRightInd/>
        <w:snapToGrid/>
        <w:ind w:left="0"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(一)基本支出情况</w:t>
      </w:r>
    </w:p>
    <w:p w14:paraId="372512CE">
      <w:pPr>
        <w:spacing w:line="560" w:lineRule="exact"/>
        <w:ind w:firstLine="600" w:firstLineChars="200"/>
        <w:rPr>
          <w:rFonts w:hint="eastAsia" w:ascii="仿宋" w:hAnsi="仿宋" w:eastAsia="仿宋" w:cs="仿宋"/>
          <w:bCs/>
          <w:sz w:val="30"/>
          <w:szCs w:val="30"/>
          <w:lang w:eastAsia="zh-CN"/>
        </w:rPr>
      </w:pPr>
      <w:r>
        <w:rPr>
          <w:rFonts w:hint="eastAsia" w:ascii="仿宋" w:hAnsi="仿宋" w:eastAsia="仿宋" w:cs="仿宋"/>
          <w:bCs/>
          <w:sz w:val="30"/>
          <w:szCs w:val="30"/>
        </w:rPr>
        <w:t>基本支出202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年度总支出</w:t>
      </w:r>
      <w:r>
        <w:rPr>
          <w:rFonts w:hint="eastAsia" w:ascii="仿宋" w:hAnsi="仿宋" w:eastAsia="仿宋" w:cs="仿宋"/>
          <w:bCs/>
          <w:sz w:val="30"/>
          <w:szCs w:val="30"/>
          <w:lang w:val="en-US" w:eastAsia="zh-CN"/>
        </w:rPr>
        <w:t>509.48</w:t>
      </w:r>
      <w:r>
        <w:rPr>
          <w:rFonts w:hint="eastAsia" w:ascii="仿宋" w:hAnsi="仿宋" w:eastAsia="仿宋" w:cs="仿宋"/>
          <w:bCs/>
          <w:sz w:val="30"/>
          <w:szCs w:val="30"/>
        </w:rPr>
        <w:t>万元，其中</w:t>
      </w:r>
      <w:r>
        <w:rPr>
          <w:rFonts w:hint="eastAsia" w:ascii="仿宋" w:hAnsi="仿宋" w:eastAsia="仿宋" w:cs="仿宋"/>
          <w:bCs/>
          <w:sz w:val="30"/>
          <w:szCs w:val="30"/>
          <w:lang w:eastAsia="zh-CN"/>
        </w:rPr>
        <w:t>：</w:t>
      </w:r>
    </w:p>
    <w:p w14:paraId="7A9DAF30">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rPr>
        <w:t>人员经费</w:t>
      </w:r>
      <w:r>
        <w:rPr>
          <w:rFonts w:hint="eastAsia" w:ascii="仿宋" w:hAnsi="仿宋" w:eastAsia="仿宋" w:cs="仿宋"/>
          <w:bCs/>
          <w:sz w:val="30"/>
          <w:szCs w:val="30"/>
          <w:lang w:val="en-US" w:eastAsia="zh-CN"/>
        </w:rPr>
        <w:t>412.34万元：包括</w:t>
      </w:r>
      <w:r>
        <w:rPr>
          <w:rFonts w:hint="eastAsia" w:ascii="仿宋" w:hAnsi="仿宋" w:eastAsia="仿宋" w:cs="仿宋"/>
          <w:bCs/>
          <w:sz w:val="30"/>
          <w:szCs w:val="30"/>
        </w:rPr>
        <w:t>基本工资</w:t>
      </w:r>
      <w:r>
        <w:rPr>
          <w:rFonts w:hint="eastAsia" w:ascii="仿宋" w:hAnsi="仿宋" w:eastAsia="仿宋" w:cs="仿宋"/>
          <w:bCs/>
          <w:sz w:val="30"/>
          <w:szCs w:val="30"/>
          <w:lang w:val="en-US" w:eastAsia="zh-CN"/>
        </w:rPr>
        <w:t>116.62</w:t>
      </w:r>
      <w:r>
        <w:rPr>
          <w:rFonts w:hint="eastAsia" w:ascii="仿宋" w:hAnsi="仿宋" w:eastAsia="仿宋" w:cs="仿宋"/>
          <w:bCs/>
          <w:sz w:val="30"/>
          <w:szCs w:val="30"/>
          <w:highlight w:val="none"/>
        </w:rPr>
        <w:t>万</w:t>
      </w:r>
      <w:r>
        <w:rPr>
          <w:rFonts w:hint="eastAsia" w:ascii="仿宋" w:hAnsi="仿宋" w:eastAsia="仿宋" w:cs="仿宋"/>
          <w:bCs/>
          <w:sz w:val="30"/>
          <w:szCs w:val="30"/>
        </w:rPr>
        <w:t>元；</w:t>
      </w:r>
      <w:r>
        <w:rPr>
          <w:rFonts w:hint="eastAsia" w:ascii="仿宋" w:hAnsi="仿宋" w:eastAsia="仿宋" w:cs="仿宋"/>
          <w:bCs/>
          <w:sz w:val="30"/>
          <w:szCs w:val="30"/>
          <w:lang w:eastAsia="zh-CN"/>
        </w:rPr>
        <w:t>津贴补贴</w:t>
      </w:r>
      <w:r>
        <w:rPr>
          <w:rFonts w:hint="eastAsia" w:ascii="仿宋" w:hAnsi="仿宋" w:eastAsia="仿宋" w:cs="仿宋"/>
          <w:bCs/>
          <w:sz w:val="30"/>
          <w:szCs w:val="30"/>
          <w:lang w:val="en-US" w:eastAsia="zh-CN"/>
        </w:rPr>
        <w:t>9.51万元；奖金102.92万元</w:t>
      </w:r>
      <w:r>
        <w:rPr>
          <w:rFonts w:hint="eastAsia" w:ascii="仿宋" w:hAnsi="仿宋" w:eastAsia="仿宋" w:cs="仿宋"/>
          <w:bCs/>
          <w:sz w:val="30"/>
          <w:szCs w:val="30"/>
        </w:rPr>
        <w:t>；</w:t>
      </w:r>
      <w:r>
        <w:rPr>
          <w:rFonts w:hint="eastAsia" w:ascii="仿宋" w:hAnsi="仿宋" w:eastAsia="仿宋" w:cs="仿宋"/>
          <w:bCs/>
          <w:sz w:val="30"/>
          <w:szCs w:val="30"/>
          <w:lang w:val="en-US" w:eastAsia="zh-CN"/>
        </w:rPr>
        <w:t>绩效工资66.86万元；</w:t>
      </w:r>
      <w:r>
        <w:rPr>
          <w:rFonts w:hint="eastAsia" w:ascii="仿宋" w:hAnsi="仿宋" w:eastAsia="仿宋" w:cs="仿宋"/>
          <w:bCs/>
          <w:sz w:val="30"/>
          <w:szCs w:val="30"/>
        </w:rPr>
        <w:t>机关事业单位基本养老保险缴费</w:t>
      </w:r>
      <w:r>
        <w:rPr>
          <w:rFonts w:hint="eastAsia" w:ascii="仿宋" w:hAnsi="仿宋" w:eastAsia="仿宋" w:cs="仿宋"/>
          <w:bCs/>
          <w:sz w:val="30"/>
          <w:szCs w:val="30"/>
          <w:lang w:val="en-US" w:eastAsia="zh-CN"/>
        </w:rPr>
        <w:t>25.38万元；职工基本医疗保险缴费11.79万元；其他社会保障缴费2.79万元；住房公积金22.22万元；其他工资福利支出31.60</w:t>
      </w:r>
      <w:r>
        <w:rPr>
          <w:rFonts w:hint="eastAsia" w:ascii="仿宋" w:hAnsi="仿宋" w:eastAsia="仿宋" w:cs="仿宋"/>
          <w:bCs/>
          <w:sz w:val="30"/>
          <w:szCs w:val="30"/>
        </w:rPr>
        <w:t>万元</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 xml:space="preserve">退休费16.83万元；其他对个人和家庭的补助5.82万元。 </w:t>
      </w:r>
    </w:p>
    <w:p w14:paraId="18934B13">
      <w:pPr>
        <w:spacing w:line="560" w:lineRule="exact"/>
        <w:ind w:firstLine="600" w:firstLineChars="200"/>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val="0"/>
          <w:bCs/>
          <w:sz w:val="30"/>
          <w:szCs w:val="30"/>
        </w:rPr>
        <w:t>公用经费</w:t>
      </w:r>
      <w:r>
        <w:rPr>
          <w:rFonts w:hint="eastAsia" w:ascii="仿宋" w:hAnsi="仿宋" w:eastAsia="仿宋" w:cs="仿宋"/>
          <w:b w:val="0"/>
          <w:bCs/>
          <w:sz w:val="30"/>
          <w:szCs w:val="30"/>
          <w:lang w:val="en-US" w:eastAsia="zh-CN"/>
        </w:rPr>
        <w:t>97.14</w:t>
      </w:r>
      <w:r>
        <w:rPr>
          <w:rFonts w:hint="eastAsia" w:ascii="仿宋" w:hAnsi="仿宋" w:eastAsia="仿宋" w:cs="仿宋"/>
          <w:b w:val="0"/>
          <w:bCs/>
          <w:sz w:val="30"/>
          <w:szCs w:val="30"/>
        </w:rPr>
        <w:t>万元</w:t>
      </w:r>
      <w:r>
        <w:rPr>
          <w:rFonts w:hint="eastAsia" w:ascii="仿宋" w:hAnsi="仿宋" w:eastAsia="仿宋" w:cs="仿宋"/>
          <w:b w:val="0"/>
          <w:bCs/>
          <w:sz w:val="30"/>
          <w:szCs w:val="30"/>
          <w:lang w:eastAsia="zh-CN"/>
        </w:rPr>
        <w:t>：</w:t>
      </w:r>
      <w:r>
        <w:rPr>
          <w:rFonts w:hint="eastAsia" w:ascii="仿宋" w:hAnsi="仿宋" w:eastAsia="仿宋" w:cs="仿宋"/>
          <w:bCs/>
          <w:sz w:val="30"/>
          <w:szCs w:val="30"/>
          <w:lang w:val="en-US" w:eastAsia="zh-CN"/>
        </w:rPr>
        <w:t>包括</w:t>
      </w:r>
      <w:r>
        <w:rPr>
          <w:rFonts w:hint="eastAsia" w:ascii="仿宋" w:hAnsi="仿宋" w:eastAsia="仿宋" w:cs="仿宋"/>
          <w:bCs/>
          <w:sz w:val="30"/>
          <w:szCs w:val="30"/>
        </w:rPr>
        <w:t>办公费</w:t>
      </w:r>
      <w:r>
        <w:rPr>
          <w:rFonts w:hint="eastAsia" w:ascii="仿宋" w:hAnsi="仿宋" w:eastAsia="仿宋" w:cs="仿宋"/>
          <w:bCs/>
          <w:sz w:val="30"/>
          <w:szCs w:val="30"/>
          <w:lang w:val="en-US" w:eastAsia="zh-CN"/>
        </w:rPr>
        <w:t>9.43</w:t>
      </w:r>
      <w:r>
        <w:rPr>
          <w:rFonts w:hint="eastAsia" w:ascii="仿宋" w:hAnsi="仿宋" w:eastAsia="仿宋" w:cs="仿宋"/>
          <w:bCs/>
          <w:sz w:val="30"/>
          <w:szCs w:val="30"/>
        </w:rPr>
        <w:t>万元；印刷费</w:t>
      </w:r>
      <w:r>
        <w:rPr>
          <w:rFonts w:hint="eastAsia" w:ascii="仿宋" w:hAnsi="仿宋" w:eastAsia="仿宋" w:cs="仿宋"/>
          <w:bCs/>
          <w:sz w:val="30"/>
          <w:szCs w:val="30"/>
          <w:lang w:val="en-US" w:eastAsia="zh-CN"/>
        </w:rPr>
        <w:t>5.71</w:t>
      </w:r>
      <w:r>
        <w:rPr>
          <w:rFonts w:hint="eastAsia" w:ascii="仿宋" w:hAnsi="仿宋" w:eastAsia="仿宋" w:cs="仿宋"/>
          <w:bCs/>
          <w:sz w:val="30"/>
          <w:szCs w:val="30"/>
        </w:rPr>
        <w:t>万元；水费</w:t>
      </w:r>
      <w:r>
        <w:rPr>
          <w:rFonts w:hint="eastAsia" w:ascii="仿宋" w:hAnsi="仿宋" w:eastAsia="仿宋" w:cs="仿宋"/>
          <w:bCs/>
          <w:sz w:val="30"/>
          <w:szCs w:val="30"/>
          <w:lang w:val="en-US" w:eastAsia="zh-CN"/>
        </w:rPr>
        <w:t>1.91</w:t>
      </w:r>
      <w:r>
        <w:rPr>
          <w:rFonts w:hint="eastAsia" w:ascii="仿宋" w:hAnsi="仿宋" w:eastAsia="仿宋" w:cs="仿宋"/>
          <w:bCs/>
          <w:sz w:val="30"/>
          <w:szCs w:val="30"/>
        </w:rPr>
        <w:t>万元；电费</w:t>
      </w:r>
      <w:r>
        <w:rPr>
          <w:rFonts w:hint="eastAsia" w:ascii="仿宋" w:hAnsi="仿宋" w:eastAsia="仿宋" w:cs="仿宋"/>
          <w:bCs/>
          <w:sz w:val="30"/>
          <w:szCs w:val="30"/>
          <w:lang w:val="en-US" w:eastAsia="zh-CN"/>
        </w:rPr>
        <w:t>3.04</w:t>
      </w:r>
      <w:r>
        <w:rPr>
          <w:rFonts w:hint="eastAsia" w:ascii="仿宋" w:hAnsi="仿宋" w:eastAsia="仿宋" w:cs="仿宋"/>
          <w:bCs/>
          <w:sz w:val="30"/>
          <w:szCs w:val="30"/>
        </w:rPr>
        <w:t>万元；维修</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护）</w:t>
      </w:r>
      <w:r>
        <w:rPr>
          <w:rFonts w:hint="eastAsia" w:ascii="仿宋" w:hAnsi="仿宋" w:eastAsia="仿宋" w:cs="仿宋"/>
          <w:bCs/>
          <w:sz w:val="30"/>
          <w:szCs w:val="30"/>
        </w:rPr>
        <w:t>费</w:t>
      </w:r>
      <w:r>
        <w:rPr>
          <w:rFonts w:hint="eastAsia" w:ascii="仿宋" w:hAnsi="仿宋" w:eastAsia="仿宋" w:cs="仿宋"/>
          <w:bCs/>
          <w:sz w:val="30"/>
          <w:szCs w:val="30"/>
          <w:lang w:val="en-US" w:eastAsia="zh-CN"/>
        </w:rPr>
        <w:t>29.97</w:t>
      </w:r>
      <w:r>
        <w:rPr>
          <w:rFonts w:hint="eastAsia" w:ascii="仿宋" w:hAnsi="仿宋" w:eastAsia="仿宋" w:cs="仿宋"/>
          <w:bCs/>
          <w:sz w:val="30"/>
          <w:szCs w:val="30"/>
        </w:rPr>
        <w:t>万元；</w:t>
      </w:r>
      <w:r>
        <w:rPr>
          <w:rFonts w:hint="eastAsia" w:ascii="仿宋" w:hAnsi="仿宋" w:eastAsia="仿宋" w:cs="仿宋"/>
          <w:bCs/>
          <w:sz w:val="30"/>
          <w:szCs w:val="30"/>
          <w:lang w:eastAsia="zh-CN"/>
        </w:rPr>
        <w:t>会议费</w:t>
      </w:r>
      <w:r>
        <w:rPr>
          <w:rFonts w:hint="eastAsia" w:ascii="仿宋" w:hAnsi="仿宋" w:eastAsia="仿宋" w:cs="仿宋"/>
          <w:bCs/>
          <w:sz w:val="30"/>
          <w:szCs w:val="30"/>
          <w:lang w:val="en-US" w:eastAsia="zh-CN"/>
        </w:rPr>
        <w:t>0.91万元；</w:t>
      </w:r>
      <w:r>
        <w:rPr>
          <w:rFonts w:hint="eastAsia" w:ascii="仿宋" w:hAnsi="仿宋" w:eastAsia="仿宋" w:cs="仿宋"/>
          <w:bCs/>
          <w:sz w:val="30"/>
          <w:szCs w:val="30"/>
        </w:rPr>
        <w:t>培训费</w:t>
      </w:r>
      <w:r>
        <w:rPr>
          <w:rFonts w:hint="eastAsia" w:ascii="仿宋" w:hAnsi="仿宋" w:eastAsia="仿宋" w:cs="仿宋"/>
          <w:bCs/>
          <w:sz w:val="30"/>
          <w:szCs w:val="30"/>
          <w:lang w:val="en-US" w:eastAsia="zh-CN"/>
        </w:rPr>
        <w:t>1.76</w:t>
      </w:r>
      <w:r>
        <w:rPr>
          <w:rFonts w:hint="eastAsia" w:ascii="仿宋" w:hAnsi="仿宋" w:eastAsia="仿宋" w:cs="仿宋"/>
          <w:bCs/>
          <w:sz w:val="30"/>
          <w:szCs w:val="30"/>
        </w:rPr>
        <w:t>万元</w:t>
      </w:r>
      <w:r>
        <w:rPr>
          <w:rFonts w:hint="eastAsia" w:ascii="仿宋" w:hAnsi="仿宋" w:eastAsia="仿宋" w:cs="仿宋"/>
          <w:bCs/>
          <w:sz w:val="30"/>
          <w:szCs w:val="30"/>
          <w:lang w:eastAsia="zh-CN"/>
        </w:rPr>
        <w:t>；</w:t>
      </w:r>
      <w:r>
        <w:rPr>
          <w:rFonts w:hint="eastAsia" w:ascii="仿宋" w:hAnsi="仿宋" w:eastAsia="仿宋" w:cs="仿宋"/>
          <w:bCs/>
          <w:sz w:val="30"/>
          <w:szCs w:val="30"/>
        </w:rPr>
        <w:t>专用材料费</w:t>
      </w:r>
      <w:r>
        <w:rPr>
          <w:rFonts w:hint="eastAsia" w:ascii="仿宋" w:hAnsi="仿宋" w:eastAsia="仿宋" w:cs="仿宋"/>
          <w:bCs/>
          <w:sz w:val="30"/>
          <w:szCs w:val="30"/>
          <w:lang w:val="en-US" w:eastAsia="zh-CN"/>
        </w:rPr>
        <w:t>16.45</w:t>
      </w:r>
      <w:r>
        <w:rPr>
          <w:rFonts w:hint="eastAsia" w:ascii="仿宋" w:hAnsi="仿宋" w:eastAsia="仿宋" w:cs="仿宋"/>
          <w:bCs/>
          <w:sz w:val="30"/>
          <w:szCs w:val="30"/>
        </w:rPr>
        <w:t>万元；劳务费</w:t>
      </w:r>
      <w:r>
        <w:rPr>
          <w:rFonts w:hint="eastAsia" w:ascii="仿宋" w:hAnsi="仿宋" w:eastAsia="仿宋" w:cs="仿宋"/>
          <w:bCs/>
          <w:sz w:val="30"/>
          <w:szCs w:val="30"/>
          <w:lang w:val="en-US" w:eastAsia="zh-CN"/>
        </w:rPr>
        <w:t>0.27</w:t>
      </w:r>
      <w:r>
        <w:rPr>
          <w:rFonts w:hint="eastAsia" w:ascii="仿宋" w:hAnsi="仿宋" w:eastAsia="仿宋" w:cs="仿宋"/>
          <w:bCs/>
          <w:sz w:val="30"/>
          <w:szCs w:val="30"/>
        </w:rPr>
        <w:t>万元；工会经费</w:t>
      </w:r>
      <w:r>
        <w:rPr>
          <w:rFonts w:hint="eastAsia" w:ascii="仿宋" w:hAnsi="仿宋" w:eastAsia="仿宋" w:cs="仿宋"/>
          <w:bCs/>
          <w:sz w:val="30"/>
          <w:szCs w:val="30"/>
          <w:lang w:val="en-US" w:eastAsia="zh-CN"/>
        </w:rPr>
        <w:t>10.09</w:t>
      </w:r>
      <w:r>
        <w:rPr>
          <w:rFonts w:hint="eastAsia" w:ascii="仿宋" w:hAnsi="仿宋" w:eastAsia="仿宋" w:cs="仿宋"/>
          <w:bCs/>
          <w:sz w:val="30"/>
          <w:szCs w:val="30"/>
        </w:rPr>
        <w:t>万元；其他商品和服务支出</w:t>
      </w:r>
      <w:r>
        <w:rPr>
          <w:rFonts w:hint="eastAsia" w:ascii="仿宋" w:hAnsi="仿宋" w:eastAsia="仿宋" w:cs="仿宋"/>
          <w:bCs/>
          <w:sz w:val="30"/>
          <w:szCs w:val="30"/>
          <w:lang w:val="en-US" w:eastAsia="zh-CN"/>
        </w:rPr>
        <w:t>17.60万元；</w:t>
      </w:r>
    </w:p>
    <w:p w14:paraId="0E41E667">
      <w:pPr>
        <w:keepNext w:val="0"/>
        <w:keepLines w:val="0"/>
        <w:pageBreakBefore w:val="0"/>
        <w:widowControl w:val="0"/>
        <w:numPr>
          <w:ilvl w:val="0"/>
          <w:numId w:val="4"/>
        </w:numPr>
        <w:kinsoku/>
        <w:wordWrap/>
        <w:overflowPunct/>
        <w:topLinePunct w:val="0"/>
        <w:autoSpaceDE/>
        <w:autoSpaceDN/>
        <w:bidi w:val="0"/>
        <w:adjustRightInd/>
        <w:snapToGrid/>
        <w:ind w:left="0"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项目支出情况</w:t>
      </w:r>
    </w:p>
    <w:p w14:paraId="2CBE58D1">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项目</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14:paraId="1E940CC6">
      <w:pPr>
        <w:keepNext w:val="0"/>
        <w:keepLines w:val="0"/>
        <w:pageBreakBefore w:val="0"/>
        <w:widowControl w:val="0"/>
        <w:numPr>
          <w:ilvl w:val="0"/>
          <w:numId w:val="0"/>
        </w:numPr>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三、政府性基金预算支出情况</w:t>
      </w:r>
    </w:p>
    <w:p w14:paraId="6EBA92E2">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政府性基金预算支出0万元。</w:t>
      </w:r>
    </w:p>
    <w:p w14:paraId="41C9A471">
      <w:pPr>
        <w:keepNext w:val="0"/>
        <w:keepLines w:val="0"/>
        <w:pageBreakBefore w:val="0"/>
        <w:widowControl w:val="0"/>
        <w:numPr>
          <w:ilvl w:val="0"/>
          <w:numId w:val="5"/>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14:paraId="5C14C4B1">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国有资本经营预算支出0万元</w:t>
      </w:r>
      <w:r>
        <w:rPr>
          <w:rFonts w:hint="eastAsia" w:ascii="仿宋" w:hAnsi="仿宋" w:eastAsia="仿宋" w:cs="仿宋"/>
          <w:bCs/>
          <w:sz w:val="30"/>
          <w:szCs w:val="30"/>
          <w:lang w:eastAsia="zh-CN"/>
        </w:rPr>
        <w:t>。</w:t>
      </w:r>
    </w:p>
    <w:p w14:paraId="38E05BBB">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42684B33">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社会保险基金预算支出0万元。</w:t>
      </w:r>
    </w:p>
    <w:p w14:paraId="7A7E397D">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1F165FA4">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本单位本年度整体支出绩效总体良好，各项目标达到了相应时期执行进度，使财政收支预算执行取得了良好的制度保障和实施效果。</w:t>
      </w:r>
    </w:p>
    <w:p w14:paraId="735C80BA">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sz w:val="30"/>
          <w:szCs w:val="30"/>
          <w:lang w:eastAsia="zh-CN"/>
        </w:rPr>
      </w:pPr>
      <w:r>
        <w:rPr>
          <w:rFonts w:hint="eastAsia" w:ascii="仿宋" w:hAnsi="仿宋" w:eastAsia="仿宋" w:cs="仿宋"/>
          <w:sz w:val="30"/>
          <w:szCs w:val="30"/>
        </w:rPr>
        <w:t>在教育局党委的正确领导下，在全体教职员工的共同努力下，学校坚持以教育教学质量为中心，强化常规管理，加强教师队伍建设，</w:t>
      </w:r>
      <w:r>
        <w:rPr>
          <w:rFonts w:hint="eastAsia" w:ascii="仿宋" w:hAnsi="仿宋" w:eastAsia="仿宋" w:cs="仿宋"/>
          <w:color w:val="2B2B2B"/>
          <w:sz w:val="30"/>
          <w:szCs w:val="30"/>
        </w:rPr>
        <w:t>积极创建丰富多彩的校园文化，</w:t>
      </w:r>
      <w:r>
        <w:rPr>
          <w:rFonts w:hint="eastAsia" w:ascii="仿宋" w:hAnsi="仿宋" w:eastAsia="仿宋" w:cs="仿宋"/>
          <w:sz w:val="30"/>
          <w:szCs w:val="30"/>
        </w:rPr>
        <w:t>构建和谐的育人环境，取得了可喜的成绩</w:t>
      </w:r>
      <w:r>
        <w:rPr>
          <w:rFonts w:hint="eastAsia" w:ascii="仿宋" w:hAnsi="仿宋" w:eastAsia="仿宋" w:cs="仿宋"/>
          <w:sz w:val="30"/>
          <w:szCs w:val="30"/>
          <w:lang w:eastAsia="zh-CN"/>
        </w:rPr>
        <w:t>：尹欢老师在教育部组织的全国中小学班主任基本功和思政课教师教学基本展示交流活动中作品被选入典型经验交流名单中；尹欢老师参与制作的家庭教育系列资源在岳阳市教体局征集国家智慧教育平台资源中获一等奖；鲁子瑜、刘倩、尹欢、徐晶等老师在岳阳楼区中小学德育研究优秀成果比赛中获得较好成绩。</w:t>
      </w:r>
    </w:p>
    <w:p w14:paraId="32584DC5">
      <w:pPr>
        <w:numPr>
          <w:ilvl w:val="0"/>
          <w:numId w:val="6"/>
        </w:numPr>
        <w:spacing w:after="240" w:line="400" w:lineRule="exact"/>
        <w:ind w:firstLine="64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14:paraId="4E1A60A9">
      <w:pPr>
        <w:numPr>
          <w:ilvl w:val="0"/>
          <w:numId w:val="7"/>
        </w:numPr>
        <w:spacing w:after="240" w:line="400" w:lineRule="exact"/>
        <w:ind w:left="840" w:leftChars="0"/>
        <w:jc w:val="left"/>
        <w:rPr>
          <w:rFonts w:hint="eastAsia" w:ascii="仿宋" w:hAnsi="仿宋" w:eastAsia="仿宋" w:cs="仿宋"/>
          <w:b w:val="0"/>
          <w:bCs/>
          <w:color w:val="000000"/>
          <w:kern w:val="0"/>
          <w:sz w:val="30"/>
          <w:szCs w:val="30"/>
          <w:lang w:val="en-US" w:eastAsia="zh-CN"/>
        </w:rPr>
      </w:pPr>
      <w:r>
        <w:rPr>
          <w:rFonts w:hint="eastAsia" w:ascii="仿宋" w:hAnsi="仿宋" w:eastAsia="仿宋" w:cs="仿宋"/>
          <w:b w:val="0"/>
          <w:bCs/>
          <w:color w:val="000000"/>
          <w:kern w:val="0"/>
          <w:sz w:val="30"/>
          <w:szCs w:val="30"/>
          <w:lang w:val="en-US" w:eastAsia="zh-CN"/>
        </w:rPr>
        <w:t>数量指标</w:t>
      </w:r>
    </w:p>
    <w:p w14:paraId="688000A8">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本年度，学校完成在校484名学生的德智体美劳全面培养与教育。足额发放在职教职工及退休人员的工资奖金及福利待遇。开展教学教研、读书比赛等活动10次。</w:t>
      </w:r>
    </w:p>
    <w:p w14:paraId="00457335">
      <w:pPr>
        <w:numPr>
          <w:ilvl w:val="0"/>
          <w:numId w:val="7"/>
        </w:numPr>
        <w:spacing w:after="240" w:line="400" w:lineRule="exact"/>
        <w:ind w:left="840" w:leftChars="0" w:firstLine="0" w:firstLineChars="0"/>
        <w:jc w:val="left"/>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质量指标</w:t>
      </w:r>
    </w:p>
    <w:p w14:paraId="12C30D70">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要求每位行政必须听推门课，行政必须听完同学科每位老师的课，每个月对学校全部行政的听课进行逐个检查并由办公室作出通报，推门听课覆盖率100%。开展相应的安全教育活动，如：“交通安全我遵守 独立上学我能行”、“远离危险水域 防溺从</w:t>
      </w:r>
      <w:bookmarkStart w:id="1" w:name="_GoBack"/>
      <w:bookmarkEnd w:id="1"/>
      <w:r>
        <w:rPr>
          <w:rFonts w:hint="eastAsia" w:ascii="仿宋" w:hAnsi="仿宋" w:eastAsia="仿宋" w:cs="仿宋"/>
          <w:sz w:val="30"/>
          <w:szCs w:val="30"/>
          <w:lang w:val="en-US" w:eastAsia="zh-CN"/>
        </w:rPr>
        <w:t>我做起”、“无毒青春健康生活”、“消防安全在我心中”进一步强化了师生的安全意识，增强了安全自护能力。2022年小学生毕业率100%。</w:t>
      </w:r>
    </w:p>
    <w:p w14:paraId="0A1751DC">
      <w:pPr>
        <w:numPr>
          <w:ilvl w:val="0"/>
          <w:numId w:val="7"/>
        </w:numPr>
        <w:spacing w:after="240" w:line="400" w:lineRule="exact"/>
        <w:ind w:left="840" w:leftChars="0" w:firstLine="0" w:firstLineChars="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时效指标</w:t>
      </w:r>
    </w:p>
    <w:p w14:paraId="12EBC12D">
      <w:pPr>
        <w:numPr>
          <w:ilvl w:val="0"/>
          <w:numId w:val="0"/>
        </w:numPr>
        <w:spacing w:after="240" w:line="400" w:lineRule="exact"/>
        <w:ind w:leftChars="0" w:firstLine="900" w:firstLineChars="300"/>
        <w:jc w:val="left"/>
        <w:rPr>
          <w:rFonts w:hint="eastAsia" w:ascii="仿宋" w:hAnsi="仿宋" w:eastAsia="仿宋" w:cs="仿宋"/>
          <w:color w:val="000000" w:themeColor="text1"/>
          <w:spacing w:val="0"/>
          <w:sz w:val="30"/>
          <w:szCs w:val="30"/>
          <w:lang w:eastAsia="zh-CN"/>
          <w14:textFill>
            <w14:solidFill>
              <w14:schemeClr w14:val="tx1"/>
            </w14:solidFill>
          </w14:textFill>
        </w:rPr>
      </w:pPr>
      <w:r>
        <w:rPr>
          <w:rFonts w:hint="eastAsia" w:ascii="仿宋" w:hAnsi="仿宋" w:eastAsia="仿宋" w:cs="仿宋"/>
          <w:color w:val="000000"/>
          <w:sz w:val="30"/>
          <w:szCs w:val="30"/>
        </w:rPr>
        <w:t>资金严格按照预算及实际情况时间节点发放</w:t>
      </w:r>
      <w:r>
        <w:rPr>
          <w:rFonts w:hint="eastAsia" w:ascii="仿宋" w:hAnsi="仿宋" w:eastAsia="仿宋" w:cs="仿宋"/>
          <w:color w:val="000000"/>
          <w:sz w:val="30"/>
          <w:szCs w:val="30"/>
          <w:lang w:val="en-US" w:eastAsia="zh-CN"/>
        </w:rPr>
        <w:t>至</w:t>
      </w:r>
      <w:r>
        <w:rPr>
          <w:rFonts w:hint="eastAsia" w:ascii="仿宋" w:hAnsi="仿宋" w:eastAsia="仿宋" w:cs="仿宋"/>
          <w:color w:val="000000" w:themeColor="text1"/>
          <w:spacing w:val="0"/>
          <w:sz w:val="30"/>
          <w:szCs w:val="30"/>
          <w14:textFill>
            <w14:solidFill>
              <w14:schemeClr w14:val="tx1"/>
            </w14:solidFill>
          </w14:textFill>
        </w:rPr>
        <w:t>教职员工</w:t>
      </w:r>
      <w:r>
        <w:rPr>
          <w:rFonts w:hint="eastAsia" w:ascii="仿宋" w:hAnsi="仿宋" w:eastAsia="仿宋" w:cs="仿宋"/>
          <w:color w:val="000000" w:themeColor="text1"/>
          <w:spacing w:val="0"/>
          <w:sz w:val="30"/>
          <w:szCs w:val="30"/>
          <w:lang w:eastAsia="zh-CN"/>
          <w14:textFill>
            <w14:solidFill>
              <w14:schemeClr w14:val="tx1"/>
            </w14:solidFill>
          </w14:textFill>
        </w:rPr>
        <w:t>。</w:t>
      </w:r>
    </w:p>
    <w:p w14:paraId="239AFD84">
      <w:pPr>
        <w:numPr>
          <w:ilvl w:val="0"/>
          <w:numId w:val="7"/>
        </w:numPr>
        <w:spacing w:after="240" w:line="400" w:lineRule="exact"/>
        <w:ind w:left="840" w:leftChars="0" w:firstLine="0" w:firstLineChars="0"/>
        <w:jc w:val="left"/>
        <w:rPr>
          <w:rFonts w:hint="eastAsia" w:ascii="仿宋" w:hAnsi="仿宋" w:eastAsia="仿宋" w:cs="仿宋"/>
          <w:color w:val="000000" w:themeColor="text1"/>
          <w:spacing w:val="0"/>
          <w:sz w:val="30"/>
          <w:szCs w:val="30"/>
          <w:lang w:val="en-US" w:eastAsia="zh-CN"/>
          <w14:textFill>
            <w14:solidFill>
              <w14:schemeClr w14:val="tx1"/>
            </w14:solidFill>
          </w14:textFill>
        </w:rPr>
      </w:pPr>
      <w:r>
        <w:rPr>
          <w:rFonts w:hint="eastAsia" w:ascii="仿宋" w:hAnsi="仿宋" w:eastAsia="仿宋" w:cs="仿宋"/>
          <w:color w:val="000000" w:themeColor="text1"/>
          <w:spacing w:val="0"/>
          <w:sz w:val="30"/>
          <w:szCs w:val="30"/>
          <w:lang w:val="en-US" w:eastAsia="zh-CN"/>
          <w14:textFill>
            <w14:solidFill>
              <w14:schemeClr w14:val="tx1"/>
            </w14:solidFill>
          </w14:textFill>
        </w:rPr>
        <w:t>成本指标</w:t>
      </w:r>
    </w:p>
    <w:p w14:paraId="5303432B">
      <w:pPr>
        <w:numPr>
          <w:ilvl w:val="0"/>
          <w:numId w:val="0"/>
        </w:numPr>
        <w:spacing w:after="240" w:line="400" w:lineRule="exact"/>
        <w:ind w:leftChars="0" w:firstLine="900" w:firstLineChars="300"/>
        <w:jc w:val="left"/>
        <w:rPr>
          <w:rFonts w:hint="eastAsia" w:ascii="仿宋" w:hAnsi="仿宋" w:eastAsia="仿宋" w:cs="仿宋"/>
          <w:color w:val="000000" w:themeColor="text1"/>
          <w:sz w:val="30"/>
          <w:szCs w:val="30"/>
          <w:lang w:val="en-US" w:eastAsia="zh-CN"/>
          <w14:textFill>
            <w14:solidFill>
              <w14:schemeClr w14:val="tx1"/>
            </w14:solidFill>
          </w14:textFill>
        </w:rPr>
      </w:pPr>
      <w:r>
        <w:rPr>
          <w:rFonts w:hint="eastAsia" w:ascii="仿宋" w:hAnsi="仿宋" w:eastAsia="仿宋" w:cs="仿宋"/>
          <w:color w:val="000000" w:themeColor="text1"/>
          <w:sz w:val="30"/>
          <w:szCs w:val="30"/>
          <w:lang w:val="en-US" w:eastAsia="zh-CN"/>
          <w14:textFill>
            <w14:solidFill>
              <w14:schemeClr w14:val="tx1"/>
            </w14:solidFill>
          </w14:textFill>
        </w:rPr>
        <w:t>全年经费开支控制在预算以内。</w:t>
      </w:r>
    </w:p>
    <w:p w14:paraId="749E9499">
      <w:pPr>
        <w:numPr>
          <w:ilvl w:val="0"/>
          <w:numId w:val="6"/>
        </w:numPr>
        <w:spacing w:after="240" w:line="400" w:lineRule="exact"/>
        <w:ind w:firstLine="64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14:paraId="68059D3E">
      <w:pPr>
        <w:numPr>
          <w:ilvl w:val="0"/>
          <w:numId w:val="0"/>
        </w:numPr>
        <w:spacing w:after="240" w:line="400" w:lineRule="exact"/>
        <w:ind w:left="420" w:leftChars="0" w:firstLine="420" w:firstLineChars="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1、经济效益</w:t>
      </w:r>
    </w:p>
    <w:p w14:paraId="2819BA76">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不适用</w:t>
      </w:r>
    </w:p>
    <w:p w14:paraId="34CC4B9A">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2、社会效益</w:t>
      </w:r>
    </w:p>
    <w:p w14:paraId="719BA622">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优化教学条件，提高了学校好评度。促进学生全面发展，把教育教学质量放在首位，办人民满意的教育，得到社会大众的肯定和好评。</w:t>
      </w:r>
    </w:p>
    <w:p w14:paraId="23010FA7">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3、生态效益</w:t>
      </w:r>
    </w:p>
    <w:p w14:paraId="606204AF">
      <w:pPr>
        <w:keepNext w:val="0"/>
        <w:keepLines w:val="0"/>
        <w:pageBreakBefore w:val="0"/>
        <w:widowControl w:val="0"/>
        <w:kinsoku/>
        <w:wordWrap/>
        <w:overflowPunct/>
        <w:topLinePunct w:val="0"/>
        <w:autoSpaceDE/>
        <w:autoSpaceDN/>
        <w:bidi w:val="0"/>
        <w:adjustRightInd/>
        <w:snapToGrid/>
        <w:ind w:firstLine="900" w:firstLineChars="3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积极开展生态环境保护教育，教职工及学生的生态环境保护意识有所提升。</w:t>
      </w:r>
    </w:p>
    <w:p w14:paraId="57283FAE">
      <w:pPr>
        <w:keepNext w:val="0"/>
        <w:keepLines w:val="0"/>
        <w:pageBreakBefore w:val="0"/>
        <w:widowControl w:val="0"/>
        <w:numPr>
          <w:ilvl w:val="0"/>
          <w:numId w:val="0"/>
        </w:numPr>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lang w:val="en-US" w:eastAsia="zh-CN"/>
        </w:rPr>
        <w:t>4、</w:t>
      </w:r>
      <w:r>
        <w:rPr>
          <w:rFonts w:hint="eastAsia" w:ascii="仿宋" w:hAnsi="仿宋" w:eastAsia="仿宋" w:cs="仿宋"/>
          <w:color w:val="000000"/>
          <w:sz w:val="30"/>
          <w:szCs w:val="30"/>
        </w:rPr>
        <w:t>可持续影响</w:t>
      </w:r>
    </w:p>
    <w:p w14:paraId="3F0EBF5C">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z w:val="30"/>
          <w:szCs w:val="30"/>
          <w:lang w:val="en-US" w:eastAsia="zh-CN"/>
          <w14:textFill>
            <w14:solidFill>
              <w14:schemeClr w14:val="tx1"/>
            </w14:solidFill>
          </w14:textFill>
        </w:rPr>
      </w:pPr>
      <w:r>
        <w:rPr>
          <w:rFonts w:hint="eastAsia" w:ascii="仿宋" w:hAnsi="仿宋" w:eastAsia="仿宋" w:cs="仿宋"/>
          <w:color w:val="000000" w:themeColor="text1"/>
          <w:sz w:val="30"/>
          <w:szCs w:val="30"/>
          <w:lang w:val="en-US" w:eastAsia="zh-CN"/>
          <w14:textFill>
            <w14:solidFill>
              <w14:schemeClr w14:val="tx1"/>
            </w14:solidFill>
          </w14:textFill>
        </w:rPr>
        <w:t>搞好学生的教育教学工作，培养儿童的良好习惯。</w:t>
      </w:r>
    </w:p>
    <w:p w14:paraId="10789A30">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5、社会公众满意度</w:t>
      </w:r>
    </w:p>
    <w:p w14:paraId="1F00CDC8">
      <w:pPr>
        <w:keepNext w:val="0"/>
        <w:keepLines w:val="0"/>
        <w:pageBreakBefore w:val="0"/>
        <w:widowControl w:val="0"/>
        <w:kinsoku/>
        <w:wordWrap/>
        <w:overflowPunct/>
        <w:topLinePunct w:val="0"/>
        <w:autoSpaceDE/>
        <w:autoSpaceDN/>
        <w:bidi w:val="0"/>
        <w:adjustRightInd/>
        <w:snapToGrid/>
        <w:ind w:left="0" w:firstLine="900" w:firstLineChars="3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社会公众满意度95%，家长满意度98%，学生满意度96%。</w:t>
      </w:r>
    </w:p>
    <w:p w14:paraId="17F0A1D2">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2D663A83">
      <w:pPr>
        <w:keepNext w:val="0"/>
        <w:keepLines w:val="0"/>
        <w:pageBreakBefore w:val="0"/>
        <w:widowControl w:val="0"/>
        <w:numPr>
          <w:ilvl w:val="0"/>
          <w:numId w:val="0"/>
        </w:numPr>
        <w:kinsoku/>
        <w:wordWrap/>
        <w:overflowPunct/>
        <w:topLinePunct w:val="0"/>
        <w:autoSpaceDE/>
        <w:autoSpaceDN/>
        <w:bidi w:val="0"/>
        <w:adjustRightInd/>
        <w:snapToGrid/>
        <w:ind w:firstLine="900" w:firstLineChars="3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1、预算编制工作有待细化。预算编制不够明确和细化，预算编制的合理性需要提高，预算执行力度还要进一步加强。</w:t>
      </w:r>
    </w:p>
    <w:p w14:paraId="5C30BFE2">
      <w:pPr>
        <w:keepNext w:val="0"/>
        <w:keepLines w:val="0"/>
        <w:pageBreakBefore w:val="0"/>
        <w:widowControl w:val="0"/>
        <w:numPr>
          <w:ilvl w:val="0"/>
          <w:numId w:val="0"/>
        </w:numPr>
        <w:kinsoku/>
        <w:wordWrap/>
        <w:overflowPunct/>
        <w:topLinePunct w:val="0"/>
        <w:autoSpaceDE/>
        <w:autoSpaceDN/>
        <w:bidi w:val="0"/>
        <w:adjustRightInd/>
        <w:snapToGrid/>
        <w:ind w:firstLine="900" w:firstLineChars="3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2、因单位全额编制少导致经费不足</w:t>
      </w:r>
    </w:p>
    <w:p w14:paraId="19C6D801">
      <w:pPr>
        <w:keepNext w:val="0"/>
        <w:keepLines w:val="0"/>
        <w:pageBreakBefore w:val="0"/>
        <w:widowControl w:val="0"/>
        <w:numPr>
          <w:ilvl w:val="0"/>
          <w:numId w:val="0"/>
        </w:numPr>
        <w:kinsoku/>
        <w:wordWrap/>
        <w:overflowPunct/>
        <w:topLinePunct w:val="0"/>
        <w:autoSpaceDE/>
        <w:autoSpaceDN/>
        <w:bidi w:val="0"/>
        <w:adjustRightInd/>
        <w:snapToGrid/>
        <w:ind w:firstLine="900" w:firstLineChars="3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足，绩效工资和日常公用经费与实际支出相差较大。</w:t>
      </w:r>
    </w:p>
    <w:p w14:paraId="324AB462">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14:paraId="29250D7E">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 </w:t>
      </w: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ab/>
      </w: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ab/>
      </w: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14:paraId="4CB51841">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      2、加强财务管理，严格财务审核。加强单位财务管理，健全单位财务管理制度体系，规范单位财务行为。在费用报账支付时，按照预算规定的费用项目和用途进行资金使用审核、列报支付、财务核算，杜绝超支现象的发生。</w:t>
      </w:r>
    </w:p>
    <w:p w14:paraId="587B6610">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1B9E1F94">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高度重视绩效评价结果的应用工作，积极探索和建立一套与预算管理相结合、多渠道应用评价结果的有效机制，着力增强绩效意识和财政资金使用效益。同时将部门整体支出绩效自评报告在单位门户网站上进行公开，广泛接受社会监督。</w:t>
      </w:r>
    </w:p>
    <w:p w14:paraId="4532BB03">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其他需要说明的情况</w:t>
      </w:r>
    </w:p>
    <w:p w14:paraId="3758A539">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无</w:t>
      </w:r>
    </w:p>
    <w:p w14:paraId="1AFD357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A1D21B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DEB97C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28B5050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563C681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7E8A55C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20F2D86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7653DFC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7BBFA09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6EAB043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10F9FE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35BBBF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3D302F6">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295993D7">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1FE429B0">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92A1F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28C8E5F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5F86717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5A7C140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r>
      <w:tr w14:paraId="188059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6FC46A49">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5AB201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2BD379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2989F3A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857C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6BD7C9F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320C3714">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6FA1447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5691FEA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005FE771">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A0A352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61FB0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038FBD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A4D3B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74AE06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03F1F5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453830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AB3B7A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99DFEF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5FDB7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C3F50B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6F8665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600B32F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14:paraId="6DD0F2B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14:paraId="272BAF0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14:paraId="6925B6BB">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14:paraId="42D14A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365996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14:paraId="59D1C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02734C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0E38C4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1226818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A00004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8E1B7B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EB695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C843EF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D1995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3D1FA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3B90E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716EFB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0E8E46C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62A50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2A1616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B865F6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BA2C1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41D92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5CBA0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32A4A6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B517E87">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65D6F2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01A8B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828E9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EBCD9A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5203D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CE9FD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E15BB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683ABB3E">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34150C9C">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564F521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7210300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B97B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1075" w:type="dxa"/>
            <w:vMerge w:val="continue"/>
            <w:tcBorders>
              <w:top w:val="nil"/>
            </w:tcBorders>
            <w:noWrap w:val="0"/>
            <w:vAlign w:val="center"/>
          </w:tcPr>
          <w:p w14:paraId="1C2A85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7C57B14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3E9E76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2982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75E7A48">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354307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337A26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7F41FD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778083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BC06B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18A2FC4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7C189F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0D7E91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7F310A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0A8A77FF">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729CC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6D2482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1A4A71A">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2015F40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F811B86">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3F2EABC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5D7F51F">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955094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3DAF221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614A3F3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CCC1F7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97B0B5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1D1F93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04D6B0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9F2EFA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A002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12586F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77643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3E040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92DE8E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95723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10F2D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CE4ECF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2A982B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CA3C43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138A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5896D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1CB45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B29B7D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243D0E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432140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DC4448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999D72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784260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698934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93BA5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DCF170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64BED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3C04FF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24C7487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CF4496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A6F648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24B05F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4ABE09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2BB540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5E3D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CDAEF4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99D8D1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4DC62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52EEDA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58D43D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A2A0AA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C67607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15F3A1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6A4DCC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6553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626E1B9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5B9EF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726058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06CE3E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65BA57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E9D419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6547EB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DF05BF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1E3118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B66F0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271EF6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03AC0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C5D12D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0B37C57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3587C0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6A5C23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50FFED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F83CB6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22D0CE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0C05B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4FE372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828C2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E052F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B35550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141053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5F6C2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83504E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0DD37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AE32D6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90B9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43C84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88AE5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D769E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9EA6BA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D2824D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B7DEFD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D25AD6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7B2103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782038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E6248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79268B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B1E92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14FCB84">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4FEB484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79C7BE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931AE8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01A33B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E01525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0124E5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AFF04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D6759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88728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E6074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F9CAF3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5BB8CD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F5F681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789460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04DAAF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1E93E7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5F91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3CF4B6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FA601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95F8F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C66BD2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056637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3A14C1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2FDF07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0DD308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60AD59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B3955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D491A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D846DF2">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7FAAAD0B">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47B50DEA">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22417E50">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333D44B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14:paraId="22A3B0A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4201AC4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0BB0A97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5A6AF5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C20CA6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50BA63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A73549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9EE04E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E606F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2A19DB7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6C64E9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2E514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082E0C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5B6578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6FD88E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441F75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B695E0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9BEC65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F007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14:paraId="6B5821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CA583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DE21E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1D131C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32D966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85EF82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B0E9D1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1FCF61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5F97F3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C43AE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BE5CF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3F309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EBB7542">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5223659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4199CE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DAF64E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0DD2AA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D615B1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D80434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1F446B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7F3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F52FC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B90856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10175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D4ECDD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948E8F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ADABCD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CA9D14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38D47B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10506B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58ADD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14:paraId="0205B3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206F6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70D71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D6B2F8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156111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979625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581C38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CB7921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65C2B7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4F8D3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480E21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405EF0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E13B1A6">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5B01A81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2CB4223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BA7BF2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D132EC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792AC0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BACEF3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ADC039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30B1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4E542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3A657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63EAC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CDD34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2EC40C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FDF638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9E5A1E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FE38C5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20E3D0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E994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14:paraId="2E8155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A9670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6B9FED7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D73607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2829F8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E6B55C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33137B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678CDB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E888A3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AA0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06A44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F323B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EBEEA19">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4A83F24">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617C495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689BA5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DB11FF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2C440C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8E6635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20A289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0CFD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E8E7D0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812BF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471C1F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2D459B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A967CE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30229C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334085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DB6E32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848687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4F32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14:paraId="7B6F07E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2E124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742EF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CD9321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5C7A83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2F8D1A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C5EE92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68B717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C6C329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9427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129185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D6FA00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C0C3F4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6FFD8CD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14:paraId="1674C54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646C760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2D39908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2D35F94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2AC92E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F4B2E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924CB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2338F2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5A9D09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508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773C2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C1531A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D602D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9636E1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D65F7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355A25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838149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2D942C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6BDC58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2E96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14:paraId="019F08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311111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B79EA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452CA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D3FC4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5A684F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DF932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7B1199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446A47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0760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6874019E">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0137AC75">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14:paraId="293B6D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1365" w:type="dxa"/>
            <w:noWrap w:val="0"/>
            <w:vAlign w:val="center"/>
          </w:tcPr>
          <w:p w14:paraId="69F65FD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bl>
    <w:p w14:paraId="6B73AF13">
      <w:pPr>
        <w:spacing w:line="252" w:lineRule="auto"/>
        <w:rPr>
          <w:rFonts w:ascii="Arial"/>
          <w:color w:val="000000" w:themeColor="text1"/>
          <w:sz w:val="21"/>
          <w14:textFill>
            <w14:solidFill>
              <w14:schemeClr w14:val="tx1"/>
            </w14:solidFill>
          </w14:textFill>
        </w:rPr>
      </w:pPr>
    </w:p>
    <w:p w14:paraId="2F6AAD88">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23FC48D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37A62B30">
      <w:pPr>
        <w:ind w:firstLine="1440" w:firstLineChars="400"/>
        <w:jc w:val="both"/>
        <w:rPr>
          <w:rFonts w:hint="eastAsia" w:eastAsia="方正小标宋简体"/>
          <w:sz w:val="36"/>
          <w:szCs w:val="36"/>
          <w:lang w:eastAsia="zh-CN"/>
        </w:rPr>
      </w:pPr>
    </w:p>
    <w:p w14:paraId="376B51DF">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14:paraId="4821A833">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3C180FE">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720CB5DB">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411AE4BC">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40483C7D">
            <w:pPr>
              <w:spacing w:line="240" w:lineRule="exact"/>
              <w:jc w:val="center"/>
              <w:rPr>
                <w:rFonts w:eastAsia="黑体"/>
                <w:szCs w:val="21"/>
              </w:rPr>
            </w:pPr>
            <w:r>
              <w:rPr>
                <w:rFonts w:eastAsia="黑体"/>
                <w:szCs w:val="21"/>
              </w:rPr>
              <w:t>评分</w:t>
            </w:r>
          </w:p>
        </w:tc>
      </w:tr>
      <w:tr w14:paraId="77E2F652">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0BFFD103">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61E0DD89">
            <w:pPr>
              <w:spacing w:line="320" w:lineRule="exact"/>
              <w:jc w:val="center"/>
              <w:rPr>
                <w:rFonts w:hint="eastAsia" w:asciiTheme="majorEastAsia" w:hAnsiTheme="majorEastAsia" w:eastAsiaTheme="majorEastAsia" w:cstheme="majorEastAsia"/>
                <w:szCs w:val="21"/>
              </w:rPr>
            </w:pPr>
          </w:p>
          <w:p w14:paraId="507C031E">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4F7F427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13BE02C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6273F98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144CA7F5">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14:paraId="587987C4">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2CBA07B">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6A2FCC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3E2184F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63AC70E4">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4B5B8035">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1F3DD9D5">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961299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1A4C4098">
            <w:pPr>
              <w:spacing w:line="240" w:lineRule="exact"/>
              <w:jc w:val="center"/>
              <w:rPr>
                <w:rFonts w:hint="eastAsia" w:asciiTheme="majorEastAsia" w:hAnsiTheme="majorEastAsia" w:eastAsiaTheme="majorEastAsia" w:cstheme="majorEastAsia"/>
                <w:szCs w:val="21"/>
              </w:rPr>
            </w:pPr>
          </w:p>
          <w:p w14:paraId="4DE29BC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547D145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442935C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73BEB44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76A1653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14A0AA4">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414A70C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p>
        </w:tc>
      </w:tr>
      <w:tr w14:paraId="630C4663">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506FA4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7CD0E50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51BFAB4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47B54E18">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90359EC">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29DC4F91">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0242F81C">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19</w:t>
            </w:r>
          </w:p>
        </w:tc>
      </w:tr>
      <w:tr w14:paraId="04F060F1">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EC327EC">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66288BE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0FC824E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5D34DA4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3E11F05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078D919C">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2E8C8A6A">
            <w:pPr>
              <w:spacing w:line="240" w:lineRule="exact"/>
              <w:jc w:val="center"/>
              <w:rPr>
                <w:rFonts w:hint="default" w:asciiTheme="majorEastAsia" w:hAnsiTheme="majorEastAsia" w:eastAsiaTheme="majorEastAsia" w:cstheme="majorEastAsia"/>
                <w:szCs w:val="21"/>
                <w:lang w:val="en-US"/>
              </w:rPr>
            </w:pPr>
            <w:r>
              <w:rPr>
                <w:rFonts w:hint="eastAsia" w:asciiTheme="majorEastAsia" w:hAnsiTheme="majorEastAsia" w:eastAsiaTheme="majorEastAsia" w:cstheme="majorEastAsia"/>
                <w:szCs w:val="21"/>
                <w:lang w:val="en-US" w:eastAsia="zh-CN"/>
              </w:rPr>
              <w:t>18</w:t>
            </w:r>
          </w:p>
        </w:tc>
      </w:tr>
      <w:tr w14:paraId="4A569307">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659EF2B">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1E1C38C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01571B7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79274EE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072084EC">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0FBB23B">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14</w:t>
            </w:r>
          </w:p>
        </w:tc>
      </w:tr>
      <w:tr w14:paraId="6A27DF41">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0A4DFCE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5770CA1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6ECFEB01">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332C5684">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96</w:t>
            </w:r>
          </w:p>
        </w:tc>
      </w:tr>
    </w:tbl>
    <w:p w14:paraId="6BB604EE">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72B18">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7B30C7">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17B30C7">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172FCC"/>
    <w:multiLevelType w:val="singleLevel"/>
    <w:tmpl w:val="FF172FCC"/>
    <w:lvl w:ilvl="0" w:tentative="0">
      <w:start w:val="2"/>
      <w:numFmt w:val="chineseCounting"/>
      <w:lvlText w:val="(%1)"/>
      <w:lvlJc w:val="left"/>
      <w:pPr>
        <w:tabs>
          <w:tab w:val="left" w:pos="312"/>
        </w:tabs>
      </w:pPr>
      <w:rPr>
        <w:rFonts w:hint="eastAsia"/>
      </w:rPr>
    </w:lvl>
  </w:abstractNum>
  <w:abstractNum w:abstractNumId="1">
    <w:nsid w:val="26CDAD09"/>
    <w:multiLevelType w:val="singleLevel"/>
    <w:tmpl w:val="26CDAD09"/>
    <w:lvl w:ilvl="0" w:tentative="0">
      <w:start w:val="2"/>
      <w:numFmt w:val="chineseCounting"/>
      <w:suff w:val="nothing"/>
      <w:lvlText w:val="（%1）"/>
      <w:lvlJc w:val="left"/>
      <w:rPr>
        <w:rFonts w:hint="eastAsia"/>
      </w:rPr>
    </w:lvl>
  </w:abstractNum>
  <w:abstractNum w:abstractNumId="2">
    <w:nsid w:val="2BB05EA9"/>
    <w:multiLevelType w:val="singleLevel"/>
    <w:tmpl w:val="2BB05EA9"/>
    <w:lvl w:ilvl="0" w:tentative="0">
      <w:start w:val="2"/>
      <w:numFmt w:val="decimal"/>
      <w:suff w:val="nothing"/>
      <w:lvlText w:val="%1、"/>
      <w:lvlJc w:val="left"/>
    </w:lvl>
  </w:abstractNum>
  <w:abstractNum w:abstractNumId="3">
    <w:nsid w:val="2C6E2347"/>
    <w:multiLevelType w:val="singleLevel"/>
    <w:tmpl w:val="2C6E2347"/>
    <w:lvl w:ilvl="0" w:tentative="0">
      <w:start w:val="1"/>
      <w:numFmt w:val="decimal"/>
      <w:suff w:val="nothing"/>
      <w:lvlText w:val="%1、"/>
      <w:lvlJc w:val="left"/>
      <w:pPr>
        <w:ind w:left="840"/>
      </w:pPr>
    </w:lvl>
  </w:abstractNum>
  <w:abstractNum w:abstractNumId="4">
    <w:nsid w:val="4D79A5B9"/>
    <w:multiLevelType w:val="singleLevel"/>
    <w:tmpl w:val="4D79A5B9"/>
    <w:lvl w:ilvl="0" w:tentative="0">
      <w:start w:val="1"/>
      <w:numFmt w:val="chineseCounting"/>
      <w:suff w:val="nothing"/>
      <w:lvlText w:val="（%1）"/>
      <w:lvlJc w:val="left"/>
      <w:rPr>
        <w:rFonts w:hint="eastAsia"/>
      </w:rPr>
    </w:lvl>
  </w:abstractNum>
  <w:abstractNum w:abstractNumId="5">
    <w:nsid w:val="6371B011"/>
    <w:multiLevelType w:val="singleLevel"/>
    <w:tmpl w:val="6371B011"/>
    <w:lvl w:ilvl="0" w:tentative="0">
      <w:start w:val="4"/>
      <w:numFmt w:val="chineseCounting"/>
      <w:suff w:val="nothing"/>
      <w:lvlText w:val="%1、"/>
      <w:lvlJc w:val="left"/>
      <w:rPr>
        <w:rFonts w:hint="eastAsia"/>
      </w:rPr>
    </w:lvl>
  </w:abstractNum>
  <w:abstractNum w:abstractNumId="6">
    <w:nsid w:val="7FF6C29C"/>
    <w:multiLevelType w:val="singleLevel"/>
    <w:tmpl w:val="7FF6C29C"/>
    <w:lvl w:ilvl="0" w:tentative="0">
      <w:start w:val="1"/>
      <w:numFmt w:val="chineseCounting"/>
      <w:suff w:val="nothing"/>
      <w:lvlText w:val="%1、"/>
      <w:lvlJc w:val="left"/>
      <w:rPr>
        <w:rFonts w:hint="eastAsia"/>
      </w:rPr>
    </w:lvl>
  </w:abstractNum>
  <w:num w:numId="1">
    <w:abstractNumId w:val="6"/>
  </w:num>
  <w:num w:numId="2">
    <w:abstractNumId w:val="2"/>
  </w:num>
  <w:num w:numId="3">
    <w:abstractNumId w:val="1"/>
  </w:num>
  <w:num w:numId="4">
    <w:abstractNumId w:val="0"/>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0FF4A76"/>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236B3"/>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25CB3"/>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571DAC"/>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9B6FC5"/>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091B50"/>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10B53"/>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171F5"/>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008B2"/>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465A3"/>
    <w:rsid w:val="11961E43"/>
    <w:rsid w:val="11987ED2"/>
    <w:rsid w:val="119969A0"/>
    <w:rsid w:val="11A91B68"/>
    <w:rsid w:val="11B76464"/>
    <w:rsid w:val="11BC2DF3"/>
    <w:rsid w:val="11C43676"/>
    <w:rsid w:val="11E47DBA"/>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9C1546"/>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86E84"/>
    <w:rsid w:val="16BF0789"/>
    <w:rsid w:val="16CD5BA2"/>
    <w:rsid w:val="16D42F73"/>
    <w:rsid w:val="16DA34D2"/>
    <w:rsid w:val="16DA4E41"/>
    <w:rsid w:val="16F042AC"/>
    <w:rsid w:val="16F626B5"/>
    <w:rsid w:val="16FB005D"/>
    <w:rsid w:val="16FC4F3B"/>
    <w:rsid w:val="171630EB"/>
    <w:rsid w:val="171A37D0"/>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8F3627"/>
    <w:rsid w:val="199945D5"/>
    <w:rsid w:val="199B5065"/>
    <w:rsid w:val="19D37D58"/>
    <w:rsid w:val="19DD0438"/>
    <w:rsid w:val="1A0A04E6"/>
    <w:rsid w:val="1A187AC0"/>
    <w:rsid w:val="1A213466"/>
    <w:rsid w:val="1A3F3F76"/>
    <w:rsid w:val="1A4B4BAE"/>
    <w:rsid w:val="1A5F35C0"/>
    <w:rsid w:val="1A8006B2"/>
    <w:rsid w:val="1A8D640E"/>
    <w:rsid w:val="1A9137D8"/>
    <w:rsid w:val="1A974192"/>
    <w:rsid w:val="1ACA62AD"/>
    <w:rsid w:val="1ADA675E"/>
    <w:rsid w:val="1AE11CDA"/>
    <w:rsid w:val="1B0B5B76"/>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AB0BAB"/>
    <w:rsid w:val="1BC74329"/>
    <w:rsid w:val="1BC90A36"/>
    <w:rsid w:val="1BD0347B"/>
    <w:rsid w:val="1BD40AF3"/>
    <w:rsid w:val="1BD802A4"/>
    <w:rsid w:val="1BDF236A"/>
    <w:rsid w:val="1C0435DD"/>
    <w:rsid w:val="1C044A22"/>
    <w:rsid w:val="1C0500B1"/>
    <w:rsid w:val="1C165874"/>
    <w:rsid w:val="1C1D4C3D"/>
    <w:rsid w:val="1C212C7F"/>
    <w:rsid w:val="1C2E35CB"/>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994D8B"/>
    <w:rsid w:val="20A45C99"/>
    <w:rsid w:val="20AD18F5"/>
    <w:rsid w:val="20B77D0F"/>
    <w:rsid w:val="20BB288C"/>
    <w:rsid w:val="20D06EB4"/>
    <w:rsid w:val="20E40557"/>
    <w:rsid w:val="20EF04D3"/>
    <w:rsid w:val="210C69CF"/>
    <w:rsid w:val="21107C1A"/>
    <w:rsid w:val="213018E1"/>
    <w:rsid w:val="21392A2F"/>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DA5CC8"/>
    <w:rsid w:val="21E233A3"/>
    <w:rsid w:val="21E23F6C"/>
    <w:rsid w:val="21E345FD"/>
    <w:rsid w:val="22171E1E"/>
    <w:rsid w:val="22383B4D"/>
    <w:rsid w:val="2240300F"/>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17BF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231F"/>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B775A"/>
    <w:rsid w:val="2C0F30B3"/>
    <w:rsid w:val="2C1235EB"/>
    <w:rsid w:val="2C162BEC"/>
    <w:rsid w:val="2C2F0BC4"/>
    <w:rsid w:val="2C391765"/>
    <w:rsid w:val="2C3D18DD"/>
    <w:rsid w:val="2C3D5EB9"/>
    <w:rsid w:val="2C411A4B"/>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31FD"/>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1180C"/>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612FC"/>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BE5E44"/>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935515"/>
    <w:rsid w:val="37C244FC"/>
    <w:rsid w:val="37D95C79"/>
    <w:rsid w:val="37E81F7B"/>
    <w:rsid w:val="37FF5E78"/>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82A38"/>
    <w:rsid w:val="3BA96003"/>
    <w:rsid w:val="3BC61A51"/>
    <w:rsid w:val="3BE14893"/>
    <w:rsid w:val="3BE8265C"/>
    <w:rsid w:val="3BE92A35"/>
    <w:rsid w:val="3BEB460F"/>
    <w:rsid w:val="3BEF1DA2"/>
    <w:rsid w:val="3BF64635"/>
    <w:rsid w:val="3BF956C3"/>
    <w:rsid w:val="3C0E5CDB"/>
    <w:rsid w:val="3C4D3B02"/>
    <w:rsid w:val="3C5B1D89"/>
    <w:rsid w:val="3C5E7240"/>
    <w:rsid w:val="3C85498F"/>
    <w:rsid w:val="3C8946A5"/>
    <w:rsid w:val="3CA372A1"/>
    <w:rsid w:val="3CA600E0"/>
    <w:rsid w:val="3CB765A9"/>
    <w:rsid w:val="3CBA4326"/>
    <w:rsid w:val="3CBC0BE3"/>
    <w:rsid w:val="3CC614DA"/>
    <w:rsid w:val="3CD01DA9"/>
    <w:rsid w:val="3CDA38F5"/>
    <w:rsid w:val="3CDD517D"/>
    <w:rsid w:val="3CE33FC3"/>
    <w:rsid w:val="3CEA3B31"/>
    <w:rsid w:val="3CF4361D"/>
    <w:rsid w:val="3CF9401E"/>
    <w:rsid w:val="3CFC6325"/>
    <w:rsid w:val="3D093C71"/>
    <w:rsid w:val="3D0F66A9"/>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E5282"/>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4B4325F"/>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E66FF"/>
    <w:rsid w:val="482F10F4"/>
    <w:rsid w:val="48606A0B"/>
    <w:rsid w:val="486D78BB"/>
    <w:rsid w:val="48915636"/>
    <w:rsid w:val="48985F31"/>
    <w:rsid w:val="48AC6E35"/>
    <w:rsid w:val="48BD43A0"/>
    <w:rsid w:val="48C96968"/>
    <w:rsid w:val="48F84416"/>
    <w:rsid w:val="49064E04"/>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D0653B"/>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5651A9"/>
    <w:rsid w:val="57802A35"/>
    <w:rsid w:val="578C3658"/>
    <w:rsid w:val="57923BE0"/>
    <w:rsid w:val="57B66918"/>
    <w:rsid w:val="57BD6FCE"/>
    <w:rsid w:val="57D214D2"/>
    <w:rsid w:val="57DA1A42"/>
    <w:rsid w:val="58002D08"/>
    <w:rsid w:val="58057728"/>
    <w:rsid w:val="581B6C5C"/>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371E6F"/>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03CD6"/>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74C68"/>
    <w:rsid w:val="6A3A22EA"/>
    <w:rsid w:val="6A3F2D1D"/>
    <w:rsid w:val="6A592054"/>
    <w:rsid w:val="6A6B2077"/>
    <w:rsid w:val="6A777087"/>
    <w:rsid w:val="6A820574"/>
    <w:rsid w:val="6A99048F"/>
    <w:rsid w:val="6A9B1460"/>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3A98"/>
    <w:rsid w:val="6C1A5960"/>
    <w:rsid w:val="6C417EB8"/>
    <w:rsid w:val="6C613F45"/>
    <w:rsid w:val="6C756221"/>
    <w:rsid w:val="6C7B08BB"/>
    <w:rsid w:val="6C816AF9"/>
    <w:rsid w:val="6C846694"/>
    <w:rsid w:val="6CA841D2"/>
    <w:rsid w:val="6CB10385"/>
    <w:rsid w:val="6CDF0F3A"/>
    <w:rsid w:val="6CE47854"/>
    <w:rsid w:val="6D0D25B8"/>
    <w:rsid w:val="6D13265B"/>
    <w:rsid w:val="6D360A3D"/>
    <w:rsid w:val="6D36363F"/>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22AC6"/>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805004"/>
    <w:rsid w:val="70954F53"/>
    <w:rsid w:val="70A94A40"/>
    <w:rsid w:val="70D80F32"/>
    <w:rsid w:val="70D97C76"/>
    <w:rsid w:val="70F76E40"/>
    <w:rsid w:val="711337D0"/>
    <w:rsid w:val="713173E8"/>
    <w:rsid w:val="71420658"/>
    <w:rsid w:val="7143472C"/>
    <w:rsid w:val="71440341"/>
    <w:rsid w:val="714E7742"/>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C34D72"/>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720FA8"/>
    <w:rsid w:val="758B283A"/>
    <w:rsid w:val="759417EE"/>
    <w:rsid w:val="75BD313A"/>
    <w:rsid w:val="75BF6D3D"/>
    <w:rsid w:val="75DC1EF4"/>
    <w:rsid w:val="75E50837"/>
    <w:rsid w:val="75EB1A91"/>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4576</Words>
  <Characters>5011</Characters>
  <Lines>0</Lines>
  <Paragraphs>0</Paragraphs>
  <TotalTime>44</TotalTime>
  <ScaleCrop>false</ScaleCrop>
  <LinksUpToDate>false</LinksUpToDate>
  <CharactersWithSpaces>5206</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朱莎琼</cp:lastModifiedBy>
  <cp:lastPrinted>2023-05-26T08:11:00Z</cp:lastPrinted>
  <dcterms:modified xsi:type="dcterms:W3CDTF">2024-07-15T15:45:32Z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9255E086916E4A72B9250B1AFA9BA46C_13</vt:lpwstr>
  </property>
</Properties>
</file>