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9D6065">
      <w:pPr>
        <w:rPr>
          <w:rFonts w:ascii="黑体" w:hAnsi="黑体" w:eastAsia="黑体" w:cs="黑体"/>
          <w:color w:val="000000" w:themeColor="text1"/>
          <w:spacing w:val="10"/>
          <w:sz w:val="32"/>
          <w:szCs w:val="32"/>
        </w:rPr>
      </w:pPr>
      <w:bookmarkStart w:id="0" w:name="_GoBack"/>
      <w:bookmarkEnd w:id="0"/>
      <w:r>
        <w:rPr>
          <w:rFonts w:ascii="黑体" w:hAnsi="黑体" w:eastAsia="黑体" w:cs="黑体"/>
          <w:color w:val="000000" w:themeColor="text1"/>
          <w:spacing w:val="10"/>
          <w:sz w:val="32"/>
          <w:szCs w:val="32"/>
        </w:rPr>
        <w:t>附件</w:t>
      </w:r>
      <w:r>
        <w:rPr>
          <w:rFonts w:hint="eastAsia" w:ascii="黑体" w:hAnsi="黑体" w:eastAsia="黑体" w:cs="黑体"/>
          <w:color w:val="000000" w:themeColor="text1"/>
          <w:spacing w:val="10"/>
          <w:sz w:val="32"/>
          <w:szCs w:val="32"/>
        </w:rPr>
        <w:t>3</w:t>
      </w:r>
    </w:p>
    <w:p w14:paraId="730A7C01">
      <w:pPr>
        <w:spacing w:line="700" w:lineRule="exact"/>
        <w:jc w:val="center"/>
        <w:rPr>
          <w:rFonts w:ascii="方正小标宋简体" w:hAnsi="方正小标宋简体" w:eastAsia="方正小标宋简体" w:cs="方正小标宋简体"/>
          <w:color w:val="000000" w:themeColor="text1"/>
          <w:spacing w:val="2"/>
          <w:sz w:val="42"/>
          <w:szCs w:val="42"/>
        </w:rPr>
      </w:pPr>
    </w:p>
    <w:p w14:paraId="42AA0685">
      <w:pPr>
        <w:spacing w:line="700" w:lineRule="exact"/>
        <w:jc w:val="center"/>
        <w:rPr>
          <w:rFonts w:ascii="方正小标宋简体" w:hAnsi="方正小标宋简体" w:eastAsia="方正小标宋简体" w:cs="方正小标宋简体"/>
          <w:color w:val="000000" w:themeColor="text1"/>
          <w:spacing w:val="2"/>
          <w:sz w:val="44"/>
          <w:szCs w:val="44"/>
        </w:rPr>
      </w:pPr>
      <w:r>
        <w:rPr>
          <w:rFonts w:ascii="方正小标宋简体" w:hAnsi="方正小标宋简体" w:eastAsia="方正小标宋简体" w:cs="方正小标宋简体"/>
          <w:color w:val="000000" w:themeColor="text1"/>
          <w:spacing w:val="2"/>
          <w:sz w:val="44"/>
          <w:szCs w:val="44"/>
        </w:rPr>
        <w:t>2022年度</w:t>
      </w:r>
      <w:r>
        <w:rPr>
          <w:rFonts w:hint="eastAsia" w:ascii="方正小标宋简体" w:hAnsi="方正小标宋简体" w:eastAsia="方正小标宋简体" w:cs="方正小标宋简体"/>
          <w:color w:val="000000" w:themeColor="text1"/>
          <w:spacing w:val="2"/>
          <w:sz w:val="44"/>
          <w:szCs w:val="44"/>
        </w:rPr>
        <w:t>郭镇乡</w:t>
      </w:r>
      <w:r>
        <w:rPr>
          <w:rFonts w:ascii="方正小标宋简体" w:hAnsi="方正小标宋简体" w:eastAsia="方正小标宋简体" w:cs="方正小标宋简体"/>
          <w:color w:val="000000" w:themeColor="text1"/>
          <w:spacing w:val="2"/>
          <w:sz w:val="44"/>
          <w:szCs w:val="44"/>
        </w:rPr>
        <w:t>单位整体支出</w:t>
      </w:r>
    </w:p>
    <w:p w14:paraId="1C79EC1A">
      <w:pPr>
        <w:spacing w:line="700" w:lineRule="exact"/>
        <w:jc w:val="center"/>
        <w:rPr>
          <w:rFonts w:ascii="方正小标宋简体" w:hAnsi="方正小标宋简体" w:eastAsia="方正小标宋简体" w:cs="方正小标宋简体"/>
          <w:color w:val="000000" w:themeColor="text1"/>
          <w:spacing w:val="2"/>
          <w:sz w:val="44"/>
          <w:szCs w:val="44"/>
        </w:rPr>
      </w:pPr>
      <w:r>
        <w:rPr>
          <w:rFonts w:ascii="方正小标宋简体" w:hAnsi="方正小标宋简体" w:eastAsia="方正小标宋简体" w:cs="方正小标宋简体"/>
          <w:color w:val="000000" w:themeColor="text1"/>
          <w:spacing w:val="2"/>
          <w:sz w:val="44"/>
          <w:szCs w:val="44"/>
        </w:rPr>
        <w:t>绩效自评报告</w:t>
      </w:r>
    </w:p>
    <w:p w14:paraId="27FFF349">
      <w:pPr>
        <w:jc w:val="left"/>
        <w:rPr>
          <w:rFonts w:ascii="仿宋" w:hAnsi="仿宋" w:eastAsia="仿宋" w:cs="仿宋"/>
          <w:color w:val="000000" w:themeColor="text1"/>
          <w:sz w:val="22"/>
          <w:szCs w:val="22"/>
        </w:rPr>
      </w:pPr>
    </w:p>
    <w:p w14:paraId="02C2AA14">
      <w:pPr>
        <w:jc w:val="left"/>
        <w:rPr>
          <w:rFonts w:ascii="仿宋" w:hAnsi="仿宋" w:eastAsia="仿宋" w:cs="仿宋"/>
          <w:color w:val="000000" w:themeColor="text1"/>
          <w:sz w:val="22"/>
          <w:szCs w:val="22"/>
        </w:rPr>
      </w:pPr>
    </w:p>
    <w:p w14:paraId="6EE860C4">
      <w:pPr>
        <w:jc w:val="left"/>
        <w:rPr>
          <w:rFonts w:ascii="仿宋" w:hAnsi="仿宋" w:eastAsia="仿宋" w:cs="仿宋"/>
          <w:color w:val="000000" w:themeColor="text1"/>
          <w:sz w:val="22"/>
          <w:szCs w:val="22"/>
        </w:rPr>
      </w:pPr>
    </w:p>
    <w:p w14:paraId="171228C3">
      <w:pPr>
        <w:jc w:val="left"/>
        <w:rPr>
          <w:rFonts w:ascii="仿宋" w:hAnsi="仿宋" w:eastAsia="仿宋" w:cs="仿宋"/>
          <w:color w:val="000000" w:themeColor="text1"/>
          <w:sz w:val="22"/>
          <w:szCs w:val="22"/>
        </w:rPr>
      </w:pPr>
    </w:p>
    <w:p w14:paraId="45B599C0">
      <w:pPr>
        <w:jc w:val="left"/>
        <w:rPr>
          <w:rFonts w:ascii="仿宋" w:hAnsi="仿宋" w:eastAsia="仿宋" w:cs="仿宋"/>
          <w:color w:val="000000" w:themeColor="text1"/>
          <w:sz w:val="22"/>
          <w:szCs w:val="22"/>
        </w:rPr>
      </w:pPr>
    </w:p>
    <w:p w14:paraId="7DCB444A">
      <w:pPr>
        <w:jc w:val="left"/>
        <w:rPr>
          <w:rFonts w:ascii="仿宋" w:hAnsi="仿宋" w:eastAsia="仿宋" w:cs="仿宋"/>
          <w:color w:val="000000" w:themeColor="text1"/>
          <w:sz w:val="22"/>
          <w:szCs w:val="22"/>
        </w:rPr>
      </w:pPr>
    </w:p>
    <w:p w14:paraId="6F0060CC">
      <w:pPr>
        <w:jc w:val="left"/>
        <w:rPr>
          <w:rFonts w:ascii="仿宋" w:hAnsi="仿宋" w:eastAsia="仿宋" w:cs="仿宋"/>
          <w:color w:val="000000" w:themeColor="text1"/>
          <w:sz w:val="22"/>
          <w:szCs w:val="22"/>
        </w:rPr>
      </w:pPr>
    </w:p>
    <w:p w14:paraId="2D3803D6">
      <w:pPr>
        <w:jc w:val="left"/>
        <w:rPr>
          <w:rFonts w:ascii="仿宋" w:hAnsi="仿宋" w:eastAsia="仿宋" w:cs="仿宋"/>
          <w:color w:val="000000" w:themeColor="text1"/>
          <w:sz w:val="22"/>
          <w:szCs w:val="22"/>
        </w:rPr>
      </w:pPr>
    </w:p>
    <w:p w14:paraId="127AB648">
      <w:pPr>
        <w:jc w:val="left"/>
        <w:rPr>
          <w:rFonts w:ascii="仿宋" w:hAnsi="仿宋" w:eastAsia="仿宋" w:cs="仿宋"/>
          <w:color w:val="000000" w:themeColor="text1"/>
          <w:sz w:val="22"/>
          <w:szCs w:val="22"/>
        </w:rPr>
      </w:pPr>
    </w:p>
    <w:p w14:paraId="668EEBD2">
      <w:pPr>
        <w:jc w:val="left"/>
        <w:rPr>
          <w:rFonts w:ascii="仿宋" w:hAnsi="仿宋" w:eastAsia="仿宋" w:cs="仿宋"/>
          <w:color w:val="000000" w:themeColor="text1"/>
          <w:sz w:val="22"/>
          <w:szCs w:val="22"/>
        </w:rPr>
      </w:pPr>
    </w:p>
    <w:p w14:paraId="7F2C0DFE">
      <w:pPr>
        <w:jc w:val="left"/>
        <w:rPr>
          <w:rFonts w:ascii="仿宋" w:hAnsi="仿宋" w:eastAsia="仿宋" w:cs="仿宋"/>
          <w:color w:val="000000" w:themeColor="text1"/>
          <w:sz w:val="22"/>
          <w:szCs w:val="22"/>
        </w:rPr>
      </w:pPr>
    </w:p>
    <w:p w14:paraId="3A812E79">
      <w:pPr>
        <w:jc w:val="left"/>
        <w:rPr>
          <w:rFonts w:ascii="仿宋" w:hAnsi="仿宋" w:eastAsia="仿宋" w:cs="仿宋"/>
          <w:color w:val="000000" w:themeColor="text1"/>
          <w:sz w:val="22"/>
          <w:szCs w:val="22"/>
        </w:rPr>
      </w:pPr>
    </w:p>
    <w:p w14:paraId="705E8135">
      <w:pPr>
        <w:jc w:val="left"/>
        <w:rPr>
          <w:rFonts w:ascii="仿宋" w:hAnsi="仿宋" w:eastAsia="仿宋" w:cs="仿宋"/>
          <w:color w:val="000000" w:themeColor="text1"/>
          <w:sz w:val="22"/>
          <w:szCs w:val="22"/>
        </w:rPr>
      </w:pPr>
    </w:p>
    <w:p w14:paraId="7BCD37C3">
      <w:pPr>
        <w:jc w:val="left"/>
        <w:rPr>
          <w:rFonts w:ascii="仿宋" w:hAnsi="仿宋" w:eastAsia="仿宋" w:cs="仿宋"/>
          <w:color w:val="000000" w:themeColor="text1"/>
          <w:sz w:val="22"/>
          <w:szCs w:val="22"/>
        </w:rPr>
      </w:pPr>
    </w:p>
    <w:p w14:paraId="607C333A">
      <w:pPr>
        <w:jc w:val="left"/>
        <w:rPr>
          <w:rFonts w:ascii="仿宋" w:hAnsi="仿宋" w:eastAsia="仿宋" w:cs="仿宋"/>
          <w:color w:val="000000" w:themeColor="text1"/>
          <w:sz w:val="22"/>
          <w:szCs w:val="22"/>
        </w:rPr>
      </w:pPr>
    </w:p>
    <w:p w14:paraId="3ED93A71">
      <w:pPr>
        <w:jc w:val="left"/>
        <w:rPr>
          <w:rFonts w:ascii="仿宋" w:hAnsi="仿宋" w:eastAsia="仿宋" w:cs="仿宋"/>
          <w:color w:val="000000" w:themeColor="text1"/>
          <w:sz w:val="22"/>
          <w:szCs w:val="22"/>
        </w:rPr>
      </w:pPr>
    </w:p>
    <w:p w14:paraId="2FB3E721">
      <w:pPr>
        <w:jc w:val="left"/>
        <w:rPr>
          <w:rFonts w:ascii="仿宋" w:hAnsi="仿宋" w:eastAsia="仿宋" w:cs="仿宋"/>
          <w:color w:val="000000" w:themeColor="text1"/>
          <w:sz w:val="22"/>
          <w:szCs w:val="22"/>
        </w:rPr>
      </w:pPr>
    </w:p>
    <w:p w14:paraId="2655CAB4">
      <w:pPr>
        <w:jc w:val="left"/>
        <w:rPr>
          <w:rFonts w:ascii="仿宋" w:hAnsi="仿宋" w:eastAsia="仿宋" w:cs="仿宋"/>
          <w:color w:val="000000" w:themeColor="text1"/>
          <w:sz w:val="22"/>
          <w:szCs w:val="22"/>
        </w:rPr>
      </w:pPr>
    </w:p>
    <w:p w14:paraId="46B1C888">
      <w:pPr>
        <w:jc w:val="left"/>
        <w:rPr>
          <w:rFonts w:ascii="仿宋" w:hAnsi="仿宋" w:eastAsia="仿宋" w:cs="仿宋"/>
          <w:color w:val="000000" w:themeColor="text1"/>
          <w:sz w:val="22"/>
          <w:szCs w:val="22"/>
        </w:rPr>
      </w:pPr>
    </w:p>
    <w:p w14:paraId="278E6091">
      <w:pPr>
        <w:jc w:val="left"/>
        <w:rPr>
          <w:rFonts w:ascii="仿宋" w:hAnsi="仿宋" w:eastAsia="仿宋" w:cs="仿宋"/>
          <w:color w:val="000000" w:themeColor="text1"/>
          <w:sz w:val="22"/>
          <w:szCs w:val="22"/>
        </w:rPr>
      </w:pPr>
    </w:p>
    <w:p w14:paraId="6477D295">
      <w:pPr>
        <w:jc w:val="left"/>
        <w:rPr>
          <w:rFonts w:ascii="仿宋" w:hAnsi="仿宋" w:eastAsia="仿宋" w:cs="仿宋"/>
          <w:color w:val="000000" w:themeColor="text1"/>
          <w:sz w:val="22"/>
          <w:szCs w:val="22"/>
        </w:rPr>
      </w:pPr>
    </w:p>
    <w:p w14:paraId="42633FEC">
      <w:pPr>
        <w:jc w:val="left"/>
        <w:rPr>
          <w:rFonts w:ascii="仿宋" w:hAnsi="仿宋" w:eastAsia="仿宋" w:cs="仿宋"/>
          <w:color w:val="000000" w:themeColor="text1"/>
          <w:sz w:val="22"/>
          <w:szCs w:val="22"/>
        </w:rPr>
      </w:pPr>
    </w:p>
    <w:p w14:paraId="78CB790D">
      <w:pPr>
        <w:jc w:val="left"/>
        <w:rPr>
          <w:rFonts w:ascii="仿宋" w:hAnsi="仿宋" w:eastAsia="仿宋" w:cs="仿宋"/>
          <w:color w:val="000000" w:themeColor="text1"/>
          <w:sz w:val="22"/>
          <w:szCs w:val="22"/>
        </w:rPr>
      </w:pPr>
    </w:p>
    <w:p w14:paraId="1C8B7EE9">
      <w:pPr>
        <w:jc w:val="left"/>
        <w:rPr>
          <w:rFonts w:ascii="仿宋" w:hAnsi="仿宋" w:eastAsia="仿宋" w:cs="仿宋"/>
          <w:color w:val="000000" w:themeColor="text1"/>
          <w:sz w:val="22"/>
          <w:szCs w:val="22"/>
        </w:rPr>
      </w:pPr>
    </w:p>
    <w:p w14:paraId="7A2F00D3">
      <w:pPr>
        <w:jc w:val="left"/>
        <w:rPr>
          <w:rFonts w:ascii="仿宋" w:hAnsi="仿宋" w:eastAsia="仿宋" w:cs="仿宋"/>
          <w:color w:val="000000" w:themeColor="text1"/>
          <w:sz w:val="22"/>
          <w:szCs w:val="22"/>
        </w:rPr>
      </w:pPr>
    </w:p>
    <w:p w14:paraId="7F62677C">
      <w:pPr>
        <w:jc w:val="left"/>
        <w:rPr>
          <w:rFonts w:ascii="仿宋" w:hAnsi="仿宋" w:eastAsia="仿宋" w:cs="仿宋"/>
          <w:color w:val="000000" w:themeColor="text1"/>
          <w:sz w:val="22"/>
          <w:szCs w:val="22"/>
        </w:rPr>
      </w:pPr>
    </w:p>
    <w:p w14:paraId="03AE172D">
      <w:pPr>
        <w:jc w:val="center"/>
        <w:rPr>
          <w:rFonts w:ascii="楷体_GB2312" w:hAnsi="楷体_GB2312" w:eastAsia="楷体_GB2312" w:cs="楷体_GB2312"/>
          <w:color w:val="000000" w:themeColor="text1"/>
          <w:sz w:val="36"/>
          <w:szCs w:val="36"/>
        </w:rPr>
      </w:pPr>
      <w:r>
        <w:rPr>
          <w:rFonts w:hint="eastAsia" w:ascii="楷体_GB2312" w:hAnsi="楷体_GB2312" w:eastAsia="楷体_GB2312" w:cs="楷体_GB2312"/>
          <w:color w:val="000000" w:themeColor="text1"/>
          <w:sz w:val="36"/>
          <w:szCs w:val="36"/>
        </w:rPr>
        <w:t>部门(单位)名称：郭镇乡人民政府 ( 盖 章 )</w:t>
      </w:r>
    </w:p>
    <w:p w14:paraId="66927E68">
      <w:pPr>
        <w:jc w:val="center"/>
        <w:rPr>
          <w:rFonts w:ascii="楷体_GB2312" w:hAnsi="楷体_GB2312" w:eastAsia="楷体_GB2312" w:cs="楷体_GB2312"/>
          <w:color w:val="000000" w:themeColor="text1"/>
          <w:sz w:val="36"/>
          <w:szCs w:val="36"/>
        </w:rPr>
      </w:pPr>
      <w:r>
        <w:rPr>
          <w:rFonts w:hint="eastAsia" w:ascii="楷体_GB2312" w:hAnsi="楷体_GB2312" w:eastAsia="楷体_GB2312" w:cs="楷体_GB2312"/>
          <w:color w:val="000000" w:themeColor="text1"/>
          <w:sz w:val="36"/>
          <w:szCs w:val="36"/>
        </w:rPr>
        <w:t>2023年6月14日</w:t>
      </w:r>
    </w:p>
    <w:p w14:paraId="4D7CC762">
      <w:pPr>
        <w:jc w:val="left"/>
        <w:rPr>
          <w:rFonts w:ascii="仿宋" w:hAnsi="仿宋" w:eastAsia="仿宋" w:cs="仿宋"/>
          <w:color w:val="000000" w:themeColor="text1"/>
          <w:sz w:val="22"/>
          <w:szCs w:val="22"/>
        </w:rPr>
      </w:pPr>
    </w:p>
    <w:p w14:paraId="3B2994B8">
      <w:pPr>
        <w:jc w:val="left"/>
        <w:rPr>
          <w:rFonts w:ascii="仿宋" w:hAnsi="仿宋" w:eastAsia="仿宋" w:cs="仿宋"/>
          <w:color w:val="000000" w:themeColor="text1"/>
          <w:sz w:val="22"/>
          <w:szCs w:val="22"/>
        </w:rPr>
      </w:pPr>
    </w:p>
    <w:p w14:paraId="4710A0C9">
      <w:pPr>
        <w:jc w:val="left"/>
        <w:rPr>
          <w:rFonts w:ascii="仿宋" w:hAnsi="仿宋" w:eastAsia="仿宋" w:cs="仿宋"/>
          <w:color w:val="000000" w:themeColor="text1"/>
          <w:sz w:val="22"/>
          <w:szCs w:val="22"/>
        </w:rPr>
      </w:pPr>
    </w:p>
    <w:p w14:paraId="700DC138">
      <w:pPr>
        <w:jc w:val="left"/>
        <w:rPr>
          <w:rFonts w:ascii="仿宋" w:hAnsi="仿宋" w:eastAsia="仿宋" w:cs="仿宋"/>
          <w:color w:val="000000" w:themeColor="text1"/>
          <w:sz w:val="22"/>
          <w:szCs w:val="22"/>
        </w:rPr>
      </w:pPr>
    </w:p>
    <w:p w14:paraId="37EA65E3">
      <w:pPr>
        <w:spacing w:line="700" w:lineRule="exact"/>
        <w:jc w:val="center"/>
        <w:rPr>
          <w:rFonts w:ascii="方正小标宋简体" w:hAnsi="方正小标宋简体" w:eastAsia="方正小标宋简体" w:cs="方正小标宋简体"/>
          <w:color w:val="000000" w:themeColor="text1"/>
          <w:sz w:val="44"/>
          <w:szCs w:val="44"/>
        </w:rPr>
      </w:pPr>
      <w:r>
        <w:rPr>
          <w:rFonts w:hint="eastAsia" w:ascii="方正小标宋简体" w:hAnsi="方正小标宋简体" w:eastAsia="方正小标宋简体" w:cs="方正小标宋简体"/>
          <w:color w:val="000000" w:themeColor="text1"/>
          <w:sz w:val="44"/>
          <w:szCs w:val="44"/>
        </w:rPr>
        <w:t>2022年度岳阳楼区郭镇乡</w:t>
      </w:r>
    </w:p>
    <w:p w14:paraId="175427F9">
      <w:pPr>
        <w:spacing w:line="700" w:lineRule="exact"/>
        <w:jc w:val="center"/>
        <w:rPr>
          <w:rFonts w:ascii="方正小标宋简体" w:hAnsi="方正小标宋简体" w:eastAsia="方正小标宋简体" w:cs="方正小标宋简体"/>
          <w:color w:val="000000" w:themeColor="text1"/>
          <w:sz w:val="44"/>
          <w:szCs w:val="44"/>
        </w:rPr>
      </w:pPr>
      <w:r>
        <w:rPr>
          <w:rFonts w:hint="eastAsia" w:ascii="方正小标宋简体" w:hAnsi="方正小标宋简体" w:eastAsia="方正小标宋简体" w:cs="方正小标宋简体"/>
          <w:color w:val="000000" w:themeColor="text1"/>
          <w:sz w:val="44"/>
          <w:szCs w:val="44"/>
        </w:rPr>
        <w:t>单位整体支出绩效自评报告</w:t>
      </w:r>
    </w:p>
    <w:p w14:paraId="1A784DE0">
      <w:pPr>
        <w:jc w:val="left"/>
        <w:rPr>
          <w:rFonts w:ascii="仿宋" w:hAnsi="仿宋" w:eastAsia="仿宋" w:cs="仿宋"/>
          <w:color w:val="000000" w:themeColor="text1"/>
          <w:sz w:val="22"/>
          <w:szCs w:val="22"/>
        </w:rPr>
      </w:pPr>
    </w:p>
    <w:p w14:paraId="173E1982">
      <w:pPr>
        <w:ind w:firstLine="640" w:firstLineChars="200"/>
        <w:jc w:val="left"/>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一、单位基本情况</w:t>
      </w:r>
    </w:p>
    <w:p w14:paraId="7D22EEBA">
      <w:pPr>
        <w:widowControl/>
        <w:spacing w:line="276" w:lineRule="auto"/>
        <w:ind w:firstLine="560" w:firstLineChars="200"/>
        <w:rPr>
          <w:rFonts w:ascii="仿宋" w:hAnsi="仿宋" w:eastAsia="仿宋" w:cs="仿宋_GB2312"/>
          <w:sz w:val="28"/>
          <w:szCs w:val="28"/>
        </w:rPr>
      </w:pPr>
      <w:r>
        <w:rPr>
          <w:rFonts w:hint="eastAsia" w:ascii="仿宋" w:hAnsi="仿宋" w:eastAsia="仿宋" w:cs="仿宋_GB2312"/>
          <w:sz w:val="28"/>
          <w:szCs w:val="28"/>
        </w:rPr>
        <w:t>郭镇乡地处市区南部，东南与岳阳县新开镇接壤，西南与岳阳县麻塘办事处为邻，西连南湖新区龙山管理处，北接奇家岭街道办事处，距中心城区约7千米。辖区面积20.5平方公里，其中基本农田</w:t>
      </w:r>
      <w:r>
        <w:rPr>
          <w:rFonts w:ascii="仿宋" w:hAnsi="仿宋" w:eastAsia="仿宋" w:cs="仿宋_GB2312"/>
          <w:sz w:val="28"/>
          <w:szCs w:val="28"/>
        </w:rPr>
        <w:t>6620</w:t>
      </w:r>
      <w:r>
        <w:rPr>
          <w:rFonts w:hint="eastAsia" w:ascii="仿宋" w:hAnsi="仿宋" w:eastAsia="仿宋" w:cs="仿宋_GB2312"/>
          <w:sz w:val="28"/>
          <w:szCs w:val="28"/>
        </w:rPr>
        <w:t>亩。辖麻布、磨刀、建中、枣树、马安5个村民委员会。总人口约3万人，其中常住人口8302人，院校师生约2.1万人，常住人口全部为汉族。</w:t>
      </w:r>
    </w:p>
    <w:p w14:paraId="38B4B18E">
      <w:pPr>
        <w:widowControl/>
        <w:spacing w:line="276" w:lineRule="auto"/>
        <w:ind w:firstLine="560" w:firstLineChars="200"/>
        <w:rPr>
          <w:rFonts w:ascii="仿宋" w:hAnsi="仿宋" w:eastAsia="仿宋" w:cs="仿宋_GB2312"/>
          <w:sz w:val="28"/>
          <w:szCs w:val="28"/>
        </w:rPr>
      </w:pPr>
      <w:r>
        <w:rPr>
          <w:rFonts w:hint="eastAsia" w:ascii="仿宋" w:hAnsi="仿宋" w:eastAsia="仿宋" w:cs="仿宋_GB2312"/>
          <w:sz w:val="28"/>
          <w:szCs w:val="28"/>
        </w:rPr>
        <w:t>单位现有人数133人，其中：在职编制87人；离退休46人。郭镇乡政府内设党政办、党建办、经济发展办、民政办、应急管理办及综治信访办6个职能办公室，下设公共服务和网格化中心、农业综合服务中心、综合行政执法大队、环境卫生服务中心、社会事务综合服务中心、村级财务代管中心、退役军人服务站7个站所。</w:t>
      </w:r>
    </w:p>
    <w:p w14:paraId="16869E6B">
      <w:pPr>
        <w:ind w:firstLine="640" w:firstLineChars="200"/>
        <w:jc w:val="left"/>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二、一般公共预算支出情况</w:t>
      </w:r>
    </w:p>
    <w:p w14:paraId="322ECEE0">
      <w:pPr>
        <w:widowControl/>
        <w:spacing w:line="276" w:lineRule="auto"/>
        <w:ind w:firstLine="560" w:firstLineChars="200"/>
        <w:rPr>
          <w:rFonts w:ascii="仿宋" w:hAnsi="仿宋" w:eastAsia="仿宋" w:cs="仿宋_GB2312"/>
          <w:sz w:val="28"/>
          <w:szCs w:val="28"/>
        </w:rPr>
      </w:pPr>
      <w:r>
        <w:rPr>
          <w:rFonts w:hint="eastAsia" w:ascii="仿宋" w:hAnsi="仿宋" w:eastAsia="仿宋" w:cs="仿宋_GB2312"/>
          <w:sz w:val="28"/>
          <w:szCs w:val="28"/>
        </w:rPr>
        <w:t>郭镇乡2022年一般公共预算整体支出2134.56万元。按收入性质分，其中：一般公共预算收入1245.54万元，其他资金收入889.02万元。按支出性质分，其中：基本支出1942.56万元，项目支出192万元。</w:t>
      </w:r>
    </w:p>
    <w:p w14:paraId="761F1EB2">
      <w:pPr>
        <w:ind w:firstLine="643" w:firstLineChars="200"/>
        <w:jc w:val="left"/>
        <w:rPr>
          <w:rFonts w:ascii="楷体_GB2312" w:hAnsi="楷体_GB2312" w:eastAsia="楷体_GB2312" w:cs="楷体_GB2312"/>
          <w:b/>
          <w:bCs/>
          <w:color w:val="000000" w:themeColor="text1"/>
          <w:sz w:val="32"/>
          <w:szCs w:val="32"/>
        </w:rPr>
      </w:pPr>
      <w:r>
        <w:rPr>
          <w:rFonts w:hint="eastAsia" w:ascii="楷体_GB2312" w:hAnsi="楷体_GB2312" w:eastAsia="楷体_GB2312" w:cs="楷体_GB2312"/>
          <w:b/>
          <w:bCs/>
          <w:color w:val="000000" w:themeColor="text1"/>
          <w:sz w:val="32"/>
          <w:szCs w:val="32"/>
        </w:rPr>
        <w:t>(一)基本支出情况</w:t>
      </w:r>
    </w:p>
    <w:p w14:paraId="58B91795">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1.2022年基本支出1942.56万元，其中人员经费支出1703.53万元，公用经费支出239.02万元（其中：三公经费支出0.65万元）。</w:t>
      </w:r>
    </w:p>
    <w:p w14:paraId="3D49BC1D">
      <w:pPr>
        <w:widowControl/>
        <w:spacing w:line="276" w:lineRule="auto"/>
        <w:ind w:firstLine="560" w:firstLineChars="200"/>
        <w:rPr>
          <w:rFonts w:ascii="仿宋" w:hAnsi="仿宋" w:eastAsia="仿宋" w:cs="仿宋_GB2312"/>
          <w:sz w:val="28"/>
          <w:szCs w:val="28"/>
        </w:rPr>
      </w:pPr>
      <w:r>
        <w:rPr>
          <w:rFonts w:hint="eastAsia" w:ascii="仿宋" w:hAnsi="仿宋" w:eastAsia="仿宋" w:cs="仿宋_GB2312"/>
          <w:sz w:val="28"/>
          <w:szCs w:val="28"/>
        </w:rPr>
        <w:t>2.三公经费支出情况：2021年度我办三公经费预算13万元，实际支出0.65万元。其中公务接待开支0万元，其他交通费用0.65万元。</w:t>
      </w:r>
    </w:p>
    <w:p w14:paraId="55BD4B21">
      <w:pPr>
        <w:ind w:firstLine="643" w:firstLineChars="200"/>
        <w:jc w:val="left"/>
        <w:rPr>
          <w:rFonts w:ascii="楷体_GB2312" w:hAnsi="楷体_GB2312" w:eastAsia="楷体_GB2312" w:cs="楷体_GB2312"/>
          <w:b/>
          <w:bCs/>
          <w:color w:val="000000" w:themeColor="text1"/>
          <w:sz w:val="32"/>
          <w:szCs w:val="32"/>
        </w:rPr>
      </w:pPr>
      <w:r>
        <w:rPr>
          <w:rFonts w:hint="eastAsia" w:ascii="楷体_GB2312" w:hAnsi="楷体_GB2312" w:eastAsia="楷体_GB2312" w:cs="楷体_GB2312"/>
          <w:b/>
          <w:bCs/>
          <w:color w:val="000000" w:themeColor="text1"/>
          <w:sz w:val="32"/>
          <w:szCs w:val="32"/>
        </w:rPr>
        <w:t>(二)项目支出情况</w:t>
      </w:r>
    </w:p>
    <w:p w14:paraId="40A5AE41">
      <w:pPr>
        <w:ind w:firstLine="560" w:firstLineChars="200"/>
        <w:jc w:val="left"/>
        <w:rPr>
          <w:rFonts w:ascii="楷体_GB2312" w:hAnsi="楷体_GB2312" w:eastAsia="楷体_GB2312" w:cs="楷体_GB2312"/>
          <w:b/>
          <w:bCs/>
          <w:color w:val="000000" w:themeColor="text1"/>
          <w:sz w:val="28"/>
          <w:szCs w:val="28"/>
        </w:rPr>
      </w:pPr>
      <w:r>
        <w:rPr>
          <w:rFonts w:hint="eastAsia" w:ascii="仿宋" w:hAnsi="仿宋" w:eastAsia="仿宋" w:cs="仿宋_GB2312"/>
          <w:sz w:val="28"/>
          <w:szCs w:val="28"/>
        </w:rPr>
        <w:t>郭镇乡2022年项目支出192万元，其中：乡村规划建设资金40.55万元，主要用于乡村规划建设设计款等支出；其他工程类项目支出151.45万元，主要用于废弃矿区复绿工程、休闲广场改造及绿化项目。</w:t>
      </w:r>
    </w:p>
    <w:p w14:paraId="788D624F">
      <w:pPr>
        <w:ind w:firstLine="640" w:firstLineChars="200"/>
        <w:jc w:val="left"/>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三、政府性基金预算支出情况</w:t>
      </w:r>
    </w:p>
    <w:p w14:paraId="71E1ABB8">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本单位无政府性基金预算支出。</w:t>
      </w:r>
    </w:p>
    <w:p w14:paraId="4C6E14E8">
      <w:pPr>
        <w:ind w:firstLine="640" w:firstLineChars="200"/>
        <w:jc w:val="left"/>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四、国有资本经营预算支出情况</w:t>
      </w:r>
    </w:p>
    <w:p w14:paraId="3291250A">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本单位无国有资本经营预算支出。</w:t>
      </w:r>
    </w:p>
    <w:p w14:paraId="0DB9872E">
      <w:pPr>
        <w:ind w:firstLine="640" w:firstLineChars="200"/>
        <w:jc w:val="left"/>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五、社会保险基金预算支出情况</w:t>
      </w:r>
    </w:p>
    <w:p w14:paraId="0E9C79B2">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本单位无社会保险基金预算支出。</w:t>
      </w:r>
    </w:p>
    <w:p w14:paraId="6D167EB3">
      <w:pPr>
        <w:ind w:firstLine="640" w:firstLineChars="200"/>
        <w:jc w:val="left"/>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六、部门整体支出绩效情况</w:t>
      </w:r>
    </w:p>
    <w:p w14:paraId="260A8B68">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2022年，在区委区政府的正确领导下和区直各部门的紧密配合下，郭镇乡坚决贯彻落实党的十九届历次全议精神及二十大精神，围绕“两镇一园”建设目标，强力推进巩固脱贫攻坚成果与乡村振兴有效衔接，创建乡村振兴示范点，各方面工作取得新成绩。</w:t>
      </w:r>
    </w:p>
    <w:p w14:paraId="3867FCE5">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乡党委深入学习贯彻习近平总书记重要论述、精神，深入学习、宣讲党的二十大精神；组织开展农村党员冬春训，利用远教站点、云视讯、党员微信群等开展线上专题学习，选送乡、村干部参加岳阳楼区抓党建促乡村振兴专题培训班。发挥党员先锋模范作用，认真开展“一课一片一实践”和“四亮”主题活动，党员干部带头参与疫情防控、森林防火、经营性自建房整治等中心工作，全乡党员干部遵规守纪意识进一步增强。</w:t>
      </w:r>
    </w:p>
    <w:p w14:paraId="7F7177D6">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2022年，我单位固定资产投资上报金额9.5亿元，截至10月底已完成全年任务的95.1%，居全区前列。今春对全乡五个村油菜生长技术进行点对点指导，上半年油菜同比增产30%，完成下半年4300亩油菜种植和田间管理技术指导；完成早稻种植295亩，一季稻种植6400亩。龙头项目田园牧歌自在云梦泽项目挂牌成立“柏连阳院士基层联系点”，为农业产业发展提供技术指导，成功申报省级特色产业园、省级中小学劳动教育实践基地等，成功承办岳阳市第二届百合农旅文化节，陆续举办“笑满三湘”、绿色植树节，夏日亲子游，摸鱼捉虾等活动30余次，服务20余万人次。富安农科等农旅项目顶住经济下行压力，开展多场研学活动。在田园牧歌、富安农科项目基础及我乡特色小镇的基础上，成功申报省级科普小镇，目前，创建工作基本完成。</w:t>
      </w:r>
    </w:p>
    <w:p w14:paraId="248186FA">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继续推进农村人居环境提升和污染防治攻坚行动，坚持每周开展1次大扫除，持续开展垃圾分类，促进“门前三包”等责任的落实；继续推进“厕所革命”，计划改厕100个，完成5个村摸排工作，完成改厕61个；开展违规墓地整治工作，完成“活人墓”22座49穴、“已葬墓”5座的整改和麻布村河湾组公墓环境综合治理。开展美丽屋场改造，完成麻布村许家组等5个秀美屋场建设，在麻布新建1个污水集中处理设施，预计年内能够完成并投入使用。</w:t>
      </w:r>
    </w:p>
    <w:p w14:paraId="4ABAAE6C">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组织开展“大排查、大走访”活动，共排查农村人口2282户，8377人，新纳监测对象13户42人，共核实政策问题101个，消除风险点65条，监测纳入和帮扶率达到100%，未发现返贫致贫风险点和返贫人员。申报乡村振兴项目48个，已实施项目41个，落实资金1234万元。麻布村乡村振兴示范点建设市下达的6项共性指标已基本完成，10项个性考核指标目前已完成9项，剩下的新建2个公厕项目临近收尾，预计本月能投入使用。社会事业稳步发展。新增低保17户36人，提标88户，新增公益性岗位32个，落实公益性岗位安置57人，新增农村劳动力转移就业200余人。完成“六类对象”基本医疗保险参保清零，为防返贫监测对象免费体检200余人次，上门服务30余次，政府为全乡所有农户购买了“防贫保”，参保率达100%。</w:t>
      </w:r>
    </w:p>
    <w:p w14:paraId="661F6752">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常态化开展反电信网络诈骗和打击整治养老诈骗专项行动，辖区内“两骗发案” 较去年明显下降；开展禁种铲毒专项行动5次，开展禁毒、反电作、防养老诈骗集中宣传6场次。成功化解信访积案3件，签订停诉息访协议8份。控违治违管控到位，对新增违建即查即拆，航拍图斑、挂号清单等拆除到位，全年拆除新增违建20处，共计3955平米。安全隐患整治到位，对辖区企业多次进行安全生产大检查，开展“小火亡人”“防溺水”等安全教育，在防汛抗旱工作中调配20余台抽水机抽水灌溉，将受灾影响降到最低。在森林防火工作中，全面贯彻落实上级部署，配置充足应急物资，培训应急队伍，开展防灭火宣传，全乡无一起重大火灾。屋场会探索乡村治理新模式。探索建立了议事会、问廉会、屋场会“群众三会”工作法，以干群面对面的方式，交流谈心、共商共话，促进民生问题的解决、群众监督的深度参与。</w:t>
      </w:r>
    </w:p>
    <w:p w14:paraId="49261E95">
      <w:pPr>
        <w:numPr>
          <w:ilvl w:val="0"/>
          <w:numId w:val="1"/>
        </w:numPr>
        <w:ind w:firstLine="640" w:firstLineChars="200"/>
        <w:jc w:val="left"/>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存在的问题及原因分析</w:t>
      </w:r>
    </w:p>
    <w:p w14:paraId="5FE3905A">
      <w:pPr>
        <w:numPr>
          <w:ilvl w:val="0"/>
          <w:numId w:val="2"/>
        </w:numPr>
        <w:ind w:firstLine="560" w:firstLineChars="200"/>
        <w:rPr>
          <w:rFonts w:ascii="Times New Roman" w:hAnsi="Times New Roman" w:eastAsia="仿宋_GB2312" w:cs="仿宋_GB2312"/>
          <w:kern w:val="0"/>
          <w:sz w:val="28"/>
          <w:szCs w:val="28"/>
        </w:rPr>
      </w:pPr>
      <w:r>
        <w:rPr>
          <w:rFonts w:hint="eastAsia" w:ascii="Times New Roman" w:hAnsi="Times New Roman" w:eastAsia="仿宋_GB2312" w:cs="仿宋_GB2312"/>
          <w:kern w:val="0"/>
          <w:sz w:val="28"/>
          <w:szCs w:val="28"/>
        </w:rPr>
        <w:t>思想认识不到位。随着财政领域改革的不断深化，财政预算绩效评价要求越来越高，基层财政对此项工作认识度不够，业务知识掌握不全面，绩效管理的参与度不高。</w:t>
      </w:r>
    </w:p>
    <w:p w14:paraId="603FDC1E">
      <w:pPr>
        <w:numPr>
          <w:ilvl w:val="0"/>
          <w:numId w:val="2"/>
        </w:numPr>
        <w:ind w:firstLine="560" w:firstLineChars="200"/>
        <w:rPr>
          <w:rFonts w:ascii="Times New Roman" w:hAnsi="Times New Roman" w:eastAsia="仿宋_GB2312" w:cs="仿宋_GB2312"/>
          <w:kern w:val="0"/>
          <w:sz w:val="28"/>
          <w:szCs w:val="28"/>
        </w:rPr>
      </w:pPr>
      <w:r>
        <w:rPr>
          <w:rFonts w:hint="eastAsia" w:ascii="Times New Roman" w:hAnsi="Times New Roman" w:eastAsia="仿宋_GB2312" w:cs="仿宋_GB2312"/>
          <w:kern w:val="0"/>
          <w:sz w:val="28"/>
          <w:szCs w:val="28"/>
        </w:rPr>
        <w:t>预算资金使用效率不高。自实施预算绩效管理以来，财政预算中的资金使用效率和效益还未受到足够重视，单位预算控制管理办法不足，对财政资金使用情况以监督检查为主，未整合财政资金，优化支出结构，导致无法推动财政资金合理配置，高效使用。</w:t>
      </w:r>
    </w:p>
    <w:p w14:paraId="35A38D35">
      <w:pPr>
        <w:numPr>
          <w:ilvl w:val="0"/>
          <w:numId w:val="2"/>
        </w:numPr>
        <w:ind w:firstLine="560" w:firstLineChars="200"/>
        <w:rPr>
          <w:rFonts w:ascii="Times New Roman" w:hAnsi="Times New Roman" w:eastAsia="仿宋_GB2312" w:cs="仿宋_GB2312"/>
          <w:kern w:val="0"/>
          <w:sz w:val="28"/>
          <w:szCs w:val="28"/>
        </w:rPr>
      </w:pPr>
      <w:r>
        <w:rPr>
          <w:rFonts w:hint="eastAsia" w:ascii="Times New Roman" w:hAnsi="Times New Roman" w:eastAsia="仿宋_GB2312" w:cs="仿宋_GB2312"/>
          <w:kern w:val="0"/>
          <w:sz w:val="28"/>
          <w:szCs w:val="28"/>
        </w:rPr>
        <w:t>绩效评价管理不够完善。主要原因是单位观念未转变，还未从被动的“要我评价”转到主动的“我要评价”上来，阻碍了预算绩效管理在单位内部的管理。项目预算绩效管理还有待进一步完善。某些项目因为工作重心的转变，未及时调整绩效目标内容及评价体系，因此导致绩效管理实际操作有难度，工作未落实到位。</w:t>
      </w:r>
    </w:p>
    <w:p w14:paraId="2E7EE03A">
      <w:pPr>
        <w:pStyle w:val="2"/>
        <w:numPr>
          <w:ilvl w:val="0"/>
          <w:numId w:val="2"/>
        </w:numPr>
        <w:ind w:firstLine="560" w:firstLineChars="200"/>
        <w:rPr>
          <w:rFonts w:ascii="Times New Roman" w:hAnsi="Times New Roman" w:eastAsia="仿宋_GB2312" w:cs="仿宋_GB2312"/>
          <w:kern w:val="0"/>
          <w:sz w:val="28"/>
          <w:szCs w:val="28"/>
        </w:rPr>
      </w:pPr>
      <w:r>
        <w:rPr>
          <w:rFonts w:hint="eastAsia" w:ascii="Times New Roman" w:hAnsi="Times New Roman" w:eastAsia="仿宋_GB2312" w:cs="仿宋_GB2312"/>
          <w:kern w:val="0"/>
          <w:sz w:val="28"/>
          <w:szCs w:val="28"/>
        </w:rPr>
        <w:t>绩效管理责任意识不够。各部门不能清楚财政资金支出所有取得的社会和经济效益，存在“重分配、轻管理；重支出、轻绩效”的思想。单位未将绩效评价考核各站所绩效目标实际完成情况和取得的成效，与各站所年度预算安排挂钩，导致其职能和目标未得到进一步明确。</w:t>
      </w:r>
    </w:p>
    <w:p w14:paraId="2C04C7D7">
      <w:pPr>
        <w:numPr>
          <w:ilvl w:val="0"/>
          <w:numId w:val="1"/>
        </w:numPr>
        <w:ind w:firstLine="640" w:firstLineChars="200"/>
        <w:jc w:val="left"/>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下一步改进措施</w:t>
      </w:r>
    </w:p>
    <w:p w14:paraId="74BBB289">
      <w:pPr>
        <w:pStyle w:val="6"/>
        <w:widowControl/>
        <w:shd w:val="clear" w:color="auto" w:fill="FFFFFF"/>
        <w:spacing w:before="0" w:beforeAutospacing="0" w:after="0" w:afterAutospacing="0" w:line="23" w:lineRule="atLeast"/>
        <w:ind w:firstLine="560" w:firstLineChars="200"/>
        <w:rPr>
          <w:rFonts w:eastAsia="仿宋_GB2312" w:cs="仿宋_GB2312"/>
          <w:sz w:val="28"/>
          <w:szCs w:val="28"/>
        </w:rPr>
      </w:pPr>
      <w:r>
        <w:rPr>
          <w:rFonts w:hint="eastAsia" w:eastAsia="仿宋_GB2312" w:cs="仿宋_GB2312"/>
          <w:sz w:val="28"/>
          <w:szCs w:val="28"/>
        </w:rPr>
        <w:t>1、加强对预算绩效评价工作的认识，加大宣传力度，强化部门预算绩效管理意识。采取集中学习、培训等方式，加大对各股室、站所预算绩效管理的培训力度，提高预算绩效管理的重要性认识，加强业务知识学习，让预算绩效管理渗透到各项资金中，发挥资金使用效益。</w:t>
      </w:r>
    </w:p>
    <w:p w14:paraId="1D4272E3">
      <w:pPr>
        <w:pStyle w:val="6"/>
        <w:widowControl/>
        <w:shd w:val="clear" w:color="auto" w:fill="FFFFFF"/>
        <w:spacing w:before="0" w:beforeAutospacing="0" w:after="0" w:afterAutospacing="0" w:line="23" w:lineRule="atLeast"/>
        <w:rPr>
          <w:rFonts w:eastAsia="仿宋_GB2312" w:cs="仿宋_GB2312"/>
          <w:sz w:val="28"/>
          <w:szCs w:val="28"/>
        </w:rPr>
      </w:pPr>
      <w:r>
        <w:rPr>
          <w:rFonts w:hint="eastAsia" w:eastAsia="仿宋_GB2312" w:cs="仿宋_GB2312"/>
          <w:sz w:val="28"/>
          <w:szCs w:val="28"/>
        </w:rPr>
        <w:t>　　2、提高财政资金的使用效益，各站所的工作规划和年度工作计划有机结合起来，并进行运行监控，有利于整合财政资金，优化支出结构，减少支出的随意性和盲目性，最大限度地将有限资源配置到效益最佳的部门并发挥最大效益。</w:t>
      </w:r>
    </w:p>
    <w:p w14:paraId="012703DA">
      <w:pPr>
        <w:pStyle w:val="6"/>
        <w:widowControl/>
        <w:shd w:val="clear" w:color="auto" w:fill="FFFFFF"/>
        <w:spacing w:before="0" w:beforeAutospacing="0" w:after="0" w:afterAutospacing="0" w:line="23" w:lineRule="atLeast"/>
        <w:ind w:firstLine="560" w:firstLineChars="200"/>
        <w:rPr>
          <w:rFonts w:eastAsia="仿宋_GB2312" w:cs="仿宋_GB2312"/>
          <w:sz w:val="28"/>
          <w:szCs w:val="28"/>
        </w:rPr>
      </w:pPr>
      <w:r>
        <w:rPr>
          <w:rFonts w:hint="eastAsia" w:eastAsia="仿宋_GB2312" w:cs="仿宋_GB2312"/>
          <w:sz w:val="28"/>
          <w:szCs w:val="28"/>
        </w:rPr>
        <w:t>3、初步树立绩效理念，通过开展绩效评价，我街道全体工作人员必须转变观念，开始重视支出绩效问题，由重资金争取，重过程管理，向重支出责任，重产出和结果转变。形成以提高资金使用绩效为目标、以结果为导向的管理理念。在项目实施过程中，需不断改进和细化绩效目标内容及指标体系，根据工作重心作出相应调整，切实推动绩效目标任务的顺利完成。</w:t>
      </w:r>
    </w:p>
    <w:p w14:paraId="16AF6707">
      <w:pPr>
        <w:pStyle w:val="6"/>
        <w:widowControl/>
        <w:shd w:val="clear" w:color="auto" w:fill="FFFFFF"/>
        <w:spacing w:before="0" w:beforeAutospacing="0" w:after="0" w:afterAutospacing="0" w:line="23" w:lineRule="atLeast"/>
        <w:rPr>
          <w:rFonts w:eastAsia="仿宋_GB2312" w:cs="仿宋_GB2312"/>
          <w:sz w:val="28"/>
          <w:szCs w:val="28"/>
        </w:rPr>
      </w:pPr>
      <w:r>
        <w:rPr>
          <w:rFonts w:hint="eastAsia" w:eastAsia="仿宋_GB2312" w:cs="仿宋_GB2312"/>
          <w:sz w:val="28"/>
          <w:szCs w:val="28"/>
        </w:rPr>
        <w:t>　　4、强化责任意识，通过设定明确可衡量的绩效目标，各部门更清楚地了解财政资金支出所要取得的社会和经济效益，其职能和目标得到进一步明确；通过绩效评价，考核各站所绩效目标实际完成情况和取得的成效，并与年度预算安排挂钩，用财要问效，无效要问责，在一定程度上强化了单位整体和部门的财经纪律约束意识和责任意识。</w:t>
      </w:r>
    </w:p>
    <w:p w14:paraId="11060F00">
      <w:pPr>
        <w:ind w:firstLine="640" w:firstLineChars="200"/>
        <w:jc w:val="left"/>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九、部门整体支出绩效自评结果拟应用和公开情况</w:t>
      </w:r>
    </w:p>
    <w:p w14:paraId="520846EB">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我单位高度重视此项绩效自评工作，积极落实主体责任，切实加强了组织领导，按照绩效评价相关制度规定，明确了具体责任人，认真开展自评，并撰写了绩效评价报告，确保绩效自评工作顺利实施，并将按照要求进行信息公开，对存在的问题积极整改。</w:t>
      </w:r>
    </w:p>
    <w:p w14:paraId="3F3C73C0">
      <w:pPr>
        <w:ind w:firstLine="640" w:firstLineChars="200"/>
        <w:jc w:val="left"/>
        <w:rPr>
          <w:rFonts w:ascii="仿宋_GB2312" w:hAnsi="仿宋_GB2312" w:eastAsia="仿宋_GB2312" w:cs="仿宋_GB2312"/>
          <w:color w:val="000000" w:themeColor="text1"/>
          <w:sz w:val="32"/>
          <w:szCs w:val="32"/>
        </w:rPr>
      </w:pPr>
      <w:r>
        <w:rPr>
          <w:rFonts w:hint="eastAsia" w:ascii="黑体" w:hAnsi="黑体" w:eastAsia="黑体" w:cs="黑体"/>
          <w:color w:val="000000" w:themeColor="text1"/>
          <w:sz w:val="32"/>
          <w:szCs w:val="32"/>
        </w:rPr>
        <w:t>其他需要说明的情况:</w:t>
      </w:r>
      <w:r>
        <w:rPr>
          <w:rFonts w:hint="eastAsia" w:ascii="仿宋_GB2312" w:hAnsi="仿宋_GB2312" w:eastAsia="仿宋_GB2312" w:cs="仿宋_GB2312"/>
          <w:color w:val="000000" w:themeColor="text1"/>
          <w:sz w:val="32"/>
          <w:szCs w:val="32"/>
        </w:rPr>
        <w:t>无。</w:t>
      </w:r>
    </w:p>
    <w:p w14:paraId="7F65C1B9">
      <w:pPr>
        <w:rPr>
          <w:rFonts w:ascii="黑体" w:hAnsi="黑体" w:eastAsia="黑体" w:cs="黑体"/>
          <w:color w:val="000000" w:themeColor="text1"/>
          <w:spacing w:val="10"/>
          <w:sz w:val="32"/>
          <w:szCs w:val="32"/>
        </w:rPr>
      </w:pPr>
    </w:p>
    <w:p w14:paraId="56BC50FE">
      <w:pPr>
        <w:rPr>
          <w:rFonts w:ascii="黑体" w:hAnsi="黑体" w:eastAsia="黑体" w:cs="黑体"/>
          <w:color w:val="000000" w:themeColor="text1"/>
          <w:spacing w:val="10"/>
          <w:sz w:val="32"/>
          <w:szCs w:val="32"/>
        </w:rPr>
      </w:pPr>
    </w:p>
    <w:p w14:paraId="047F323F">
      <w:pPr>
        <w:rPr>
          <w:rFonts w:ascii="黑体" w:hAnsi="黑体" w:eastAsia="黑体" w:cs="黑体"/>
          <w:color w:val="000000" w:themeColor="text1"/>
          <w:spacing w:val="10"/>
          <w:sz w:val="32"/>
          <w:szCs w:val="32"/>
        </w:rPr>
      </w:pPr>
    </w:p>
    <w:p w14:paraId="7AD4F104">
      <w:pPr>
        <w:rPr>
          <w:rFonts w:ascii="黑体" w:hAnsi="黑体" w:eastAsia="黑体" w:cs="黑体"/>
          <w:color w:val="000000" w:themeColor="text1"/>
          <w:spacing w:val="10"/>
          <w:sz w:val="32"/>
          <w:szCs w:val="32"/>
        </w:rPr>
      </w:pPr>
    </w:p>
    <w:p w14:paraId="66AED354">
      <w:pPr>
        <w:rPr>
          <w:rFonts w:ascii="黑体" w:hAnsi="黑体" w:eastAsia="黑体" w:cs="黑体"/>
          <w:color w:val="000000" w:themeColor="text1"/>
          <w:spacing w:val="10"/>
          <w:sz w:val="32"/>
          <w:szCs w:val="32"/>
        </w:rPr>
      </w:pPr>
    </w:p>
    <w:p w14:paraId="53A4E27D">
      <w:pPr>
        <w:rPr>
          <w:rFonts w:ascii="黑体" w:hAnsi="黑体" w:eastAsia="黑体" w:cs="黑体"/>
          <w:color w:val="000000" w:themeColor="text1"/>
          <w:spacing w:val="10"/>
          <w:sz w:val="32"/>
          <w:szCs w:val="32"/>
        </w:rPr>
      </w:pPr>
    </w:p>
    <w:p w14:paraId="2202BD58">
      <w:pPr>
        <w:rPr>
          <w:rFonts w:ascii="黑体" w:hAnsi="黑体" w:eastAsia="黑体" w:cs="黑体"/>
          <w:color w:val="000000" w:themeColor="text1"/>
          <w:spacing w:val="10"/>
          <w:sz w:val="32"/>
          <w:szCs w:val="32"/>
        </w:rPr>
      </w:pPr>
    </w:p>
    <w:p w14:paraId="40FACF60">
      <w:pPr>
        <w:rPr>
          <w:rFonts w:ascii="黑体" w:hAnsi="黑体" w:eastAsia="黑体" w:cs="黑体"/>
          <w:color w:val="000000" w:themeColor="text1"/>
          <w:spacing w:val="10"/>
          <w:sz w:val="32"/>
          <w:szCs w:val="32"/>
        </w:rPr>
      </w:pPr>
    </w:p>
    <w:p w14:paraId="0AEF0654">
      <w:pPr>
        <w:rPr>
          <w:rFonts w:hint="eastAsia" w:ascii="黑体" w:hAnsi="黑体" w:eastAsia="黑体" w:cs="黑体"/>
          <w:color w:val="000000" w:themeColor="text1"/>
          <w:spacing w:val="10"/>
          <w:sz w:val="32"/>
          <w:szCs w:val="32"/>
        </w:rPr>
      </w:pPr>
    </w:p>
    <w:p w14:paraId="00B8BC5B">
      <w:pPr>
        <w:rPr>
          <w:rFonts w:hint="eastAsia" w:ascii="黑体" w:hAnsi="黑体" w:eastAsia="黑体" w:cs="黑体"/>
          <w:color w:val="000000" w:themeColor="text1"/>
          <w:spacing w:val="10"/>
          <w:sz w:val="32"/>
          <w:szCs w:val="32"/>
        </w:rPr>
      </w:pPr>
    </w:p>
    <w:p w14:paraId="48C35264">
      <w:pPr>
        <w:rPr>
          <w:rFonts w:hint="eastAsia" w:ascii="黑体" w:hAnsi="黑体" w:eastAsia="黑体" w:cs="黑体"/>
          <w:color w:val="000000" w:themeColor="text1"/>
          <w:spacing w:val="10"/>
          <w:sz w:val="32"/>
          <w:szCs w:val="32"/>
        </w:rPr>
      </w:pPr>
    </w:p>
    <w:p w14:paraId="725337AB">
      <w:pPr>
        <w:rPr>
          <w:rFonts w:hint="eastAsia" w:ascii="黑体" w:hAnsi="黑体" w:eastAsia="黑体" w:cs="黑体"/>
          <w:color w:val="000000" w:themeColor="text1"/>
          <w:spacing w:val="10"/>
          <w:sz w:val="32"/>
          <w:szCs w:val="32"/>
        </w:rPr>
      </w:pPr>
    </w:p>
    <w:p w14:paraId="3D5DCA6E">
      <w:pPr>
        <w:rPr>
          <w:rFonts w:ascii="黑体" w:hAnsi="黑体" w:eastAsia="黑体" w:cs="黑体"/>
          <w:color w:val="000000" w:themeColor="text1"/>
          <w:spacing w:val="10"/>
          <w:sz w:val="32"/>
          <w:szCs w:val="32"/>
        </w:rPr>
      </w:pPr>
    </w:p>
    <w:p w14:paraId="322F5B06">
      <w:pPr>
        <w:rPr>
          <w:rFonts w:ascii="黑体" w:hAnsi="黑体" w:eastAsia="黑体" w:cs="黑体"/>
          <w:color w:val="000000" w:themeColor="text1"/>
          <w:spacing w:val="10"/>
          <w:sz w:val="32"/>
          <w:szCs w:val="32"/>
        </w:rPr>
      </w:pPr>
      <w:r>
        <w:rPr>
          <w:rFonts w:hint="eastAsia" w:ascii="黑体" w:hAnsi="黑体" w:eastAsia="黑体" w:cs="黑体"/>
          <w:color w:val="000000" w:themeColor="text1"/>
          <w:spacing w:val="10"/>
          <w:sz w:val="32"/>
          <w:szCs w:val="32"/>
        </w:rPr>
        <w:t>附件5</w:t>
      </w:r>
    </w:p>
    <w:p w14:paraId="1C723CBE">
      <w:pPr>
        <w:ind w:firstLine="1440" w:firstLineChars="400"/>
        <w:rPr>
          <w:rFonts w:eastAsia="方正小标宋简体"/>
          <w:sz w:val="36"/>
          <w:szCs w:val="36"/>
        </w:rPr>
      </w:pPr>
    </w:p>
    <w:p w14:paraId="1ABF0045">
      <w:pPr>
        <w:ind w:firstLine="1440" w:firstLineChars="400"/>
        <w:rPr>
          <w:rFonts w:eastAsia="方正小标宋简体"/>
          <w:spacing w:val="-6"/>
          <w:sz w:val="36"/>
          <w:szCs w:val="36"/>
        </w:rPr>
      </w:pPr>
      <w:r>
        <w:rPr>
          <w:rFonts w:hint="eastAsia" w:eastAsia="方正小标宋简体"/>
          <w:sz w:val="36"/>
          <w:szCs w:val="36"/>
        </w:rPr>
        <w:t>区级</w:t>
      </w:r>
      <w:r>
        <w:rPr>
          <w:rFonts w:eastAsia="方正小标宋简体"/>
          <w:sz w:val="36"/>
          <w:szCs w:val="36"/>
        </w:rPr>
        <w:t>预算</w:t>
      </w:r>
      <w:r>
        <w:rPr>
          <w:rFonts w:hint="eastAsia" w:eastAsia="方正小标宋简体"/>
          <w:sz w:val="36"/>
          <w:szCs w:val="36"/>
        </w:rPr>
        <w:t>单位</w:t>
      </w:r>
      <w:r>
        <w:rPr>
          <w:rFonts w:eastAsia="方正小标宋简体"/>
          <w:spacing w:val="-6"/>
          <w:sz w:val="36"/>
          <w:szCs w:val="36"/>
        </w:rPr>
        <w:t>绩效自评工作考核评分表</w:t>
      </w:r>
    </w:p>
    <w:tbl>
      <w:tblPr>
        <w:tblStyle w:val="7"/>
        <w:tblW w:w="9510" w:type="dxa"/>
        <w:jc w:val="center"/>
        <w:tblLayout w:type="fixed"/>
        <w:tblCellMar>
          <w:top w:w="0" w:type="dxa"/>
          <w:left w:w="108" w:type="dxa"/>
          <w:bottom w:w="0" w:type="dxa"/>
          <w:right w:w="108" w:type="dxa"/>
        </w:tblCellMar>
      </w:tblPr>
      <w:tblGrid>
        <w:gridCol w:w="774"/>
        <w:gridCol w:w="1501"/>
        <w:gridCol w:w="6482"/>
        <w:gridCol w:w="753"/>
      </w:tblGrid>
      <w:tr w14:paraId="3DD180EB">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ign w:val="center"/>
          </w:tcPr>
          <w:p w14:paraId="762C1E59">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ign w:val="center"/>
          </w:tcPr>
          <w:p w14:paraId="4691F301">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ign w:val="center"/>
          </w:tcPr>
          <w:p w14:paraId="551CD968">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ign w:val="center"/>
          </w:tcPr>
          <w:p w14:paraId="733651B1">
            <w:pPr>
              <w:spacing w:line="240" w:lineRule="exact"/>
              <w:jc w:val="center"/>
              <w:rPr>
                <w:rFonts w:eastAsia="黑体"/>
                <w:szCs w:val="21"/>
              </w:rPr>
            </w:pPr>
            <w:r>
              <w:rPr>
                <w:rFonts w:eastAsia="黑体"/>
                <w:szCs w:val="21"/>
              </w:rPr>
              <w:t>评分</w:t>
            </w:r>
          </w:p>
        </w:tc>
      </w:tr>
      <w:tr w14:paraId="07EA52C2">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ign w:val="center"/>
          </w:tcPr>
          <w:p w14:paraId="02467299">
            <w:pPr>
              <w:spacing w:line="32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4CE47FEA">
            <w:pPr>
              <w:spacing w:line="320" w:lineRule="exact"/>
              <w:jc w:val="center"/>
              <w:rPr>
                <w:rFonts w:asciiTheme="majorEastAsia" w:hAnsiTheme="majorEastAsia" w:eastAsiaTheme="majorEastAsia" w:cstheme="majorEastAsia"/>
                <w:szCs w:val="21"/>
              </w:rPr>
            </w:pPr>
          </w:p>
          <w:p w14:paraId="45193800">
            <w:pPr>
              <w:spacing w:line="32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ign w:val="center"/>
          </w:tcPr>
          <w:p w14:paraId="644BF4EE">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单位自查</w:t>
            </w:r>
          </w:p>
          <w:p w14:paraId="45B22AF3">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（20分）</w:t>
            </w:r>
          </w:p>
        </w:tc>
        <w:tc>
          <w:tcPr>
            <w:tcW w:w="6482" w:type="dxa"/>
            <w:tcBorders>
              <w:top w:val="single" w:color="auto" w:sz="4" w:space="0"/>
              <w:left w:val="nil"/>
              <w:bottom w:val="single" w:color="auto" w:sz="4" w:space="0"/>
              <w:right w:val="single" w:color="auto" w:sz="4" w:space="0"/>
            </w:tcBorders>
            <w:noWrap/>
            <w:vAlign w:val="center"/>
          </w:tcPr>
          <w:p w14:paraId="374A2B10">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区级预算单位都要开展绩效自查，转移支付项目单位都要开展绩效自查，区级主管部门都要汇总本区域转移支付情况；以上各项每发现一个单位没有做相应工作的，扣1分，最多扣20分。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ign w:val="center"/>
          </w:tcPr>
          <w:p w14:paraId="68EF93AE">
            <w:pPr>
              <w:spacing w:line="240" w:lineRule="exac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3F4A41FA">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14:paraId="0AE3337A">
            <w:pPr>
              <w:widowControl/>
              <w:jc w:val="left"/>
              <w:rPr>
                <w:rFonts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ign w:val="center"/>
          </w:tcPr>
          <w:p w14:paraId="6E08A2E3">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提交报告</w:t>
            </w:r>
          </w:p>
          <w:p w14:paraId="6515D2B6">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（10分）</w:t>
            </w:r>
          </w:p>
        </w:tc>
        <w:tc>
          <w:tcPr>
            <w:tcW w:w="6482" w:type="dxa"/>
            <w:tcBorders>
              <w:top w:val="nil"/>
              <w:left w:val="nil"/>
              <w:bottom w:val="single" w:color="auto" w:sz="4" w:space="0"/>
              <w:right w:val="single" w:color="auto" w:sz="4" w:space="0"/>
            </w:tcBorders>
            <w:noWrap/>
            <w:vAlign w:val="center"/>
          </w:tcPr>
          <w:p w14:paraId="24794E0B">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按时向区财政局报送报告的得10分；每推迟一天报送报告的扣1分，最多扣10分。</w:t>
            </w:r>
          </w:p>
        </w:tc>
        <w:tc>
          <w:tcPr>
            <w:tcW w:w="753" w:type="dxa"/>
            <w:tcBorders>
              <w:top w:val="nil"/>
              <w:left w:val="nil"/>
              <w:bottom w:val="single" w:color="auto" w:sz="4" w:space="0"/>
              <w:right w:val="single" w:color="auto" w:sz="4" w:space="0"/>
            </w:tcBorders>
            <w:noWrap/>
            <w:vAlign w:val="center"/>
          </w:tcPr>
          <w:p w14:paraId="1A0C405E">
            <w:pPr>
              <w:spacing w:line="240" w:lineRule="exact"/>
              <w:rPr>
                <w:rFonts w:asciiTheme="majorEastAsia" w:hAnsiTheme="majorEastAsia" w:eastAsiaTheme="majorEastAsia" w:cstheme="majorEastAsia"/>
                <w:szCs w:val="21"/>
              </w:rPr>
            </w:pPr>
          </w:p>
        </w:tc>
      </w:tr>
      <w:tr w14:paraId="3FB21165">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ign w:val="center"/>
          </w:tcPr>
          <w:p w14:paraId="141A7DD6">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5A6005BE">
            <w:pPr>
              <w:spacing w:line="240" w:lineRule="exact"/>
              <w:jc w:val="center"/>
              <w:rPr>
                <w:rFonts w:asciiTheme="majorEastAsia" w:hAnsiTheme="majorEastAsia" w:eastAsiaTheme="majorEastAsia" w:cstheme="majorEastAsia"/>
                <w:szCs w:val="21"/>
              </w:rPr>
            </w:pPr>
          </w:p>
          <w:p w14:paraId="3F217B9E">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70分</w:t>
            </w:r>
          </w:p>
        </w:tc>
        <w:tc>
          <w:tcPr>
            <w:tcW w:w="1501" w:type="dxa"/>
            <w:tcBorders>
              <w:top w:val="single" w:color="auto" w:sz="4" w:space="0"/>
              <w:left w:val="nil"/>
              <w:bottom w:val="single" w:color="auto" w:sz="4" w:space="0"/>
              <w:right w:val="single" w:color="auto" w:sz="4" w:space="0"/>
            </w:tcBorders>
            <w:noWrap/>
            <w:vAlign w:val="center"/>
          </w:tcPr>
          <w:p w14:paraId="641BC3D9">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67D82251">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的完整性</w:t>
            </w:r>
          </w:p>
          <w:p w14:paraId="121C5249">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（15分）</w:t>
            </w:r>
          </w:p>
        </w:tc>
        <w:tc>
          <w:tcPr>
            <w:tcW w:w="6482" w:type="dxa"/>
            <w:tcBorders>
              <w:top w:val="single" w:color="auto" w:sz="4" w:space="0"/>
              <w:left w:val="nil"/>
              <w:bottom w:val="single" w:color="auto" w:sz="4" w:space="0"/>
              <w:right w:val="single" w:color="auto" w:sz="4" w:space="0"/>
            </w:tcBorders>
            <w:noWrap/>
            <w:vAlign w:val="center"/>
          </w:tcPr>
          <w:p w14:paraId="7C34EFAF">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1.绩效自评报告正文部分内容齐全的，得8分；否则每少一个部分扣2分，最多扣8分。</w:t>
            </w:r>
          </w:p>
          <w:p w14:paraId="7F3DC07B">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ign w:val="center"/>
          </w:tcPr>
          <w:p w14:paraId="29AA1396">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64A8F78B">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14:paraId="25D5EDD8">
            <w:pPr>
              <w:widowControl/>
              <w:jc w:val="left"/>
              <w:rPr>
                <w:rFonts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ign w:val="center"/>
          </w:tcPr>
          <w:p w14:paraId="4BA5B537">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绩效自评表</w:t>
            </w:r>
          </w:p>
          <w:p w14:paraId="365DCE51">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（20分）</w:t>
            </w:r>
          </w:p>
        </w:tc>
        <w:tc>
          <w:tcPr>
            <w:tcW w:w="6482" w:type="dxa"/>
            <w:tcBorders>
              <w:top w:val="single" w:color="auto" w:sz="4" w:space="0"/>
              <w:left w:val="nil"/>
              <w:bottom w:val="single" w:color="auto" w:sz="4" w:space="0"/>
              <w:right w:val="single" w:color="auto" w:sz="4" w:space="0"/>
            </w:tcBorders>
            <w:noWrap/>
            <w:vAlign w:val="center"/>
          </w:tcPr>
          <w:p w14:paraId="46C24AA5">
            <w:pPr>
              <w:adjustRightInd w:val="0"/>
              <w:snapToGrid w:val="0"/>
              <w:ind w:firstLine="420" w:firstLineChars="200"/>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1.部门整体支出和项目支出绩效指标反映产出、效益、服务对象满意度方面的指标和预算执行率的权重符合《岳阳市市级预算部门绩效自评操作规程》的，得5分，否则按比例扣除相应的分数。</w:t>
            </w:r>
          </w:p>
          <w:p w14:paraId="6F17D4D3">
            <w:pPr>
              <w:ind w:firstLine="420" w:firstLineChars="200"/>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2.部门整体支出和项目支出绩效指标全部细化到三级指标的，得5分；部分细化的，酌情扣分；没有细化的，不得分。</w:t>
            </w:r>
          </w:p>
          <w:p w14:paraId="673E2F70">
            <w:pPr>
              <w:ind w:firstLine="420" w:firstLineChars="200"/>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ign w:val="center"/>
          </w:tcPr>
          <w:p w14:paraId="14AB6B99">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11882E49">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14:paraId="5C3ADE75">
            <w:pPr>
              <w:widowControl/>
              <w:jc w:val="left"/>
              <w:rPr>
                <w:rFonts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ign w:val="center"/>
          </w:tcPr>
          <w:p w14:paraId="3EF5126A">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绩效评价</w:t>
            </w:r>
          </w:p>
          <w:p w14:paraId="4FBF6005">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报告反映</w:t>
            </w:r>
          </w:p>
          <w:p w14:paraId="5594A6CA">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问题情况</w:t>
            </w:r>
          </w:p>
          <w:p w14:paraId="681A525B">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（20分）</w:t>
            </w:r>
          </w:p>
        </w:tc>
        <w:tc>
          <w:tcPr>
            <w:tcW w:w="6482" w:type="dxa"/>
            <w:tcBorders>
              <w:top w:val="single" w:color="auto" w:sz="4" w:space="0"/>
              <w:left w:val="nil"/>
              <w:bottom w:val="single" w:color="auto" w:sz="4" w:space="0"/>
              <w:right w:val="single" w:color="auto" w:sz="4" w:space="0"/>
            </w:tcBorders>
            <w:noWrap/>
            <w:vAlign w:val="center"/>
          </w:tcPr>
          <w:p w14:paraId="533C479C">
            <w:pPr>
              <w:spacing w:line="240" w:lineRule="exact"/>
              <w:ind w:firstLine="23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pacing w:val="10"/>
                <w:szCs w:val="21"/>
              </w:rPr>
              <w:t>从预算和预算绩效管理，部门履职效能，资金分</w:t>
            </w:r>
            <w:r>
              <w:rPr>
                <w:rFonts w:hint="eastAsia" w:asciiTheme="majorEastAsia" w:hAnsiTheme="majorEastAsia" w:eastAsiaTheme="majorEastAsia" w:cstheme="majorEastAsia"/>
                <w:spacing w:val="9"/>
                <w:szCs w:val="21"/>
              </w:rPr>
              <w:t>配、使用和管理，资产和财务管理，政府</w:t>
            </w:r>
            <w:r>
              <w:rPr>
                <w:rFonts w:hint="eastAsia" w:asciiTheme="majorEastAsia" w:hAnsiTheme="majorEastAsia" w:eastAsiaTheme="majorEastAsia" w:cstheme="majorEastAsia"/>
                <w:spacing w:val="7"/>
                <w:szCs w:val="21"/>
              </w:rPr>
              <w:t>采购等方面归纳问题、分析原因全面的，得20分；反映问题、分析原因较</w:t>
            </w:r>
            <w:r>
              <w:rPr>
                <w:rFonts w:hint="eastAsia" w:asciiTheme="majorEastAsia" w:hAnsiTheme="majorEastAsia" w:eastAsiaTheme="majorEastAsia" w:cstheme="majorEastAsia"/>
                <w:spacing w:val="6"/>
                <w:szCs w:val="21"/>
              </w:rPr>
              <w:t>全面的，得16—18</w:t>
            </w:r>
            <w:r>
              <w:rPr>
                <w:rFonts w:hint="eastAsia" w:asciiTheme="majorEastAsia" w:hAnsiTheme="majorEastAsia" w:eastAsiaTheme="majorEastAsia" w:cstheme="majorEastAsia"/>
                <w:spacing w:val="12"/>
                <w:szCs w:val="21"/>
              </w:rPr>
              <w:t>分；反映问题、分析原因不全面的，得13—15分；问题未归纳</w:t>
            </w:r>
            <w:r>
              <w:rPr>
                <w:rFonts w:hint="eastAsia" w:asciiTheme="majorEastAsia" w:hAnsiTheme="majorEastAsia" w:eastAsiaTheme="majorEastAsia" w:cstheme="majorEastAsia"/>
                <w:spacing w:val="11"/>
                <w:szCs w:val="21"/>
              </w:rPr>
              <w:t>且过于简单的，得10—12</w:t>
            </w:r>
            <w:r>
              <w:rPr>
                <w:rFonts w:hint="eastAsia" w:asciiTheme="majorEastAsia" w:hAnsiTheme="majorEastAsia" w:eastAsiaTheme="majorEastAsia" w:cstheme="majorEastAsia"/>
                <w:spacing w:val="13"/>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ign w:val="center"/>
          </w:tcPr>
          <w:p w14:paraId="13247C37">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330C4CDC">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14:paraId="1C8E42C3">
            <w:pPr>
              <w:widowControl/>
              <w:jc w:val="left"/>
              <w:rPr>
                <w:rFonts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ign w:val="center"/>
          </w:tcPr>
          <w:p w14:paraId="3B8CAEEB">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针对问题</w:t>
            </w:r>
          </w:p>
          <w:p w14:paraId="61B820D7">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提出可行性建议的情况</w:t>
            </w:r>
          </w:p>
          <w:p w14:paraId="7E1C3F3D">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（15分）</w:t>
            </w:r>
          </w:p>
        </w:tc>
        <w:tc>
          <w:tcPr>
            <w:tcW w:w="6482" w:type="dxa"/>
            <w:tcBorders>
              <w:top w:val="single" w:color="auto" w:sz="4" w:space="0"/>
              <w:left w:val="nil"/>
              <w:bottom w:val="single" w:color="auto" w:sz="4" w:space="0"/>
              <w:right w:val="single" w:color="auto" w:sz="4" w:space="0"/>
            </w:tcBorders>
            <w:noWrap/>
            <w:vAlign w:val="center"/>
          </w:tcPr>
          <w:p w14:paraId="13743EDD">
            <w:pPr>
              <w:spacing w:line="240" w:lineRule="exact"/>
              <w:ind w:firstLine="216"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pacing w:val="3"/>
                <w:szCs w:val="21"/>
              </w:rPr>
              <w:t>建议与问题对应且全面的得15分，建议比较全面的得12—14分，建议不全面的得9—11</w:t>
            </w:r>
            <w:r>
              <w:rPr>
                <w:rFonts w:hint="eastAsia" w:asciiTheme="majorEastAsia" w:hAnsiTheme="majorEastAsia" w:eastAsiaTheme="majorEastAsia" w:cstheme="majorEastAsia"/>
                <w:spacing w:val="2"/>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ign w:val="center"/>
          </w:tcPr>
          <w:p w14:paraId="7A7B2AAE">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762D5E3E">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ign w:val="center"/>
          </w:tcPr>
          <w:p w14:paraId="23590B4F">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ign w:val="center"/>
          </w:tcPr>
          <w:p w14:paraId="3EAA404A">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100分</w:t>
            </w:r>
          </w:p>
        </w:tc>
        <w:tc>
          <w:tcPr>
            <w:tcW w:w="6482" w:type="dxa"/>
            <w:tcBorders>
              <w:top w:val="single" w:color="auto" w:sz="4" w:space="0"/>
              <w:left w:val="single" w:color="auto" w:sz="4" w:space="0"/>
              <w:bottom w:val="single" w:color="auto" w:sz="4" w:space="0"/>
              <w:right w:val="single" w:color="auto" w:sz="4" w:space="0"/>
            </w:tcBorders>
            <w:noWrap/>
            <w:vAlign w:val="center"/>
          </w:tcPr>
          <w:p w14:paraId="7C27A12A">
            <w:pPr>
              <w:spacing w:line="240" w:lineRule="exact"/>
              <w:rPr>
                <w:rFonts w:asciiTheme="majorEastAsia" w:hAnsiTheme="majorEastAsia" w:eastAsiaTheme="majorEastAsia" w:cstheme="majorEastAsia"/>
                <w:szCs w:val="21"/>
              </w:rPr>
            </w:pPr>
          </w:p>
        </w:tc>
        <w:tc>
          <w:tcPr>
            <w:tcW w:w="753" w:type="dxa"/>
            <w:tcBorders>
              <w:top w:val="single" w:color="auto" w:sz="4" w:space="0"/>
              <w:left w:val="single" w:color="auto" w:sz="4" w:space="0"/>
              <w:bottom w:val="single" w:color="auto" w:sz="4" w:space="0"/>
              <w:right w:val="single" w:color="auto" w:sz="4" w:space="0"/>
            </w:tcBorders>
            <w:noWrap/>
            <w:vAlign w:val="center"/>
          </w:tcPr>
          <w:p w14:paraId="2FB31893">
            <w:pPr>
              <w:spacing w:line="240" w:lineRule="exac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bl>
    <w:p w14:paraId="551C132C">
      <w:pPr>
        <w:ind w:firstLine="640" w:firstLineChars="200"/>
        <w:jc w:val="left"/>
        <w:rPr>
          <w:rFonts w:ascii="仿宋_GB2312" w:hAnsi="仿宋_GB2312" w:eastAsia="仿宋_GB2312" w:cs="仿宋_GB2312"/>
          <w:color w:val="000000" w:themeColor="text1"/>
          <w:sz w:val="32"/>
          <w:szCs w:val="32"/>
        </w:rPr>
      </w:pPr>
    </w:p>
    <w:sectPr>
      <w:footerReference r:id="rId3" w:type="default"/>
      <w:pgSz w:w="11906" w:h="16838"/>
      <w:pgMar w:top="1701" w:right="1701" w:bottom="1701"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方正小标宋简体">
    <w:altName w:val="方正舒体"/>
    <w:panose1 w:val="03000509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CD1763">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430557F">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9</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0430557F">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9</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FD73EFF"/>
    <w:multiLevelType w:val="singleLevel"/>
    <w:tmpl w:val="EFD73EFF"/>
    <w:lvl w:ilvl="0" w:tentative="0">
      <w:start w:val="1"/>
      <w:numFmt w:val="decimal"/>
      <w:suff w:val="nothing"/>
      <w:lvlText w:val="%1、"/>
      <w:lvlJc w:val="left"/>
      <w:rPr>
        <w:rFonts w:hint="default"/>
        <w:b w:val="0"/>
        <w:bCs w:val="0"/>
      </w:rPr>
    </w:lvl>
  </w:abstractNum>
  <w:abstractNum w:abstractNumId="1">
    <w:nsid w:val="08985376"/>
    <w:multiLevelType w:val="singleLevel"/>
    <w:tmpl w:val="08985376"/>
    <w:lvl w:ilvl="0" w:tentative="0">
      <w:start w:val="7"/>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VmMTk5MWQ1NWIyOTVjMDU2MTg4Y2VjMGViYjg4MzIifQ=="/>
  </w:docVars>
  <w:rsids>
    <w:rsidRoot w:val="53FC3987"/>
    <w:rsid w:val="00087210"/>
    <w:rsid w:val="000A3765"/>
    <w:rsid w:val="000D4497"/>
    <w:rsid w:val="000E53C6"/>
    <w:rsid w:val="001219A3"/>
    <w:rsid w:val="00127AE7"/>
    <w:rsid w:val="00140DCF"/>
    <w:rsid w:val="00165161"/>
    <w:rsid w:val="001C45C9"/>
    <w:rsid w:val="001D5F9B"/>
    <w:rsid w:val="001D7282"/>
    <w:rsid w:val="00224E27"/>
    <w:rsid w:val="002517F0"/>
    <w:rsid w:val="00272607"/>
    <w:rsid w:val="002808D0"/>
    <w:rsid w:val="002E2DB3"/>
    <w:rsid w:val="00305B36"/>
    <w:rsid w:val="0031210C"/>
    <w:rsid w:val="00320182"/>
    <w:rsid w:val="00367064"/>
    <w:rsid w:val="0039081D"/>
    <w:rsid w:val="003A75EF"/>
    <w:rsid w:val="003E67CC"/>
    <w:rsid w:val="00442FED"/>
    <w:rsid w:val="00460B7F"/>
    <w:rsid w:val="004A46AB"/>
    <w:rsid w:val="004C7177"/>
    <w:rsid w:val="004E0012"/>
    <w:rsid w:val="00544A0F"/>
    <w:rsid w:val="0057630E"/>
    <w:rsid w:val="005E6ECB"/>
    <w:rsid w:val="005F1DF0"/>
    <w:rsid w:val="00610E07"/>
    <w:rsid w:val="00646EAE"/>
    <w:rsid w:val="00693DF0"/>
    <w:rsid w:val="006E56F8"/>
    <w:rsid w:val="007226B0"/>
    <w:rsid w:val="00725426"/>
    <w:rsid w:val="00737A3F"/>
    <w:rsid w:val="00744EA1"/>
    <w:rsid w:val="007B6733"/>
    <w:rsid w:val="007E3A36"/>
    <w:rsid w:val="008125E0"/>
    <w:rsid w:val="00823731"/>
    <w:rsid w:val="00832CAB"/>
    <w:rsid w:val="008369EC"/>
    <w:rsid w:val="008A4733"/>
    <w:rsid w:val="00904CD2"/>
    <w:rsid w:val="00922DD2"/>
    <w:rsid w:val="009419CA"/>
    <w:rsid w:val="00955854"/>
    <w:rsid w:val="00980086"/>
    <w:rsid w:val="00983303"/>
    <w:rsid w:val="00987EC3"/>
    <w:rsid w:val="009C7330"/>
    <w:rsid w:val="009E3F5E"/>
    <w:rsid w:val="009E5A58"/>
    <w:rsid w:val="00A00FBB"/>
    <w:rsid w:val="00A53EBC"/>
    <w:rsid w:val="00A84B8E"/>
    <w:rsid w:val="00AD1701"/>
    <w:rsid w:val="00AF6A4F"/>
    <w:rsid w:val="00B40ABA"/>
    <w:rsid w:val="00B40CB4"/>
    <w:rsid w:val="00B46855"/>
    <w:rsid w:val="00B50D7B"/>
    <w:rsid w:val="00B82BBB"/>
    <w:rsid w:val="00BC3937"/>
    <w:rsid w:val="00BF0721"/>
    <w:rsid w:val="00C03795"/>
    <w:rsid w:val="00C540C5"/>
    <w:rsid w:val="00C60501"/>
    <w:rsid w:val="00C64E3A"/>
    <w:rsid w:val="00C90E81"/>
    <w:rsid w:val="00CE3756"/>
    <w:rsid w:val="00CE5F70"/>
    <w:rsid w:val="00D27A74"/>
    <w:rsid w:val="00D8501F"/>
    <w:rsid w:val="00DC2B04"/>
    <w:rsid w:val="00E30808"/>
    <w:rsid w:val="00E36468"/>
    <w:rsid w:val="00E43ED0"/>
    <w:rsid w:val="00E672CB"/>
    <w:rsid w:val="00E831C8"/>
    <w:rsid w:val="00EB4D17"/>
    <w:rsid w:val="00EB74F4"/>
    <w:rsid w:val="00EF287A"/>
    <w:rsid w:val="00F25C62"/>
    <w:rsid w:val="00F40FCC"/>
    <w:rsid w:val="00F60DC3"/>
    <w:rsid w:val="00FB2BFF"/>
    <w:rsid w:val="00FD31D9"/>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17A74"/>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116A"/>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565AE"/>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A15B4"/>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Balloon Text"/>
    <w:basedOn w:val="1"/>
    <w:link w:val="11"/>
    <w:qFormat/>
    <w:uiPriority w:val="0"/>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qFormat/>
    <w:uiPriority w:val="0"/>
    <w:pPr>
      <w:widowControl w:val="0"/>
      <w:spacing w:before="100" w:beforeAutospacing="1" w:after="100" w:afterAutospacing="1"/>
    </w:pPr>
    <w:rPr>
      <w:rFonts w:ascii="Times New Roman" w:hAnsi="Times New Roman" w:eastAsia="宋体" w:cs="Times New Roman"/>
      <w:sz w:val="24"/>
      <w:szCs w:val="24"/>
      <w:lang w:val="en-US" w:eastAsia="zh-CN" w:bidi="ar-SA"/>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
    <w:name w:val="Table Normal"/>
    <w:unhideWhenUsed/>
    <w:qFormat/>
    <w:uiPriority w:val="0"/>
    <w:tblPr>
      <w:tblCellMar>
        <w:top w:w="0" w:type="dxa"/>
        <w:left w:w="0" w:type="dxa"/>
        <w:bottom w:w="0" w:type="dxa"/>
        <w:right w:w="0" w:type="dxa"/>
      </w:tblCellMar>
    </w:tblPr>
  </w:style>
  <w:style w:type="character" w:customStyle="1" w:styleId="11">
    <w:name w:val="批注框文本 Char"/>
    <w:basedOn w:val="9"/>
    <w:link w:val="3"/>
    <w:qFormat/>
    <w:uiPriority w:val="0"/>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Pages>
  <Words>4153</Words>
  <Characters>4354</Characters>
  <Lines>32</Lines>
  <Paragraphs>9</Paragraphs>
  <TotalTime>1</TotalTime>
  <ScaleCrop>false</ScaleCrop>
  <LinksUpToDate>false</LinksUpToDate>
  <CharactersWithSpaces>4369</CharactersWithSpaces>
  <Application>WPS Office_12.1.0.17140_F1E327BC-269C-435d-A152-05C5408002CA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2023-08-23T02:46:00Z</dcterms:created>
  <dc:creator>新一天</dc:creator>
  <cp:lastModifiedBy>清晨的太阳</cp:lastModifiedBy>
  <cp:lastPrinted>2023-05-26T08:11:00Z</cp:lastPrinted>
  <dcterms:modified xsi:type="dcterms:W3CDTF">2024-06-20T15:33:37Z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2052-12.1.0.17140</vt:lpwstr>
  </property>
  <property fmtid="{D5CDD505-2E9C-101B-9397-08002B2CF9AE}" pid="3" name="ICV">
    <vt:lpwstr>0E383D1BF6234C86B499A21B6A3E594F_13</vt:lpwstr>
  </property>
</Properties>
</file>