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ind w:firstLine="424" w:firstLineChars="100"/>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8"/>
        <w:tblW w:w="10194"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139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6344" w:type="dxa"/>
            <w:gridSpan w:val="6"/>
            <w:noWrap w:val="0"/>
            <w:vAlign w:val="top"/>
          </w:tcPr>
          <w:p>
            <w:pPr>
              <w:spacing w:before="103" w:line="219" w:lineRule="auto"/>
              <w:ind w:left="708"/>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岳阳楼区民政局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2204"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70</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72</w:t>
            </w:r>
          </w:p>
        </w:tc>
        <w:tc>
          <w:tcPr>
            <w:tcW w:w="2204"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102.86%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2204"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2.86</w:t>
            </w:r>
          </w:p>
        </w:tc>
        <w:tc>
          <w:tcPr>
            <w:tcW w:w="2325"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4.66</w:t>
            </w:r>
          </w:p>
        </w:tc>
        <w:tc>
          <w:tcPr>
            <w:tcW w:w="2204"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6.43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2.53</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2.66</w:t>
            </w: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204"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2.53</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2.66</w:t>
            </w: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204"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0.33</w:t>
            </w: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w:t>
            </w: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144</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124.7</w:t>
            </w: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7696.34</w:t>
            </w:r>
          </w:p>
        </w:tc>
      </w:tr>
      <w:tr>
        <w:tblPrEx>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124.7</w:t>
            </w: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124.7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3850" w:type="dxa"/>
            <w:noWrap w:val="0"/>
            <w:vAlign w:val="top"/>
          </w:tcPr>
          <w:p>
            <w:pPr>
              <w:spacing w:before="143" w:line="209" w:lineRule="auto"/>
              <w:ind w:left="384"/>
              <w:jc w:val="left"/>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144</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204"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3、专项资金</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20" w:firstLineChars="200"/>
              <w:jc w:val="left"/>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毛发检测</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tabs>
                <w:tab w:val="left" w:pos="569"/>
              </w:tabs>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t>94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20" w:firstLineChars="200"/>
              <w:jc w:val="left"/>
              <w:rPr>
                <w:rFonts w:hint="eastAsia" w:ascii="Arial"/>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省运会后勤保障组接待单位工作经费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tabs>
                <w:tab w:val="left" w:pos="569"/>
              </w:tabs>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93" w:line="219" w:lineRule="auto"/>
              <w:ind w:firstLine="488" w:firstLineChars="200"/>
              <w:jc w:val="left"/>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2021社区村工作会议经费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2" w:hRule="atLeast"/>
        </w:trPr>
        <w:tc>
          <w:tcPr>
            <w:tcW w:w="3850" w:type="dxa"/>
            <w:noWrap w:val="0"/>
            <w:vAlign w:val="top"/>
          </w:tcPr>
          <w:p>
            <w:pPr>
              <w:spacing w:before="93" w:line="219" w:lineRule="auto"/>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养老机构床位运营补贴、三八连补助、审计事务所改制人员经费、春节慰问、婚姻登记工作经费、残疾人两项补贴、铁山移民、社会工作者工资、困难群众一次性生活补助</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947</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73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93" w:line="219" w:lineRule="auto"/>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事实无人抚养儿童和社会散居孤儿补贴</w:t>
            </w:r>
          </w:p>
        </w:tc>
        <w:tc>
          <w:tcPr>
            <w:tcW w:w="181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325" w:type="dxa"/>
            <w:gridSpan w:val="2"/>
            <w:noWrap w:val="0"/>
            <w:vAlign w:val="top"/>
          </w:tcPr>
          <w:p>
            <w:pPr>
              <w:spacing w:before="93" w:line="219" w:lineRule="auto"/>
              <w:jc w:val="both"/>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both"/>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256</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14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基本养老服务、百岁老人长寿金和高龄老人补贴</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76</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0</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残疾人生活补贴、护理补贴</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222</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残疾人两项补贴、残保金</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58</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36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城市低保</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5430</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76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农村低保</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32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2022年困难群众一次性生活补贴资金</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130</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32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城市特困供养</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14</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农村特困供养</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19</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精简退职</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高龄老人生活补贴、上半年基本养老服务补贴</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59</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37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交通卡口集中隔离场所值班值守工作人员加班补助、核算病毒检测费</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7</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6</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22年独生子女父母奖励</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2</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18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社区运转补助工作经费</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铁山伤残补助</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7</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市2020综12指文市级分成福利彩票公益金</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1</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福彩公益金、孤儿助学</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34</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福彩、敬老院、民政统计、疫情防控工作</w:t>
            </w:r>
          </w:p>
        </w:tc>
        <w:tc>
          <w:tcPr>
            <w:tcW w:w="1815" w:type="dxa"/>
            <w:gridSpan w:val="2"/>
            <w:noWrap w:val="0"/>
            <w:vAlign w:val="top"/>
          </w:tcPr>
          <w:p>
            <w:pPr>
              <w:spacing w:before="93" w:line="219" w:lineRule="auto"/>
              <w:ind w:firstLine="428" w:firstLineChars="200"/>
              <w:jc w:val="left"/>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pPr>
          </w:p>
        </w:tc>
        <w:tc>
          <w:tcPr>
            <w:tcW w:w="2325"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p>
        </w:tc>
        <w:tc>
          <w:tcPr>
            <w:tcW w:w="2204" w:type="dxa"/>
            <w:gridSpan w:val="2"/>
            <w:noWrap w:val="0"/>
            <w:vAlign w:val="top"/>
          </w:tcPr>
          <w:p>
            <w:pPr>
              <w:spacing w:before="93" w:line="219" w:lineRule="auto"/>
              <w:jc w:val="left"/>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pP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254</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3</w:t>
            </w:r>
            <w:r>
              <w:rPr>
                <w:rFonts w:hint="eastAsia" w:asciiTheme="majorEastAsia" w:hAnsiTheme="majorEastAsia" w:eastAsiaTheme="majorEastAsia" w:cstheme="majorEastAsia"/>
                <w:color w:val="000000" w:themeColor="text1"/>
                <w:spacing w:val="2"/>
                <w:sz w:val="21"/>
                <w:szCs w:val="21"/>
                <w:lang w:val="en-US" w:eastAsia="zh-CN"/>
                <w14:textFill>
                  <w14:solidFill>
                    <w14:schemeClr w14:val="tx1"/>
                  </w14:solidFill>
                </w14:textFill>
              </w:rPr>
              <w:t>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133.2</w:t>
            </w: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228.09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30.4</w:t>
            </w: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21.83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10.81</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11.38</w:t>
            </w: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204"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324</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257.9</w:t>
            </w:r>
          </w:p>
        </w:tc>
        <w:tc>
          <w:tcPr>
            <w:tcW w:w="2204"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p>
        </w:tc>
        <w:tc>
          <w:tcPr>
            <w:tcW w:w="2204"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1394"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394" w:type="dxa"/>
            <w:noWrap w:val="0"/>
            <w:vAlign w:val="top"/>
          </w:tcPr>
          <w:p>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6344"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eastAsia="zh-CN"/>
                <w14:textFill>
                  <w14:solidFill>
                    <w14:schemeClr w14:val="tx1"/>
                  </w14:solidFill>
                </w14:textFill>
              </w:rPr>
              <w:t>完善财务制度，严控经费支出，节约开支保运转</w:t>
            </w: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0"/>
          <w:szCs w:val="20"/>
          <w:lang w:eastAsia="zh-CN"/>
          <w14:textFill>
            <w14:solidFill>
              <w14:schemeClr w14:val="tx1"/>
            </w14:solidFill>
          </w14:textFill>
        </w:rPr>
        <w:t>曹慧慧</w:t>
      </w: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0"/>
          <w:szCs w:val="20"/>
          <w:lang w:val="en-US" w:eastAsia="zh-CN"/>
          <w14:textFill>
            <w14:solidFill>
              <w14:schemeClr w14:val="tx1"/>
            </w14:solidFill>
          </w14:textFill>
        </w:rPr>
        <w:t>8843775</w:t>
      </w: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0"/>
          <w:szCs w:val="20"/>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填报日期：</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8"/>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jc w:val="center"/>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岳阳市岳阳楼区民政局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1279.78</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8967.14</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8967.14</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8930.44</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1270.79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36.7</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7696.35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pacing w:val="7"/>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pacing w:val="7"/>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pacing w:val="7"/>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pacing w:val="7"/>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pacing w:val="7"/>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pacing w:val="7"/>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pacing w:val="7"/>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pacing w:val="7"/>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pacing w:val="7"/>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pacing w:val="7"/>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pacing w:val="7"/>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pacing w:val="7"/>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widowControl/>
              <w:spacing w:line="500" w:lineRule="exact"/>
              <w:rPr>
                <w:rFonts w:ascii="Arial"/>
                <w:color w:val="000000" w:themeColor="text1"/>
                <w:spacing w:val="0"/>
                <w:sz w:val="20"/>
                <w14:textFill>
                  <w14:solidFill>
                    <w14:schemeClr w14:val="tx1"/>
                  </w14:solidFill>
                </w14:textFill>
              </w:rPr>
            </w:pPr>
            <w:r>
              <w:rPr>
                <w:rFonts w:hint="eastAsia" w:ascii="仿宋" w:hAnsi="仿宋" w:eastAsia="仿宋" w:cs="Times New Roman"/>
                <w:kern w:val="0"/>
                <w:sz w:val="24"/>
                <w:szCs w:val="24"/>
              </w:rPr>
              <w:t>有效保证财政资金的合理使用，人员经费正常发放，确保单位经费正常运转，工作顺利开展；加大民生政策的宣传力度，按时发放公开各类补助资金，落实养老等服务项目建设，政府购买服务工作；关注未成年人发展，关爱残疾人事业，保障敬老院的正常运转，有效提升了群众满意度、幸福感。</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Arial" w:eastAsia="宋体"/>
                <w:color w:val="000000" w:themeColor="text1"/>
                <w:spacing w:val="0"/>
                <w:sz w:val="20"/>
                <w:lang w:eastAsia="zh-CN"/>
                <w14:textFill>
                  <w14:solidFill>
                    <w14:schemeClr w14:val="tx1"/>
                  </w14:solidFill>
                </w14:textFill>
              </w:rPr>
            </w:pPr>
            <w:r>
              <w:rPr>
                <w:rFonts w:hint="eastAsia" w:ascii="仿宋" w:hAnsi="仿宋" w:eastAsia="仿宋" w:cs="Times New Roman"/>
                <w:kern w:val="0"/>
                <w:sz w:val="24"/>
                <w:szCs w:val="24"/>
                <w:lang w:eastAsia="zh-CN"/>
              </w:rPr>
              <w:t>正常有序完成目标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实施低保救助人次</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firstLine="400" w:firstLineChars="200"/>
              <w:jc w:val="both"/>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≧140000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147250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发放残疾人“两项补贴”人次</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firstLine="400" w:firstLineChars="200"/>
              <w:jc w:val="both"/>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≧80000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86150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发放特困供养人员基本生活补助人次</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firstLine="400" w:firstLineChars="200"/>
              <w:jc w:val="both"/>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2694</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补助困难群众基本殡葬服务费人次</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firstLine="400" w:firstLineChars="200"/>
              <w:jc w:val="both"/>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193</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rPr>
              <w:t>办理爱心助学人数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firstLine="400" w:firstLineChars="200"/>
              <w:jc w:val="both"/>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24</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困难老年人进行了居家适老化改造户数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firstLine="400" w:firstLineChars="200"/>
              <w:jc w:val="both"/>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174</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新建、改扩建社区服务平台个数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firstLine="400" w:firstLineChars="200"/>
              <w:jc w:val="both"/>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修改完善村规民约份数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firstLine="400" w:firstLineChars="200"/>
              <w:jc w:val="both"/>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招聘社区网格员人数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firstLine="400" w:firstLineChars="200"/>
              <w:jc w:val="both"/>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办理慈善救助帮扶户数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firstLine="400" w:firstLineChars="200"/>
              <w:jc w:val="both"/>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26</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社会救助工作摸排精准率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地名边界勘察工作验收合格率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2"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上访事件发生数量</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0起</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0起</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pageBreakBefore w:val="0"/>
              <w:widowControl w:val="0"/>
              <w:tabs>
                <w:tab w:val="left" w:pos="567"/>
              </w:tabs>
              <w:kinsoku/>
              <w:wordWrap/>
              <w:overflowPunct/>
              <w:topLinePunct w:val="0"/>
              <w:autoSpaceDE/>
              <w:autoSpaceDN/>
              <w:bidi w:val="0"/>
              <w:adjustRightInd/>
              <w:snapToGrid/>
              <w:spacing w:line="239" w:lineRule="exact"/>
              <w:ind w:left="0"/>
              <w:jc w:val="left"/>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困难群众救助资金发放时间</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jc w:val="both"/>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每月30日前</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每月30日前</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tabs>
                <w:tab w:val="left" w:pos="567"/>
              </w:tabs>
              <w:kinsoku/>
              <w:wordWrap/>
              <w:overflowPunct/>
              <w:topLinePunct w:val="0"/>
              <w:autoSpaceDE/>
              <w:autoSpaceDN/>
              <w:bidi w:val="0"/>
              <w:adjustRightInd/>
              <w:snapToGrid/>
              <w:spacing w:line="239" w:lineRule="exact"/>
              <w:ind w:left="0"/>
              <w:jc w:val="left"/>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铁山移民伤残补助发放时间</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jc w:val="both"/>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每月30日前</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每月30日前</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tabs>
                <w:tab w:val="left" w:pos="567"/>
              </w:tabs>
              <w:kinsoku/>
              <w:wordWrap/>
              <w:overflowPunct/>
              <w:topLinePunct w:val="0"/>
              <w:autoSpaceDE/>
              <w:autoSpaceDN/>
              <w:bidi w:val="0"/>
              <w:adjustRightInd/>
              <w:snapToGrid/>
              <w:spacing w:line="239" w:lineRule="exact"/>
              <w:ind w:left="0"/>
              <w:jc w:val="left"/>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残疾人两项补贴发放时间</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jc w:val="both"/>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每月30日前</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每月30日前</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tabs>
                <w:tab w:val="left" w:pos="567"/>
              </w:tabs>
              <w:kinsoku/>
              <w:wordWrap/>
              <w:overflowPunct/>
              <w:topLinePunct w:val="0"/>
              <w:autoSpaceDE/>
              <w:autoSpaceDN/>
              <w:bidi w:val="0"/>
              <w:adjustRightInd/>
              <w:snapToGrid/>
              <w:spacing w:line="239" w:lineRule="exact"/>
              <w:ind w:left="0"/>
              <w:jc w:val="left"/>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养老服务相关补贴发放时间</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jc w:val="both"/>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半年发放一次</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半年发放一次</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1"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2"/>
                <w:sz w:val="21"/>
                <w:szCs w:val="21"/>
                <w14:textFill>
                  <w14:solidFill>
                    <w14:schemeClr w14:val="tx1"/>
                  </w14:solidFill>
                </w14:textFill>
              </w:rPr>
            </w:pPr>
          </w:p>
        </w:tc>
        <w:tc>
          <w:tcPr>
            <w:tcW w:w="1269" w:type="dxa"/>
            <w:noWrap w:val="0"/>
            <w:vAlign w:val="center"/>
          </w:tcPr>
          <w:p>
            <w:pPr>
              <w:keepNext w:val="0"/>
              <w:keepLines w:val="0"/>
              <w:pageBreakBefore w:val="0"/>
              <w:widowControl w:val="0"/>
              <w:tabs>
                <w:tab w:val="left" w:pos="567"/>
              </w:tabs>
              <w:kinsoku/>
              <w:wordWrap/>
              <w:overflowPunct/>
              <w:topLinePunct w:val="0"/>
              <w:autoSpaceDE/>
              <w:autoSpaceDN/>
              <w:bidi w:val="0"/>
              <w:adjustRightInd/>
              <w:snapToGrid/>
              <w:spacing w:line="239" w:lineRule="exact"/>
              <w:ind w:left="0"/>
              <w:jc w:val="left"/>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福彩助学金发放时间</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jc w:val="both"/>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每月30日前</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每月30日前</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总成本控制</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不超过全年预算</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不超过预算</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6</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2"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益指标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eastAsia="zh-CN"/>
                <w14:textFill>
                  <w14:solidFill>
                    <w14:schemeClr w14:val="tx1"/>
                  </w14:solidFill>
                </w14:textFill>
              </w:rPr>
              <w:t>全区养老机构安全事故发生数量</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0起</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0起</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4"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eastAsia="zh-CN"/>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eastAsia="zh-CN"/>
                <w14:textFill>
                  <w14:solidFill>
                    <w14:schemeClr w14:val="tx1"/>
                  </w14:solidFill>
                </w14:textFill>
              </w:rPr>
            </w:pPr>
            <w:r>
              <w:rPr>
                <w:rFonts w:hint="eastAsia" w:ascii="仿宋" w:hAnsi="仿宋" w:eastAsia="仿宋"/>
                <w:color w:val="000000"/>
              </w:rPr>
              <w:t>社会组织发展健康有序</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稳步提升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稳步提升。注销180家，取缔非法组织2家，整治“僵尸型”社会组织32家</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4"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eastAsia="zh-CN"/>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仿宋" w:hAnsi="仿宋" w:eastAsia="仿宋"/>
                <w:color w:val="000000"/>
              </w:rPr>
            </w:pPr>
            <w:r>
              <w:rPr>
                <w:rFonts w:hint="eastAsia" w:ascii="仿宋" w:hAnsi="仿宋" w:eastAsia="仿宋"/>
                <w:color w:val="000000"/>
              </w:rPr>
              <w:t>殡葬改革制度有序推进</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较上一年提升</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较上一年提升。岀动殡葬执法人员610人次，执法157起，整治规范殡葬150例</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6"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eastAsia="zh-CN"/>
                <w14:textFill>
                  <w14:solidFill>
                    <w14:schemeClr w14:val="tx1"/>
                  </w14:solidFill>
                </w14:textFill>
              </w:rPr>
              <w:t>完善民政工作相关规章制度，形成长效管理机制</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关于改革完善社会救助制度的实施方案》《岳阳楼区最低生活保障审核确认实施细则》《岳阳楼区城乡低保精准救助实施细则》《岳阳楼区低收入家庭认定及救助帮扶实施细则》《在全区开展文明节俭操办婚丧喜庆事宜的工作方案》《岳阳楼区社区（村）综合绩效考评方案》《岳阳楼区社区专职工作者管理办法》《岳阳楼区“清廉村居”建设工作方案》《“清廉村居”建设工作清单》《岳阳楼区关于完善社区专职工作者薪酬体系的实施办法》《岳阳楼区民政局养老机构疫情防控应急预案》</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已出台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12</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12</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w:t>
            </w:r>
            <w:r>
              <w:rPr>
                <w:rFonts w:hint="eastAsia" w:ascii="宋体" w:hAnsi="宋体" w:eastAsia="宋体" w:cs="宋体"/>
                <w:color w:val="000000" w:themeColor="text1"/>
                <w:spacing w:val="9"/>
                <w:sz w:val="21"/>
                <w:szCs w:val="21"/>
                <w:lang w:val="en-US" w:eastAsia="zh-CN"/>
                <w14:textFill>
                  <w14:solidFill>
                    <w14:schemeClr w14:val="tx1"/>
                  </w14:solidFill>
                </w14:textFill>
              </w:rPr>
              <w:t>1</w:t>
            </w:r>
            <w:r>
              <w:rPr>
                <w:rFonts w:ascii="宋体" w:hAnsi="宋体" w:eastAsia="宋体" w:cs="宋体"/>
                <w:color w:val="000000" w:themeColor="text1"/>
                <w:spacing w:val="9"/>
                <w:sz w:val="21"/>
                <w:szCs w:val="21"/>
                <w14:textFill>
                  <w14:solidFill>
                    <w14:schemeClr w14:val="tx1"/>
                  </w14:solidFill>
                </w14:textFill>
              </w:rPr>
              <w:t>0分)</w:t>
            </w:r>
          </w:p>
        </w:tc>
        <w:tc>
          <w:tcPr>
            <w:tcW w:w="102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残疾人满意度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宋体" w:hAnsi="宋体" w:eastAsia="宋体" w:cs="宋体"/>
                <w:color w:val="000000" w:themeColor="text1"/>
                <w:sz w:val="21"/>
                <w:lang w:val="en-US" w:eastAsia="zh-CN"/>
                <w14:textFill>
                  <w14:solidFill>
                    <w14:schemeClr w14:val="tx1"/>
                  </w14:solidFill>
                </w14:textFill>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w:t>
            </w:r>
          </w:p>
        </w:tc>
        <w:tc>
          <w:tcPr>
            <w:tcW w:w="1275" w:type="dxa"/>
            <w:vMerge w:val="restart"/>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持续加大政策宣传力度、上门服务让群众满意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1084" w:type="dxa"/>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9"/>
                <w:sz w:val="21"/>
                <w:szCs w:val="21"/>
                <w14:textFill>
                  <w14:solidFill>
                    <w14:schemeClr w14:val="tx1"/>
                  </w14:solidFill>
                </w14:textFill>
              </w:rPr>
            </w:pPr>
          </w:p>
        </w:tc>
        <w:tc>
          <w:tcPr>
            <w:tcW w:w="1029" w:type="dxa"/>
            <w:vMerge w:val="continue"/>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困难群众满意度</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lang w:val="en-US" w:eastAsia="zh-CN"/>
                <w14:textFill>
                  <w14:solidFill>
                    <w14:schemeClr w14:val="tx1"/>
                  </w14:solidFill>
                </w14:textFill>
              </w:rPr>
            </w:pPr>
            <w:r>
              <w:rPr>
                <w:rFonts w:hint="eastAsia" w:ascii="宋体" w:hAnsi="宋体" w:eastAsia="宋体" w:cs="宋体"/>
                <w:color w:val="000000" w:themeColor="text1"/>
                <w:sz w:val="21"/>
                <w:lang w:val="en-US" w:eastAsia="zh-CN"/>
                <w14:textFill>
                  <w14:solidFill>
                    <w14:schemeClr w14:val="tx1"/>
                  </w14:solidFill>
                </w14:textFill>
              </w:rPr>
              <w:t>100%</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5</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4</w:t>
            </w:r>
          </w:p>
        </w:tc>
        <w:tc>
          <w:tcPr>
            <w:tcW w:w="1275" w:type="dxa"/>
            <w:vMerge w:val="continue"/>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color w:val="000000" w:themeColor="text1"/>
                <w:sz w:val="21"/>
                <w:lang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98</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both"/>
              <w:textAlignment w:val="auto"/>
              <w:rPr>
                <w:rFonts w:hint="default" w:ascii="Arial" w:eastAsiaTheme="minorEastAsia"/>
                <w:color w:val="000000" w:themeColor="text1"/>
                <w:sz w:val="21"/>
                <w:lang w:val="en-US" w:eastAsia="zh-CN"/>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footerReference r:id="rId3" w:type="default"/>
          <w:pgSz w:w="11906" w:h="16838"/>
          <w:pgMar w:top="720" w:right="720" w:bottom="720" w:left="720" w:header="851" w:footer="992" w:gutter="0"/>
          <w:pgNumType w:fmt="decimal"/>
          <w:cols w:space="0" w:num="1"/>
          <w:rtlGutter w:val="0"/>
          <w:docGrid w:type="lines" w:linePitch="312" w:charSpace="0"/>
        </w:sect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22"/>
          <w:sz w:val="22"/>
          <w:szCs w:val="22"/>
          <w:lang w:eastAsia="zh-CN"/>
          <w14:textFill>
            <w14:solidFill>
              <w14:schemeClr w14:val="tx1"/>
            </w14:solidFill>
          </w14:textFill>
        </w:rPr>
        <w:t>曹慧慧</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ascii="仿宋" w:hAnsi="仿宋" w:eastAsia="仿宋" w:cs="仿宋"/>
          <w:color w:val="000000" w:themeColor="text1"/>
          <w:spacing w:val="2"/>
          <w:sz w:val="22"/>
          <w:szCs w:val="22"/>
          <w14:textFill>
            <w14:solidFill>
              <w14:schemeClr w14:val="tx1"/>
            </w14:solidFill>
          </w14:textFill>
        </w:rPr>
        <w:t xml:space="preserve">  </w:t>
      </w:r>
      <w:r>
        <w:rPr>
          <w:rFonts w:hint="eastAsia" w:ascii="仿宋" w:hAnsi="仿宋" w:eastAsia="仿宋" w:cs="仿宋"/>
          <w:color w:val="000000" w:themeColor="text1"/>
          <w:spacing w:val="2"/>
          <w:sz w:val="22"/>
          <w:szCs w:val="22"/>
          <w:lang w:val="en-US" w:eastAsia="zh-CN"/>
          <w14:textFill>
            <w14:solidFill>
              <w14:schemeClr w14:val="tx1"/>
            </w14:solidFill>
          </w14:textFill>
        </w:rPr>
        <w:t>8843775</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r>
        <w:rPr>
          <w:rFonts w:hint="eastAsia" w:ascii="仿宋" w:hAnsi="仿宋" w:eastAsia="仿宋" w:cs="仿宋"/>
          <w:color w:val="000000" w:themeColor="text1"/>
          <w:spacing w:val="3"/>
          <w:sz w:val="22"/>
          <w:szCs w:val="22"/>
          <w:lang w:val="en-US" w:eastAsia="zh-CN"/>
          <w14:textFill>
            <w14:solidFill>
              <w14:schemeClr w14:val="tx1"/>
            </w14:solidFill>
          </w14:textFill>
        </w:rPr>
        <w:t>2023.6.15</w:t>
      </w: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岳阳市岳阳楼区民政局</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2023年6月15日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2022年度岳阳楼区民政局整体支出</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321" w:firstLineChars="100"/>
        <w:jc w:val="both"/>
        <w:textAlignment w:val="cente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pPr>
      <w: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t>（一）部门职责</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1、负责全区民政工作，拟订全区民政事业年度计划和中、长期发展规划，研究拟订全区民政工作有关政策、规章的实施细则与办法，并负责组织实施和监督检查。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2、创新社会组织管理体制，培育和发展全区社会组织。承担依法对全区社会团体的登记管理和监督责任;查处社团组织的违法违规行为和未经登记而以社团名义开展活动的非法组织;负责社团基金会的审批和监督;负责全区民办非企业单位的登记管理和监督工作，查处民办非企业单位的违法行为和未经登记的民办非企业单位。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3、贯彻落实《社会救助暂行办法》，依法建立和实施城乡居民最低生活保障制度、特困人员供养制度、临时救助制度、救急难制度;管理、申报、发放社会救助资金;牵头相关职能部门建立健全社会救助体系，组织召集社会救助联席会议，协调区本级相关单位和报请市级开展城乡居民家庭经济状况信息比对;拟定全区社会救助工作规划，有计划地组织安排社会救助工作培训;监督检查街道(乡)社会救助的申请受理、调查审核责任主体落实情况。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4、研究提出加强和改进基层政权建设的意见;指导村(居)民委员会民主选举、民主决策、民主管理和民主监督工作，推动村(居)民自治和基层民主政治建设;指导城乡社区开展服务管理创新;负责全区社区管理工作领导小组办公室日常工作。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5、指导婚姻管理工作，倡导婚姻习俗改革，拟订并监督实施婚姻服务机枃管理办法;按照《中华人民共和国婚姻法》和《婚姻登记条例》，为符合婚姻登记条件的当事人办理结婚登记、离婚登记。建立保管婚姻档案，对结婚证、离婚证遗失或者损毁的，依法补发证件。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6、主管行政区划工作，负责街道(乡)的设立、撤销、更名和界线变更的审核报批工作;研究和拟订全区行政区划的总体规划，办理报批手续，并组织实施;承办与邻区(县)边界的勘定和边界纠纷的调处工作;指导各街道(乡)行政区划工作和边界争议的调处工作;承办本辖区地名的命名、更名变更和政府驻地迁移审核工作;规范全区地名标志的设置和管理;组织建立和管理地名资料档案;完成国家其他地名工作任务。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7、拟订全区社会福利事业发展规划;指导社会福利事业单位建设管理工作;拟订全区福利设施的标准，承担区级福利机构的审核报批工作，承担老年人、孤残儿童等特殊困难群体权益保护的行政管理工作;拟订全区儿童福利、孤弃儿童保障、儿童收养、儿童救助保护政策、标准，健全农村留守儿童关爱服务体系和困境儿童保障制度;拟订社会福利生产的扶持保护政策;负责社会福利企业的认定审批;主管社会福利有奖募捐工作，研究提出福利彩票发行规划、发行额度和管理办法组织指导发行福利彩票，管理本级福利资金，指导、监督全区福利资金的管理使用。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8、负责筹募善款，组织开展各种慈善项目和活动，扶助弱群体和个人，积极参与政府的扶贫工程和社会救济工作，协助政府开展救灾赈济工作。资助和举办安老、助孤、济困的各种社会福利机构、推动社会福利社会化，为弱势群体提供物质帮助和精神抚慰;负责对外合作与交流，加强与省、市内各公益慈善机构的联系与协作，指导促进区慈善事业的发展。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9、负责全区殡葬管理工作，推进殡葬改革;负责全区经营性公墓建设的规划、审核报批和管理工作;指导全区公益性公墓建设。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10、保障城市生活无着落的流浪乞讨人员的基本生活权益;负责实施收养方面的法律、法规，指导社会收养管理工作，协助涉外收养登记管理等有关工作;协助收容遣送工作。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11、负责全区民政事业经费、国有资产管理和监督，负责民政统计工作。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12、会同有关部门按规定拟定全区社会工作规范性文件草案和发展规划、职业规划，推进社会工作人才队伍建设和相关志愿者队伍建设;指导全区基层民政干部职工队伍建设;推进民政科技和民政行业标准化工作。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13、负责本单位、本系统的信访维稳和安全生产工作;完成区委、区人民政府交办的其他任务。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pPr>
      <w:r>
        <w:rPr>
          <w:rFonts w:hint="eastAsia" w:ascii="仿宋_GB2312" w:hAnsi="仿宋_GB2312" w:eastAsia="仿宋_GB2312" w:cs="仿宋_GB2312"/>
          <w:color w:val="000000" w:themeColor="text1"/>
          <w:spacing w:val="0"/>
          <w:kern w:val="2"/>
          <w:position w:val="0"/>
          <w:sz w:val="32"/>
          <w:szCs w:val="32"/>
          <w:lang w:val="en-US" w:eastAsia="zh-CN" w:bidi="ar-SA"/>
          <w14:textFill>
            <w14:solidFill>
              <w14:schemeClr w14:val="tx1"/>
            </w14:solidFill>
          </w14:textFill>
        </w:rPr>
        <w:t>　　14、与区卫生健康局的有关职责分工。区民政局负责统筹推进、督促指导、监督管理养老服务工作、指导全区贯彻养老服务体系建设规划、法规、政策、标准并组织实施，承担老年人福利和特殊困难老年人救助工作。区卫生健康局负责拟订应对人口老龄化、医养结合政策措施，综合协调、督促指导、组织推进老龄事业发展，承担老年疾病防治、老年人医疗照护、老年人心理健康与关怀服务等老年健康工作。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3" w:lineRule="atLeast"/>
        <w:ind w:left="0" w:right="0" w:firstLine="0"/>
        <w:jc w:val="both"/>
        <w:textAlignment w:val="center"/>
        <w:rPr>
          <w:rFonts w:hint="eastAsia" w:ascii="微软雅黑" w:hAnsi="微软雅黑" w:eastAsia="微软雅黑" w:cs="微软雅黑"/>
          <w:i w:val="0"/>
          <w:iCs w:val="0"/>
          <w:caps w:val="0"/>
          <w:color w:val="333333"/>
          <w:spacing w:val="0"/>
          <w:sz w:val="24"/>
          <w:szCs w:val="24"/>
        </w:rPr>
      </w:pPr>
      <w:r>
        <w:rPr>
          <w:rFonts w:hint="eastAsia" w:ascii="仿宋" w:hAnsi="仿宋" w:eastAsia="仿宋" w:cs="仿宋"/>
          <w:i w:val="0"/>
          <w:iCs w:val="0"/>
          <w:caps w:val="0"/>
          <w:color w:val="333333"/>
          <w:spacing w:val="0"/>
          <w:sz w:val="28"/>
          <w:szCs w:val="28"/>
          <w:shd w:val="clear" w:fill="FFFFFF"/>
        </w:rPr>
        <w:t>　</w:t>
      </w:r>
      <w:r>
        <w:rPr>
          <w:rFonts w:hint="eastAsia" w:ascii="仿宋" w:hAnsi="仿宋" w:eastAsia="仿宋" w:cs="仿宋"/>
          <w:b/>
          <w:bCs/>
          <w:i w:val="0"/>
          <w:iCs w:val="0"/>
          <w:caps w:val="0"/>
          <w:color w:val="333333"/>
          <w:spacing w:val="0"/>
          <w:sz w:val="28"/>
          <w:szCs w:val="28"/>
          <w:shd w:val="clear" w:fill="FFFFFF"/>
        </w:rPr>
        <w:t>　</w:t>
      </w:r>
      <w: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t>（二）机构设置及单位构成</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内设机构设置。岳阳楼区民政局内设10个股室，分别是办公室(信访股)、政工人事股(社会工作股)、规划财务股、政策法制股(行政审批股)、社会组织管理股、社会救助股、基层政权建设股、社会事务股、儿童福利股、养老服务股。</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单位构成。岳阳楼区民政局2022年整体支出绩效自评单位构成包括：本单位本级和下属6个事业单位，分别是岳阳市岳阳楼区社会救助服务中心、岳阳市岳阳楼区婚姻登记中心、岳阳市岳阳楼区社会组织服务中心、岳阳市岳阳楼区殡葬执法大队（岳阳楼区殡葬服务中心）、岳阳市岳阳楼区慈善救助服务中心(岳阳市岳阳楼区福利彩票发行中心)、岳阳市岳阳楼区城乡居民家庭经济状况核对中心。</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基本支出年初预算数为1155.08万元，其中：人员经费1021.88万元，主要包括：基本工资、津贴补贴、奖金、绩效工资、机关事业单位基本养老保险缴费、职业年金缴费、职工基本医疗保险缴费、其他社会保障缴费、住房公积金；商品和服务支出133.2万元，主要包括：办公费、印刷费、邮电费、差旅费、公务接待费、其他商品和服务支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（二）项目支出情况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2022年项目支出年初预算数为124.7万元，其中：业务工作经费支出124.7万元，主要用于社会组织管理、婚姻登记及管理服务、社会事务、社会救助、抚恤金、区划调整、地名普查等方面。</w:t>
      </w:r>
    </w:p>
    <w:p>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政府性基金预算支出情况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default" w:ascii="仿宋_GB2312" w:hAnsi="仿宋_GB2312" w:eastAsia="仿宋_GB2312" w:cs="仿宋_GB2312"/>
          <w:color w:val="auto"/>
          <w:spacing w:val="0"/>
          <w:position w:val="0"/>
          <w:sz w:val="32"/>
          <w:szCs w:val="32"/>
          <w:lang w:val="en-US" w:eastAsia="zh-CN"/>
        </w:rPr>
      </w:pPr>
      <w:bookmarkStart w:id="0" w:name="_GoBack"/>
      <w:r>
        <w:rPr>
          <w:rFonts w:hint="eastAsia" w:ascii="仿宋_GB2312" w:hAnsi="仿宋_GB2312" w:eastAsia="仿宋_GB2312" w:cs="仿宋_GB2312"/>
          <w:color w:val="auto"/>
          <w:spacing w:val="0"/>
          <w:position w:val="0"/>
          <w:sz w:val="32"/>
          <w:szCs w:val="32"/>
          <w:lang w:val="en-US" w:eastAsia="zh-CN"/>
        </w:rPr>
        <w:t>2022年度本单位政府性基金预算支出36.7万元，其中福利彩票销售机构业务费1.9万元，用于社会福利的彩票公益金支出34.8万元。</w:t>
      </w:r>
    </w:p>
    <w:p>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auto"/>
          <w:spacing w:val="0"/>
          <w:position w:val="0"/>
          <w:sz w:val="32"/>
          <w:szCs w:val="32"/>
          <w:lang w:val="en-US" w:eastAsia="zh-CN"/>
        </w:rPr>
      </w:pPr>
      <w:r>
        <w:rPr>
          <w:rFonts w:hint="eastAsia" w:ascii="黑体" w:hAnsi="黑体" w:eastAsia="黑体" w:cs="黑体"/>
          <w:color w:val="auto"/>
          <w:spacing w:val="0"/>
          <w:position w:val="0"/>
          <w:sz w:val="32"/>
          <w:szCs w:val="32"/>
          <w:lang w:val="en-US" w:eastAsia="zh-CN"/>
        </w:rPr>
        <w:t>国有资本经营预算支出情况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auto"/>
          <w:spacing w:val="0"/>
          <w:position w:val="0"/>
          <w:sz w:val="32"/>
          <w:szCs w:val="32"/>
          <w:lang w:val="en-US" w:eastAsia="zh-CN"/>
        </w:rPr>
      </w:pPr>
      <w:r>
        <w:rPr>
          <w:rFonts w:hint="eastAsia" w:ascii="仿宋_GB2312" w:hAnsi="仿宋_GB2312" w:eastAsia="仿宋_GB2312" w:cs="仿宋_GB2312"/>
          <w:color w:val="auto"/>
          <w:spacing w:val="0"/>
          <w:position w:val="0"/>
          <w:sz w:val="32"/>
          <w:szCs w:val="32"/>
          <w:lang w:val="en-US" w:eastAsia="zh-CN"/>
        </w:rPr>
        <w:t>2022年度本单位无国有资本经营安排的支出。</w:t>
      </w:r>
    </w:p>
    <w:p>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auto"/>
          <w:spacing w:val="0"/>
          <w:position w:val="0"/>
          <w:sz w:val="32"/>
          <w:szCs w:val="32"/>
          <w:lang w:val="en-US" w:eastAsia="zh-CN"/>
        </w:rPr>
      </w:pPr>
      <w:r>
        <w:rPr>
          <w:rFonts w:hint="eastAsia" w:ascii="黑体" w:hAnsi="黑体" w:eastAsia="黑体" w:cs="黑体"/>
          <w:color w:val="auto"/>
          <w:spacing w:val="0"/>
          <w:position w:val="0"/>
          <w:sz w:val="32"/>
          <w:szCs w:val="32"/>
          <w:lang w:val="en-US" w:eastAsia="zh-CN"/>
        </w:rPr>
        <w:t>社会保险基金预算支出情况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auto"/>
          <w:spacing w:val="0"/>
          <w:position w:val="0"/>
          <w:sz w:val="32"/>
          <w:szCs w:val="32"/>
          <w:lang w:val="en-US" w:eastAsia="zh-CN"/>
        </w:rPr>
      </w:pPr>
      <w:r>
        <w:rPr>
          <w:rFonts w:hint="eastAsia" w:ascii="仿宋_GB2312" w:hAnsi="仿宋_GB2312" w:eastAsia="仿宋_GB2312" w:cs="仿宋_GB2312"/>
          <w:color w:val="auto"/>
          <w:spacing w:val="0"/>
          <w:position w:val="0"/>
          <w:sz w:val="32"/>
          <w:szCs w:val="32"/>
          <w:lang w:val="en-US" w:eastAsia="zh-CN"/>
        </w:rPr>
        <w:t>2022年度机关事业单位基本养老保险缴费支出80.63万元、职业年金缴费支出4.47万元、其他社会保险缴费6.06万元、职工基本医疗保险缴费支出39.42万元。</w:t>
      </w:r>
    </w:p>
    <w:bookmarkEnd w:id="0"/>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从整体上看，我单位资金管理规范、有效地发挥了财政资金的使用效率，确保民政各项工作正常运转。人员经费支出、公共支出严格执行上级各项制度。项目经费的使用上，在保证各项任务顺利完成的同时，严格落实厉行节约的原则，做好了困难群众资金、残疾人两项补贴、老年人福利、儿童福利、养老服务、福利彩票公益金等项目工作，，充分发挥了民政爱民、民政为民的影响作用,社会反响良好。</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一是因部门整体支出的预算资金安排和使用上仍有不可预见性，导致预算数与决算数存在差距，还需加强预算管理，科学编制预算。</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二是因工作量的加大、质量提高，导致工作开展开支加大，还需加大对各项专项资金的投入。</w:t>
      </w:r>
    </w:p>
    <w:p>
      <w:pPr>
        <w:keepNext w:val="0"/>
        <w:keepLines w:val="0"/>
        <w:pageBreakBefore w:val="0"/>
        <w:widowControl w:val="0"/>
        <w:numPr>
          <w:ilvl w:val="0"/>
          <w:numId w:val="2"/>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一是加强与财政部门联系，提升财务专业知识，整合各项资源，优化资源配置，对年度收入支出做出精准预算安排。</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二是加强单位内部队伍建设和业务培训，培养项目和部门的绩效管理专业人才，逐步建立绩效评价的长期机制。</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w:t>
      </w:r>
    </w:p>
    <w:p>
      <w:pPr>
        <w:spacing w:before="75" w:line="230" w:lineRule="auto"/>
        <w:rPr>
          <w:rFonts w:hint="default" w:ascii="仿宋" w:hAnsi="仿宋" w:eastAsia="仿宋" w:cs="仿宋"/>
          <w:color w:val="000000" w:themeColor="text1"/>
          <w:spacing w:val="4"/>
          <w:sz w:val="23"/>
          <w:szCs w:val="23"/>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5"/>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20</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12</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97</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2"/>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906A204"/>
    <w:multiLevelType w:val="singleLevel"/>
    <w:tmpl w:val="E906A204"/>
    <w:lvl w:ilvl="0" w:tentative="0">
      <w:start w:val="1"/>
      <w:numFmt w:val="chineseCounting"/>
      <w:suff w:val="nothing"/>
      <w:lvlText w:val="%1、"/>
      <w:lvlJc w:val="left"/>
      <w:rPr>
        <w:rFonts w:hint="eastAsia"/>
      </w:rPr>
    </w:lvl>
  </w:abstractNum>
  <w:abstractNum w:abstractNumId="1">
    <w:nsid w:val="6B60F937"/>
    <w:multiLevelType w:val="singleLevel"/>
    <w:tmpl w:val="6B60F937"/>
    <w:lvl w:ilvl="0" w:tentative="0">
      <w:start w:val="8"/>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2Yjk5NzBlNjIxNDhmODM4OGU0YzM5ZWM3YTY4OTA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B5521"/>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747A56"/>
    <w:rsid w:val="02B544DB"/>
    <w:rsid w:val="02CB5D99"/>
    <w:rsid w:val="02F61D91"/>
    <w:rsid w:val="02FC4679"/>
    <w:rsid w:val="02FE5E0A"/>
    <w:rsid w:val="0347190C"/>
    <w:rsid w:val="034760CE"/>
    <w:rsid w:val="03487959"/>
    <w:rsid w:val="03505BE1"/>
    <w:rsid w:val="036D41A2"/>
    <w:rsid w:val="037F229C"/>
    <w:rsid w:val="0388408C"/>
    <w:rsid w:val="03911277"/>
    <w:rsid w:val="039A540B"/>
    <w:rsid w:val="03BD010E"/>
    <w:rsid w:val="03DD43CD"/>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9C7DEF"/>
    <w:rsid w:val="04AC07A1"/>
    <w:rsid w:val="04C63115"/>
    <w:rsid w:val="04CF5236"/>
    <w:rsid w:val="04CF5AF0"/>
    <w:rsid w:val="04D24FF1"/>
    <w:rsid w:val="04DE1BAB"/>
    <w:rsid w:val="04E411E4"/>
    <w:rsid w:val="04F37BBA"/>
    <w:rsid w:val="05085366"/>
    <w:rsid w:val="05145F64"/>
    <w:rsid w:val="054037EF"/>
    <w:rsid w:val="0549003C"/>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AEB6AF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7D5540"/>
    <w:rsid w:val="0CCA7495"/>
    <w:rsid w:val="0CD16BA2"/>
    <w:rsid w:val="0CD745A0"/>
    <w:rsid w:val="0CDE4E30"/>
    <w:rsid w:val="0D012A51"/>
    <w:rsid w:val="0D094F84"/>
    <w:rsid w:val="0D1679F8"/>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CB5F30"/>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9B3462"/>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980AE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325250"/>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0171E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7D7D98"/>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9B680E"/>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08E3"/>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2D6598"/>
    <w:rsid w:val="273612F4"/>
    <w:rsid w:val="27445146"/>
    <w:rsid w:val="274D286D"/>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CB703A"/>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2725E"/>
    <w:rsid w:val="2C993631"/>
    <w:rsid w:val="2C9B7E11"/>
    <w:rsid w:val="2CAF1058"/>
    <w:rsid w:val="2CB32C99"/>
    <w:rsid w:val="2CBC36F5"/>
    <w:rsid w:val="2CC907F0"/>
    <w:rsid w:val="2CCC5126"/>
    <w:rsid w:val="2CF756B7"/>
    <w:rsid w:val="2CF9252D"/>
    <w:rsid w:val="2CF97782"/>
    <w:rsid w:val="2D107154"/>
    <w:rsid w:val="2D143281"/>
    <w:rsid w:val="2D1C79F8"/>
    <w:rsid w:val="2D2B320F"/>
    <w:rsid w:val="2D324177"/>
    <w:rsid w:val="2D5A7835"/>
    <w:rsid w:val="2D6578A0"/>
    <w:rsid w:val="2D7343C9"/>
    <w:rsid w:val="2DE44256"/>
    <w:rsid w:val="2DE557EB"/>
    <w:rsid w:val="2E0E6D42"/>
    <w:rsid w:val="2E0F4249"/>
    <w:rsid w:val="2E2F0A58"/>
    <w:rsid w:val="2E39465C"/>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B52370"/>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051BB"/>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7F46F5A"/>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1F631E"/>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3C0164"/>
    <w:rsid w:val="3A4109A1"/>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A93E31"/>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92CFC"/>
    <w:rsid w:val="3DCF457D"/>
    <w:rsid w:val="3DE11DF4"/>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24FDF"/>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A722F1"/>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0F4106F"/>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3356DF"/>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8C28A0"/>
    <w:rsid w:val="4B946154"/>
    <w:rsid w:val="4BB12731"/>
    <w:rsid w:val="4BE10A59"/>
    <w:rsid w:val="4BE123D1"/>
    <w:rsid w:val="4C0A534C"/>
    <w:rsid w:val="4C0F01F9"/>
    <w:rsid w:val="4C270B31"/>
    <w:rsid w:val="4C3202E6"/>
    <w:rsid w:val="4C5331A6"/>
    <w:rsid w:val="4C6370A1"/>
    <w:rsid w:val="4C736886"/>
    <w:rsid w:val="4C7F7CEF"/>
    <w:rsid w:val="4C821AA7"/>
    <w:rsid w:val="4CA43125"/>
    <w:rsid w:val="4CAC2A11"/>
    <w:rsid w:val="4CB01CB9"/>
    <w:rsid w:val="4CC64536"/>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3879F8"/>
    <w:rsid w:val="4E435024"/>
    <w:rsid w:val="4E481A1B"/>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7507A"/>
    <w:rsid w:val="4F8D5FB6"/>
    <w:rsid w:val="4F9753D7"/>
    <w:rsid w:val="4FA54804"/>
    <w:rsid w:val="4FBA00EB"/>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D84FBF"/>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175750"/>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3C55D0"/>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4320AC"/>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75706"/>
    <w:rsid w:val="59AB0DFC"/>
    <w:rsid w:val="59C1557F"/>
    <w:rsid w:val="59C8615E"/>
    <w:rsid w:val="59E771C2"/>
    <w:rsid w:val="59E84659"/>
    <w:rsid w:val="59FF2575"/>
    <w:rsid w:val="5A131CE8"/>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30F16"/>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54568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56BB3"/>
    <w:rsid w:val="5DCD4FAD"/>
    <w:rsid w:val="5DD45E20"/>
    <w:rsid w:val="5DD77F01"/>
    <w:rsid w:val="5DF376B4"/>
    <w:rsid w:val="5DF974C4"/>
    <w:rsid w:val="5E150E16"/>
    <w:rsid w:val="5E156702"/>
    <w:rsid w:val="5E2C3CE8"/>
    <w:rsid w:val="5E480DBB"/>
    <w:rsid w:val="5E4915C3"/>
    <w:rsid w:val="5E532C32"/>
    <w:rsid w:val="5E6B78B9"/>
    <w:rsid w:val="5E72530D"/>
    <w:rsid w:val="5E7B3471"/>
    <w:rsid w:val="5E811840"/>
    <w:rsid w:val="5EAC620C"/>
    <w:rsid w:val="5EB56E43"/>
    <w:rsid w:val="5EDB6E5E"/>
    <w:rsid w:val="5F050603"/>
    <w:rsid w:val="5F0F5BF5"/>
    <w:rsid w:val="5F1070E5"/>
    <w:rsid w:val="5F137093"/>
    <w:rsid w:val="5F475DFB"/>
    <w:rsid w:val="5F4A6912"/>
    <w:rsid w:val="5F612B5C"/>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2D25BB"/>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17DEC"/>
    <w:rsid w:val="66A421AD"/>
    <w:rsid w:val="66C77BCC"/>
    <w:rsid w:val="66CF58C8"/>
    <w:rsid w:val="66D00FF0"/>
    <w:rsid w:val="66D47E98"/>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AC3431"/>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C81378"/>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23253E"/>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823A7"/>
    <w:rsid w:val="729A0F74"/>
    <w:rsid w:val="72F03574"/>
    <w:rsid w:val="72F77CB6"/>
    <w:rsid w:val="731438BD"/>
    <w:rsid w:val="733155C8"/>
    <w:rsid w:val="73422D3C"/>
    <w:rsid w:val="734B4021"/>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36D4"/>
    <w:rsid w:val="74C55FC1"/>
    <w:rsid w:val="74CC7EC1"/>
    <w:rsid w:val="74DA7552"/>
    <w:rsid w:val="74E41FDD"/>
    <w:rsid w:val="74EF6361"/>
    <w:rsid w:val="74F347DF"/>
    <w:rsid w:val="74FA7FE6"/>
    <w:rsid w:val="74FD4A9B"/>
    <w:rsid w:val="751D43A6"/>
    <w:rsid w:val="75453AE1"/>
    <w:rsid w:val="75573AC9"/>
    <w:rsid w:val="75595449"/>
    <w:rsid w:val="7585790C"/>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42E49"/>
    <w:rsid w:val="77BB772D"/>
    <w:rsid w:val="77D43FD2"/>
    <w:rsid w:val="77FA155A"/>
    <w:rsid w:val="781137AD"/>
    <w:rsid w:val="781D13FA"/>
    <w:rsid w:val="782817E9"/>
    <w:rsid w:val="78555C26"/>
    <w:rsid w:val="78640057"/>
    <w:rsid w:val="786E3388"/>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CF1A19"/>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DE052D0"/>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401B0"/>
    <w:rsid w:val="7F2E0D24"/>
    <w:rsid w:val="7F312E91"/>
    <w:rsid w:val="7F33645C"/>
    <w:rsid w:val="7F4E4DC2"/>
    <w:rsid w:val="7F66205C"/>
    <w:rsid w:val="7F900F06"/>
    <w:rsid w:val="7FA8327A"/>
    <w:rsid w:val="7FB32EED"/>
    <w:rsid w:val="7FB6358D"/>
    <w:rsid w:val="7FE076F1"/>
    <w:rsid w:val="7FFA68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5663</Words>
  <Characters>6143</Characters>
  <Lines>0</Lines>
  <Paragraphs>0</Paragraphs>
  <TotalTime>107</TotalTime>
  <ScaleCrop>false</ScaleCrop>
  <LinksUpToDate>false</LinksUpToDate>
  <CharactersWithSpaces>6279</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王小纯</cp:lastModifiedBy>
  <cp:lastPrinted>2023-05-26T08:11:00Z</cp:lastPrinted>
  <dcterms:modified xsi:type="dcterms:W3CDTF">2024-06-25T05:40:40Z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50306CC149C84F98BF850919EA3E5AFB_13</vt:lpwstr>
  </property>
</Properties>
</file>