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jc w:val="left"/>
        <w:rPr>
          <w:color w:val="000000" w:themeColor="text1"/>
          <w14:textFill>
            <w14:solidFill>
              <w14:schemeClr w14:val="tx1"/>
            </w14:solidFill>
          </w14:textFill>
        </w:rPr>
      </w:pPr>
    </w:p>
    <w:tbl>
      <w:tblPr>
        <w:tblStyle w:val="11"/>
        <w:tblW w:w="10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1013"/>
        <w:gridCol w:w="11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jc w:val="center"/>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6305" w:type="dxa"/>
            <w:gridSpan w:val="6"/>
            <w:noWrap w:val="0"/>
            <w:vAlign w:val="top"/>
          </w:tcPr>
          <w:p>
            <w:pPr>
              <w:spacing w:before="103" w:line="219" w:lineRule="auto"/>
              <w:ind w:left="708"/>
              <w:jc w:val="center"/>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岳阳市城市管理综合行政执法支队直属二大队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jc w:val="center"/>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center"/>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center"/>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2165" w:type="dxa"/>
            <w:gridSpan w:val="2"/>
            <w:noWrap w:val="0"/>
            <w:vAlign w:val="center"/>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21</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21</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center"/>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center"/>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2165" w:type="dxa"/>
            <w:gridSpan w:val="2"/>
            <w:noWrap w:val="0"/>
            <w:vAlign w:val="center"/>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lang w:val="en-US" w:eastAsia="zh-CN"/>
                <w14:textFill>
                  <w14:solidFill>
                    <w14:schemeClr w14:val="tx1"/>
                  </w14:solidFill>
                </w14:textFill>
              </w:rPr>
              <w:t>6</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lang w:val="en-US" w:eastAsia="zh-CN"/>
                <w14:textFill>
                  <w14:solidFill>
                    <w14:schemeClr w14:val="tx1"/>
                  </w14:solidFill>
                </w14:textFill>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lang w:val="en-US" w:eastAsia="zh-CN"/>
                <w14:textFill>
                  <w14:solidFill>
                    <w14:schemeClr w14:val="tx1"/>
                  </w14:solidFill>
                </w14:textFill>
              </w:rPr>
              <w:t>5</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lang w:val="en-US" w:eastAsia="zh-CN"/>
                <w14:textFill>
                  <w14:solidFill>
                    <w14:schemeClr w14:val="tx1"/>
                  </w14:solidFill>
                </w14:textFill>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jc w:val="center"/>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jc w:val="center"/>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484.30</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484.30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3850" w:type="dxa"/>
            <w:noWrap w:val="0"/>
            <w:vAlign w:val="top"/>
          </w:tcPr>
          <w:p>
            <w:pPr>
              <w:spacing w:before="133" w:line="200" w:lineRule="auto"/>
              <w:ind w:firstLine="484"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422.43</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422.43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jc w:val="center"/>
        </w:trPr>
        <w:tc>
          <w:tcPr>
            <w:tcW w:w="3850" w:type="dxa"/>
            <w:noWrap w:val="0"/>
            <w:vAlign w:val="top"/>
          </w:tcPr>
          <w:p>
            <w:pPr>
              <w:spacing w:before="143" w:line="209" w:lineRule="auto"/>
              <w:ind w:firstLine="484"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61.87</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3850" w:type="dxa"/>
            <w:noWrap w:val="0"/>
            <w:vAlign w:val="top"/>
          </w:tcPr>
          <w:p>
            <w:pPr>
              <w:ind w:firstLine="480" w:firstLineChars="200"/>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公务用车购置费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3850" w:type="dxa"/>
            <w:noWrap w:val="0"/>
            <w:vAlign w:val="top"/>
          </w:tcPr>
          <w:p>
            <w:pPr>
              <w:ind w:firstLine="480" w:firstLineChars="200"/>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执法巡逻车购置费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3850" w:type="dxa"/>
            <w:noWrap w:val="0"/>
            <w:vAlign w:val="top"/>
          </w:tcPr>
          <w:p>
            <w:pPr>
              <w:ind w:firstLine="480" w:firstLineChars="200"/>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执法服装购置费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11.87</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37.8</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18.6</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92.67</w:t>
            </w:r>
          </w:p>
        </w:tc>
        <w:tc>
          <w:tcPr>
            <w:tcW w:w="216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16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jc w:val="center"/>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101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115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990" w:type="dxa"/>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1140" w:type="dxa"/>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1185"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1013"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1152" w:type="dxa"/>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jc w:val="center"/>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6305"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hint="default" w:asciiTheme="majorEastAsia" w:hAnsiTheme="majorEastAsia" w:eastAsiaTheme="majorEastAsia" w:cstheme="majorEastAsia"/>
                <w:color w:val="000000" w:themeColor="text1"/>
                <w:sz w:val="18"/>
                <w:szCs w:val="18"/>
                <w:lang w:val="en-US"/>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val="en-US" w:eastAsia="zh-CN"/>
                <w14:textFill>
                  <w14:solidFill>
                    <w14:schemeClr w14:val="tx1"/>
                  </w14:solidFill>
                </w14:textFill>
              </w:rPr>
              <w:t>树牢过“紧日子”的思想，注重细节、厉行节约，健全制度、规范管理。</w:t>
            </w:r>
          </w:p>
        </w:tc>
      </w:tr>
    </w:tbl>
    <w:p>
      <w:pPr>
        <w:keepNext w:val="0"/>
        <w:keepLines w:val="0"/>
        <w:pageBreakBefore w:val="0"/>
        <w:widowControl w:val="0"/>
        <w:kinsoku/>
        <w:wordWrap/>
        <w:overflowPunct/>
        <w:topLinePunct w:val="0"/>
        <w:autoSpaceDE/>
        <w:autoSpaceDN/>
        <w:bidi w:val="0"/>
        <w:adjustRightInd/>
        <w:snapToGrid/>
        <w:spacing w:line="410" w:lineRule="exact"/>
        <w:jc w:val="left"/>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颜烨佳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13873002286</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2023/6/1</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tbl>
      <w:tblPr>
        <w:tblStyle w:val="11"/>
        <w:tblpPr w:leftFromText="180" w:rightFromText="180" w:vertAnchor="text" w:horzAnchor="page" w:tblpX="546" w:tblpY="35"/>
        <w:tblOverlap w:val="never"/>
        <w:tblW w:w="107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0"/>
        <w:gridCol w:w="966"/>
        <w:gridCol w:w="1283"/>
        <w:gridCol w:w="2551"/>
        <w:gridCol w:w="1050"/>
        <w:gridCol w:w="1000"/>
        <w:gridCol w:w="450"/>
        <w:gridCol w:w="449"/>
        <w:gridCol w:w="22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trPr>
        <w:tc>
          <w:tcPr>
            <w:tcW w:w="750" w:type="dxa"/>
            <w:noWrap w:val="0"/>
            <w:vAlign w:val="center"/>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ascii="宋体" w:hAnsi="宋体" w:eastAsia="宋体" w:cs="宋体"/>
                <w:color w:val="000000" w:themeColor="text1"/>
                <w:spacing w:val="2"/>
                <w:sz w:val="21"/>
                <w:szCs w:val="21"/>
                <w14:textFill>
                  <w14:solidFill>
                    <w14:schemeClr w14:val="tx1"/>
                  </w14:solidFill>
                </w14:textFill>
              </w:rPr>
              <w:t>名称</w:t>
            </w:r>
          </w:p>
        </w:tc>
        <w:tc>
          <w:tcPr>
            <w:tcW w:w="9966" w:type="dxa"/>
            <w:gridSpan w:val="8"/>
            <w:noWrap w:val="0"/>
            <w:vAlign w:val="center"/>
          </w:tcPr>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岳阳市城市管理综合行政执法支队直属二大队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1" w:hRule="atLeast"/>
        </w:trPr>
        <w:tc>
          <w:tcPr>
            <w:tcW w:w="750"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24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18"/>
                <w:szCs w:val="18"/>
                <w14:textFill>
                  <w14:solidFill>
                    <w14:schemeClr w14:val="tx1"/>
                  </w14:solidFill>
                </w14:textFill>
              </w:rPr>
            </w:pP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年初预算数</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全年预算数</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全年执行数</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分值</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执行率</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750"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24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326.56</w:t>
            </w:r>
            <w:bookmarkStart w:id="0" w:name="_GoBack"/>
            <w:bookmarkEnd w:id="0"/>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853.82</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853.82</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750"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585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853.82</w:t>
            </w:r>
          </w:p>
        </w:tc>
        <w:tc>
          <w:tcPr>
            <w:tcW w:w="411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853.82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750"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585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813.48</w:t>
            </w:r>
          </w:p>
        </w:tc>
        <w:tc>
          <w:tcPr>
            <w:tcW w:w="411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369.52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0"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585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11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484.30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750"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585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11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750"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585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40.34</w:t>
            </w:r>
          </w:p>
        </w:tc>
        <w:tc>
          <w:tcPr>
            <w:tcW w:w="411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750"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7"/>
                <w:sz w:val="21"/>
                <w:szCs w:val="21"/>
                <w14:textFill>
                  <w14:solidFill>
                    <w14:schemeClr w14:val="tx1"/>
                  </w14:solidFill>
                </w14:textFill>
              </w:rPr>
              <w:t>年度总体</w:t>
            </w:r>
            <w:r>
              <w:rPr>
                <w:rFonts w:hint="eastAsia" w:ascii="宋体" w:hAnsi="宋体" w:eastAsia="宋体" w:cs="宋体"/>
                <w:color w:val="000000" w:themeColor="text1"/>
                <w:spacing w:val="-19"/>
                <w:sz w:val="21"/>
                <w:szCs w:val="21"/>
                <w14:textFill>
                  <w14:solidFill>
                    <w14:schemeClr w14:val="tx1"/>
                  </w14:solidFill>
                </w14:textFill>
              </w:rPr>
              <w:t>目</w:t>
            </w:r>
            <w:r>
              <w:rPr>
                <w:rFonts w:hint="eastAsia" w:ascii="宋体" w:hAnsi="宋体" w:eastAsia="宋体" w:cs="宋体"/>
                <w:color w:val="000000" w:themeColor="text1"/>
                <w:spacing w:val="-35"/>
                <w:sz w:val="21"/>
                <w:szCs w:val="21"/>
                <w14:textFill>
                  <w14:solidFill>
                    <w14:schemeClr w14:val="tx1"/>
                  </w14:solidFill>
                </w14:textFill>
              </w:rPr>
              <w:t xml:space="preserve"> </w:t>
            </w:r>
            <w:r>
              <w:rPr>
                <w:rFonts w:hint="eastAsia" w:ascii="宋体" w:hAnsi="宋体" w:eastAsia="宋体" w:cs="宋体"/>
                <w:color w:val="000000" w:themeColor="text1"/>
                <w:spacing w:val="-19"/>
                <w:sz w:val="21"/>
                <w:szCs w:val="21"/>
                <w14:textFill>
                  <w14:solidFill>
                    <w14:schemeClr w14:val="tx1"/>
                  </w14:solidFill>
                </w14:textFill>
              </w:rPr>
              <w:t>标</w:t>
            </w:r>
          </w:p>
        </w:tc>
        <w:tc>
          <w:tcPr>
            <w:tcW w:w="585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预期目标</w:t>
            </w:r>
          </w:p>
        </w:tc>
        <w:tc>
          <w:tcPr>
            <w:tcW w:w="411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81" w:hRule="atLeast"/>
        </w:trPr>
        <w:tc>
          <w:tcPr>
            <w:tcW w:w="750"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5850" w:type="dxa"/>
            <w:gridSpan w:val="4"/>
            <w:noWrap w:val="0"/>
            <w:vAlign w:val="center"/>
          </w:tcPr>
          <w:p>
            <w:pPr>
              <w:pStyle w:val="2"/>
              <w:ind w:firstLine="360" w:firstLineChars="200"/>
              <w:jc w:val="left"/>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sz w:val="18"/>
                <w:szCs w:val="18"/>
                <w:lang w:val="en-US" w:eastAsia="zh-CN"/>
              </w:rPr>
              <w:t>违章集中整治次数（含夜市、基建场地污染源）130次，执法办案案件数160件，宣教通知召开协调会议18次，违章违法案件处理率100%，日常管理及时到位率100%，履职工作任务完成准时率100%，每天劝阻沿途撒漏污染，查处违规运输车辆，及时纠章，劝阻不文明行为，经费控制在总成本内。</w:t>
            </w:r>
          </w:p>
        </w:tc>
        <w:tc>
          <w:tcPr>
            <w:tcW w:w="4116" w:type="dxa"/>
            <w:gridSpan w:val="4"/>
            <w:noWrap w:val="0"/>
            <w:vAlign w:val="center"/>
          </w:tcPr>
          <w:p>
            <w:pPr>
              <w:ind w:firstLine="360" w:firstLineChars="200"/>
              <w:jc w:val="left"/>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kern w:val="2"/>
                <w:sz w:val="18"/>
                <w:szCs w:val="18"/>
                <w:lang w:val="en-US" w:eastAsia="zh-CN" w:bidi="ar-SA"/>
              </w:rPr>
              <w:t>路段管理提标提质夜市管理规范有序整治130次，从根源上严堵执法漏洞，执法办案案160件，行政处罚9.3万元，行政处罚规范有力，宣教通知召开协调23次会议，攻难点，出色完成中心工作履职工作任务完成准时率100%，严格按年初预算成本不超过预算金额完成各项工作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750"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hint="eastAsia" w:ascii="宋体" w:hAnsi="宋体" w:eastAsia="宋体" w:cs="宋体"/>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righ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绩效指标</w:t>
            </w:r>
          </w:p>
        </w:tc>
        <w:tc>
          <w:tcPr>
            <w:tcW w:w="966"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0"/>
                <w:szCs w:val="20"/>
                <w14:textFill>
                  <w14:solidFill>
                    <w14:schemeClr w14:val="tx1"/>
                  </w14:solidFill>
                </w14:textFill>
              </w:rPr>
            </w:pPr>
            <w:r>
              <w:rPr>
                <w:rFonts w:hint="eastAsia" w:ascii="宋体" w:hAnsi="宋体" w:eastAsia="宋体" w:cs="宋体"/>
                <w:color w:val="000000" w:themeColor="text1"/>
                <w:spacing w:val="0"/>
                <w:sz w:val="20"/>
                <w:szCs w:val="20"/>
                <w14:textFill>
                  <w14:solidFill>
                    <w14:schemeClr w14:val="tx1"/>
                  </w14:solidFill>
                </w14:textFill>
              </w:rPr>
              <w:t>一级指标</w:t>
            </w:r>
          </w:p>
        </w:tc>
        <w:tc>
          <w:tcPr>
            <w:tcW w:w="1283"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0"/>
                <w:szCs w:val="20"/>
                <w14:textFill>
                  <w14:solidFill>
                    <w14:schemeClr w14:val="tx1"/>
                  </w14:solidFill>
                </w14:textFill>
              </w:rPr>
            </w:pPr>
            <w:r>
              <w:rPr>
                <w:rFonts w:hint="eastAsia" w:ascii="宋体" w:hAnsi="宋体" w:eastAsia="宋体" w:cs="宋体"/>
                <w:color w:val="000000" w:themeColor="text1"/>
                <w:spacing w:val="0"/>
                <w:sz w:val="20"/>
                <w:szCs w:val="20"/>
                <w14:textFill>
                  <w14:solidFill>
                    <w14:schemeClr w14:val="tx1"/>
                  </w14:solidFill>
                </w14:textFill>
              </w:rPr>
              <w:t>二级指标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0"/>
                <w:szCs w:val="20"/>
                <w14:textFill>
                  <w14:solidFill>
                    <w14:schemeClr w14:val="tx1"/>
                  </w14:solidFill>
                </w14:textFill>
              </w:rPr>
            </w:pPr>
            <w:r>
              <w:rPr>
                <w:rFonts w:hint="eastAsia" w:ascii="宋体" w:hAnsi="宋体" w:eastAsia="宋体" w:cs="宋体"/>
                <w:color w:val="000000" w:themeColor="text1"/>
                <w:spacing w:val="0"/>
                <w:sz w:val="20"/>
                <w:szCs w:val="20"/>
                <w14:textFill>
                  <w14:solidFill>
                    <w14:schemeClr w14:val="tx1"/>
                  </w14:solidFill>
                </w14:textFill>
              </w:rPr>
              <w:t>三级指标</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年度指标值</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实际完成值</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分值</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得分</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hint="eastAsia" w:ascii="宋体" w:hAnsi="宋体" w:eastAsia="宋体" w:cs="宋体"/>
                <w:color w:val="000000" w:themeColor="text1"/>
                <w:spacing w:val="0"/>
                <w:sz w:val="20"/>
                <w:szCs w:val="20"/>
                <w14:textFill>
                  <w14:solidFill>
                    <w14:schemeClr w14:val="tx1"/>
                  </w14:solidFill>
                </w14:textFill>
              </w:rPr>
            </w:pPr>
            <w:r>
              <w:rPr>
                <w:rFonts w:hint="eastAsia" w:ascii="宋体" w:hAnsi="宋体" w:eastAsia="宋体" w:cs="宋体"/>
                <w:color w:val="000000" w:themeColor="text1"/>
                <w:spacing w:val="0"/>
                <w:sz w:val="20"/>
                <w:szCs w:val="20"/>
                <w14:textFill>
                  <w14:solidFill>
                    <w14:schemeClr w14:val="tx1"/>
                  </w14:solidFill>
                </w14:textFill>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2"/>
                <w:position w:val="20"/>
                <w:sz w:val="18"/>
                <w:szCs w:val="18"/>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9"/>
                <w:sz w:val="18"/>
                <w:szCs w:val="18"/>
                <w14:textFill>
                  <w14:solidFill>
                    <w14:schemeClr w14:val="tx1"/>
                  </w14:solidFill>
                </w14:textFill>
              </w:rPr>
              <w:t>(50分)</w:t>
            </w:r>
          </w:p>
        </w:tc>
        <w:tc>
          <w:tcPr>
            <w:tcW w:w="1283"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2"/>
                <w:sz w:val="18"/>
                <w:szCs w:val="18"/>
                <w14:textFill>
                  <w14:solidFill>
                    <w14:schemeClr w14:val="tx1"/>
                  </w14:solidFill>
                </w14:textFill>
              </w:rPr>
              <w:t>数量指标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left"/>
              <w:textAlignment w:val="auto"/>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违章集中整治次数（含夜市、基建场地污染源）</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lang w:eastAsia="zh-CN"/>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130次</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130次</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执法办案案件数</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160件</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160件</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宣教通知召开协调会议</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18次</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18次</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2"/>
                <w:sz w:val="18"/>
                <w:szCs w:val="18"/>
                <w14:textFill>
                  <w14:solidFill>
                    <w14:schemeClr w14:val="tx1"/>
                  </w14:solidFill>
                </w14:textFill>
              </w:rPr>
              <w:t>质量指标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违章违法案件处理率</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100%</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100%</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日常管理及时到位率</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100%</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100%</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2"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jc w:val="left"/>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履职工作任务完成准时率</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100%</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100%</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2"/>
                <w:sz w:val="18"/>
                <w:szCs w:val="18"/>
                <w14:textFill>
                  <w14:solidFill>
                    <w14:schemeClr w14:val="tx1"/>
                  </w14:solidFill>
                </w14:textFill>
              </w:rPr>
              <w:t>时效指标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劝阻沿途撒漏污染，查处违规运输车辆。</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每天</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每天</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常态化管理</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2022年度</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2022年度</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4"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及时纠章，劝阻不文明行为。</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365天</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365天</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2"/>
                <w:sz w:val="18"/>
                <w:szCs w:val="18"/>
                <w14:textFill>
                  <w14:solidFill>
                    <w14:schemeClr w14:val="tx1"/>
                  </w14:solidFill>
                </w14:textFill>
              </w:rPr>
              <w:t>成本指标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控制在</w:t>
            </w:r>
            <w:r>
              <w:rPr>
                <w:rFonts w:hint="eastAsia" w:ascii="宋体" w:hAnsi="宋体" w:eastAsia="宋体" w:cs="宋体"/>
                <w:color w:val="000000" w:themeColor="text1"/>
                <w:sz w:val="18"/>
                <w:szCs w:val="18"/>
                <w:lang w:val="en-US" w:eastAsia="zh-CN"/>
                <w14:textFill>
                  <w14:solidFill>
                    <w14:schemeClr w14:val="tx1"/>
                  </w14:solidFill>
                </w14:textFill>
              </w:rPr>
              <w:t>总</w:t>
            </w:r>
            <w:r>
              <w:rPr>
                <w:rFonts w:hint="eastAsia" w:ascii="宋体" w:hAnsi="宋体" w:eastAsia="宋体" w:cs="宋体"/>
                <w:color w:val="000000" w:themeColor="text1"/>
                <w:sz w:val="18"/>
                <w:szCs w:val="18"/>
                <w14:textFill>
                  <w14:solidFill>
                    <w14:schemeClr w14:val="tx1"/>
                  </w14:solidFill>
                </w14:textFill>
              </w:rPr>
              <w:t>成本内</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不超过预算金额</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813.48万元</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5</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2"/>
                <w:position w:val="21"/>
                <w:sz w:val="18"/>
                <w:szCs w:val="18"/>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9"/>
                <w:sz w:val="18"/>
                <w:szCs w:val="18"/>
                <w14:textFill>
                  <w14:solidFill>
                    <w14:schemeClr w14:val="tx1"/>
                  </w14:solidFill>
                </w14:textFill>
              </w:rPr>
              <w:t>(30分)</w:t>
            </w:r>
          </w:p>
        </w:tc>
        <w:tc>
          <w:tcPr>
            <w:tcW w:w="1283"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3"/>
                <w:sz w:val="18"/>
                <w:szCs w:val="18"/>
                <w14:textFill>
                  <w14:solidFill>
                    <w14:schemeClr w14:val="tx1"/>
                  </w14:solidFill>
                </w14:textFill>
              </w:rPr>
              <w:t>经济效益指标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left"/>
              <w:textAlignment w:val="auto"/>
              <w:rPr>
                <w:rFonts w:hint="eastAsia" w:ascii="宋体" w:hAnsi="宋体" w:eastAsia="宋体" w:cs="宋体"/>
                <w:color w:val="000000" w:themeColor="text1"/>
                <w:spacing w:val="-3"/>
                <w:sz w:val="18"/>
                <w:szCs w:val="18"/>
                <w14:textFill>
                  <w14:solidFill>
                    <w14:schemeClr w14:val="tx1"/>
                  </w14:solidFill>
                </w14:textFill>
              </w:rPr>
            </w:pPr>
            <w:r>
              <w:rPr>
                <w:rFonts w:hint="eastAsia" w:ascii="宋体" w:hAnsi="宋体" w:eastAsia="宋体" w:cs="宋体"/>
                <w:color w:val="000000" w:themeColor="text1"/>
                <w:spacing w:val="-3"/>
                <w:sz w:val="18"/>
                <w:szCs w:val="18"/>
                <w:lang w:val="en-US" w:eastAsia="zh-CN"/>
                <w14:textFill>
                  <w14:solidFill>
                    <w14:schemeClr w14:val="tx1"/>
                  </w14:solidFill>
                </w14:textFill>
              </w:rPr>
              <w:t>为城市经济发展提供保障</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提高</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提高</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8</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8</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3"/>
                <w:sz w:val="18"/>
                <w:szCs w:val="18"/>
                <w14:textFill>
                  <w14:solidFill>
                    <w14:schemeClr w14:val="tx1"/>
                  </w14:solidFill>
                </w14:textFill>
              </w:rPr>
              <w:t>社会效益指标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left"/>
              <w:textAlignment w:val="auto"/>
              <w:rPr>
                <w:rFonts w:hint="eastAsia" w:ascii="宋体" w:hAnsi="宋体" w:eastAsia="宋体" w:cs="宋体"/>
                <w:color w:val="000000" w:themeColor="text1"/>
                <w:spacing w:val="-3"/>
                <w:sz w:val="18"/>
                <w:szCs w:val="18"/>
                <w14:textFill>
                  <w14:solidFill>
                    <w14:schemeClr w14:val="tx1"/>
                  </w14:solidFill>
                </w14:textFill>
              </w:rPr>
            </w:pPr>
            <w:r>
              <w:rPr>
                <w:rFonts w:hint="eastAsia" w:ascii="宋体" w:hAnsi="宋体" w:eastAsia="宋体" w:cs="宋体"/>
                <w:color w:val="000000" w:themeColor="text1"/>
                <w:spacing w:val="-3"/>
                <w:sz w:val="18"/>
                <w:szCs w:val="18"/>
                <w:lang w:val="en-US" w:eastAsia="zh-CN"/>
                <w14:textFill>
                  <w14:solidFill>
                    <w14:schemeClr w14:val="tx1"/>
                  </w14:solidFill>
                </w14:textFill>
              </w:rPr>
              <w:t>维护文明城市形象</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提高</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提高</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7</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6</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sz w:val="18"/>
                <w:szCs w:val="18"/>
                <w:lang w:val="en-US" w:eastAsia="zh-CN"/>
              </w:rPr>
              <w:t>打造服务为民的执法形象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3"/>
                <w:sz w:val="18"/>
                <w:szCs w:val="18"/>
                <w14:textFill>
                  <w14:solidFill>
                    <w14:schemeClr w14:val="tx1"/>
                  </w14:solidFill>
                </w14:textFill>
              </w:rPr>
              <w:t>生态效益指标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left"/>
              <w:textAlignment w:val="auto"/>
              <w:rPr>
                <w:rFonts w:hint="eastAsia" w:ascii="宋体" w:hAnsi="宋体" w:eastAsia="宋体" w:cs="宋体"/>
                <w:color w:val="000000" w:themeColor="text1"/>
                <w:spacing w:val="-3"/>
                <w:sz w:val="18"/>
                <w:szCs w:val="18"/>
                <w14:textFill>
                  <w14:solidFill>
                    <w14:schemeClr w14:val="tx1"/>
                  </w14:solidFill>
                </w14:textFill>
              </w:rPr>
            </w:pPr>
            <w:r>
              <w:rPr>
                <w:rFonts w:hint="eastAsia" w:ascii="宋体" w:hAnsi="宋体" w:eastAsia="宋体" w:cs="宋体"/>
                <w:color w:val="000000" w:themeColor="text1"/>
                <w:spacing w:val="-3"/>
                <w:sz w:val="18"/>
                <w:szCs w:val="18"/>
                <w:lang w:val="en-US" w:eastAsia="zh-CN"/>
                <w14:textFill>
                  <w14:solidFill>
                    <w14:schemeClr w14:val="tx1"/>
                  </w14:solidFill>
                </w14:textFill>
              </w:rPr>
              <w:t>维护市容市貌，保障市民生活环境。</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提高</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提高</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7</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7</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c>
          <w:tcPr>
            <w:tcW w:w="1283"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2"/>
                <w:sz w:val="18"/>
                <w:szCs w:val="18"/>
                <w14:textFill>
                  <w14:solidFill>
                    <w14:schemeClr w14:val="tx1"/>
                  </w14:solidFill>
                </w14:textFill>
              </w:rPr>
              <w:t>可持续影</w:t>
            </w:r>
            <w:r>
              <w:rPr>
                <w:rFonts w:hint="eastAsia" w:ascii="宋体" w:hAnsi="宋体" w:eastAsia="宋体" w:cs="宋体"/>
                <w:color w:val="000000" w:themeColor="text1"/>
                <w:spacing w:val="2"/>
                <w:sz w:val="18"/>
                <w:szCs w:val="18"/>
                <w14:textFill>
                  <w14:solidFill>
                    <w14:schemeClr w14:val="tx1"/>
                  </w14:solidFill>
                </w14:textFill>
              </w:rPr>
              <w:t>响指标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left"/>
              <w:textAlignment w:val="auto"/>
              <w:rPr>
                <w:rFonts w:hint="eastAsia" w:ascii="宋体" w:hAnsi="宋体" w:eastAsia="宋体" w:cs="宋体"/>
                <w:color w:val="000000" w:themeColor="text1"/>
                <w:spacing w:val="-3"/>
                <w:sz w:val="18"/>
                <w:szCs w:val="18"/>
                <w14:textFill>
                  <w14:solidFill>
                    <w14:schemeClr w14:val="tx1"/>
                  </w14:solidFill>
                </w14:textFill>
              </w:rPr>
            </w:pPr>
            <w:r>
              <w:rPr>
                <w:rFonts w:hint="eastAsia" w:ascii="宋体" w:hAnsi="宋体" w:eastAsia="宋体" w:cs="宋体"/>
                <w:color w:val="000000" w:themeColor="text1"/>
                <w:spacing w:val="-3"/>
                <w:sz w:val="18"/>
                <w:szCs w:val="18"/>
                <w:lang w:val="en-US" w:eastAsia="zh-CN"/>
                <w14:textFill>
                  <w14:solidFill>
                    <w14:schemeClr w14:val="tx1"/>
                  </w14:solidFill>
                </w14:textFill>
              </w:rPr>
              <w:t>深化全国文明城市、国家卫生城市、国家园林城市建设，顺利保牌。</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提高</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提高</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8</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8</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50" w:type="dxa"/>
            <w:vMerge w:val="continue"/>
            <w:tcBorders>
              <w:top w:val="nil"/>
              <w:bottom w:val="nil"/>
            </w:tcBorders>
            <w:noWrap w:val="0"/>
            <w:textDirection w:val="tbRlV"/>
            <w:vAlign w:val="top"/>
          </w:tcPr>
          <w:p>
            <w:pPr>
              <w:jc w:val="center"/>
              <w:rPr>
                <w:rFonts w:hint="eastAsia" w:ascii="宋体" w:hAnsi="宋体" w:eastAsia="宋体" w:cs="宋体"/>
                <w:color w:val="000000" w:themeColor="text1"/>
                <w:sz w:val="18"/>
                <w:szCs w:val="18"/>
                <w14:textFill>
                  <w14:solidFill>
                    <w14:schemeClr w14:val="tx1"/>
                  </w14:solidFill>
                </w14:textFill>
              </w:rPr>
            </w:pPr>
          </w:p>
        </w:tc>
        <w:tc>
          <w:tcPr>
            <w:tcW w:w="966"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4"/>
                <w:sz w:val="18"/>
                <w:szCs w:val="18"/>
                <w14:textFill>
                  <w14:solidFill>
                    <w14:schemeClr w14:val="tx1"/>
                  </w14:solidFill>
                </w14:textFill>
              </w:rPr>
              <w:t>满意度</w:t>
            </w:r>
            <w:r>
              <w:rPr>
                <w:rFonts w:hint="eastAsia" w:ascii="宋体" w:hAnsi="宋体" w:eastAsia="宋体" w:cs="宋体"/>
                <w:color w:val="000000" w:themeColor="text1"/>
                <w:spacing w:val="-3"/>
                <w:sz w:val="18"/>
                <w:szCs w:val="18"/>
                <w14:textFill>
                  <w14:solidFill>
                    <w14:schemeClr w14:val="tx1"/>
                  </w14:solidFill>
                </w14:textFill>
              </w:rPr>
              <w:t>指标</w:t>
            </w:r>
            <w:r>
              <w:rPr>
                <w:rFonts w:hint="eastAsia" w:ascii="宋体" w:hAnsi="宋体" w:eastAsia="宋体" w:cs="宋体"/>
                <w:color w:val="000000" w:themeColor="text1"/>
                <w:spacing w:val="9"/>
                <w:sz w:val="18"/>
                <w:szCs w:val="18"/>
                <w14:textFill>
                  <w14:solidFill>
                    <w14:schemeClr w14:val="tx1"/>
                  </w14:solidFill>
                </w14:textFill>
              </w:rPr>
              <w:t>(10分)</w:t>
            </w:r>
          </w:p>
        </w:tc>
        <w:tc>
          <w:tcPr>
            <w:tcW w:w="1283"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2"/>
                <w:sz w:val="18"/>
                <w:szCs w:val="18"/>
                <w14:textFill>
                  <w14:solidFill>
                    <w14:schemeClr w14:val="tx1"/>
                  </w14:solidFill>
                </w14:textFill>
              </w:rPr>
              <w:t>服务对象</w:t>
            </w:r>
            <w:r>
              <w:rPr>
                <w:rFonts w:hint="eastAsia" w:ascii="宋体" w:hAnsi="宋体" w:eastAsia="宋体" w:cs="宋体"/>
                <w:color w:val="000000" w:themeColor="text1"/>
                <w:spacing w:val="3"/>
                <w:sz w:val="18"/>
                <w:szCs w:val="18"/>
                <w14:textFill>
                  <w14:solidFill>
                    <w14:schemeClr w14:val="tx1"/>
                  </w14:solidFill>
                </w14:textFill>
              </w:rPr>
              <w:t>满意度指</w:t>
            </w:r>
            <w:r>
              <w:rPr>
                <w:rFonts w:hint="eastAsia" w:ascii="宋体" w:hAnsi="宋体" w:eastAsia="宋体" w:cs="宋体"/>
                <w:color w:val="000000" w:themeColor="text1"/>
                <w:sz w:val="18"/>
                <w:szCs w:val="18"/>
                <w14:textFill>
                  <w14:solidFill>
                    <w14:schemeClr w14:val="tx1"/>
                  </w14:solidFill>
                </w14:textFill>
              </w:rPr>
              <w:t>标</w:t>
            </w:r>
          </w:p>
        </w:tc>
        <w:tc>
          <w:tcPr>
            <w:tcW w:w="255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社会公众满意度</w:t>
            </w:r>
          </w:p>
        </w:tc>
        <w:tc>
          <w:tcPr>
            <w:tcW w:w="10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0.95</w:t>
            </w:r>
          </w:p>
        </w:tc>
        <w:tc>
          <w:tcPr>
            <w:tcW w:w="10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0.9</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10</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9</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b w:val="0"/>
                <w:bCs w:val="0"/>
                <w:sz w:val="18"/>
                <w:szCs w:val="18"/>
                <w:lang w:val="en-US" w:eastAsia="zh-CN"/>
              </w:rPr>
              <w:t>着力服务为民，立足本职传播社会正能量。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600"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总分</w:t>
            </w:r>
          </w:p>
        </w:tc>
        <w:tc>
          <w:tcPr>
            <w:tcW w:w="450"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pacing w:val="-6"/>
                <w:sz w:val="18"/>
                <w:szCs w:val="18"/>
                <w14:textFill>
                  <w14:solidFill>
                    <w14:schemeClr w14:val="tx1"/>
                  </w14:solidFill>
                </w14:textFill>
              </w:rPr>
              <w:t>100</w:t>
            </w:r>
          </w:p>
        </w:tc>
        <w:tc>
          <w:tcPr>
            <w:tcW w:w="44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color w:val="000000" w:themeColor="text1"/>
                <w:sz w:val="18"/>
                <w:szCs w:val="18"/>
                <w:lang w:val="en-US" w:eastAsia="zh-CN"/>
                <w14:textFill>
                  <w14:solidFill>
                    <w14:schemeClr w14:val="tx1"/>
                  </w14:solidFill>
                </w14:textFill>
              </w:rPr>
              <w:t>98</w:t>
            </w:r>
          </w:p>
        </w:tc>
        <w:tc>
          <w:tcPr>
            <w:tcW w:w="2217"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18"/>
                <w:szCs w:val="18"/>
                <w14:textFill>
                  <w14:solidFill>
                    <w14:schemeClr w14:val="tx1"/>
                  </w14:solidFill>
                </w14:textFill>
              </w:rPr>
            </w:pPr>
          </w:p>
        </w:tc>
      </w:tr>
    </w:tbl>
    <w:p>
      <w:pPr>
        <w:spacing w:line="168" w:lineRule="exact"/>
        <w:jc w:val="left"/>
        <w:rPr>
          <w:color w:val="000000" w:themeColor="text1"/>
          <w:sz w:val="18"/>
          <w:szCs w:val="1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颜烨佳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13873002286</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2023/6/1</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left"/>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岳阳市城市管理综合行政执法支队</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直属二大队</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06月01 日</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岳阳市城市管理综合行政执法支队直属二大队</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default"/>
          <w:lang w:val="en-US" w:eastAsia="zh-CN"/>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（一）职能职责</w:t>
      </w:r>
    </w:p>
    <w:p>
      <w:pPr>
        <w:pStyle w:val="12"/>
        <w:keepNext w:val="0"/>
        <w:keepLines w:val="0"/>
        <w:pageBreakBefore w:val="0"/>
        <w:kinsoku/>
        <w:wordWrap/>
        <w:overflowPunct/>
        <w:topLinePunct w:val="0"/>
        <w:bidi w:val="0"/>
        <w:adjustRightInd/>
        <w:snapToGrid/>
        <w:spacing w:before="0" w:beforeAutospacing="0" w:after="2" w:afterAutospacing="0" w:line="240" w:lineRule="auto"/>
        <w:ind w:left="0" w:firstLine="641"/>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1、贯彻执行国家有关城市管理方面的法律、法规、规章和政策规定。 </w:t>
      </w:r>
    </w:p>
    <w:p>
      <w:pPr>
        <w:pStyle w:val="12"/>
        <w:keepNext w:val="0"/>
        <w:keepLines w:val="0"/>
        <w:pageBreakBefore w:val="0"/>
        <w:kinsoku/>
        <w:wordWrap/>
        <w:overflowPunct/>
        <w:topLinePunct w:val="0"/>
        <w:bidi w:val="0"/>
        <w:adjustRightInd/>
        <w:snapToGrid/>
        <w:spacing w:before="0" w:beforeAutospacing="0" w:after="2" w:afterAutospacing="0" w:line="240" w:lineRule="auto"/>
        <w:ind w:left="0" w:firstLine="641"/>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2、负责行使本大队管辖区域内市政公用设施运行管理、市容环境卫生管理、园林绿化管理、城区禁止燃放烟花爆竹等城市管理方面的行政处罚权及相应的行政强制权。 </w:t>
      </w:r>
    </w:p>
    <w:p>
      <w:pPr>
        <w:pStyle w:val="12"/>
        <w:keepNext w:val="0"/>
        <w:keepLines w:val="0"/>
        <w:pageBreakBefore w:val="0"/>
        <w:kinsoku/>
        <w:wordWrap/>
        <w:overflowPunct/>
        <w:topLinePunct w:val="0"/>
        <w:bidi w:val="0"/>
        <w:adjustRightInd/>
        <w:snapToGrid/>
        <w:spacing w:before="0" w:beforeAutospacing="0" w:after="2" w:afterAutospacing="0" w:line="240" w:lineRule="auto"/>
        <w:ind w:left="0" w:firstLine="641"/>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3、负责行使市本大队管辖区域内城镇燃气中瓶装燃气管理方面的行政处罚权及相应的行政强制权。 </w:t>
      </w:r>
    </w:p>
    <w:p>
      <w:pPr>
        <w:pStyle w:val="12"/>
        <w:keepNext w:val="0"/>
        <w:keepLines w:val="0"/>
        <w:pageBreakBefore w:val="0"/>
        <w:kinsoku/>
        <w:wordWrap/>
        <w:overflowPunct/>
        <w:topLinePunct w:val="0"/>
        <w:bidi w:val="0"/>
        <w:adjustRightInd/>
        <w:snapToGrid/>
        <w:spacing w:before="0" w:beforeAutospacing="0" w:after="2" w:afterAutospacing="0" w:line="240" w:lineRule="auto"/>
        <w:ind w:left="0" w:firstLine="641"/>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4、负责行使市本大队管辖区域内城市河道和水域倾倒废弃物和垃圾及违规取土、城市河道和水域违法构筑物拆除等水务管理方面的行政处罚权及相应的行政强制权。 </w:t>
      </w:r>
    </w:p>
    <w:p>
      <w:pPr>
        <w:pStyle w:val="12"/>
        <w:keepNext w:val="0"/>
        <w:keepLines w:val="0"/>
        <w:pageBreakBefore w:val="0"/>
        <w:kinsoku/>
        <w:wordWrap/>
        <w:overflowPunct/>
        <w:topLinePunct w:val="0"/>
        <w:bidi w:val="0"/>
        <w:adjustRightInd/>
        <w:snapToGrid/>
        <w:spacing w:before="0" w:beforeAutospacing="0" w:after="2" w:afterAutospacing="0" w:line="240" w:lineRule="auto"/>
        <w:ind w:left="0" w:firstLine="641"/>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5、负责行使本大队管辖区域内城市社会生活噪声污染、餐饮服务业油烟污染、露天烧烤污染、城市焚烧沥青塑料垃圾等烟尘和恶臭污染、露天焚烧秸秆落叶等烟尘污染、燃放烟花爆竹污染、城市建筑施工噪声污染、建筑施工扬尘污染等生态环境保护管理方面的行政处罚权及相应的行政强制权。 </w:t>
      </w:r>
    </w:p>
    <w:p>
      <w:pPr>
        <w:pStyle w:val="12"/>
        <w:keepNext w:val="0"/>
        <w:keepLines w:val="0"/>
        <w:pageBreakBefore w:val="0"/>
        <w:kinsoku/>
        <w:wordWrap/>
        <w:overflowPunct/>
        <w:topLinePunct w:val="0"/>
        <w:bidi w:val="0"/>
        <w:adjustRightInd/>
        <w:snapToGrid/>
        <w:spacing w:before="0" w:beforeAutospacing="0" w:after="2" w:afterAutospacing="0" w:line="240" w:lineRule="auto"/>
        <w:ind w:left="0" w:firstLine="641"/>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6、负责行使本大队管辖区域内户外公共场所无照经营、食品销售和餐饮摊点无证经营，以及户外违法回收贩卖药品、违规设置户外广告等市场监督管理方面的行政处罚权及相应的行政强制权。 </w:t>
      </w:r>
    </w:p>
    <w:p>
      <w:pPr>
        <w:pStyle w:val="12"/>
        <w:keepNext w:val="0"/>
        <w:keepLines w:val="0"/>
        <w:pageBreakBefore w:val="0"/>
        <w:kinsoku/>
        <w:wordWrap/>
        <w:overflowPunct/>
        <w:topLinePunct w:val="0"/>
        <w:bidi w:val="0"/>
        <w:adjustRightInd/>
        <w:snapToGrid/>
        <w:spacing w:before="0" w:beforeAutospacing="0" w:after="2" w:afterAutospacing="0" w:line="240" w:lineRule="auto"/>
        <w:ind w:left="0" w:firstLine="641"/>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p>
    <w:p>
      <w:pPr>
        <w:pStyle w:val="12"/>
        <w:keepNext w:val="0"/>
        <w:keepLines w:val="0"/>
        <w:pageBreakBefore w:val="0"/>
        <w:kinsoku/>
        <w:wordWrap/>
        <w:overflowPunct/>
        <w:topLinePunct w:val="0"/>
        <w:bidi w:val="0"/>
        <w:adjustRightInd/>
        <w:snapToGrid/>
        <w:spacing w:before="0" w:beforeAutospacing="0" w:after="2" w:afterAutospacing="0" w:line="240" w:lineRule="auto"/>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7、负责行使本大队管辖区域内侵占城市道路、违法停放车辆等城市公安交通管理方面的行政处罚权及相应的行政强制权。 </w:t>
      </w:r>
    </w:p>
    <w:p>
      <w:pPr>
        <w:pStyle w:val="12"/>
        <w:keepNext w:val="0"/>
        <w:keepLines w:val="0"/>
        <w:pageBreakBefore w:val="0"/>
        <w:kinsoku/>
        <w:wordWrap/>
        <w:overflowPunct/>
        <w:topLinePunct w:val="0"/>
        <w:bidi w:val="0"/>
        <w:adjustRightInd/>
        <w:snapToGrid/>
        <w:spacing w:before="0" w:beforeAutospacing="0" w:after="2" w:afterAutospacing="0" w:line="240" w:lineRule="auto"/>
        <w:ind w:left="0" w:firstLine="641"/>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8、负责本大队管辖区域内“牛皮癣”的治理和清除工作；负责对本大队管辖区域内“门前三包”、燃放烟花爆竹的监督管理以及考评工作。 </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（二）机构设置</w:t>
      </w:r>
    </w:p>
    <w:p>
      <w:pPr>
        <w:keepNext w:val="0"/>
        <w:keepLines w:val="0"/>
        <w:pageBreakBefore w:val="0"/>
        <w:kinsoku/>
        <w:wordWrap/>
        <w:overflowPunct/>
        <w:topLinePunct w:val="0"/>
        <w:bidi w:val="0"/>
        <w:adjustRightInd/>
        <w:snapToGrid/>
        <w:spacing w:before="0" w:beforeAutospacing="0" w:after="2" w:afterAutospacing="0" w:line="240" w:lineRule="auto"/>
        <w:ind w:left="0" w:firstLine="628"/>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根据市事权下放人员转隶通知，现岳阳市城市管理综合行政执法支队直属二大队有参公事业编制21人，在编在职21人，城市管理执法协管员62名。</w:t>
      </w:r>
    </w:p>
    <w:p>
      <w:pPr>
        <w:keepNext w:val="0"/>
        <w:keepLines w:val="0"/>
        <w:pageBreakBefore w:val="0"/>
        <w:kinsoku/>
        <w:wordWrap/>
        <w:overflowPunct/>
        <w:topLinePunct w:val="0"/>
        <w:bidi w:val="0"/>
        <w:adjustRightInd/>
        <w:snapToGrid/>
        <w:spacing w:before="0" w:beforeAutospacing="0" w:after="2" w:afterAutospacing="0" w:line="240" w:lineRule="auto"/>
        <w:ind w:left="0" w:firstLine="628"/>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内设机构设置：政工股、财务股、考评股、党政办公室；路段中队（5个）：巴陵路中队、岳阳大道中队、洞庭大道中队、冷水铺中队、望岳路中队。</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pStyle w:val="2"/>
        <w:ind w:firstLine="640" w:firstLineChars="200"/>
        <w:jc w:val="left"/>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2022年来纳入本单位部门整体支出绩效自评评价范围的支出全部为一般公共预算支出</w:t>
      </w:r>
      <w:r>
        <w:rPr>
          <w:rFonts w:hint="eastAsia" w:ascii="仿宋" w:hAnsi="仿宋" w:eastAsia="仿宋" w:cs="仿宋"/>
          <w:color w:val="000000" w:themeColor="text1"/>
          <w:spacing w:val="0"/>
          <w:sz w:val="32"/>
          <w:szCs w:val="32"/>
          <w:lang w:val="en-US" w:eastAsia="zh-CN"/>
          <w14:textFill>
            <w14:solidFill>
              <w14:schemeClr w14:val="tx1"/>
            </w14:solidFill>
          </w14:textFill>
        </w:rPr>
        <w:t>813.48万元</w:t>
      </w: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pStyle w:val="2"/>
        <w:numPr>
          <w:ilvl w:val="0"/>
          <w:numId w:val="0"/>
        </w:numPr>
        <w:jc w:val="left"/>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      2022年基本支出为329.18万元，其中：工资福利支出275.73万元，商品和服务支出52.5万元，其中：公用经费37.80万元，公车补贴14.7万元、其他对个人和家庭的补助0.95万元。</w:t>
      </w:r>
    </w:p>
    <w:p>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p>
    <w:p>
      <w:pPr>
        <w:pStyle w:val="2"/>
        <w:jc w:val="left"/>
        <w:rPr>
          <w:rFonts w:hint="default" w:ascii="仿宋" w:hAnsi="仿宋" w:eastAsia="仿宋" w:cs="仿宋"/>
          <w:sz w:val="32"/>
          <w:szCs w:val="32"/>
          <w:lang w:val="en-US" w:eastAsia="zh-CN"/>
        </w:rPr>
      </w:pPr>
      <w:r>
        <w:rPr>
          <w:rFonts w:hint="eastAsia"/>
          <w:lang w:val="en-US" w:eastAsia="zh-CN"/>
        </w:rPr>
        <w:t xml:space="preserve">     </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 2022年项目支出为484.30万元，</w:t>
      </w:r>
      <w:r>
        <w:rPr>
          <w:rFonts w:hint="eastAsia" w:ascii="仿宋" w:hAnsi="仿宋" w:eastAsia="仿宋" w:cs="仿宋"/>
          <w:color w:val="000000" w:themeColor="text1"/>
          <w:spacing w:val="0"/>
          <w:sz w:val="32"/>
          <w:szCs w:val="32"/>
          <w:lang w:val="en-US" w:eastAsia="zh-CN"/>
          <w14:textFill>
            <w14:solidFill>
              <w14:schemeClr w14:val="tx1"/>
            </w14:solidFill>
          </w14:textFill>
        </w:rPr>
        <w:t>主要包括：业务工作经费支出</w:t>
      </w:r>
      <w:r>
        <w:rPr>
          <w:rFonts w:hint="eastAsia" w:ascii="仿宋" w:hAnsi="仿宋" w:eastAsia="仿宋" w:cs="仿宋"/>
          <w:color w:val="000000" w:themeColor="text1"/>
          <w:sz w:val="32"/>
          <w:szCs w:val="32"/>
          <w:lang w:val="en-US" w:eastAsia="zh-CN"/>
          <w14:textFill>
            <w14:solidFill>
              <w14:schemeClr w14:val="tx1"/>
            </w14:solidFill>
          </w14:textFill>
        </w:rPr>
        <w:t>422.43万元，资本性支出执法巡逻车购置费32万元，资本性支出公务用车辆购置费18万元，执法服装购置费支出11.87万元。</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pStyle w:val="2"/>
        <w:numPr>
          <w:ilvl w:val="0"/>
          <w:numId w:val="0"/>
        </w:numPr>
        <w:ind w:leftChars="200"/>
        <w:jc w:val="left"/>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  2022年度本单位无政府性基金预算支出。</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pStyle w:val="2"/>
        <w:numPr>
          <w:ilvl w:val="0"/>
          <w:numId w:val="0"/>
        </w:numPr>
        <w:ind w:leftChars="200"/>
        <w:jc w:val="left"/>
        <w:rPr>
          <w:rFonts w:hint="default"/>
          <w:lang w:val="en-US" w:eastAsia="zh-CN"/>
        </w:rPr>
      </w:pPr>
      <w:r>
        <w:rPr>
          <w:rFonts w:hint="eastAsia"/>
          <w:lang w:val="en-US" w:eastAsia="zh-CN"/>
        </w:rPr>
        <w:t xml:space="preserve"> </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 2022年度本单位无国有资本经营预算支出。</w:t>
      </w:r>
    </w:p>
    <w:p>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pStyle w:val="2"/>
        <w:numPr>
          <w:ilvl w:val="0"/>
          <w:numId w:val="0"/>
        </w:numPr>
        <w:jc w:val="left"/>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lang w:val="en-US" w:eastAsia="zh-CN"/>
        </w:rPr>
        <w:t xml:space="preserve">   </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  </w:t>
      </w:r>
      <w:r>
        <w:rPr>
          <w:rFonts w:hint="eastAsia" w:ascii="仿宋" w:hAnsi="仿宋" w:eastAsia="仿宋" w:cs="仿宋"/>
          <w:sz w:val="32"/>
          <w:szCs w:val="32"/>
          <w:lang w:val="en-US" w:eastAsia="zh-CN"/>
        </w:rPr>
        <w:t>2022年度本单位无社会保险基金预算支出。</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2022年，本单位积极履职，强化管理，较好地完成了年度工作目标。通过加强预算收支管理，不断建立健全内部管理制度，梳理内部管理流程，部门整体支出管理水平得到提升。根据部门整体支出绩效自评表，本单位2022年度绩效自评得分为98分。部门整体支出绩效情况如下：</w:t>
      </w:r>
    </w:p>
    <w:p>
      <w:pPr>
        <w:keepNext w:val="0"/>
        <w:keepLines w:val="0"/>
        <w:pageBreakBefore w:val="0"/>
        <w:numPr>
          <w:ilvl w:val="0"/>
          <w:numId w:val="3"/>
        </w:numPr>
        <w:kinsoku/>
        <w:overflowPunct/>
        <w:topLinePunct w:val="0"/>
        <w:autoSpaceDE/>
        <w:autoSpaceDN/>
        <w:bidi w:val="0"/>
        <w:adjustRightInd/>
        <w:snapToGrid/>
        <w:spacing w:line="360" w:lineRule="auto"/>
        <w:ind w:firstLine="643" w:firstLineChars="200"/>
        <w:jc w:val="left"/>
        <w:textAlignment w:val="auto"/>
        <w:rPr>
          <w:rFonts w:hint="default" w:ascii="仿宋" w:hAnsi="仿宋" w:eastAsia="仿宋" w:cs="仿宋"/>
          <w:color w:val="0C0C0C"/>
          <w:kern w:val="2"/>
          <w:sz w:val="32"/>
          <w:szCs w:val="32"/>
          <w:lang w:val="en-US" w:eastAsia="zh-CN" w:bidi="ar-SA"/>
        </w:rPr>
      </w:pPr>
      <w:r>
        <w:rPr>
          <w:rFonts w:hint="eastAsia" w:ascii="仿宋" w:hAnsi="仿宋" w:eastAsia="仿宋" w:cs="Arial"/>
          <w:b/>
          <w:bCs/>
          <w:color w:val="0C0C0C"/>
          <w:kern w:val="2"/>
          <w:sz w:val="32"/>
          <w:szCs w:val="32"/>
          <w:lang w:val="en-US" w:eastAsia="zh-CN" w:bidi="ar-SA"/>
        </w:rPr>
        <w:t xml:space="preserve">户外广告整治落实到位 </w:t>
      </w:r>
      <w:r>
        <w:rPr>
          <w:rFonts w:hint="eastAsia" w:ascii="仿宋" w:hAnsi="仿宋" w:eastAsia="仿宋" w:cs="仿宋"/>
          <w:color w:val="0C0C0C"/>
          <w:sz w:val="32"/>
          <w:szCs w:val="32"/>
          <w:lang w:val="en-US" w:eastAsia="zh-CN"/>
        </w:rPr>
        <w:t>为规范城区户外广告设置，消除潜在安全隐患，3月中旬，在楼区区委、区政府统一部署下，大队组织开展户外广告专项整治行动，对冷水铺路、东升路等辖区道路临街违规及破损广告牌、灯箱、门头招牌进行全面排查和拆除。行动共持续4天，出动执法队员57人次，租用吊车2台，拆</w:t>
      </w:r>
      <w:r>
        <w:rPr>
          <w:rFonts w:hint="default" w:ascii="仿宋" w:hAnsi="仿宋" w:eastAsia="仿宋" w:cs="仿宋"/>
          <w:color w:val="0C0C0C"/>
          <w:sz w:val="32"/>
          <w:szCs w:val="32"/>
          <w:lang w:val="en-US" w:eastAsia="zh-CN"/>
        </w:rPr>
        <w:t>除违规设置</w:t>
      </w:r>
      <w:r>
        <w:rPr>
          <w:rFonts w:hint="eastAsia" w:ascii="仿宋" w:hAnsi="仿宋" w:eastAsia="仿宋" w:cs="仿宋"/>
          <w:color w:val="0C0C0C"/>
          <w:sz w:val="32"/>
          <w:szCs w:val="32"/>
          <w:lang w:val="en-US" w:eastAsia="zh-CN"/>
        </w:rPr>
        <w:t>或</w:t>
      </w:r>
      <w:r>
        <w:rPr>
          <w:rFonts w:hint="default" w:ascii="仿宋" w:hAnsi="仿宋" w:eastAsia="仿宋" w:cs="仿宋"/>
          <w:color w:val="0C0C0C"/>
          <w:sz w:val="32"/>
          <w:szCs w:val="32"/>
          <w:lang w:val="en-US" w:eastAsia="zh-CN"/>
        </w:rPr>
        <w:t>存在安全隐患的大型户外广告牌</w:t>
      </w:r>
      <w:r>
        <w:rPr>
          <w:rFonts w:hint="eastAsia" w:ascii="仿宋" w:hAnsi="仿宋" w:eastAsia="仿宋" w:cs="仿宋"/>
          <w:color w:val="0C0C0C"/>
          <w:sz w:val="32"/>
          <w:szCs w:val="32"/>
          <w:lang w:val="en-US" w:eastAsia="zh-CN"/>
        </w:rPr>
        <w:t>31块</w:t>
      </w:r>
      <w:r>
        <w:rPr>
          <w:rFonts w:hint="default" w:ascii="仿宋" w:hAnsi="仿宋" w:eastAsia="仿宋" w:cs="仿宋"/>
          <w:color w:val="0C0C0C"/>
          <w:sz w:val="32"/>
          <w:szCs w:val="32"/>
          <w:lang w:val="en-US" w:eastAsia="zh-CN"/>
        </w:rPr>
        <w:t>，</w:t>
      </w:r>
      <w:r>
        <w:rPr>
          <w:rFonts w:hint="eastAsia" w:ascii="仿宋" w:hAnsi="仿宋" w:eastAsia="仿宋" w:cs="仿宋"/>
          <w:color w:val="0C0C0C"/>
          <w:sz w:val="32"/>
          <w:szCs w:val="32"/>
          <w:lang w:val="en-US" w:eastAsia="zh-CN"/>
        </w:rPr>
        <w:t>小型门头招牌、灯箱26个，共计</w:t>
      </w:r>
      <w:r>
        <w:rPr>
          <w:rFonts w:hint="default" w:ascii="仿宋" w:hAnsi="仿宋" w:eastAsia="仿宋" w:cs="仿宋"/>
          <w:color w:val="0C0C0C"/>
          <w:sz w:val="32"/>
          <w:szCs w:val="32"/>
          <w:lang w:val="en-US" w:eastAsia="zh-CN"/>
        </w:rPr>
        <w:t>拆除</w:t>
      </w:r>
      <w:r>
        <w:rPr>
          <w:rFonts w:hint="eastAsia" w:ascii="仿宋" w:hAnsi="仿宋" w:eastAsia="仿宋" w:cs="仿宋"/>
          <w:color w:val="0C0C0C"/>
          <w:sz w:val="32"/>
          <w:szCs w:val="32"/>
          <w:lang w:val="en-US" w:eastAsia="zh-CN"/>
        </w:rPr>
        <w:t>各类广告牌</w:t>
      </w:r>
      <w:r>
        <w:rPr>
          <w:rFonts w:hint="default" w:ascii="仿宋" w:hAnsi="仿宋" w:eastAsia="仿宋" w:cs="仿宋"/>
          <w:color w:val="0C0C0C"/>
          <w:sz w:val="32"/>
          <w:szCs w:val="32"/>
          <w:lang w:val="en-US" w:eastAsia="zh-CN"/>
        </w:rPr>
        <w:t>面积</w:t>
      </w:r>
      <w:r>
        <w:rPr>
          <w:rFonts w:hint="eastAsia" w:ascii="仿宋" w:hAnsi="仿宋" w:eastAsia="仿宋" w:cs="仿宋"/>
          <w:color w:val="0C0C0C"/>
          <w:sz w:val="32"/>
          <w:szCs w:val="32"/>
          <w:lang w:val="en-US" w:eastAsia="zh-CN"/>
        </w:rPr>
        <w:t>约620平方米</w:t>
      </w:r>
      <w:r>
        <w:rPr>
          <w:rFonts w:hint="default" w:ascii="仿宋" w:hAnsi="仿宋" w:eastAsia="仿宋" w:cs="仿宋"/>
          <w:color w:val="0C0C0C"/>
          <w:sz w:val="32"/>
          <w:szCs w:val="32"/>
          <w:lang w:val="en-US" w:eastAsia="zh-CN"/>
        </w:rPr>
        <w:t>。</w:t>
      </w:r>
    </w:p>
    <w:p>
      <w:pPr>
        <w:keepNext w:val="0"/>
        <w:keepLines w:val="0"/>
        <w:pageBreakBefore w:val="0"/>
        <w:numPr>
          <w:ilvl w:val="0"/>
          <w:numId w:val="3"/>
        </w:numPr>
        <w:kinsoku/>
        <w:overflowPunct/>
        <w:topLinePunct w:val="0"/>
        <w:autoSpaceDE/>
        <w:autoSpaceDN/>
        <w:bidi w:val="0"/>
        <w:adjustRightInd/>
        <w:snapToGrid/>
        <w:spacing w:line="360" w:lineRule="auto"/>
        <w:ind w:firstLine="643" w:firstLineChars="200"/>
        <w:jc w:val="left"/>
        <w:textAlignment w:val="auto"/>
        <w:rPr>
          <w:rFonts w:hint="default" w:ascii="仿宋" w:hAnsi="仿宋" w:eastAsia="仿宋" w:cs="仿宋"/>
          <w:color w:val="0C0C0C"/>
          <w:kern w:val="2"/>
          <w:sz w:val="32"/>
          <w:szCs w:val="32"/>
          <w:lang w:val="en-US" w:eastAsia="zh-CN" w:bidi="ar-SA"/>
        </w:rPr>
      </w:pPr>
      <w:r>
        <w:rPr>
          <w:rFonts w:hint="eastAsia" w:ascii="仿宋" w:hAnsi="仿宋" w:eastAsia="仿宋" w:cs="仿宋"/>
          <w:b/>
          <w:bCs/>
          <w:color w:val="0C0C0C"/>
          <w:sz w:val="32"/>
          <w:szCs w:val="32"/>
          <w:lang w:val="en-US" w:eastAsia="zh-CN"/>
        </w:rPr>
        <w:t>大气污染防治工作成效显著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643" w:firstLineChars="200"/>
        <w:jc w:val="left"/>
        <w:textAlignment w:val="auto"/>
        <w:rPr>
          <w:rFonts w:hint="eastAsia" w:ascii="仿宋" w:hAnsi="仿宋" w:eastAsia="仿宋" w:cs="仿宋"/>
          <w:color w:val="0C0C0C"/>
          <w:kern w:val="2"/>
          <w:sz w:val="32"/>
          <w:szCs w:val="32"/>
          <w:lang w:val="en-US" w:eastAsia="zh-CN" w:bidi="ar-SA"/>
        </w:rPr>
      </w:pPr>
      <w:r>
        <w:rPr>
          <w:rFonts w:hint="eastAsia" w:ascii="仿宋" w:hAnsi="仿宋" w:eastAsia="仿宋" w:cs="仿宋"/>
          <w:b/>
          <w:bCs/>
          <w:i w:val="0"/>
          <w:iCs w:val="0"/>
          <w:caps w:val="0"/>
          <w:color w:val="0C0C0C"/>
          <w:spacing w:val="0"/>
          <w:sz w:val="32"/>
          <w:szCs w:val="32"/>
          <w:shd w:val="clear" w:color="auto" w:fill="FFFFFF"/>
          <w:lang w:val="en-US" w:eastAsia="zh-CN"/>
        </w:rPr>
        <w:t xml:space="preserve">（1）禁止燃放烟花爆竹工作取得实效 </w:t>
      </w:r>
      <w:r>
        <w:rPr>
          <w:rFonts w:hint="eastAsia" w:ascii="仿宋" w:hAnsi="仿宋" w:eastAsia="仿宋" w:cs="仿宋"/>
          <w:color w:val="0C0C0C"/>
          <w:kern w:val="2"/>
          <w:sz w:val="32"/>
          <w:szCs w:val="32"/>
          <w:lang w:val="en-US" w:eastAsia="zh-CN" w:bidi="ar-SA"/>
        </w:rPr>
        <w:t>为</w:t>
      </w:r>
      <w:r>
        <w:rPr>
          <w:rFonts w:hint="eastAsia" w:ascii="仿宋" w:hAnsi="仿宋" w:eastAsia="仿宋"/>
          <w:b w:val="0"/>
          <w:bCs w:val="0"/>
          <w:color w:val="0C0C0C"/>
          <w:sz w:val="32"/>
          <w:szCs w:val="32"/>
        </w:rPr>
        <w:t>积极服务全市禁炮工作大局</w:t>
      </w:r>
      <w:r>
        <w:rPr>
          <w:rFonts w:hint="eastAsia" w:ascii="仿宋" w:hAnsi="仿宋" w:eastAsia="仿宋" w:cs="仿宋"/>
          <w:color w:val="0C0C0C"/>
          <w:kern w:val="2"/>
          <w:sz w:val="32"/>
          <w:szCs w:val="32"/>
          <w:lang w:val="en-US" w:eastAsia="zh-CN" w:bidi="ar-SA"/>
        </w:rPr>
        <w:t>，持续改善空气质量，保障人民群众生命财产安全，大队积极出台多项举措。</w:t>
      </w:r>
    </w:p>
    <w:p>
      <w:pPr>
        <w:keepNext w:val="0"/>
        <w:keepLines w:val="0"/>
        <w:pageBreakBefore w:val="0"/>
        <w:kinsoku/>
        <w:overflowPunct/>
        <w:topLinePunct w:val="0"/>
        <w:autoSpaceDE/>
        <w:autoSpaceDN/>
        <w:bidi w:val="0"/>
        <w:adjustRightInd/>
        <w:snapToGrid/>
        <w:spacing w:line="360" w:lineRule="auto"/>
        <w:jc w:val="left"/>
        <w:textAlignment w:val="auto"/>
        <w:rPr>
          <w:rFonts w:hint="eastAsia" w:ascii="仿宋" w:hAnsi="仿宋" w:eastAsia="仿宋" w:cs="仿宋"/>
          <w:color w:val="0C0C0C"/>
          <w:kern w:val="2"/>
          <w:sz w:val="32"/>
          <w:szCs w:val="32"/>
          <w:lang w:val="en-US" w:eastAsia="zh-CN" w:bidi="ar-SA"/>
        </w:rPr>
      </w:pPr>
      <w:r>
        <w:rPr>
          <w:rFonts w:hint="eastAsia" w:ascii="仿宋" w:hAnsi="仿宋" w:eastAsia="仿宋" w:cs="仿宋"/>
          <w:b/>
          <w:bCs/>
          <w:color w:val="0C0C0C"/>
          <w:kern w:val="2"/>
          <w:sz w:val="32"/>
          <w:szCs w:val="32"/>
          <w:lang w:val="en-US" w:eastAsia="zh-CN" w:bidi="ar-SA"/>
        </w:rPr>
        <w:t>一是召开专题会议，部署禁燃工作。</w:t>
      </w:r>
      <w:r>
        <w:rPr>
          <w:rFonts w:hint="eastAsia" w:ascii="仿宋" w:hAnsi="仿宋" w:eastAsia="仿宋" w:cs="仿宋"/>
          <w:color w:val="0C0C0C"/>
          <w:kern w:val="2"/>
          <w:sz w:val="32"/>
          <w:szCs w:val="32"/>
          <w:lang w:val="en-US" w:eastAsia="zh-CN" w:bidi="ar-SA"/>
        </w:rPr>
        <w:t>召开“禁燃禁放”专题会议，制定了工作实施方案，细化了工作任务和具体措施，为统筹推进禁炮工作奠定了坚实基础。</w:t>
      </w:r>
      <w:r>
        <w:rPr>
          <w:rFonts w:hint="eastAsia" w:ascii="仿宋" w:hAnsi="仿宋" w:eastAsia="仿宋" w:cs="仿宋"/>
          <w:b/>
          <w:bCs/>
          <w:color w:val="0C0C0C"/>
          <w:kern w:val="2"/>
          <w:sz w:val="32"/>
          <w:szCs w:val="32"/>
          <w:lang w:val="en-US" w:eastAsia="zh-CN" w:bidi="ar-SA"/>
        </w:rPr>
        <w:t>二是加强宣传引导，营造强大声势。</w:t>
      </w:r>
      <w:r>
        <w:rPr>
          <w:rFonts w:hint="eastAsia" w:ascii="仿宋" w:hAnsi="仿宋" w:eastAsia="仿宋" w:cs="仿宋"/>
          <w:color w:val="0C0C0C"/>
          <w:kern w:val="2"/>
          <w:sz w:val="32"/>
          <w:szCs w:val="32"/>
          <w:lang w:val="en-US" w:eastAsia="zh-CN" w:bidi="ar-SA"/>
        </w:rPr>
        <w:t>积极上门走访临街产权单位和商户，共动员580余户在LED显示屏上循环播放公益广告，并通过发放宣传资料、张贴通告等多种形式，及时向广大群众宣传禁燃禁放法规文件精神，努力营造群防群治、齐抓共管的良好氛围。</w:t>
      </w:r>
      <w:r>
        <w:rPr>
          <w:rFonts w:hint="eastAsia" w:ascii="仿宋" w:hAnsi="仿宋" w:eastAsia="仿宋" w:cs="仿宋"/>
          <w:b/>
          <w:bCs/>
          <w:color w:val="0C0C0C"/>
          <w:kern w:val="2"/>
          <w:sz w:val="32"/>
          <w:szCs w:val="32"/>
          <w:lang w:val="en-US" w:eastAsia="zh-CN" w:bidi="ar-SA"/>
        </w:rPr>
        <w:t>三是加强巡查执法，严控燃放行为。</w:t>
      </w:r>
      <w:r>
        <w:rPr>
          <w:rFonts w:hint="eastAsia" w:ascii="仿宋" w:hAnsi="仿宋" w:eastAsia="仿宋" w:cs="仿宋"/>
          <w:color w:val="0C0C0C"/>
          <w:kern w:val="2"/>
          <w:sz w:val="32"/>
          <w:szCs w:val="32"/>
          <w:lang w:val="en-US" w:eastAsia="zh-CN" w:bidi="ar-SA"/>
        </w:rPr>
        <w:t xml:space="preserve">在除夕、元宵节等重要时间节点，大队共出动执法队员80多人加班加点至凌晨，发放宣传资料8000余份，制止和取证违规燃放烟花爆竹20多起，查获违规销售烟花爆竹2起，并按照有关规定对查获的烟花爆竹进行了公开销毁。 </w:t>
      </w:r>
    </w:p>
    <w:p>
      <w:pPr>
        <w:keepNext w:val="0"/>
        <w:keepLines w:val="0"/>
        <w:pageBreakBefore w:val="0"/>
        <w:numPr>
          <w:ilvl w:val="0"/>
          <w:numId w:val="4"/>
        </w:numPr>
        <w:kinsoku/>
        <w:overflowPunct/>
        <w:topLinePunct w:val="0"/>
        <w:autoSpaceDE/>
        <w:autoSpaceDN/>
        <w:bidi w:val="0"/>
        <w:adjustRightInd/>
        <w:snapToGrid/>
        <w:spacing w:line="360" w:lineRule="auto"/>
        <w:ind w:leftChars="0" w:firstLine="643" w:firstLineChars="200"/>
        <w:jc w:val="left"/>
        <w:textAlignment w:val="auto"/>
        <w:rPr>
          <w:rFonts w:hint="eastAsia" w:ascii="仿宋" w:hAnsi="仿宋" w:eastAsia="仿宋"/>
          <w:color w:val="0C0C0C"/>
          <w:sz w:val="32"/>
          <w:szCs w:val="32"/>
          <w:lang w:val="en-US" w:eastAsia="zh-CN"/>
        </w:rPr>
      </w:pPr>
      <w:r>
        <w:rPr>
          <w:rFonts w:hint="eastAsia" w:ascii="仿宋" w:hAnsi="仿宋" w:eastAsia="仿宋" w:cs="仿宋"/>
          <w:b/>
          <w:bCs/>
          <w:color w:val="0C0C0C"/>
          <w:kern w:val="2"/>
          <w:sz w:val="32"/>
          <w:szCs w:val="32"/>
          <w:lang w:val="en-US" w:eastAsia="zh-CN" w:bidi="ar-SA"/>
        </w:rPr>
        <w:t xml:space="preserve">扬尘污染治理工作规范有序 </w:t>
      </w:r>
      <w:r>
        <w:rPr>
          <w:rFonts w:hint="eastAsia" w:ascii="仿宋" w:hAnsi="仿宋" w:eastAsia="仿宋"/>
          <w:b/>
          <w:bCs/>
          <w:color w:val="0C0C0C"/>
          <w:sz w:val="32"/>
          <w:szCs w:val="32"/>
        </w:rPr>
        <w:t>一</w:t>
      </w:r>
      <w:r>
        <w:rPr>
          <w:rFonts w:ascii="仿宋" w:hAnsi="仿宋" w:eastAsia="仿宋"/>
          <w:b/>
          <w:bCs/>
          <w:color w:val="0C0C0C"/>
          <w:sz w:val="32"/>
          <w:szCs w:val="32"/>
        </w:rPr>
        <w:t>是</w:t>
      </w:r>
      <w:r>
        <w:rPr>
          <w:rFonts w:hint="eastAsia" w:ascii="仿宋" w:hAnsi="仿宋" w:eastAsia="仿宋"/>
          <w:b/>
          <w:bCs/>
          <w:color w:val="0C0C0C"/>
          <w:sz w:val="32"/>
          <w:szCs w:val="32"/>
        </w:rPr>
        <w:t>加大施工现场监管力度。</w:t>
      </w:r>
      <w:r>
        <w:rPr>
          <w:rFonts w:hint="eastAsia" w:ascii="仿宋" w:hAnsi="仿宋" w:eastAsia="仿宋"/>
          <w:color w:val="0C0C0C"/>
          <w:sz w:val="32"/>
          <w:szCs w:val="32"/>
          <w:lang w:val="en-US" w:eastAsia="zh-CN"/>
        </w:rPr>
        <w:t>对</w:t>
      </w:r>
      <w:r>
        <w:rPr>
          <w:rFonts w:hint="eastAsia" w:ascii="仿宋" w:hAnsi="仿宋" w:eastAsia="仿宋"/>
          <w:color w:val="0C0C0C"/>
          <w:sz w:val="32"/>
          <w:szCs w:val="32"/>
        </w:rPr>
        <w:t>施工场地严格要求全封闭施工，设置硬质密闭围挡，</w:t>
      </w:r>
      <w:r>
        <w:rPr>
          <w:rFonts w:hint="eastAsia" w:ascii="仿宋" w:hAnsi="仿宋" w:eastAsia="仿宋"/>
          <w:color w:val="0C0C0C"/>
          <w:sz w:val="32"/>
          <w:szCs w:val="32"/>
          <w:lang w:val="en-US" w:eastAsia="zh-CN"/>
        </w:rPr>
        <w:t>落实</w:t>
      </w:r>
      <w:r>
        <w:rPr>
          <w:rFonts w:hint="eastAsia" w:ascii="仿宋" w:hAnsi="仿宋" w:eastAsia="仿宋"/>
          <w:color w:val="0C0C0C"/>
          <w:sz w:val="32"/>
          <w:szCs w:val="32"/>
        </w:rPr>
        <w:t>覆盖、洒水降尘等措施</w:t>
      </w:r>
      <w:r>
        <w:rPr>
          <w:rFonts w:hint="eastAsia" w:ascii="仿宋" w:hAnsi="仿宋" w:eastAsia="仿宋"/>
          <w:color w:val="0C0C0C"/>
          <w:sz w:val="32"/>
          <w:szCs w:val="32"/>
          <w:lang w:eastAsia="zh-CN"/>
        </w:rPr>
        <w:t>，</w:t>
      </w:r>
      <w:r>
        <w:rPr>
          <w:rFonts w:hint="eastAsia" w:ascii="仿宋" w:hAnsi="仿宋" w:eastAsia="仿宋"/>
          <w:color w:val="0C0C0C"/>
          <w:sz w:val="32"/>
          <w:szCs w:val="32"/>
        </w:rPr>
        <w:t>并要求施工车辆确保密闭运输、净车出场</w:t>
      </w:r>
      <w:r>
        <w:rPr>
          <w:rFonts w:hint="eastAsia" w:ascii="仿宋" w:hAnsi="仿宋" w:eastAsia="仿宋"/>
          <w:color w:val="0C0C0C"/>
          <w:sz w:val="32"/>
          <w:szCs w:val="32"/>
          <w:lang w:eastAsia="zh-CN"/>
        </w:rPr>
        <w:t>。</w:t>
      </w:r>
      <w:r>
        <w:rPr>
          <w:rFonts w:hint="eastAsia" w:ascii="仿宋" w:hAnsi="仿宋" w:eastAsia="仿宋"/>
          <w:b/>
          <w:bCs/>
          <w:color w:val="0C0C0C"/>
          <w:sz w:val="32"/>
          <w:szCs w:val="32"/>
        </w:rPr>
        <w:t>二是</w:t>
      </w:r>
      <w:r>
        <w:rPr>
          <w:rFonts w:ascii="仿宋" w:hAnsi="仿宋" w:eastAsia="仿宋"/>
          <w:b/>
          <w:bCs/>
          <w:color w:val="0C0C0C"/>
          <w:sz w:val="32"/>
          <w:szCs w:val="32"/>
        </w:rPr>
        <w:t>加大</w:t>
      </w:r>
      <w:r>
        <w:rPr>
          <w:rFonts w:hint="eastAsia" w:ascii="仿宋" w:hAnsi="仿宋" w:eastAsia="仿宋"/>
          <w:b/>
          <w:bCs/>
          <w:color w:val="0C0C0C"/>
          <w:sz w:val="32"/>
          <w:szCs w:val="32"/>
          <w:lang w:val="en-US" w:eastAsia="zh-CN"/>
        </w:rPr>
        <w:t>渣土</w:t>
      </w:r>
      <w:r>
        <w:rPr>
          <w:rFonts w:hint="eastAsia" w:ascii="仿宋" w:hAnsi="仿宋" w:eastAsia="仿宋"/>
          <w:b/>
          <w:bCs/>
          <w:color w:val="0C0C0C"/>
          <w:sz w:val="32"/>
          <w:szCs w:val="32"/>
        </w:rPr>
        <w:t>运输执法</w:t>
      </w:r>
      <w:r>
        <w:rPr>
          <w:rFonts w:ascii="仿宋" w:hAnsi="仿宋" w:eastAsia="仿宋"/>
          <w:b/>
          <w:bCs/>
          <w:color w:val="0C0C0C"/>
          <w:sz w:val="32"/>
          <w:szCs w:val="32"/>
        </w:rPr>
        <w:t>力度。</w:t>
      </w:r>
      <w:r>
        <w:rPr>
          <w:rFonts w:ascii="仿宋" w:hAnsi="仿宋" w:eastAsia="仿宋"/>
          <w:color w:val="0C0C0C"/>
          <w:sz w:val="32"/>
          <w:szCs w:val="32"/>
        </w:rPr>
        <w:t>采取设置卡点、机动巡查等方式，严格查处运输车辆</w:t>
      </w:r>
      <w:r>
        <w:rPr>
          <w:rFonts w:hint="eastAsia" w:ascii="仿宋" w:hAnsi="仿宋" w:eastAsia="仿宋"/>
          <w:color w:val="0C0C0C"/>
          <w:sz w:val="32"/>
          <w:szCs w:val="32"/>
        </w:rPr>
        <w:t>带泥上路、抛洒滴漏、未覆盖</w:t>
      </w:r>
      <w:r>
        <w:rPr>
          <w:rFonts w:ascii="仿宋" w:hAnsi="仿宋" w:eastAsia="仿宋"/>
          <w:color w:val="0C0C0C"/>
          <w:sz w:val="32"/>
          <w:szCs w:val="32"/>
        </w:rPr>
        <w:t>等违法行为，把牢扬尘</w:t>
      </w:r>
      <w:r>
        <w:rPr>
          <w:rFonts w:hint="eastAsia" w:ascii="仿宋" w:hAnsi="仿宋" w:eastAsia="仿宋"/>
          <w:color w:val="0C0C0C"/>
          <w:sz w:val="32"/>
          <w:szCs w:val="32"/>
          <w:lang w:val="en-US" w:eastAsia="zh-CN"/>
        </w:rPr>
        <w:t>治理</w:t>
      </w:r>
      <w:r>
        <w:rPr>
          <w:rFonts w:ascii="仿宋" w:hAnsi="仿宋" w:eastAsia="仿宋"/>
          <w:color w:val="0C0C0C"/>
          <w:sz w:val="32"/>
          <w:szCs w:val="32"/>
        </w:rPr>
        <w:t>源头防控关。</w:t>
      </w:r>
      <w:r>
        <w:rPr>
          <w:rFonts w:hint="eastAsia" w:ascii="仿宋" w:hAnsi="仿宋" w:eastAsia="仿宋"/>
          <w:color w:val="0C0C0C"/>
          <w:sz w:val="32"/>
          <w:szCs w:val="32"/>
          <w:lang w:val="en-US" w:eastAsia="zh-CN"/>
        </w:rPr>
        <w:t>截至目前，共发现等各类违规行为30余起，责令现场整改10余起，处罚20起，合计罚款金额40800元。</w:t>
      </w:r>
    </w:p>
    <w:p>
      <w:pPr>
        <w:keepNext w:val="0"/>
        <w:keepLines w:val="0"/>
        <w:pageBreakBefore w:val="0"/>
        <w:numPr>
          <w:ilvl w:val="0"/>
          <w:numId w:val="4"/>
        </w:numPr>
        <w:kinsoku/>
        <w:overflowPunct/>
        <w:topLinePunct w:val="0"/>
        <w:autoSpaceDE/>
        <w:autoSpaceDN/>
        <w:bidi w:val="0"/>
        <w:adjustRightInd/>
        <w:snapToGrid/>
        <w:spacing w:line="360" w:lineRule="auto"/>
        <w:ind w:left="0" w:leftChars="0" w:firstLine="643" w:firstLineChars="200"/>
        <w:jc w:val="left"/>
        <w:textAlignment w:val="auto"/>
        <w:rPr>
          <w:rFonts w:hint="eastAsia"/>
        </w:rPr>
      </w:pPr>
      <w:r>
        <w:rPr>
          <w:rFonts w:hint="eastAsia" w:ascii="仿宋" w:hAnsi="仿宋" w:eastAsia="仿宋" w:cs="仿宋"/>
          <w:b/>
          <w:bCs/>
          <w:color w:val="0C0C0C"/>
          <w:kern w:val="2"/>
          <w:sz w:val="32"/>
          <w:szCs w:val="32"/>
          <w:lang w:val="en-US" w:eastAsia="zh-CN" w:bidi="ar-SA"/>
        </w:rPr>
        <w:t>餐饮油烟治理工作初见成效。</w:t>
      </w:r>
      <w:r>
        <w:rPr>
          <w:rFonts w:hint="eastAsia" w:ascii="仿宋" w:hAnsi="仿宋" w:eastAsia="仿宋" w:cs="Arial"/>
          <w:color w:val="0C0C0C"/>
          <w:kern w:val="2"/>
          <w:sz w:val="32"/>
          <w:szCs w:val="32"/>
          <w:lang w:val="en-US" w:eastAsia="zh-CN" w:bidi="ar-SA"/>
        </w:rPr>
        <w:t>今年以来，为深入推进餐饮油烟治理工作，有效遏制违法排放油烟污染环境行为，持续改善大气环境质量，大队紧盯</w:t>
      </w:r>
      <w:r>
        <w:rPr>
          <w:rFonts w:hint="default" w:ascii="仿宋" w:hAnsi="仿宋" w:eastAsia="仿宋" w:cs="Arial"/>
          <w:color w:val="0C0C0C"/>
          <w:kern w:val="2"/>
          <w:sz w:val="32"/>
          <w:szCs w:val="32"/>
          <w:lang w:val="en-US" w:eastAsia="zh-CN" w:bidi="ar-SA"/>
        </w:rPr>
        <w:t>“走访排查清底数、动态宣传强引导、依法整治严监管”三个环节</w:t>
      </w:r>
      <w:r>
        <w:rPr>
          <w:rFonts w:hint="eastAsia" w:ascii="仿宋" w:hAnsi="仿宋" w:eastAsia="仿宋" w:cs="Arial"/>
          <w:color w:val="0C0C0C"/>
          <w:kern w:val="2"/>
          <w:sz w:val="32"/>
          <w:szCs w:val="32"/>
          <w:lang w:val="en-US" w:eastAsia="zh-CN" w:bidi="ar-SA"/>
        </w:rPr>
        <w:t>，</w:t>
      </w:r>
      <w:r>
        <w:rPr>
          <w:rFonts w:hint="default" w:ascii="仿宋" w:hAnsi="仿宋" w:eastAsia="仿宋" w:cs="Arial"/>
          <w:color w:val="0C0C0C"/>
          <w:kern w:val="2"/>
          <w:sz w:val="32"/>
          <w:szCs w:val="32"/>
          <w:lang w:val="en-US" w:eastAsia="zh-CN" w:bidi="ar-SA"/>
        </w:rPr>
        <w:t>源头管控、综合施策，有效推动餐饮油烟治理工作的常态化和长效化。</w:t>
      </w:r>
      <w:r>
        <w:rPr>
          <w:rFonts w:hint="eastAsia" w:ascii="仿宋" w:hAnsi="仿宋" w:eastAsia="仿宋" w:cs="Arial"/>
          <w:b/>
          <w:bCs/>
          <w:color w:val="0C0C0C"/>
          <w:kern w:val="2"/>
          <w:sz w:val="32"/>
          <w:szCs w:val="32"/>
          <w:lang w:val="en-US" w:eastAsia="zh-CN" w:bidi="ar-SA"/>
        </w:rPr>
        <w:t>一是调查摸底，落实一户一档。</w:t>
      </w:r>
      <w:r>
        <w:rPr>
          <w:rFonts w:hint="eastAsia" w:ascii="仿宋" w:hAnsi="仿宋" w:eastAsia="仿宋" w:cs="Arial"/>
          <w:color w:val="0C0C0C"/>
          <w:kern w:val="2"/>
          <w:sz w:val="32"/>
          <w:szCs w:val="32"/>
          <w:lang w:val="en-US" w:eastAsia="zh-CN" w:bidi="ar-SA"/>
        </w:rPr>
        <w:t>及时制定餐饮单位油烟治理的工作方案，对辖区路段餐饮门店分布、油烟净化器安装使用情况进行拉网式摸底排查，并建立工作台账，逐步完善一户一档制度，确保日常监管“全覆盖、无盲区、零死角”。</w:t>
      </w:r>
      <w:r>
        <w:rPr>
          <w:rFonts w:hint="eastAsia" w:ascii="仿宋" w:hAnsi="仿宋" w:eastAsia="仿宋" w:cs="Arial"/>
          <w:b/>
          <w:bCs/>
          <w:color w:val="0C0C0C"/>
          <w:kern w:val="2"/>
          <w:sz w:val="32"/>
          <w:szCs w:val="32"/>
          <w:lang w:val="en-US" w:eastAsia="zh-CN" w:bidi="ar-SA"/>
        </w:rPr>
        <w:t>二是严格执法，确保长效治理。</w:t>
      </w:r>
      <w:r>
        <w:rPr>
          <w:rFonts w:hint="eastAsia" w:ascii="仿宋" w:hAnsi="仿宋" w:eastAsia="仿宋" w:cs="Arial"/>
          <w:color w:val="0C0C0C"/>
          <w:kern w:val="2"/>
          <w:sz w:val="32"/>
          <w:szCs w:val="32"/>
          <w:lang w:val="en-US" w:eastAsia="zh-CN" w:bidi="ar-SA"/>
        </w:rPr>
        <w:t>采取日常巡查、错时执法等方式，重点对油烟净化器的安装使用和防污垫的设置等情况进行检查，并对照“蓝天办”下发的督办单，第一时间督促餐饮门店整改。9月中旬前，已将辖区临街全部68家夜市烧烤门店和87家餐饮门店纳入常态化监管范围，并对未及时开启净化设施的3家门店下达了整改通知书。</w:t>
      </w:r>
    </w:p>
    <w:p>
      <w:pPr>
        <w:keepNext w:val="0"/>
        <w:keepLines w:val="0"/>
        <w:pageBreakBefore w:val="0"/>
        <w:numPr>
          <w:ilvl w:val="0"/>
          <w:numId w:val="3"/>
        </w:numPr>
        <w:kinsoku/>
        <w:overflowPunct/>
        <w:topLinePunct w:val="0"/>
        <w:autoSpaceDE/>
        <w:autoSpaceDN/>
        <w:bidi w:val="0"/>
        <w:adjustRightInd/>
        <w:snapToGrid/>
        <w:spacing w:line="360" w:lineRule="auto"/>
        <w:ind w:left="0" w:leftChars="0" w:firstLine="643" w:firstLineChars="200"/>
        <w:jc w:val="left"/>
        <w:textAlignment w:val="auto"/>
        <w:rPr>
          <w:rFonts w:hint="eastAsia" w:ascii="仿宋" w:hAnsi="仿宋" w:eastAsia="仿宋" w:cs="Arial"/>
          <w:color w:val="0C0C0C"/>
          <w:sz w:val="32"/>
          <w:szCs w:val="32"/>
        </w:rPr>
      </w:pPr>
      <w:r>
        <w:rPr>
          <w:rFonts w:hint="eastAsia" w:ascii="仿宋" w:hAnsi="仿宋" w:eastAsia="仿宋" w:cs="仿宋"/>
          <w:b/>
          <w:bCs/>
          <w:color w:val="0C0C0C"/>
          <w:sz w:val="32"/>
          <w:szCs w:val="32"/>
          <w:lang w:val="en-US" w:eastAsia="zh-CN"/>
        </w:rPr>
        <w:t xml:space="preserve">市容环境综合整治提标提质 </w:t>
      </w:r>
      <w:r>
        <w:rPr>
          <w:rFonts w:hint="eastAsia" w:ascii="仿宋" w:hAnsi="仿宋" w:eastAsia="仿宋" w:cs="Arial"/>
          <w:color w:val="0C0C0C"/>
          <w:kern w:val="2"/>
          <w:sz w:val="32"/>
          <w:szCs w:val="32"/>
          <w:lang w:val="en-US" w:eastAsia="zh-CN" w:bidi="ar-SA"/>
        </w:rPr>
        <w:t>为营造整洁、优美、有序的城区环境，大队按照“疏堵结合、宣教先行”的原则，以白班每周2次、晚班每周1到2次、深晚班每周2次的频率，重点针对出店经营、占道堆物、马路市场等现象进行集中整治。</w:t>
      </w:r>
      <w:r>
        <w:rPr>
          <w:rFonts w:hint="eastAsia" w:ascii="仿宋" w:hAnsi="仿宋" w:eastAsia="仿宋" w:cs="Arial"/>
          <w:color w:val="0C0C0C"/>
          <w:sz w:val="32"/>
          <w:szCs w:val="32"/>
          <w:lang w:val="en-US" w:eastAsia="zh-CN"/>
        </w:rPr>
        <w:t>整治前，由分管副大队长牵头，对各中队</w:t>
      </w:r>
      <w:r>
        <w:rPr>
          <w:rFonts w:hint="eastAsia" w:ascii="仿宋" w:hAnsi="仿宋" w:eastAsia="仿宋" w:cs="Arial"/>
          <w:color w:val="0C0C0C"/>
          <w:sz w:val="32"/>
          <w:szCs w:val="32"/>
        </w:rPr>
        <w:t>市容秩序</w:t>
      </w:r>
      <w:r>
        <w:rPr>
          <w:rFonts w:hint="eastAsia" w:ascii="仿宋" w:hAnsi="仿宋" w:eastAsia="仿宋" w:cs="Arial"/>
          <w:color w:val="0C0C0C"/>
          <w:sz w:val="32"/>
          <w:szCs w:val="32"/>
          <w:lang w:val="en-US" w:eastAsia="zh-CN"/>
        </w:rPr>
        <w:t>顽疾进行梳理汇总</w:t>
      </w:r>
      <w:r>
        <w:rPr>
          <w:rFonts w:hint="eastAsia" w:ascii="仿宋" w:hAnsi="仿宋" w:eastAsia="仿宋" w:cs="Arial"/>
          <w:color w:val="0C0C0C"/>
          <w:sz w:val="32"/>
          <w:szCs w:val="32"/>
        </w:rPr>
        <w:t>，</w:t>
      </w:r>
      <w:r>
        <w:rPr>
          <w:rFonts w:hint="eastAsia" w:ascii="仿宋" w:hAnsi="仿宋" w:eastAsia="仿宋" w:cs="Arial"/>
          <w:color w:val="0C0C0C"/>
          <w:sz w:val="32"/>
          <w:szCs w:val="32"/>
          <w:lang w:val="en-US" w:eastAsia="zh-CN"/>
        </w:rPr>
        <w:t>在整治过程中带着问题抓整改，</w:t>
      </w:r>
      <w:r>
        <w:rPr>
          <w:rFonts w:hint="eastAsia" w:ascii="仿宋" w:hAnsi="仿宋" w:eastAsia="仿宋" w:cs="Arial"/>
          <w:color w:val="0C0C0C"/>
          <w:sz w:val="32"/>
          <w:szCs w:val="32"/>
        </w:rPr>
        <w:t>对重点违法问题和屡教不改的门店或</w:t>
      </w:r>
      <w:r>
        <w:rPr>
          <w:rFonts w:hint="eastAsia" w:ascii="仿宋" w:hAnsi="仿宋" w:eastAsia="仿宋" w:cs="Arial"/>
          <w:color w:val="0C0C0C"/>
          <w:sz w:val="32"/>
          <w:szCs w:val="32"/>
          <w:lang w:val="en-US" w:eastAsia="zh-CN"/>
        </w:rPr>
        <w:t>个人</w:t>
      </w:r>
      <w:r>
        <w:rPr>
          <w:rFonts w:hint="eastAsia" w:ascii="仿宋" w:hAnsi="仿宋" w:eastAsia="仿宋" w:cs="Arial"/>
          <w:color w:val="0C0C0C"/>
          <w:sz w:val="32"/>
          <w:szCs w:val="32"/>
        </w:rPr>
        <w:t>重拳出击</w:t>
      </w:r>
      <w:r>
        <w:rPr>
          <w:rFonts w:hint="eastAsia" w:ascii="仿宋" w:hAnsi="仿宋" w:eastAsia="仿宋" w:cs="Arial"/>
          <w:color w:val="0C0C0C"/>
          <w:sz w:val="32"/>
          <w:szCs w:val="32"/>
          <w:lang w:eastAsia="zh-CN"/>
        </w:rPr>
        <w:t>。</w:t>
      </w:r>
      <w:r>
        <w:rPr>
          <w:rFonts w:hint="eastAsia" w:ascii="仿宋" w:hAnsi="仿宋" w:eastAsia="仿宋" w:cs="Arial"/>
          <w:color w:val="0C0C0C"/>
          <w:sz w:val="32"/>
          <w:szCs w:val="32"/>
          <w:lang w:val="en-US" w:eastAsia="zh-CN"/>
        </w:rPr>
        <w:t>截止9月底，共计开展专项整治80余次，规范取缔流动摊点2600多个，规范出店经营、店外作业1200余次，清理不规范户外广告200余处，取缔未经批准的宣传促销活动80次，清除未经批准的悬挂条幅 500余幅，拆除拱形门60余个。</w:t>
      </w:r>
      <w:r>
        <w:rPr>
          <w:rFonts w:hint="eastAsia" w:ascii="仿宋" w:hAnsi="仿宋" w:eastAsia="仿宋" w:cs="Arial"/>
          <w:color w:val="0C0C0C"/>
          <w:sz w:val="32"/>
          <w:szCs w:val="32"/>
        </w:rPr>
        <w:t>经过整治，</w:t>
      </w:r>
      <w:r>
        <w:rPr>
          <w:rFonts w:hint="eastAsia" w:ascii="仿宋" w:hAnsi="仿宋" w:eastAsia="仿宋" w:cs="Arial"/>
          <w:color w:val="0C0C0C"/>
          <w:sz w:val="32"/>
          <w:szCs w:val="32"/>
          <w:lang w:val="en-US" w:eastAsia="zh-CN"/>
        </w:rPr>
        <w:t>冷水铺路工贸城路口、北港北路雷峰山菜市场沿线等地占道摆摊现象</w:t>
      </w:r>
      <w:r>
        <w:rPr>
          <w:rFonts w:hint="eastAsia" w:ascii="仿宋" w:hAnsi="仿宋" w:eastAsia="仿宋" w:cs="Arial"/>
          <w:color w:val="0C0C0C"/>
          <w:sz w:val="32"/>
          <w:szCs w:val="32"/>
        </w:rPr>
        <w:t>得到了有效管控，</w:t>
      </w:r>
      <w:r>
        <w:rPr>
          <w:rFonts w:hint="eastAsia" w:ascii="仿宋" w:hAnsi="仿宋" w:eastAsia="仿宋" w:cs="Arial"/>
          <w:color w:val="0C0C0C"/>
          <w:sz w:val="32"/>
          <w:szCs w:val="32"/>
          <w:lang w:val="en-US" w:eastAsia="zh-CN"/>
        </w:rPr>
        <w:t>东升路6906菜市场、建湘路沿线水果店等地出店经营现象得到了大幅改观，</w:t>
      </w:r>
      <w:r>
        <w:rPr>
          <w:rFonts w:hint="eastAsia" w:ascii="仿宋" w:hAnsi="仿宋" w:eastAsia="仿宋" w:cs="Arial"/>
          <w:color w:val="0C0C0C"/>
          <w:sz w:val="32"/>
          <w:szCs w:val="32"/>
        </w:rPr>
        <w:t>市容秩序</w:t>
      </w:r>
      <w:r>
        <w:rPr>
          <w:rFonts w:hint="eastAsia" w:ascii="仿宋" w:hAnsi="仿宋" w:eastAsia="仿宋" w:cs="Arial"/>
          <w:color w:val="0C0C0C"/>
          <w:sz w:val="32"/>
          <w:szCs w:val="32"/>
          <w:lang w:val="en-US" w:eastAsia="zh-CN"/>
        </w:rPr>
        <w:t>得到</w:t>
      </w:r>
      <w:r>
        <w:rPr>
          <w:rFonts w:hint="eastAsia" w:ascii="仿宋" w:hAnsi="仿宋" w:eastAsia="仿宋" w:cs="Arial"/>
          <w:color w:val="0C0C0C"/>
          <w:sz w:val="32"/>
          <w:szCs w:val="32"/>
        </w:rPr>
        <w:t>持续提升。</w:t>
      </w:r>
    </w:p>
    <w:p>
      <w:pPr>
        <w:keepNext w:val="0"/>
        <w:keepLines w:val="0"/>
        <w:pageBreakBefore w:val="0"/>
        <w:numPr>
          <w:ilvl w:val="0"/>
          <w:numId w:val="0"/>
        </w:numPr>
        <w:kinsoku/>
        <w:overflowPunct/>
        <w:topLinePunct w:val="0"/>
        <w:autoSpaceDE/>
        <w:autoSpaceDN/>
        <w:bidi w:val="0"/>
        <w:adjustRightInd/>
        <w:snapToGrid/>
        <w:spacing w:line="360" w:lineRule="auto"/>
        <w:ind w:left="0" w:leftChars="0" w:firstLine="640" w:firstLineChars="200"/>
        <w:jc w:val="left"/>
        <w:textAlignment w:val="auto"/>
        <w:rPr>
          <w:rFonts w:hint="default"/>
          <w:lang w:val="en-US" w:eastAsia="zh-CN"/>
        </w:rPr>
      </w:pPr>
      <w:r>
        <w:rPr>
          <w:rFonts w:hint="eastAsia" w:ascii="仿宋" w:hAnsi="仿宋" w:eastAsia="仿宋" w:cs="Arial"/>
          <w:b w:val="0"/>
          <w:bCs w:val="0"/>
          <w:color w:val="0C0C0C"/>
          <w:kern w:val="2"/>
          <w:sz w:val="32"/>
          <w:szCs w:val="32"/>
          <w:lang w:val="en-US" w:eastAsia="zh-CN" w:bidi="ar-SA"/>
        </w:rPr>
        <w:t>4</w:t>
      </w:r>
      <w:r>
        <w:rPr>
          <w:rFonts w:hint="eastAsia" w:ascii="仿宋" w:hAnsi="仿宋" w:eastAsia="仿宋" w:cs="Arial"/>
          <w:b/>
          <w:bCs/>
          <w:color w:val="0C0C0C"/>
          <w:kern w:val="2"/>
          <w:sz w:val="32"/>
          <w:szCs w:val="32"/>
          <w:lang w:val="en-US" w:eastAsia="zh-CN" w:bidi="ar-SA"/>
        </w:rPr>
        <w:t xml:space="preserve">.车辆违停治理工作成效显著 </w:t>
      </w:r>
      <w:r>
        <w:rPr>
          <w:rFonts w:hint="eastAsia" w:ascii="仿宋" w:hAnsi="仿宋" w:eastAsia="仿宋" w:cs="Arial"/>
          <w:color w:val="0C0C0C"/>
          <w:sz w:val="32"/>
          <w:szCs w:val="32"/>
          <w:lang w:val="en-US" w:eastAsia="zh-CN"/>
        </w:rPr>
        <w:t>长期以来，机动车违规停放不仅造成道路交通安全隐患，也严重影响市容市貌。特别是在学校、农贸市场周边等人流量较大的地方，违停现象尤为突出。一年来，大队组织</w:t>
      </w:r>
      <w:r>
        <w:rPr>
          <w:rFonts w:hint="default" w:ascii="仿宋" w:hAnsi="仿宋" w:eastAsia="仿宋" w:cs="Arial"/>
          <w:color w:val="0C0C0C"/>
          <w:sz w:val="32"/>
          <w:szCs w:val="32"/>
          <w:lang w:val="en-US" w:eastAsia="zh-CN"/>
        </w:rPr>
        <w:t>开展</w:t>
      </w:r>
      <w:r>
        <w:rPr>
          <w:rFonts w:hint="eastAsia" w:ascii="仿宋" w:hAnsi="仿宋" w:eastAsia="仿宋" w:cs="Arial"/>
          <w:color w:val="0C0C0C"/>
          <w:sz w:val="32"/>
          <w:szCs w:val="32"/>
          <w:lang w:val="en-US" w:eastAsia="zh-CN"/>
        </w:rPr>
        <w:t>了</w:t>
      </w:r>
      <w:r>
        <w:rPr>
          <w:rFonts w:hint="default" w:ascii="仿宋" w:hAnsi="仿宋" w:eastAsia="仿宋" w:cs="Arial"/>
          <w:color w:val="0C0C0C"/>
          <w:sz w:val="32"/>
          <w:szCs w:val="32"/>
          <w:lang w:val="en-US" w:eastAsia="zh-CN"/>
        </w:rPr>
        <w:t>一系列专项整治，通过严管重罚</w:t>
      </w:r>
      <w:r>
        <w:rPr>
          <w:rFonts w:hint="eastAsia" w:ascii="仿宋" w:hAnsi="仿宋" w:eastAsia="仿宋" w:cs="Arial"/>
          <w:color w:val="0C0C0C"/>
          <w:sz w:val="32"/>
          <w:szCs w:val="32"/>
          <w:lang w:val="en-US" w:eastAsia="zh-CN"/>
        </w:rPr>
        <w:t>、</w:t>
      </w:r>
      <w:r>
        <w:rPr>
          <w:rFonts w:hint="default" w:ascii="仿宋" w:hAnsi="仿宋" w:eastAsia="仿宋" w:cs="Arial"/>
          <w:color w:val="0C0C0C"/>
          <w:sz w:val="32"/>
          <w:szCs w:val="32"/>
          <w:lang w:val="en-US" w:eastAsia="zh-CN"/>
        </w:rPr>
        <w:t>疏堵结合</w:t>
      </w:r>
      <w:r>
        <w:rPr>
          <w:rFonts w:hint="eastAsia" w:ascii="仿宋" w:hAnsi="仿宋" w:eastAsia="仿宋" w:cs="Arial"/>
          <w:color w:val="0C0C0C"/>
          <w:sz w:val="32"/>
          <w:szCs w:val="32"/>
          <w:lang w:val="en-US" w:eastAsia="zh-CN"/>
        </w:rPr>
        <w:t>有效</w:t>
      </w:r>
      <w:r>
        <w:rPr>
          <w:rFonts w:hint="default" w:ascii="仿宋" w:hAnsi="仿宋" w:eastAsia="仿宋" w:cs="Arial"/>
          <w:color w:val="0C0C0C"/>
          <w:sz w:val="32"/>
          <w:szCs w:val="32"/>
          <w:lang w:val="en-US" w:eastAsia="zh-CN"/>
        </w:rPr>
        <w:t>破解车辆</w:t>
      </w:r>
      <w:r>
        <w:rPr>
          <w:rFonts w:hint="eastAsia" w:ascii="仿宋" w:hAnsi="仿宋" w:eastAsia="仿宋" w:cs="Arial"/>
          <w:color w:val="0C0C0C"/>
          <w:sz w:val="32"/>
          <w:szCs w:val="32"/>
          <w:lang w:val="en-US" w:eastAsia="zh-CN"/>
        </w:rPr>
        <w:t>违停</w:t>
      </w:r>
      <w:r>
        <w:rPr>
          <w:rFonts w:hint="default" w:ascii="仿宋" w:hAnsi="仿宋" w:eastAsia="仿宋" w:cs="Arial"/>
          <w:color w:val="0C0C0C"/>
          <w:sz w:val="32"/>
          <w:szCs w:val="32"/>
          <w:lang w:val="en-US" w:eastAsia="zh-CN"/>
        </w:rPr>
        <w:t>问题，</w:t>
      </w:r>
      <w:r>
        <w:rPr>
          <w:rFonts w:hint="eastAsia" w:ascii="仿宋" w:hAnsi="仿宋" w:eastAsia="仿宋" w:cs="Arial"/>
          <w:color w:val="0C0C0C"/>
          <w:sz w:val="32"/>
          <w:szCs w:val="32"/>
          <w:lang w:val="en-US" w:eastAsia="zh-CN"/>
        </w:rPr>
        <w:t>进一步</w:t>
      </w:r>
      <w:r>
        <w:rPr>
          <w:rFonts w:hint="default" w:ascii="仿宋" w:hAnsi="仿宋" w:eastAsia="仿宋" w:cs="Arial"/>
          <w:color w:val="0C0C0C"/>
          <w:sz w:val="32"/>
          <w:szCs w:val="32"/>
          <w:lang w:val="en-US" w:eastAsia="zh-CN"/>
        </w:rPr>
        <w:t>提升</w:t>
      </w:r>
      <w:r>
        <w:rPr>
          <w:rFonts w:hint="eastAsia" w:ascii="仿宋" w:hAnsi="仿宋" w:eastAsia="仿宋" w:cs="Arial"/>
          <w:color w:val="0C0C0C"/>
          <w:sz w:val="32"/>
          <w:szCs w:val="32"/>
          <w:lang w:val="en-US" w:eastAsia="zh-CN"/>
        </w:rPr>
        <w:t>了</w:t>
      </w:r>
      <w:r>
        <w:rPr>
          <w:rFonts w:hint="default" w:ascii="仿宋" w:hAnsi="仿宋" w:eastAsia="仿宋" w:cs="Arial"/>
          <w:color w:val="0C0C0C"/>
          <w:sz w:val="32"/>
          <w:szCs w:val="32"/>
          <w:lang w:val="en-US" w:eastAsia="zh-CN"/>
        </w:rPr>
        <w:t>市容秩序和环境品质。</w:t>
      </w:r>
      <w:r>
        <w:rPr>
          <w:rFonts w:hint="eastAsia" w:ascii="仿宋" w:hAnsi="仿宋" w:eastAsia="仿宋" w:cs="Arial"/>
          <w:b/>
          <w:bCs/>
          <w:color w:val="0C0C0C"/>
          <w:sz w:val="32"/>
          <w:szCs w:val="32"/>
          <w:lang w:val="en-US" w:eastAsia="zh-CN"/>
        </w:rPr>
        <w:t>一是不断加强停车管理法律宣传。</w:t>
      </w:r>
      <w:r>
        <w:rPr>
          <w:rFonts w:hint="default" w:ascii="仿宋_GB2312" w:hAnsi="宋体" w:eastAsia="仿宋_GB2312" w:cs="仿宋_GB2312"/>
          <w:i w:val="0"/>
          <w:iCs w:val="0"/>
          <w:caps w:val="0"/>
          <w:color w:val="0C0C0C"/>
          <w:spacing w:val="0"/>
          <w:sz w:val="32"/>
          <w:szCs w:val="32"/>
          <w:shd w:val="clear" w:color="auto" w:fill="FFFFFF"/>
        </w:rPr>
        <w:t>通过</w:t>
      </w:r>
      <w:r>
        <w:rPr>
          <w:rFonts w:hint="eastAsia" w:ascii="仿宋_GB2312" w:hAnsi="宋体" w:eastAsia="仿宋_GB2312" w:cs="仿宋_GB2312"/>
          <w:i w:val="0"/>
          <w:iCs w:val="0"/>
          <w:caps w:val="0"/>
          <w:color w:val="0C0C0C"/>
          <w:spacing w:val="0"/>
          <w:sz w:val="32"/>
          <w:szCs w:val="32"/>
          <w:shd w:val="clear" w:color="auto" w:fill="FFFFFF"/>
          <w:lang w:val="en-US" w:eastAsia="zh-CN"/>
        </w:rPr>
        <w:t>举办主题宣传活动、面对面口头宣传等方式</w:t>
      </w:r>
      <w:r>
        <w:rPr>
          <w:rFonts w:hint="default" w:ascii="仿宋_GB2312" w:hAnsi="宋体" w:eastAsia="仿宋_GB2312" w:cs="仿宋_GB2312"/>
          <w:i w:val="0"/>
          <w:iCs w:val="0"/>
          <w:caps w:val="0"/>
          <w:color w:val="0C0C0C"/>
          <w:spacing w:val="0"/>
          <w:sz w:val="32"/>
          <w:szCs w:val="32"/>
          <w:shd w:val="clear" w:color="auto" w:fill="FFFFFF"/>
        </w:rPr>
        <w:t>，</w:t>
      </w:r>
      <w:r>
        <w:rPr>
          <w:rFonts w:hint="eastAsia" w:ascii="仿宋_GB2312" w:hAnsi="宋体" w:eastAsia="仿宋_GB2312" w:cs="仿宋_GB2312"/>
          <w:i w:val="0"/>
          <w:iCs w:val="0"/>
          <w:caps w:val="0"/>
          <w:color w:val="0C0C0C"/>
          <w:spacing w:val="0"/>
          <w:sz w:val="32"/>
          <w:szCs w:val="32"/>
          <w:shd w:val="clear" w:color="auto" w:fill="FFFFFF"/>
          <w:lang w:val="en-US" w:eastAsia="zh-CN"/>
        </w:rPr>
        <w:t>切实</w:t>
      </w:r>
      <w:r>
        <w:rPr>
          <w:rFonts w:hint="default" w:ascii="仿宋_GB2312" w:hAnsi="宋体" w:eastAsia="仿宋_GB2312" w:cs="仿宋_GB2312"/>
          <w:i w:val="0"/>
          <w:iCs w:val="0"/>
          <w:caps w:val="0"/>
          <w:color w:val="0C0C0C"/>
          <w:spacing w:val="0"/>
          <w:sz w:val="32"/>
          <w:szCs w:val="32"/>
          <w:shd w:val="clear" w:color="auto" w:fill="FFFFFF"/>
        </w:rPr>
        <w:t>加强相关法律法规解读，</w:t>
      </w:r>
      <w:r>
        <w:rPr>
          <w:rFonts w:hint="eastAsia" w:ascii="仿宋_GB2312" w:hAnsi="宋体" w:eastAsia="仿宋_GB2312" w:cs="仿宋_GB2312"/>
          <w:i w:val="0"/>
          <w:iCs w:val="0"/>
          <w:caps w:val="0"/>
          <w:color w:val="0C0C0C"/>
          <w:spacing w:val="0"/>
          <w:sz w:val="32"/>
          <w:szCs w:val="32"/>
          <w:shd w:val="clear" w:color="auto" w:fill="FFFFFF"/>
          <w:lang w:val="en-US" w:eastAsia="zh-CN"/>
        </w:rPr>
        <w:t>提醒车主自觉规范停放车辆</w:t>
      </w:r>
      <w:r>
        <w:rPr>
          <w:rFonts w:hint="default" w:ascii="仿宋_GB2312" w:hAnsi="宋体" w:eastAsia="仿宋_GB2312" w:cs="仿宋_GB2312"/>
          <w:i w:val="0"/>
          <w:iCs w:val="0"/>
          <w:caps w:val="0"/>
          <w:color w:val="0C0C0C"/>
          <w:spacing w:val="0"/>
          <w:sz w:val="32"/>
          <w:szCs w:val="32"/>
          <w:shd w:val="clear" w:color="auto" w:fill="FFFFFF"/>
        </w:rPr>
        <w:t>。</w:t>
      </w:r>
      <w:r>
        <w:rPr>
          <w:rFonts w:hint="eastAsia" w:ascii="仿宋" w:hAnsi="仿宋" w:eastAsia="仿宋" w:cs="仿宋"/>
          <w:b/>
          <w:bCs/>
          <w:i w:val="0"/>
          <w:iCs w:val="0"/>
          <w:caps w:val="0"/>
          <w:color w:val="0C0C0C"/>
          <w:spacing w:val="0"/>
          <w:sz w:val="32"/>
          <w:szCs w:val="32"/>
          <w:shd w:val="clear" w:color="auto" w:fill="FFFFFF"/>
          <w:lang w:val="en-US" w:eastAsia="zh-CN"/>
        </w:rPr>
        <w:t>二是常态化开展停车秩序整治。</w:t>
      </w:r>
      <w:r>
        <w:rPr>
          <w:rFonts w:hint="eastAsia" w:ascii="仿宋" w:hAnsi="仿宋" w:eastAsia="仿宋" w:cs="仿宋"/>
          <w:i w:val="0"/>
          <w:iCs w:val="0"/>
          <w:caps w:val="0"/>
          <w:color w:val="0C0C0C"/>
          <w:spacing w:val="0"/>
          <w:kern w:val="0"/>
          <w:sz w:val="32"/>
          <w:szCs w:val="32"/>
          <w:shd w:val="clear" w:color="auto" w:fill="FFFFFF"/>
          <w:lang w:val="en-US" w:eastAsia="zh-CN" w:bidi="ar"/>
        </w:rPr>
        <w:t>执法人员坚持机动巡查和徒步执法相结合的方式，对巡查发现占压盲道或人行道无序停放的车辆张贴温馨提示单，并通过交警平台向车主发送信息，提醒车主及时将车辆驶离；对规定时间内未驶离的，依法进行抄告处罚或予以拖离。3月中旬启动抄牌执法至目前，大队共计</w:t>
      </w:r>
      <w:r>
        <w:rPr>
          <w:rFonts w:hint="eastAsia" w:ascii="仿宋" w:hAnsi="仿宋" w:eastAsia="仿宋" w:cs="仿宋"/>
          <w:color w:val="0C0C0C"/>
          <w:sz w:val="32"/>
          <w:szCs w:val="32"/>
          <w:highlight w:val="none"/>
          <w:lang w:val="en-US" w:eastAsia="zh-CN"/>
        </w:rPr>
        <w:t>下发案件移送单13000余台次，拖移严重违法停车20余台次。</w:t>
      </w:r>
      <w:r>
        <w:rPr>
          <w:rFonts w:hint="eastAsia" w:ascii="仿宋" w:hAnsi="仿宋" w:eastAsia="仿宋" w:cs="仿宋"/>
          <w:b/>
          <w:bCs/>
          <w:color w:val="0C0C0C"/>
          <w:sz w:val="32"/>
          <w:szCs w:val="32"/>
          <w:highlight w:val="none"/>
          <w:lang w:val="en-US" w:eastAsia="zh-CN"/>
        </w:rPr>
        <w:t>三是积极</w:t>
      </w:r>
      <w:r>
        <w:rPr>
          <w:rFonts w:hint="eastAsia" w:ascii="仿宋" w:hAnsi="仿宋" w:eastAsia="仿宋" w:cs="仿宋"/>
          <w:b/>
          <w:bCs/>
          <w:i w:val="0"/>
          <w:iCs w:val="0"/>
          <w:caps w:val="0"/>
          <w:color w:val="0C0C0C"/>
          <w:spacing w:val="0"/>
          <w:kern w:val="0"/>
          <w:sz w:val="32"/>
          <w:szCs w:val="32"/>
          <w:shd w:val="clear" w:color="auto" w:fill="FFFFFF"/>
          <w:lang w:val="en-US" w:eastAsia="zh-CN" w:bidi="ar"/>
        </w:rPr>
        <w:t>推进公共停车设施建设</w:t>
      </w:r>
      <w:r>
        <w:rPr>
          <w:rFonts w:hint="eastAsia" w:ascii="仿宋" w:hAnsi="仿宋" w:eastAsia="仿宋" w:cs="仿宋"/>
          <w:b/>
          <w:bCs/>
          <w:color w:val="0C0C0C"/>
          <w:sz w:val="32"/>
          <w:szCs w:val="32"/>
          <w:highlight w:val="none"/>
          <w:lang w:val="en-US" w:eastAsia="zh-CN"/>
        </w:rPr>
        <w:t>。</w:t>
      </w:r>
      <w:r>
        <w:rPr>
          <w:rFonts w:hint="eastAsia" w:ascii="仿宋" w:hAnsi="仿宋" w:eastAsia="仿宋" w:cs="仿宋"/>
          <w:i w:val="0"/>
          <w:iCs w:val="0"/>
          <w:caps w:val="0"/>
          <w:color w:val="0C0C0C"/>
          <w:spacing w:val="0"/>
          <w:kern w:val="0"/>
          <w:sz w:val="32"/>
          <w:szCs w:val="32"/>
          <w:shd w:val="clear" w:color="auto" w:fill="FFFFFF"/>
          <w:lang w:val="en-US" w:eastAsia="zh-CN" w:bidi="ar"/>
        </w:rPr>
        <w:t>在区城管委的统一谋划下，大队本着规范停放、布局合理、方便市民的原则，结合</w:t>
      </w:r>
      <w:r>
        <w:rPr>
          <w:rFonts w:hint="default" w:ascii="仿宋" w:hAnsi="仿宋" w:eastAsia="仿宋" w:cs="仿宋"/>
          <w:i w:val="0"/>
          <w:iCs w:val="0"/>
          <w:caps w:val="0"/>
          <w:color w:val="0C0C0C"/>
          <w:spacing w:val="0"/>
          <w:kern w:val="0"/>
          <w:sz w:val="32"/>
          <w:szCs w:val="32"/>
          <w:shd w:val="clear" w:color="auto" w:fill="FFFFFF"/>
          <w:lang w:val="en-US" w:eastAsia="zh-CN" w:bidi="ar"/>
        </w:rPr>
        <w:t>道路</w:t>
      </w:r>
      <w:r>
        <w:rPr>
          <w:rFonts w:hint="eastAsia" w:ascii="仿宋" w:hAnsi="仿宋" w:eastAsia="仿宋" w:cs="仿宋"/>
          <w:i w:val="0"/>
          <w:iCs w:val="0"/>
          <w:caps w:val="0"/>
          <w:color w:val="0C0C0C"/>
          <w:spacing w:val="0"/>
          <w:kern w:val="0"/>
          <w:sz w:val="32"/>
          <w:szCs w:val="32"/>
          <w:shd w:val="clear" w:color="auto" w:fill="FFFFFF"/>
          <w:lang w:val="en-US" w:eastAsia="zh-CN" w:bidi="ar"/>
        </w:rPr>
        <w:t>实际</w:t>
      </w:r>
      <w:r>
        <w:rPr>
          <w:rFonts w:hint="default" w:ascii="仿宋" w:hAnsi="仿宋" w:eastAsia="仿宋" w:cs="仿宋"/>
          <w:i w:val="0"/>
          <w:iCs w:val="0"/>
          <w:caps w:val="0"/>
          <w:color w:val="0C0C0C"/>
          <w:spacing w:val="0"/>
          <w:kern w:val="0"/>
          <w:sz w:val="32"/>
          <w:szCs w:val="32"/>
          <w:shd w:val="clear" w:color="auto" w:fill="FFFFFF"/>
          <w:lang w:val="en-US" w:eastAsia="zh-CN" w:bidi="ar"/>
        </w:rPr>
        <w:t>情况，</w:t>
      </w:r>
      <w:r>
        <w:rPr>
          <w:rFonts w:hint="eastAsia" w:ascii="仿宋" w:hAnsi="仿宋" w:eastAsia="仿宋" w:cs="仿宋"/>
          <w:i w:val="0"/>
          <w:iCs w:val="0"/>
          <w:caps w:val="0"/>
          <w:color w:val="0C0C0C"/>
          <w:spacing w:val="0"/>
          <w:kern w:val="0"/>
          <w:sz w:val="32"/>
          <w:szCs w:val="32"/>
          <w:shd w:val="clear" w:color="auto" w:fill="FFFFFF"/>
          <w:lang w:val="en-US" w:eastAsia="zh-CN" w:bidi="ar"/>
        </w:rPr>
        <w:t>共计在建湘北路、冷水铺路等路段施划机动车停车泊位206个，在北港南路、望岳路、巴陵东路等路段施划非机动车停车泊位208个，</w:t>
      </w:r>
      <w:r>
        <w:rPr>
          <w:rFonts w:hint="eastAsia" w:ascii="仿宋" w:hAnsi="仿宋" w:eastAsia="仿宋" w:cs="仿宋"/>
          <w:color w:val="0C0C0C"/>
          <w:sz w:val="32"/>
          <w:szCs w:val="32"/>
          <w:highlight w:val="none"/>
          <w:lang w:val="en-US" w:eastAsia="zh-CN"/>
        </w:rPr>
        <w:t>有效缓解了“停车难”问题，</w:t>
      </w:r>
      <w:r>
        <w:rPr>
          <w:rFonts w:hint="eastAsia" w:ascii="仿宋" w:hAnsi="仿宋" w:eastAsia="仿宋" w:cs="仿宋"/>
          <w:color w:val="0C0C0C"/>
          <w:sz w:val="32"/>
          <w:szCs w:val="32"/>
          <w:lang w:val="en-US" w:eastAsia="zh-CN"/>
        </w:rPr>
        <w:t>为市民营造了良好的出行和居住环境。</w:t>
      </w:r>
    </w:p>
    <w:p>
      <w:pPr>
        <w:keepNext w:val="0"/>
        <w:keepLines w:val="0"/>
        <w:pageBreakBefore w:val="0"/>
        <w:numPr>
          <w:ilvl w:val="0"/>
          <w:numId w:val="0"/>
        </w:numPr>
        <w:kinsoku/>
        <w:overflowPunct/>
        <w:topLinePunct w:val="0"/>
        <w:autoSpaceDE/>
        <w:autoSpaceDN/>
        <w:bidi w:val="0"/>
        <w:adjustRightInd/>
        <w:snapToGrid/>
        <w:spacing w:line="360" w:lineRule="auto"/>
        <w:ind w:left="0" w:leftChars="0" w:firstLine="419" w:firstLineChars="131"/>
        <w:jc w:val="left"/>
        <w:textAlignment w:val="auto"/>
        <w:rPr>
          <w:rFonts w:hint="default"/>
          <w:lang w:val="en-US" w:eastAsia="zh-CN"/>
        </w:rPr>
      </w:pPr>
      <w:r>
        <w:rPr>
          <w:rFonts w:hint="eastAsia" w:ascii="仿宋" w:hAnsi="仿宋" w:eastAsia="仿宋" w:cs="仿宋"/>
          <w:color w:val="0C0C0C"/>
          <w:sz w:val="32"/>
          <w:szCs w:val="32"/>
          <w:lang w:val="en-US" w:eastAsia="zh-CN"/>
        </w:rPr>
        <w:t>5.</w:t>
      </w:r>
      <w:r>
        <w:rPr>
          <w:rFonts w:hint="eastAsia" w:ascii="仿宋" w:hAnsi="仿宋" w:eastAsia="仿宋" w:cs="Arial"/>
          <w:b/>
          <w:bCs/>
          <w:color w:val="0C0C0C"/>
          <w:kern w:val="2"/>
          <w:sz w:val="32"/>
          <w:szCs w:val="32"/>
          <w:lang w:val="en-US" w:eastAsia="zh-CN" w:bidi="ar-SA"/>
        </w:rPr>
        <w:t xml:space="preserve">文明城市建设工作持续深化 </w:t>
      </w:r>
      <w:r>
        <w:rPr>
          <w:rFonts w:hint="eastAsia" w:ascii="仿宋" w:hAnsi="仿宋" w:eastAsia="仿宋" w:cs="仿宋"/>
          <w:i w:val="0"/>
          <w:iCs w:val="0"/>
          <w:caps w:val="0"/>
          <w:color w:val="0C0C0C"/>
          <w:spacing w:val="0"/>
          <w:kern w:val="0"/>
          <w:sz w:val="32"/>
          <w:szCs w:val="32"/>
          <w:shd w:val="clear" w:color="auto" w:fill="FFFFFF"/>
          <w:lang w:val="en-US" w:eastAsia="zh-CN" w:bidi="ar"/>
        </w:rPr>
        <w:t>大队始终坚持以争当深化文明城市建设主力军的站位，举全队之力积极融入迎检、助力迎检、推动迎检，为进一步提升常态化管理水平发挥了重要作用。</w:t>
      </w:r>
      <w:r>
        <w:rPr>
          <w:rFonts w:hint="eastAsia" w:ascii="仿宋" w:hAnsi="仿宋" w:eastAsia="仿宋" w:cs="仿宋"/>
          <w:b/>
          <w:bCs/>
          <w:i w:val="0"/>
          <w:iCs w:val="0"/>
          <w:caps w:val="0"/>
          <w:color w:val="0C0C0C"/>
          <w:spacing w:val="0"/>
          <w:kern w:val="0"/>
          <w:sz w:val="32"/>
          <w:szCs w:val="32"/>
          <w:shd w:val="clear" w:color="auto" w:fill="FFFFFF"/>
          <w:lang w:val="en-US" w:eastAsia="zh-CN" w:bidi="ar"/>
        </w:rPr>
        <w:t>一是凝心聚力，高位推进。</w:t>
      </w:r>
      <w:r>
        <w:rPr>
          <w:rFonts w:hint="eastAsia" w:ascii="仿宋" w:hAnsi="仿宋" w:eastAsia="仿宋" w:cs="仿宋"/>
          <w:i w:val="0"/>
          <w:iCs w:val="0"/>
          <w:caps w:val="0"/>
          <w:color w:val="0C0C0C"/>
          <w:spacing w:val="0"/>
          <w:kern w:val="0"/>
          <w:sz w:val="32"/>
          <w:szCs w:val="32"/>
          <w:shd w:val="clear" w:color="auto" w:fill="FFFFFF"/>
          <w:lang w:val="en-US" w:eastAsia="zh-CN" w:bidi="ar"/>
        </w:rPr>
        <w:t>成立了迎检工作领导小组，出台了迎检工作方案，</w:t>
      </w:r>
      <w:r>
        <w:rPr>
          <w:rFonts w:hint="default" w:ascii="仿宋" w:hAnsi="仿宋" w:eastAsia="仿宋" w:cs="仿宋"/>
          <w:i w:val="0"/>
          <w:iCs w:val="0"/>
          <w:caps w:val="0"/>
          <w:color w:val="0C0C0C"/>
          <w:spacing w:val="0"/>
          <w:kern w:val="0"/>
          <w:sz w:val="32"/>
          <w:szCs w:val="32"/>
          <w:shd w:val="clear" w:color="auto" w:fill="FFFFFF"/>
          <w:lang w:val="en-US" w:eastAsia="zh-CN" w:bidi="ar"/>
        </w:rPr>
        <w:t>按照“谁主管、谁负责”的原则，对目标任务再细化、再分解，做到定人员、定任务、定进度、定时限，</w:t>
      </w:r>
      <w:r>
        <w:rPr>
          <w:rFonts w:hint="eastAsia" w:ascii="仿宋" w:hAnsi="仿宋" w:eastAsia="仿宋" w:cs="仿宋"/>
          <w:i w:val="0"/>
          <w:iCs w:val="0"/>
          <w:caps w:val="0"/>
          <w:color w:val="0C0C0C"/>
          <w:spacing w:val="0"/>
          <w:kern w:val="0"/>
          <w:sz w:val="32"/>
          <w:szCs w:val="32"/>
          <w:shd w:val="clear" w:color="auto" w:fill="FFFFFF"/>
          <w:lang w:val="en-US" w:eastAsia="zh-CN" w:bidi="ar"/>
        </w:rPr>
        <w:t>确保</w:t>
      </w:r>
      <w:r>
        <w:rPr>
          <w:rFonts w:hint="default" w:ascii="仿宋" w:hAnsi="仿宋" w:eastAsia="仿宋" w:cs="仿宋"/>
          <w:i w:val="0"/>
          <w:iCs w:val="0"/>
          <w:caps w:val="0"/>
          <w:color w:val="0C0C0C"/>
          <w:spacing w:val="0"/>
          <w:kern w:val="0"/>
          <w:sz w:val="32"/>
          <w:szCs w:val="32"/>
          <w:shd w:val="clear" w:color="auto" w:fill="FFFFFF"/>
          <w:lang w:val="en-US" w:eastAsia="zh-CN" w:bidi="ar"/>
        </w:rPr>
        <w:t>各项任务落到实处</w:t>
      </w:r>
      <w:r>
        <w:rPr>
          <w:rFonts w:hint="eastAsia" w:ascii="仿宋" w:hAnsi="仿宋" w:eastAsia="仿宋" w:cs="仿宋"/>
          <w:i w:val="0"/>
          <w:iCs w:val="0"/>
          <w:caps w:val="0"/>
          <w:color w:val="0C0C0C"/>
          <w:spacing w:val="0"/>
          <w:kern w:val="0"/>
          <w:sz w:val="32"/>
          <w:szCs w:val="32"/>
          <w:shd w:val="clear" w:color="auto" w:fill="FFFFFF"/>
          <w:lang w:val="en-US" w:eastAsia="zh-CN" w:bidi="ar"/>
        </w:rPr>
        <w:t>。</w:t>
      </w:r>
      <w:r>
        <w:rPr>
          <w:rFonts w:hint="eastAsia" w:ascii="仿宋" w:hAnsi="仿宋" w:eastAsia="仿宋" w:cs="仿宋"/>
          <w:b/>
          <w:bCs/>
          <w:i w:val="0"/>
          <w:iCs w:val="0"/>
          <w:caps w:val="0"/>
          <w:color w:val="0C0C0C"/>
          <w:spacing w:val="0"/>
          <w:kern w:val="0"/>
          <w:sz w:val="32"/>
          <w:szCs w:val="32"/>
          <w:shd w:val="clear" w:color="auto" w:fill="FFFFFF"/>
          <w:lang w:val="en-US" w:eastAsia="zh-CN" w:bidi="ar"/>
        </w:rPr>
        <w:t>二是协作联动，形成合力。</w:t>
      </w:r>
      <w:r>
        <w:rPr>
          <w:rFonts w:hint="eastAsia" w:ascii="仿宋" w:hAnsi="仿宋" w:eastAsia="仿宋" w:cs="仿宋"/>
          <w:i w:val="0"/>
          <w:iCs w:val="0"/>
          <w:caps w:val="0"/>
          <w:color w:val="0C0C0C"/>
          <w:spacing w:val="0"/>
          <w:kern w:val="0"/>
          <w:sz w:val="32"/>
          <w:szCs w:val="32"/>
          <w:shd w:val="clear" w:color="auto" w:fill="FFFFFF"/>
          <w:lang w:val="en-US" w:eastAsia="zh-CN" w:bidi="ar"/>
        </w:rPr>
        <w:t>积极走访协调相关职能部门、产权单位、街办、社区，针对市政公用设施缺失、市容环境短板等问题，不断加强协作配合，齐抓共管、优势互补，有效弥补了城市管理机制不顺、强制措施不足等问题。</w:t>
      </w:r>
      <w:r>
        <w:rPr>
          <w:rFonts w:hint="eastAsia" w:ascii="仿宋" w:hAnsi="仿宋" w:eastAsia="仿宋" w:cs="仿宋"/>
          <w:b/>
          <w:bCs/>
          <w:i w:val="0"/>
          <w:iCs w:val="0"/>
          <w:caps w:val="0"/>
          <w:color w:val="0C0C0C"/>
          <w:spacing w:val="0"/>
          <w:kern w:val="0"/>
          <w:sz w:val="32"/>
          <w:szCs w:val="32"/>
          <w:shd w:val="clear" w:color="auto" w:fill="FFFFFF"/>
          <w:lang w:val="en-US" w:eastAsia="zh-CN" w:bidi="ar"/>
        </w:rPr>
        <w:t>三是强化督查，落实整改。</w:t>
      </w:r>
      <w:r>
        <w:rPr>
          <w:rFonts w:hint="eastAsia" w:ascii="仿宋" w:hAnsi="仿宋" w:eastAsia="仿宋" w:cs="仿宋"/>
          <w:i w:val="0"/>
          <w:iCs w:val="0"/>
          <w:caps w:val="0"/>
          <w:color w:val="0C0C0C"/>
          <w:spacing w:val="0"/>
          <w:kern w:val="0"/>
          <w:sz w:val="32"/>
          <w:szCs w:val="32"/>
          <w:shd w:val="clear" w:color="auto" w:fill="FFFFFF"/>
          <w:lang w:val="en-US" w:eastAsia="zh-CN" w:bidi="ar"/>
        </w:rPr>
        <w:t>由大队分管领导牵头成立专项督查组，针对市、区两级考评机构下发的问题清单，实行全方位的动态督查和“挂销号”管理，要求责任中队对照测评标准，对相关问题立行立改，并对各项工作成效和进展情况进行调度，及时解决整改过程中存在的难点问题。</w:t>
      </w:r>
      <w:r>
        <w:rPr>
          <w:rFonts w:hint="eastAsia" w:ascii="仿宋" w:hAnsi="仿宋" w:eastAsia="仿宋" w:cs="Arial"/>
          <w:color w:val="0C0C0C"/>
          <w:sz w:val="32"/>
          <w:szCs w:val="32"/>
          <w:lang w:val="en-US" w:eastAsia="zh-CN"/>
        </w:rPr>
        <w:t>在今年两次文明城市指数测评迎检工作中，大队共</w:t>
      </w:r>
      <w:r>
        <w:rPr>
          <w:rFonts w:hint="eastAsia" w:ascii="仿宋" w:hAnsi="仿宋" w:eastAsia="仿宋" w:cs="Arial"/>
          <w:color w:val="0C0C0C"/>
          <w:sz w:val="32"/>
          <w:szCs w:val="32"/>
        </w:rPr>
        <w:t>协调</w:t>
      </w:r>
      <w:r>
        <w:rPr>
          <w:rFonts w:hint="eastAsia" w:ascii="仿宋" w:hAnsi="仿宋" w:eastAsia="仿宋" w:cs="Arial"/>
          <w:color w:val="0C0C0C"/>
          <w:sz w:val="32"/>
          <w:szCs w:val="32"/>
          <w:lang w:val="en-US" w:eastAsia="zh-CN"/>
        </w:rPr>
        <w:t>260</w:t>
      </w:r>
      <w:r>
        <w:rPr>
          <w:rFonts w:hint="eastAsia" w:ascii="仿宋" w:hAnsi="仿宋" w:eastAsia="仿宋" w:cs="Arial"/>
          <w:color w:val="0C0C0C"/>
          <w:sz w:val="32"/>
          <w:szCs w:val="32"/>
        </w:rPr>
        <w:t>余家产权单位或临街门店播放公益广告，开展市容秩序</w:t>
      </w:r>
      <w:r>
        <w:rPr>
          <w:rFonts w:hint="eastAsia" w:ascii="仿宋" w:hAnsi="仿宋" w:eastAsia="仿宋" w:cs="Arial"/>
          <w:color w:val="0C0C0C"/>
          <w:sz w:val="32"/>
          <w:szCs w:val="32"/>
          <w:lang w:val="en-US" w:eastAsia="zh-CN"/>
        </w:rPr>
        <w:t>综合</w:t>
      </w:r>
      <w:r>
        <w:rPr>
          <w:rFonts w:hint="eastAsia" w:ascii="仿宋" w:hAnsi="仿宋" w:eastAsia="仿宋" w:cs="Arial"/>
          <w:color w:val="0C0C0C"/>
          <w:sz w:val="32"/>
          <w:szCs w:val="32"/>
        </w:rPr>
        <w:t>整治行动</w:t>
      </w:r>
      <w:r>
        <w:rPr>
          <w:rFonts w:hint="eastAsia" w:ascii="仿宋" w:hAnsi="仿宋" w:eastAsia="仿宋" w:cs="Arial"/>
          <w:color w:val="0C0C0C"/>
          <w:sz w:val="32"/>
          <w:szCs w:val="32"/>
          <w:lang w:val="en-US" w:eastAsia="zh-CN"/>
        </w:rPr>
        <w:t>12次，</w:t>
      </w:r>
      <w:r>
        <w:rPr>
          <w:rFonts w:hint="eastAsia" w:ascii="仿宋" w:hAnsi="仿宋" w:eastAsia="仿宋" w:cs="Arial"/>
          <w:color w:val="0C0C0C"/>
          <w:sz w:val="32"/>
          <w:szCs w:val="32"/>
        </w:rPr>
        <w:t>清理无人受理</w:t>
      </w:r>
      <w:r>
        <w:rPr>
          <w:rFonts w:hint="eastAsia" w:ascii="仿宋" w:hAnsi="仿宋" w:eastAsia="仿宋" w:cs="Arial"/>
          <w:color w:val="0C0C0C"/>
          <w:sz w:val="32"/>
          <w:szCs w:val="32"/>
          <w:lang w:val="en-US" w:eastAsia="zh-CN"/>
        </w:rPr>
        <w:t>建筑垃圾、杂物8</w:t>
      </w:r>
      <w:r>
        <w:rPr>
          <w:rFonts w:hint="eastAsia" w:ascii="仿宋" w:hAnsi="仿宋" w:eastAsia="仿宋" w:cs="Arial"/>
          <w:color w:val="0C0C0C"/>
          <w:sz w:val="32"/>
          <w:szCs w:val="32"/>
        </w:rPr>
        <w:t>车，清除乱张贴</w:t>
      </w:r>
      <w:r>
        <w:rPr>
          <w:rFonts w:hint="eastAsia" w:ascii="仿宋" w:hAnsi="仿宋" w:eastAsia="仿宋" w:cs="Arial"/>
          <w:color w:val="0C0C0C"/>
          <w:sz w:val="32"/>
          <w:szCs w:val="32"/>
          <w:lang w:val="en-US" w:eastAsia="zh-CN"/>
        </w:rPr>
        <w:t>62</w:t>
      </w:r>
      <w:r>
        <w:rPr>
          <w:rFonts w:hint="eastAsia" w:ascii="仿宋" w:hAnsi="仿宋" w:eastAsia="仿宋" w:cs="Arial"/>
          <w:color w:val="0C0C0C"/>
          <w:sz w:val="32"/>
          <w:szCs w:val="32"/>
        </w:rPr>
        <w:t>0余处，拆除违规条幅、破旧喷绘</w:t>
      </w:r>
      <w:r>
        <w:rPr>
          <w:rFonts w:hint="eastAsia" w:ascii="仿宋" w:hAnsi="仿宋" w:eastAsia="仿宋" w:cs="Arial"/>
          <w:color w:val="0C0C0C"/>
          <w:sz w:val="32"/>
          <w:szCs w:val="32"/>
          <w:lang w:val="en-US" w:eastAsia="zh-CN"/>
        </w:rPr>
        <w:t>40</w:t>
      </w:r>
      <w:r>
        <w:rPr>
          <w:rFonts w:hint="eastAsia" w:ascii="仿宋" w:hAnsi="仿宋" w:eastAsia="仿宋" w:cs="Arial"/>
          <w:color w:val="0C0C0C"/>
          <w:sz w:val="32"/>
          <w:szCs w:val="32"/>
        </w:rPr>
        <w:t>多处</w:t>
      </w:r>
      <w:r>
        <w:rPr>
          <w:rFonts w:hint="eastAsia" w:ascii="仿宋" w:hAnsi="仿宋" w:eastAsia="仿宋" w:cs="Arial"/>
          <w:color w:val="0C0C0C"/>
          <w:sz w:val="32"/>
          <w:szCs w:val="32"/>
          <w:lang w:eastAsia="zh-CN"/>
        </w:rPr>
        <w:t>，</w:t>
      </w:r>
      <w:r>
        <w:rPr>
          <w:rFonts w:hint="eastAsia" w:ascii="仿宋" w:hAnsi="仿宋" w:eastAsia="仿宋" w:cs="Arial"/>
          <w:color w:val="0C0C0C"/>
          <w:sz w:val="32"/>
          <w:szCs w:val="32"/>
          <w:lang w:val="en-US" w:eastAsia="zh-CN"/>
        </w:rPr>
        <w:t>施划停车泊位400余个，劝离和抄告违停车辆1600余台次，拖离“僵尸车”和严重违停车辆22台，及时妥善处置整改任务30余起，确保了迎检任务的顺利完成</w:t>
      </w:r>
      <w:r>
        <w:rPr>
          <w:rFonts w:hint="eastAsia" w:ascii="仿宋" w:hAnsi="仿宋" w:eastAsia="仿宋" w:cs="Arial"/>
          <w:color w:val="0C0C0C"/>
          <w:sz w:val="32"/>
          <w:szCs w:val="32"/>
        </w:rPr>
        <w:t>。</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1.部门预算编制不够精准，年初编制部门预算时编制考虑不全面，今后应综合考虑单位公用经费、项目经费情况，以收定支、统筹兼顾，确保单位正常运转。</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2.增收节支“开源节流”做得不够，开创性的计财措施乏善可陈，值得研究和加强。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3.部门绩效管理不够科学。有的预算整体支出绩效目标与产出的数量指标、质量指标乏对应性，关联性和可操作性不强。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pPr>
        <w:pStyle w:val="2"/>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default" w:ascii="仿宋" w:hAnsi="仿宋" w:eastAsia="仿宋" w:cs="仿宋"/>
          <w:b w:val="0"/>
          <w:bCs w:val="0"/>
          <w:sz w:val="32"/>
          <w:szCs w:val="32"/>
          <w:lang w:val="en-US" w:eastAsia="zh-CN"/>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1.细化预算编制工作，认真做好预算的编制。进一步加强单位内部机构各办公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积极探索在新形势下部门预算、国库集中支付等财政支出改革的特点，不断更新管理思路，在规范财务收支和控制经费增长上，创新管理手段，用新思路、新方法，改进完善财务管理方法。</w:t>
      </w:r>
    </w:p>
    <w:p>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default"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2.在日常预算管理过程中，进一步加强预算支出的审核、跟踪及预算执法情况分析。结合实际情况，完整、准确地披露相关财务信息，尽可能地做到决算与预算相衔接。</w:t>
      </w:r>
    </w:p>
    <w:p>
      <w:pPr>
        <w:pStyle w:val="2"/>
        <w:keepNext w:val="0"/>
        <w:keepLines w:val="0"/>
        <w:pageBreakBefore w:val="0"/>
        <w:widowControl w:val="0"/>
        <w:kinsoku/>
        <w:wordWrap/>
        <w:overflowPunct/>
        <w:topLinePunct w:val="0"/>
        <w:autoSpaceDE/>
        <w:autoSpaceDN/>
        <w:bidi w:val="0"/>
        <w:adjustRightInd/>
        <w:snapToGrid/>
        <w:spacing w:line="240" w:lineRule="auto"/>
        <w:ind w:firstLine="64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3.科学执行绩效预算管理制度。一是：进一步优化绩效评价指标体系。部门整体绩效评价工作是一项长期的工作，专业性强，工作量在大，建议财政有关部门进一步加强开展相关的业务培训，完善绩效评价方法和评价指标体系，组织开展部门之间、单位之间的经验交流，多注重督促指导推进绩效评价的开展。二是：加强对绩效评价结果的运用。推动相关制度建设，逐步建立以绩效为导向的预算编制模式，将绩效评价从事后评价向预算编制、审查批准、执行过程等前置环节延伸，建立以绩效为导向的编制模式，把绩效考评的结果作为编制部门预算的重要依据。</w:t>
      </w:r>
    </w:p>
    <w:p>
      <w:pPr>
        <w:pStyle w:val="2"/>
        <w:keepNext w:val="0"/>
        <w:keepLines w:val="0"/>
        <w:pageBreakBefore w:val="0"/>
        <w:widowControl w:val="0"/>
        <w:kinsoku/>
        <w:wordWrap/>
        <w:overflowPunct/>
        <w:topLinePunct w:val="0"/>
        <w:autoSpaceDE/>
        <w:autoSpaceDN/>
        <w:bidi w:val="0"/>
        <w:adjustRightInd/>
        <w:snapToGrid/>
        <w:spacing w:line="240" w:lineRule="auto"/>
        <w:ind w:firstLine="64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根据预算绩效管理要求，本单位认真贯彻国家和省、市、区关于预算绩效管理工作的有关要求，确定部门预算项目和预算额度，清晰描述预算项目开支范围和内容，确定预算项目和绩效目标、绩效指标和评价标准，为预算绩效控制、绩效分析、绩效评价打下好的基础。</w:t>
      </w:r>
    </w:p>
    <w:p>
      <w:pPr>
        <w:keepNext w:val="0"/>
        <w:keepLines w:val="0"/>
        <w:pageBreakBefore w:val="0"/>
        <w:widowControl w:val="0"/>
        <w:kinsoku/>
        <w:wordWrap/>
        <w:overflowPunct/>
        <w:topLinePunct w:val="0"/>
        <w:autoSpaceDE/>
        <w:autoSpaceDN/>
        <w:bidi w:val="0"/>
        <w:adjustRightInd/>
        <w:snapToGrid/>
        <w:ind w:firstLine="320" w:firstLineChars="1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2.本单位按规定在政府门户网站公开绩效自评的相关信息，数据真实、完整、准确。</w:t>
      </w:r>
    </w:p>
    <w:p>
      <w:pPr>
        <w:pStyle w:val="2"/>
        <w:ind w:firstLine="640" w:firstLineChars="200"/>
        <w:jc w:val="left"/>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十、其他需要说明的情况</w:t>
      </w:r>
    </w:p>
    <w:p>
      <w:pPr>
        <w:pStyle w:val="2"/>
        <w:ind w:left="0" w:leftChars="0" w:firstLine="640" w:firstLineChars="200"/>
        <w:jc w:val="left"/>
        <w:rPr>
          <w:rFonts w:hint="default" w:eastAsia="仿宋"/>
          <w:lang w:val="en-US" w:eastAsia="zh-CN"/>
        </w:rPr>
        <w:sectPr>
          <w:footerReference r:id="rId3" w:type="default"/>
          <w:pgSz w:w="11906" w:h="16838"/>
          <w:pgMar w:top="567" w:right="850" w:bottom="567" w:left="850" w:header="851" w:footer="992" w:gutter="0"/>
          <w:pgNumType w:fmt="decimal"/>
          <w:cols w:space="0" w:num="1"/>
          <w:rtlGutter w:val="0"/>
          <w:docGrid w:type="lines" w:linePitch="312" w:charSpace="0"/>
        </w:sectPr>
      </w:pPr>
      <w:r>
        <w:rPr>
          <w:rFonts w:hint="eastAsia" w:ascii="仿宋" w:hAnsi="仿宋" w:eastAsia="仿宋" w:cs="仿宋"/>
          <w:kern w:val="0"/>
          <w:sz w:val="32"/>
          <w:szCs w:val="32"/>
        </w:rPr>
        <w:t>截至</w:t>
      </w:r>
      <w:r>
        <w:rPr>
          <w:rFonts w:hint="eastAsia" w:ascii="仿宋" w:hAnsi="仿宋" w:eastAsia="仿宋" w:cs="仿宋"/>
          <w:kern w:val="0"/>
          <w:sz w:val="32"/>
          <w:szCs w:val="32"/>
          <w:lang w:val="en-US" w:eastAsia="zh-CN"/>
        </w:rPr>
        <w:t>2022</w:t>
      </w:r>
      <w:r>
        <w:rPr>
          <w:rFonts w:hint="eastAsia" w:ascii="仿宋" w:hAnsi="仿宋" w:eastAsia="仿宋" w:cs="仿宋"/>
          <w:kern w:val="0"/>
          <w:sz w:val="32"/>
          <w:szCs w:val="32"/>
        </w:rPr>
        <w:t>年底，本单位固定资产原值合计</w:t>
      </w:r>
      <w:r>
        <w:rPr>
          <w:rFonts w:hint="eastAsia" w:ascii="仿宋" w:hAnsi="仿宋" w:eastAsia="仿宋" w:cs="仿宋"/>
          <w:kern w:val="0"/>
          <w:sz w:val="32"/>
          <w:szCs w:val="32"/>
          <w:lang w:val="en-US" w:eastAsia="zh-CN"/>
        </w:rPr>
        <w:t>49.88</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均为通用设备，其中：</w:t>
      </w:r>
      <w:r>
        <w:rPr>
          <w:rFonts w:hint="eastAsia" w:ascii="仿宋" w:hAnsi="仿宋" w:eastAsia="仿宋" w:cs="仿宋"/>
          <w:kern w:val="0"/>
          <w:sz w:val="32"/>
          <w:szCs w:val="32"/>
        </w:rPr>
        <w:t>一般公务用车</w:t>
      </w:r>
      <w:r>
        <w:rPr>
          <w:rFonts w:hint="eastAsia" w:ascii="仿宋" w:hAnsi="仿宋" w:eastAsia="仿宋" w:cs="仿宋"/>
          <w:kern w:val="0"/>
          <w:sz w:val="32"/>
          <w:szCs w:val="32"/>
          <w:lang w:val="en-US" w:eastAsia="zh-CN"/>
        </w:rPr>
        <w:t>1</w:t>
      </w:r>
      <w:r>
        <w:rPr>
          <w:rFonts w:hint="eastAsia" w:ascii="仿宋" w:hAnsi="仿宋" w:eastAsia="仿宋" w:cs="仿宋"/>
          <w:kern w:val="0"/>
          <w:sz w:val="32"/>
          <w:szCs w:val="32"/>
        </w:rPr>
        <w:t>辆，</w:t>
      </w:r>
      <w:r>
        <w:rPr>
          <w:rFonts w:hint="eastAsia" w:ascii="仿宋" w:hAnsi="仿宋" w:eastAsia="仿宋" w:cs="仿宋"/>
          <w:kern w:val="0"/>
          <w:sz w:val="32"/>
          <w:szCs w:val="32"/>
          <w:lang w:val="en-US" w:eastAsia="zh-CN"/>
        </w:rPr>
        <w:t>执法巡逻车4</w:t>
      </w:r>
      <w:r>
        <w:rPr>
          <w:rFonts w:hint="eastAsia" w:ascii="仿宋" w:hAnsi="仿宋" w:eastAsia="仿宋" w:cs="仿宋"/>
          <w:kern w:val="0"/>
          <w:sz w:val="32"/>
          <w:szCs w:val="32"/>
        </w:rPr>
        <w:t>辆</w:t>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便携式电脑1台，组装电脑2台，打印机1台。</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附件4-1</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10584" w:type="dxa"/>
        <w:tblInd w:w="44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8"/>
        <w:gridCol w:w="1083"/>
        <w:gridCol w:w="1368"/>
        <w:gridCol w:w="1775"/>
        <w:gridCol w:w="1124"/>
        <w:gridCol w:w="1100"/>
        <w:gridCol w:w="1047"/>
        <w:gridCol w:w="802"/>
        <w:gridCol w:w="16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项目支出名称</w:t>
            </w:r>
          </w:p>
        </w:tc>
        <w:tc>
          <w:tcPr>
            <w:tcW w:w="9916"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业务工作经费---城市管理综合执法工作经费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668"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主管部门</w:t>
            </w:r>
          </w:p>
        </w:tc>
        <w:tc>
          <w:tcPr>
            <w:tcW w:w="535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岳阳市城市管理综合行政执法支队直属二大队</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实施单位</w:t>
            </w:r>
          </w:p>
        </w:tc>
        <w:tc>
          <w:tcPr>
            <w:tcW w:w="3466"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岳阳市城市管理综合行政执法支队直属二大队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(万元)</w:t>
            </w:r>
          </w:p>
        </w:tc>
        <w:tc>
          <w:tcPr>
            <w:tcW w:w="245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预算数</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预算数</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执行数</w:t>
            </w:r>
          </w:p>
        </w:tc>
        <w:tc>
          <w:tcPr>
            <w:tcW w:w="104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执行率</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245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年度资金总额</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422.43</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422.43</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422.43</w:t>
            </w:r>
          </w:p>
        </w:tc>
        <w:tc>
          <w:tcPr>
            <w:tcW w:w="1047"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2"/>
                <w:sz w:val="21"/>
                <w:szCs w:val="21"/>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245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其中：当年财政拨款</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422.43</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422.43</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422.43</w:t>
            </w:r>
          </w:p>
        </w:tc>
        <w:tc>
          <w:tcPr>
            <w:tcW w:w="1047"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position w:val="-2"/>
                <w:sz w:val="21"/>
                <w:szCs w:val="21"/>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245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上年结转资金</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04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245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其他资金</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04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trPr>
        <w:tc>
          <w:tcPr>
            <w:tcW w:w="668"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w:t>
            </w:r>
          </w:p>
        </w:tc>
        <w:tc>
          <w:tcPr>
            <w:tcW w:w="535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预期目标</w:t>
            </w:r>
          </w:p>
        </w:tc>
        <w:tc>
          <w:tcPr>
            <w:tcW w:w="456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 w:hRule="atLeast"/>
        </w:trPr>
        <w:tc>
          <w:tcPr>
            <w:tcW w:w="668"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535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firstLine="360" w:firstLineChars="200"/>
              <w:jc w:val="left"/>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全年聘用协管人员62人，增强了综合执法力量，协助执法队员完成大量工作。三班制执勤管理24小时无缝对接，牛皮癣治理是针对本大队66条路牛皮癣全方位、立体清除。</w:t>
            </w:r>
          </w:p>
        </w:tc>
        <w:tc>
          <w:tcPr>
            <w:tcW w:w="456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firstLine="360" w:firstLineChars="200"/>
              <w:jc w:val="left"/>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根据《关于进一步规范执法行为的意见》等文件精神，结合本单位实际情况实行24小时无缝对接管理，制定了协管员管理制度。增强综合执法力量，协助执法队员完成大量工作，协管员是执法管理工作中不可缺少的力量。对本大队范围内66条路的牛皮癣采用政府购买服务，以大包干形式承包，大队分路段情况进行考评，促使中心城区“牛皮癣”清理服务取得明显效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21"/>
                <w:szCs w:val="21"/>
                <w14:textFill>
                  <w14:solidFill>
                    <w14:schemeClr w14:val="tx1"/>
                  </w14:solidFill>
                </w14:textFill>
              </w:rPr>
              <w:t>标</w:t>
            </w:r>
          </w:p>
        </w:tc>
        <w:tc>
          <w:tcPr>
            <w:tcW w:w="108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一级指标</w:t>
            </w:r>
          </w:p>
        </w:tc>
        <w:tc>
          <w:tcPr>
            <w:tcW w:w="13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二级指标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三级指标</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年度指标值</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实际完成值</w:t>
            </w:r>
          </w:p>
        </w:tc>
        <w:tc>
          <w:tcPr>
            <w:tcW w:w="104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得分</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14:textFill>
                  <w14:solidFill>
                    <w14:schemeClr w14:val="tx1"/>
                  </w14:solidFill>
                </w14:textFill>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(50分)</w:t>
            </w:r>
          </w:p>
        </w:tc>
        <w:tc>
          <w:tcPr>
            <w:tcW w:w="1368"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数量指标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协管员招录</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62人</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62人</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vMerge w:val="continue"/>
            <w:noWrap w:val="0"/>
            <w:vAlign w:val="center"/>
          </w:tcPr>
          <w:p>
            <w:pPr>
              <w:jc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c>
          <w:tcPr>
            <w:tcW w:w="1775"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三班制考评时效</w:t>
            </w:r>
          </w:p>
        </w:tc>
        <w:tc>
          <w:tcPr>
            <w:tcW w:w="112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24小时</w:t>
            </w:r>
          </w:p>
        </w:tc>
        <w:tc>
          <w:tcPr>
            <w:tcW w:w="1100"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24小时</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vMerge w:val="continue"/>
            <w:noWrap w:val="0"/>
            <w:vAlign w:val="center"/>
          </w:tcPr>
          <w:p>
            <w:pPr>
              <w:jc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c>
          <w:tcPr>
            <w:tcW w:w="1775"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牛皮癣治理路段</w:t>
            </w:r>
          </w:p>
        </w:tc>
        <w:tc>
          <w:tcPr>
            <w:tcW w:w="112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66条路</w:t>
            </w:r>
          </w:p>
        </w:tc>
        <w:tc>
          <w:tcPr>
            <w:tcW w:w="1100"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66条路</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vMerge w:val="continue"/>
            <w:noWrap w:val="0"/>
            <w:vAlign w:val="center"/>
          </w:tcPr>
          <w:p>
            <w:pPr>
              <w:jc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c>
          <w:tcPr>
            <w:tcW w:w="1775"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城市综合整治时间</w:t>
            </w:r>
          </w:p>
        </w:tc>
        <w:tc>
          <w:tcPr>
            <w:tcW w:w="112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2022年度</w:t>
            </w:r>
          </w:p>
        </w:tc>
        <w:tc>
          <w:tcPr>
            <w:tcW w:w="1100"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2022年度</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质量指标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城市市容秩序改善天数</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365天</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365天</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10</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10</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时效指标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目标完成时间</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2022年度</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2022年度</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10</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10</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成本指标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总成本控制</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不超过预算金额</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422.43万元</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10</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10</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(30分)</w:t>
            </w:r>
          </w:p>
        </w:tc>
        <w:tc>
          <w:tcPr>
            <w:tcW w:w="136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益指标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为城市经济发展提供保障</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提高</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提高</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8</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8</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社会效益指标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维护文明城市形象</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提高</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提高</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7</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7</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生态效益指标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维护市容市貌，保障市民生活环境。</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提高</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提高</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7</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7</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6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可持续影响指标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深化全国文明城市、国家卫生城市、国家园林城市建设，顺利保牌。</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提高</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提高</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8</w:t>
            </w:r>
          </w:p>
        </w:tc>
        <w:tc>
          <w:tcPr>
            <w:tcW w:w="802"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7</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注重宣传、正面引领，坚持实绩与实效“两不误”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68"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83"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满意度指标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(10分)</w:t>
            </w:r>
          </w:p>
        </w:tc>
        <w:tc>
          <w:tcPr>
            <w:tcW w:w="136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服务对象满意度指标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社会公众满意度</w:t>
            </w:r>
          </w:p>
        </w:tc>
        <w:tc>
          <w:tcPr>
            <w:tcW w:w="112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95%</w:t>
            </w:r>
          </w:p>
        </w:tc>
        <w:tc>
          <w:tcPr>
            <w:tcW w:w="11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90%</w:t>
            </w:r>
          </w:p>
        </w:tc>
        <w:tc>
          <w:tcPr>
            <w:tcW w:w="1047"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10</w:t>
            </w:r>
          </w:p>
        </w:tc>
        <w:tc>
          <w:tcPr>
            <w:tcW w:w="802"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9</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pPr>
            <w:r>
              <w:rPr>
                <w:rFonts w:hint="eastAsia" w:ascii="宋体" w:hAnsi="宋体" w:eastAsia="宋体" w:cs="宋体"/>
                <w:color w:val="000000" w:themeColor="text1"/>
                <w:spacing w:val="0"/>
                <w:kern w:val="2"/>
                <w:sz w:val="18"/>
                <w:szCs w:val="18"/>
                <w:lang w:val="en-US" w:eastAsia="zh-CN" w:bidi="ar-SA"/>
                <w14:textFill>
                  <w14:solidFill>
                    <w14:schemeClr w14:val="tx1"/>
                  </w14:solidFill>
                </w14:textFill>
              </w:rPr>
              <w:t>树立城管新形象，宣传社会正能量。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 w:hRule="atLeast"/>
        </w:trPr>
        <w:tc>
          <w:tcPr>
            <w:tcW w:w="7118"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left"/>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总分</w:t>
            </w:r>
          </w:p>
        </w:tc>
        <w:tc>
          <w:tcPr>
            <w:tcW w:w="1047"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98</w:t>
            </w:r>
          </w:p>
        </w:tc>
        <w:tc>
          <w:tcPr>
            <w:tcW w:w="161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p>
        </w:tc>
      </w:tr>
    </w:tbl>
    <w:p>
      <w:pPr>
        <w:spacing w:before="75" w:line="230" w:lineRule="auto"/>
        <w:ind w:firstLine="588" w:firstLineChars="300"/>
        <w:jc w:val="left"/>
        <w:rPr>
          <w:rFonts w:hint="eastAsia" w:ascii="宋体" w:hAnsi="宋体" w:eastAsia="宋体" w:cs="宋体"/>
          <w:color w:val="000000" w:themeColor="text1"/>
          <w:spacing w:val="0"/>
          <w:position w:val="0"/>
          <w:sz w:val="24"/>
          <w:szCs w:val="24"/>
          <w:lang w:val="en-US" w:eastAsia="zh-CN"/>
          <w14:textFill>
            <w14:solidFill>
              <w14:schemeClr w14:val="tx1"/>
            </w14:solidFill>
          </w14:textFill>
        </w:rPr>
        <w:sectPr>
          <w:pgSz w:w="11906" w:h="16838"/>
          <w:pgMar w:top="170" w:right="113" w:bottom="170" w:left="113" w:header="851" w:footer="992" w:gutter="0"/>
          <w:pgNumType w:fmt="decimal"/>
          <w:cols w:space="0" w:num="1"/>
          <w:rtlGutter w:val="0"/>
          <w:docGrid w:type="lines" w:linePitch="312" w:charSpace="0"/>
        </w:sectPr>
      </w:pPr>
      <w:r>
        <w:rPr>
          <w:rFonts w:hint="eastAsia" w:ascii="宋体" w:hAnsi="宋体" w:eastAsia="宋体" w:cs="宋体"/>
          <w:color w:val="000000" w:themeColor="text1"/>
          <w:spacing w:val="-22"/>
          <w:sz w:val="24"/>
          <w:szCs w:val="24"/>
          <w14:textFill>
            <w14:solidFill>
              <w14:schemeClr w14:val="tx1"/>
            </w14:solidFill>
          </w14:textFill>
        </w:rPr>
        <w:t>填表人：</w:t>
      </w:r>
      <w:r>
        <w:rPr>
          <w:rFonts w:hint="eastAsia" w:ascii="宋体" w:hAnsi="宋体" w:eastAsia="宋体" w:cs="宋体"/>
          <w:color w:val="000000" w:themeColor="text1"/>
          <w:spacing w:val="-22"/>
          <w:sz w:val="24"/>
          <w:szCs w:val="24"/>
          <w:lang w:val="en-US" w:eastAsia="zh-CN"/>
          <w14:textFill>
            <w14:solidFill>
              <w14:schemeClr w14:val="tx1"/>
            </w14:solidFill>
          </w14:textFill>
        </w:rPr>
        <w:t>颜烨佳</w:t>
      </w:r>
      <w:r>
        <w:rPr>
          <w:rFonts w:hint="eastAsia" w:ascii="宋体" w:hAnsi="宋体" w:eastAsia="宋体" w:cs="宋体"/>
          <w:color w:val="000000" w:themeColor="text1"/>
          <w:spacing w:val="9"/>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 xml:space="preserve">  </w:t>
      </w:r>
      <w:r>
        <w:rPr>
          <w:rFonts w:hint="eastAsia" w:ascii="宋体" w:hAnsi="宋体" w:eastAsia="宋体" w:cs="宋体"/>
          <w:color w:val="000000" w:themeColor="text1"/>
          <w:spacing w:val="-22"/>
          <w:sz w:val="24"/>
          <w:szCs w:val="24"/>
          <w14:textFill>
            <w14:solidFill>
              <w14:schemeClr w14:val="tx1"/>
            </w14:solidFill>
          </w14:textFill>
        </w:rPr>
        <w:t>联系电话：</w:t>
      </w:r>
      <w:r>
        <w:rPr>
          <w:rFonts w:hint="eastAsia" w:ascii="宋体" w:hAnsi="宋体" w:eastAsia="宋体" w:cs="宋体"/>
          <w:color w:val="000000" w:themeColor="text1"/>
          <w:spacing w:val="2"/>
          <w:sz w:val="24"/>
          <w:szCs w:val="24"/>
          <w:lang w:val="en-US" w:eastAsia="zh-CN"/>
          <w14:textFill>
            <w14:solidFill>
              <w14:schemeClr w14:val="tx1"/>
            </w14:solidFill>
          </w14:textFill>
        </w:rPr>
        <w:t>13873002286</w:t>
      </w:r>
      <w:r>
        <w:rPr>
          <w:rFonts w:hint="eastAsia" w:ascii="宋体" w:hAnsi="宋体" w:eastAsia="宋体" w:cs="宋体"/>
          <w:color w:val="000000" w:themeColor="text1"/>
          <w:spacing w:val="2"/>
          <w:sz w:val="24"/>
          <w:szCs w:val="24"/>
          <w14:textFill>
            <w14:solidFill>
              <w14:schemeClr w14:val="tx1"/>
            </w14:solidFill>
          </w14:textFill>
        </w:rPr>
        <w:t xml:space="preserve">     </w:t>
      </w:r>
      <w:r>
        <w:rPr>
          <w:rFonts w:hint="eastAsia" w:ascii="宋体" w:hAnsi="宋体" w:eastAsia="宋体" w:cs="宋体"/>
          <w:color w:val="000000" w:themeColor="text1"/>
          <w:spacing w:val="-22"/>
          <w:position w:val="-1"/>
          <w:sz w:val="24"/>
          <w:szCs w:val="24"/>
          <w14:textFill>
            <w14:solidFill>
              <w14:schemeClr w14:val="tx1"/>
            </w14:solidFill>
          </w14:textFill>
        </w:rPr>
        <w:t>单位负责人签字：</w:t>
      </w:r>
      <w:r>
        <w:rPr>
          <w:rFonts w:hint="eastAsia" w:ascii="宋体" w:hAnsi="宋体" w:eastAsia="宋体" w:cs="宋体"/>
          <w:color w:val="000000" w:themeColor="text1"/>
          <w:spacing w:val="-22"/>
          <w:position w:val="-1"/>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22"/>
          <w:sz w:val="24"/>
          <w:szCs w:val="24"/>
          <w14:textFill>
            <w14:solidFill>
              <w14:schemeClr w14:val="tx1"/>
            </w14:solidFill>
          </w14:textFill>
        </w:rPr>
        <w:t>填报日期：</w:t>
      </w:r>
      <w:r>
        <w:rPr>
          <w:rFonts w:hint="eastAsia" w:ascii="宋体" w:hAnsi="宋体" w:eastAsia="宋体" w:cs="宋体"/>
          <w:color w:val="000000" w:themeColor="text1"/>
          <w:spacing w:val="-22"/>
          <w:sz w:val="24"/>
          <w:szCs w:val="24"/>
          <w:lang w:val="en-US" w:eastAsia="zh-CN"/>
          <w14:textFill>
            <w14:solidFill>
              <w14:schemeClr w14:val="tx1"/>
            </w14:solidFill>
          </w14:textFill>
        </w:rPr>
        <w:t>2023-6-1</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附件4-2</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10833" w:type="dxa"/>
        <w:tblInd w:w="43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0"/>
        <w:gridCol w:w="1253"/>
        <w:gridCol w:w="1062"/>
        <w:gridCol w:w="1775"/>
        <w:gridCol w:w="1155"/>
        <w:gridCol w:w="1002"/>
        <w:gridCol w:w="161"/>
        <w:gridCol w:w="953"/>
        <w:gridCol w:w="785"/>
        <w:gridCol w:w="18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820"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名称</w:t>
            </w:r>
          </w:p>
        </w:tc>
        <w:tc>
          <w:tcPr>
            <w:tcW w:w="10013" w:type="dxa"/>
            <w:gridSpan w:val="9"/>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区级专项资金---执法巡逻车购置经费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820"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主管部门</w:t>
            </w:r>
          </w:p>
        </w:tc>
        <w:tc>
          <w:tcPr>
            <w:tcW w:w="5245"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岳阳市城市管理综合行政执法支队直属二大队</w:t>
            </w:r>
          </w:p>
        </w:tc>
        <w:tc>
          <w:tcPr>
            <w:tcW w:w="1002"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实施单位</w:t>
            </w:r>
          </w:p>
        </w:tc>
        <w:tc>
          <w:tcPr>
            <w:tcW w:w="3766"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2"/>
                <w:sz w:val="18"/>
                <w:szCs w:val="18"/>
                <w:lang w:val="en-US" w:eastAsia="zh-CN"/>
                <w14:textFill>
                  <w14:solidFill>
                    <w14:schemeClr w14:val="tx1"/>
                  </w14:solidFill>
                </w14:textFill>
              </w:rPr>
              <w:t>岳阳市城市管理综合行政执法支队直属二大队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82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(万元)</w:t>
            </w:r>
          </w:p>
        </w:tc>
        <w:tc>
          <w:tcPr>
            <w:tcW w:w="23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预算数</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预算数</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执行数</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分值</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执行率</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82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23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年度资金总额</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32</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32</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32</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2"/>
                <w:sz w:val="21"/>
                <w:szCs w:val="21"/>
                <w14:textFill>
                  <w14:solidFill>
                    <w14:schemeClr w14:val="tx1"/>
                  </w14:solidFill>
                </w14:textFill>
              </w:rPr>
              <w:t>10</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82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23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其中：当年财政拨款</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32</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32</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32</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82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23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21"/>
                <w:szCs w:val="21"/>
                <w14:textFill>
                  <w14:solidFill>
                    <w14:schemeClr w14:val="tx1"/>
                  </w14:solidFill>
                </w14:textFill>
              </w:rPr>
              <w:t>上年结转资金</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82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23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21"/>
                <w:szCs w:val="21"/>
                <w14:textFill>
                  <w14:solidFill>
                    <w14:schemeClr w14:val="tx1"/>
                  </w14:solidFill>
                </w14:textFill>
              </w:rPr>
              <w:t>其他资金</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trPr>
        <w:tc>
          <w:tcPr>
            <w:tcW w:w="82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w:t>
            </w:r>
          </w:p>
        </w:tc>
        <w:tc>
          <w:tcPr>
            <w:tcW w:w="524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预期目标</w:t>
            </w:r>
          </w:p>
        </w:tc>
        <w:tc>
          <w:tcPr>
            <w:tcW w:w="4768" w:type="dxa"/>
            <w:gridSpan w:val="5"/>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 w:hRule="atLeast"/>
        </w:trPr>
        <w:tc>
          <w:tcPr>
            <w:tcW w:w="82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5245" w:type="dxa"/>
            <w:gridSpan w:val="4"/>
            <w:noWrap w:val="0"/>
            <w:vAlign w:val="center"/>
          </w:tcPr>
          <w:p>
            <w:pPr>
              <w:jc w:val="left"/>
              <w:rPr>
                <w:rFonts w:hint="eastAsia" w:ascii="宋体" w:hAnsi="宋体" w:eastAsia="宋体" w:cs="宋体"/>
                <w:sz w:val="18"/>
                <w:szCs w:val="18"/>
              </w:rPr>
            </w:pPr>
            <w:r>
              <w:rPr>
                <w:rFonts w:hint="eastAsia" w:ascii="宋体" w:hAnsi="宋体" w:eastAsia="宋体" w:cs="宋体"/>
                <w:sz w:val="18"/>
                <w:szCs w:val="18"/>
                <w:lang w:val="en-US" w:eastAsia="zh-CN"/>
              </w:rPr>
              <w:t>执法巡逻车辆正常运转，每日完成日常巡查4次，并对重点区域加强巡查，保障执法工作人员高效完成工作任务。</w:t>
            </w:r>
          </w:p>
        </w:tc>
        <w:tc>
          <w:tcPr>
            <w:tcW w:w="4768" w:type="dxa"/>
            <w:gridSpan w:val="5"/>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360" w:firstLineChars="200"/>
              <w:jc w:val="left"/>
              <w:textAlignment w:val="auto"/>
              <w:rPr>
                <w:rFonts w:hint="eastAsia"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sz w:val="18"/>
                <w:szCs w:val="18"/>
                <w:lang w:val="en-US" w:eastAsia="zh-CN"/>
              </w:rPr>
              <w:t>按年初预算金额采购执法巡逻车4台，保障及时快速处理城区街道城市管理中出现的突发性问题，妥善回复平台的举报建议，积极解决市民群众反映的问题。对于日常执法、整治行动过程中，游摊、市民质疑执法合法性，在网络、视频软件恶意传播不利于城管执法的信息，按照谁主管谁负责的原则，依法依规组织实施网络舆情应对处置工作和应急处置工作。按照大队相关制度，保障设备完好率和工作安全性，维护好文明城市形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820"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21"/>
                <w:szCs w:val="21"/>
                <w14:textFill>
                  <w14:solidFill>
                    <w14:schemeClr w14:val="tx1"/>
                  </w14:solidFill>
                </w14:textFill>
              </w:rPr>
              <w:t>标</w:t>
            </w:r>
          </w:p>
        </w:tc>
        <w:tc>
          <w:tcPr>
            <w:tcW w:w="12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一级指标</w:t>
            </w:r>
          </w:p>
        </w:tc>
        <w:tc>
          <w:tcPr>
            <w:tcW w:w="106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二级指标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三级指标</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年度指标值</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实际完成值</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分值</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得分</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hint="eastAsia" w:ascii="宋体" w:hAnsi="宋体" w:eastAsia="宋体" w:cs="宋体"/>
                <w:color w:val="000000" w:themeColor="text1"/>
                <w:spacing w:val="0"/>
                <w:sz w:val="18"/>
                <w:szCs w:val="18"/>
                <w14:textFill>
                  <w14:solidFill>
                    <w14:schemeClr w14:val="tx1"/>
                  </w14:solidFill>
                </w14:textFill>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(50分)</w:t>
            </w:r>
          </w:p>
        </w:tc>
        <w:tc>
          <w:tcPr>
            <w:tcW w:w="106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数量指标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采购执法巡逻车</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4台</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4台</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62"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质量指标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设备完好率</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98%</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98%</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3"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62"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时效指标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采购完成时间</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2022年12月</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2022年12月</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15</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15</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62"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成本指标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控制在成本内</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不超过预算金额</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32万元</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15</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15</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(30分)</w:t>
            </w:r>
          </w:p>
        </w:tc>
        <w:tc>
          <w:tcPr>
            <w:tcW w:w="1062"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益指标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为城市经济发展提供保障</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提高</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提高</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8</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8</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62"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益指标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维护文明城市形象</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提高</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提高</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7</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6</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加强巡查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62"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益指标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维护市容市貌，保障市民生活环境。</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提高</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提高</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7</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7</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062"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影响指标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深化全国文明城市、国家卫生城市、国家园林城市建设，顺利保牌。</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提高</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提高</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8</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8</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820"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253"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满意度指标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(10分)</w:t>
            </w:r>
          </w:p>
        </w:tc>
        <w:tc>
          <w:tcPr>
            <w:tcW w:w="1062"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满意度指标</w:t>
            </w:r>
          </w:p>
        </w:tc>
        <w:tc>
          <w:tcPr>
            <w:tcW w:w="17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left"/>
              <w:textAlignment w:val="auto"/>
              <w:rPr>
                <w:rFonts w:hint="eastAsia" w:ascii="宋体" w:hAnsi="宋体" w:eastAsia="宋体" w:cs="宋体"/>
                <w:color w:val="000000" w:themeColor="text1"/>
                <w:spacing w:val="0"/>
                <w:sz w:val="18"/>
                <w:szCs w:val="18"/>
                <w:lang w:val="en-US" w:eastAsia="zh-CN"/>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社会公众满意度</w:t>
            </w:r>
          </w:p>
        </w:tc>
        <w:tc>
          <w:tcPr>
            <w:tcW w:w="115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95%</w:t>
            </w:r>
          </w:p>
        </w:tc>
        <w:tc>
          <w:tcPr>
            <w:tcW w:w="116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90%</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9</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树立城管新形象，宣传社会正能量。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7228" w:type="dxa"/>
            <w:gridSpan w:val="7"/>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left"/>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总分</w:t>
            </w:r>
          </w:p>
        </w:tc>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100</w:t>
            </w:r>
          </w:p>
        </w:tc>
        <w:tc>
          <w:tcPr>
            <w:tcW w:w="7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98</w:t>
            </w:r>
          </w:p>
        </w:tc>
        <w:tc>
          <w:tcPr>
            <w:tcW w:w="18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left"/>
              <w:textAlignment w:val="auto"/>
              <w:rPr>
                <w:rFonts w:hint="eastAsia" w:ascii="宋体" w:hAnsi="宋体" w:eastAsia="宋体" w:cs="宋体"/>
                <w:color w:val="000000" w:themeColor="text1"/>
                <w:spacing w:val="0"/>
                <w:sz w:val="21"/>
                <w:szCs w:val="21"/>
                <w14:textFill>
                  <w14:solidFill>
                    <w14:schemeClr w14:val="tx1"/>
                  </w14:solidFill>
                </w14:textFill>
              </w:rPr>
            </w:pPr>
          </w:p>
        </w:tc>
      </w:tr>
    </w:tbl>
    <w:p>
      <w:pPr>
        <w:spacing w:before="75" w:line="230" w:lineRule="auto"/>
        <w:ind w:firstLine="588" w:firstLineChars="300"/>
        <w:jc w:val="left"/>
        <w:rPr>
          <w:rFonts w:hint="eastAsia" w:ascii="宋体" w:hAnsi="宋体" w:eastAsia="宋体" w:cs="宋体"/>
          <w:color w:val="000000" w:themeColor="text1"/>
          <w:spacing w:val="-22"/>
          <w:sz w:val="24"/>
          <w:szCs w:val="24"/>
          <w:lang w:val="en-US" w:eastAsia="zh-CN"/>
          <w14:textFill>
            <w14:solidFill>
              <w14:schemeClr w14:val="tx1"/>
            </w14:solidFill>
          </w14:textFill>
        </w:rPr>
      </w:pPr>
      <w:r>
        <w:rPr>
          <w:rFonts w:hint="eastAsia" w:ascii="宋体" w:hAnsi="宋体" w:eastAsia="宋体" w:cs="宋体"/>
          <w:color w:val="000000" w:themeColor="text1"/>
          <w:spacing w:val="-22"/>
          <w:sz w:val="24"/>
          <w:szCs w:val="24"/>
          <w14:textFill>
            <w14:solidFill>
              <w14:schemeClr w14:val="tx1"/>
            </w14:solidFill>
          </w14:textFill>
        </w:rPr>
        <w:t>填表人：</w:t>
      </w:r>
      <w:r>
        <w:rPr>
          <w:rFonts w:hint="eastAsia" w:ascii="宋体" w:hAnsi="宋体" w:eastAsia="宋体" w:cs="宋体"/>
          <w:color w:val="000000" w:themeColor="text1"/>
          <w:spacing w:val="-22"/>
          <w:sz w:val="24"/>
          <w:szCs w:val="24"/>
          <w:lang w:val="en-US" w:eastAsia="zh-CN"/>
          <w14:textFill>
            <w14:solidFill>
              <w14:schemeClr w14:val="tx1"/>
            </w14:solidFill>
          </w14:textFill>
        </w:rPr>
        <w:t>颜烨佳</w:t>
      </w:r>
      <w:r>
        <w:rPr>
          <w:rFonts w:hint="eastAsia" w:ascii="宋体" w:hAnsi="宋体" w:eastAsia="宋体" w:cs="宋体"/>
          <w:color w:val="000000" w:themeColor="text1"/>
          <w:spacing w:val="3"/>
          <w:sz w:val="24"/>
          <w:szCs w:val="24"/>
          <w14:textFill>
            <w14:solidFill>
              <w14:schemeClr w14:val="tx1"/>
            </w14:solidFill>
          </w14:textFill>
        </w:rPr>
        <w:t xml:space="preserve">    </w:t>
      </w:r>
      <w:r>
        <w:rPr>
          <w:rFonts w:hint="eastAsia" w:ascii="宋体" w:hAnsi="宋体" w:eastAsia="宋体" w:cs="宋体"/>
          <w:color w:val="000000" w:themeColor="text1"/>
          <w:spacing w:val="-22"/>
          <w:sz w:val="24"/>
          <w:szCs w:val="24"/>
          <w14:textFill>
            <w14:solidFill>
              <w14:schemeClr w14:val="tx1"/>
            </w14:solidFill>
          </w14:textFill>
        </w:rPr>
        <w:t>联系电话：</w:t>
      </w:r>
      <w:r>
        <w:rPr>
          <w:rFonts w:hint="eastAsia" w:ascii="宋体" w:hAnsi="宋体" w:eastAsia="宋体" w:cs="宋体"/>
          <w:color w:val="000000" w:themeColor="text1"/>
          <w:spacing w:val="2"/>
          <w:sz w:val="24"/>
          <w:szCs w:val="24"/>
          <w:lang w:val="en-US" w:eastAsia="zh-CN"/>
          <w14:textFill>
            <w14:solidFill>
              <w14:schemeClr w14:val="tx1"/>
            </w14:solidFill>
          </w14:textFill>
        </w:rPr>
        <w:t>13873002286</w:t>
      </w:r>
      <w:r>
        <w:rPr>
          <w:rFonts w:hint="eastAsia" w:ascii="宋体" w:hAnsi="宋体" w:eastAsia="宋体" w:cs="宋体"/>
          <w:color w:val="000000" w:themeColor="text1"/>
          <w:spacing w:val="2"/>
          <w:sz w:val="24"/>
          <w:szCs w:val="24"/>
          <w14:textFill>
            <w14:solidFill>
              <w14:schemeClr w14:val="tx1"/>
            </w14:solidFill>
          </w14:textFill>
        </w:rPr>
        <w:t xml:space="preserve">        </w:t>
      </w:r>
      <w:r>
        <w:rPr>
          <w:rFonts w:hint="eastAsia" w:ascii="宋体" w:hAnsi="宋体" w:eastAsia="宋体" w:cs="宋体"/>
          <w:color w:val="000000" w:themeColor="text1"/>
          <w:spacing w:val="-22"/>
          <w:position w:val="-1"/>
          <w:sz w:val="24"/>
          <w:szCs w:val="24"/>
          <w14:textFill>
            <w14:solidFill>
              <w14:schemeClr w14:val="tx1"/>
            </w14:solidFill>
          </w14:textFill>
        </w:rPr>
        <w:t>单位负责人签字：</w:t>
      </w:r>
      <w:r>
        <w:rPr>
          <w:rFonts w:hint="eastAsia" w:ascii="宋体" w:hAnsi="宋体" w:eastAsia="宋体" w:cs="宋体"/>
          <w:color w:val="000000" w:themeColor="text1"/>
          <w:spacing w:val="-22"/>
          <w:position w:val="-1"/>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 xml:space="preserve"> </w:t>
      </w:r>
      <w:r>
        <w:rPr>
          <w:rFonts w:hint="eastAsia" w:ascii="宋体" w:hAnsi="宋体" w:eastAsia="宋体" w:cs="宋体"/>
          <w:color w:val="000000" w:themeColor="text1"/>
          <w:spacing w:val="-22"/>
          <w:sz w:val="24"/>
          <w:szCs w:val="24"/>
          <w14:textFill>
            <w14:solidFill>
              <w14:schemeClr w14:val="tx1"/>
            </w14:solidFill>
          </w14:textFill>
        </w:rPr>
        <w:t>填报日期：</w:t>
      </w:r>
      <w:r>
        <w:rPr>
          <w:rFonts w:hint="eastAsia" w:ascii="宋体" w:hAnsi="宋体" w:eastAsia="宋体" w:cs="宋体"/>
          <w:color w:val="000000" w:themeColor="text1"/>
          <w:spacing w:val="-22"/>
          <w:sz w:val="24"/>
          <w:szCs w:val="24"/>
          <w:lang w:val="en-US" w:eastAsia="zh-CN"/>
          <w14:textFill>
            <w14:solidFill>
              <w14:schemeClr w14:val="tx1"/>
            </w14:solidFill>
          </w14:textFill>
        </w:rPr>
        <w:t>2023-6-1</w:t>
      </w:r>
    </w:p>
    <w:p>
      <w:pPr>
        <w:pStyle w:val="2"/>
        <w:jc w:val="left"/>
        <w:rPr>
          <w:rFonts w:hint="eastAsia" w:ascii="仿宋" w:hAnsi="仿宋" w:eastAsia="仿宋" w:cs="仿宋"/>
          <w:color w:val="000000" w:themeColor="text1"/>
          <w:spacing w:val="-22"/>
          <w:sz w:val="22"/>
          <w:szCs w:val="22"/>
          <w:lang w:val="en-US" w:eastAsia="zh-CN"/>
          <w14:textFill>
            <w14:solidFill>
              <w14:schemeClr w14:val="tx1"/>
            </w14:solidFill>
          </w14:textFill>
        </w:rPr>
      </w:pPr>
    </w:p>
    <w:p>
      <w:pPr>
        <w:jc w:val="left"/>
        <w:rPr>
          <w:rFonts w:hint="eastAsia" w:ascii="仿宋" w:hAnsi="仿宋" w:eastAsia="仿宋" w:cs="仿宋"/>
          <w:color w:val="000000" w:themeColor="text1"/>
          <w:spacing w:val="-22"/>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eastAsia="方正小标宋简体"/>
          <w:sz w:val="36"/>
          <w:szCs w:val="36"/>
          <w:lang w:eastAsia="zh-CN"/>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center"/>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8"/>
        <w:tblW w:w="9358" w:type="dxa"/>
        <w:jc w:val="center"/>
        <w:tblLayout w:type="fixed"/>
        <w:tblCellMar>
          <w:top w:w="0" w:type="dxa"/>
          <w:left w:w="108" w:type="dxa"/>
          <w:bottom w:w="0" w:type="dxa"/>
          <w:right w:w="108" w:type="dxa"/>
        </w:tblCellMar>
      </w:tblPr>
      <w:tblGrid>
        <w:gridCol w:w="761"/>
        <w:gridCol w:w="1476"/>
        <w:gridCol w:w="6381"/>
        <w:gridCol w:w="740"/>
      </w:tblGrid>
      <w:tr>
        <w:tblPrEx>
          <w:tblCellMar>
            <w:top w:w="0" w:type="dxa"/>
            <w:left w:w="108" w:type="dxa"/>
            <w:bottom w:w="0" w:type="dxa"/>
            <w:right w:w="108" w:type="dxa"/>
          </w:tblCellMar>
        </w:tblPrEx>
        <w:trPr>
          <w:trHeight w:val="856" w:hRule="atLeast"/>
          <w:tblHeader/>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476"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38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40"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168" w:hRule="atLeast"/>
          <w:jc w:val="center"/>
        </w:trPr>
        <w:tc>
          <w:tcPr>
            <w:tcW w:w="761"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476"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381"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jc w:val="lef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40"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791" w:hRule="atLeast"/>
          <w:jc w:val="center"/>
        </w:trPr>
        <w:tc>
          <w:tcPr>
            <w:tcW w:w="76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Theme="majorEastAsia" w:hAnsiTheme="majorEastAsia" w:eastAsiaTheme="majorEastAsia" w:cstheme="majorEastAsia"/>
                <w:szCs w:val="21"/>
              </w:rPr>
            </w:pPr>
          </w:p>
        </w:tc>
        <w:tc>
          <w:tcPr>
            <w:tcW w:w="1476"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381" w:type="dxa"/>
            <w:tcBorders>
              <w:top w:val="nil"/>
              <w:left w:val="nil"/>
              <w:bottom w:val="single" w:color="auto" w:sz="4" w:space="0"/>
              <w:right w:val="single" w:color="auto" w:sz="4" w:space="0"/>
            </w:tcBorders>
            <w:noWrap w:val="0"/>
            <w:vAlign w:val="center"/>
          </w:tcPr>
          <w:p>
            <w:pPr>
              <w:spacing w:line="240" w:lineRule="exact"/>
              <w:ind w:firstLine="210" w:firstLineChars="100"/>
              <w:jc w:val="lef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40" w:type="dxa"/>
            <w:tcBorders>
              <w:top w:val="nil"/>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374" w:hRule="atLeast"/>
          <w:jc w:val="center"/>
        </w:trPr>
        <w:tc>
          <w:tcPr>
            <w:tcW w:w="761"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476"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381"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jc w:val="lef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jc w:val="lef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40"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2982" w:hRule="atLeast"/>
          <w:jc w:val="center"/>
        </w:trPr>
        <w:tc>
          <w:tcPr>
            <w:tcW w:w="76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Theme="majorEastAsia" w:hAnsiTheme="majorEastAsia" w:eastAsiaTheme="majorEastAsia" w:cstheme="majorEastAsia"/>
                <w:szCs w:val="21"/>
              </w:rPr>
            </w:pPr>
          </w:p>
        </w:tc>
        <w:tc>
          <w:tcPr>
            <w:tcW w:w="1476"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38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40"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19</w:t>
            </w:r>
          </w:p>
        </w:tc>
      </w:tr>
      <w:tr>
        <w:tblPrEx>
          <w:tblCellMar>
            <w:top w:w="0" w:type="dxa"/>
            <w:left w:w="108" w:type="dxa"/>
            <w:bottom w:w="0" w:type="dxa"/>
            <w:right w:w="108" w:type="dxa"/>
          </w:tblCellMar>
        </w:tblPrEx>
        <w:trPr>
          <w:trHeight w:val="1883" w:hRule="atLeast"/>
          <w:jc w:val="center"/>
        </w:trPr>
        <w:tc>
          <w:tcPr>
            <w:tcW w:w="76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Theme="majorEastAsia" w:hAnsiTheme="majorEastAsia" w:eastAsiaTheme="majorEastAsia" w:cstheme="majorEastAsia"/>
                <w:szCs w:val="21"/>
              </w:rPr>
            </w:pPr>
          </w:p>
        </w:tc>
        <w:tc>
          <w:tcPr>
            <w:tcW w:w="1476"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381"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jc w:val="lef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40"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19</w:t>
            </w:r>
          </w:p>
        </w:tc>
      </w:tr>
      <w:tr>
        <w:tblPrEx>
          <w:tblCellMar>
            <w:top w:w="0" w:type="dxa"/>
            <w:left w:w="108" w:type="dxa"/>
            <w:bottom w:w="0" w:type="dxa"/>
            <w:right w:w="108" w:type="dxa"/>
          </w:tblCellMar>
        </w:tblPrEx>
        <w:trPr>
          <w:trHeight w:val="1736" w:hRule="atLeast"/>
          <w:jc w:val="center"/>
        </w:trPr>
        <w:tc>
          <w:tcPr>
            <w:tcW w:w="76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Theme="majorEastAsia" w:hAnsiTheme="majorEastAsia" w:eastAsiaTheme="majorEastAsia" w:cstheme="majorEastAsia"/>
                <w:szCs w:val="21"/>
              </w:rPr>
            </w:pPr>
          </w:p>
        </w:tc>
        <w:tc>
          <w:tcPr>
            <w:tcW w:w="1476"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381"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jc w:val="lef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40"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14</w:t>
            </w:r>
          </w:p>
        </w:tc>
      </w:tr>
      <w:tr>
        <w:tblPrEx>
          <w:tblCellMar>
            <w:top w:w="0" w:type="dxa"/>
            <w:left w:w="108" w:type="dxa"/>
            <w:bottom w:w="0" w:type="dxa"/>
            <w:right w:w="108" w:type="dxa"/>
          </w:tblCellMar>
        </w:tblPrEx>
        <w:trPr>
          <w:trHeight w:val="784" w:hRule="atLeast"/>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476"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38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Theme="majorEastAsia" w:hAnsiTheme="majorEastAsia" w:eastAsiaTheme="majorEastAsia" w:cstheme="majorEastAsia"/>
                <w:sz w:val="21"/>
                <w:szCs w:val="21"/>
              </w:rPr>
            </w:pP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97</w:t>
            </w: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 w:right="113" w:bottom="170" w:left="113"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18030">
    <w:altName w:val="Times New Roman"/>
    <w:panose1 w:val="00000000000000000000"/>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方正小标宋简体">
    <w:altName w:val="方正舒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85199A"/>
    <w:multiLevelType w:val="singleLevel"/>
    <w:tmpl w:val="9A85199A"/>
    <w:lvl w:ilvl="0" w:tentative="0">
      <w:start w:val="1"/>
      <w:numFmt w:val="chineseCounting"/>
      <w:suff w:val="nothing"/>
      <w:lvlText w:val="%1、"/>
      <w:lvlJc w:val="left"/>
      <w:rPr>
        <w:rFonts w:hint="eastAsia"/>
      </w:rPr>
    </w:lvl>
  </w:abstractNum>
  <w:abstractNum w:abstractNumId="1">
    <w:nsid w:val="CB186C80"/>
    <w:multiLevelType w:val="singleLevel"/>
    <w:tmpl w:val="CB186C80"/>
    <w:lvl w:ilvl="0" w:tentative="0">
      <w:start w:val="2"/>
      <w:numFmt w:val="decimal"/>
      <w:suff w:val="nothing"/>
      <w:lvlText w:val="（%1）"/>
      <w:lvlJc w:val="left"/>
      <w:rPr>
        <w:rFonts w:hint="default"/>
        <w:b/>
        <w:bCs/>
      </w:rPr>
    </w:lvl>
  </w:abstractNum>
  <w:abstractNum w:abstractNumId="2">
    <w:nsid w:val="D36BAE78"/>
    <w:multiLevelType w:val="singleLevel"/>
    <w:tmpl w:val="D36BAE78"/>
    <w:lvl w:ilvl="0" w:tentative="0">
      <w:start w:val="1"/>
      <w:numFmt w:val="decimal"/>
      <w:lvlText w:val="%1."/>
      <w:lvlJc w:val="left"/>
      <w:pPr>
        <w:tabs>
          <w:tab w:val="left" w:pos="312"/>
        </w:tabs>
      </w:pPr>
    </w:lvl>
  </w:abstractNum>
  <w:abstractNum w:abstractNumId="3">
    <w:nsid w:val="2AE4DB25"/>
    <w:multiLevelType w:val="singleLevel"/>
    <w:tmpl w:val="2AE4DB25"/>
    <w:lvl w:ilvl="0" w:tentative="0">
      <w:start w:val="5"/>
      <w:numFmt w:val="chineseCounting"/>
      <w:suff w:val="nothing"/>
      <w:lvlText w:val="%1、"/>
      <w:lvlJc w:val="left"/>
      <w:rPr>
        <w:rFonts w:hint="eastAsia"/>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2Yjk5NzBlNjIxNDhmODM4OGU0YzM5ZWM3YTY4OTAifQ=="/>
  </w:docVars>
  <w:rsids>
    <w:rsidRoot w:val="53FC3987"/>
    <w:rsid w:val="000A3765"/>
    <w:rsid w:val="001D7282"/>
    <w:rsid w:val="0039081D"/>
    <w:rsid w:val="004A27EE"/>
    <w:rsid w:val="005E6ECB"/>
    <w:rsid w:val="00744EA1"/>
    <w:rsid w:val="009419CA"/>
    <w:rsid w:val="00955854"/>
    <w:rsid w:val="009C7330"/>
    <w:rsid w:val="00A00FBB"/>
    <w:rsid w:val="00BF0721"/>
    <w:rsid w:val="00C03795"/>
    <w:rsid w:val="00C528D4"/>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6F1593"/>
    <w:rsid w:val="027431E5"/>
    <w:rsid w:val="02B544DB"/>
    <w:rsid w:val="02CB5D99"/>
    <w:rsid w:val="02E73CCA"/>
    <w:rsid w:val="02F61D91"/>
    <w:rsid w:val="02FC4679"/>
    <w:rsid w:val="02FE5E0A"/>
    <w:rsid w:val="030D604F"/>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181D0E"/>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4196C"/>
    <w:rsid w:val="054E7FFF"/>
    <w:rsid w:val="05557F9E"/>
    <w:rsid w:val="05621117"/>
    <w:rsid w:val="058C5045"/>
    <w:rsid w:val="059C7C89"/>
    <w:rsid w:val="05A50C70"/>
    <w:rsid w:val="05A5704B"/>
    <w:rsid w:val="05B525CA"/>
    <w:rsid w:val="05C4448F"/>
    <w:rsid w:val="05E616EC"/>
    <w:rsid w:val="05ED3A32"/>
    <w:rsid w:val="06146BAF"/>
    <w:rsid w:val="06286BB6"/>
    <w:rsid w:val="06405E9C"/>
    <w:rsid w:val="064D5380"/>
    <w:rsid w:val="064E0F6B"/>
    <w:rsid w:val="06617309"/>
    <w:rsid w:val="06650E6A"/>
    <w:rsid w:val="067D631E"/>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31234"/>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8A671F"/>
    <w:rsid w:val="09906B28"/>
    <w:rsid w:val="09912E95"/>
    <w:rsid w:val="099C1A23"/>
    <w:rsid w:val="09A948AF"/>
    <w:rsid w:val="09AC2A76"/>
    <w:rsid w:val="09B04837"/>
    <w:rsid w:val="09C95891"/>
    <w:rsid w:val="09D8005F"/>
    <w:rsid w:val="09DB2717"/>
    <w:rsid w:val="0A002E0D"/>
    <w:rsid w:val="0A140987"/>
    <w:rsid w:val="0A241A5C"/>
    <w:rsid w:val="0A2E3566"/>
    <w:rsid w:val="0A393280"/>
    <w:rsid w:val="0A3D36E8"/>
    <w:rsid w:val="0A4C7BC2"/>
    <w:rsid w:val="0A5F2F6C"/>
    <w:rsid w:val="0A650C83"/>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45F3E"/>
    <w:rsid w:val="0B6E529C"/>
    <w:rsid w:val="0B701D27"/>
    <w:rsid w:val="0B7245CE"/>
    <w:rsid w:val="0B7A56C6"/>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820C57"/>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C97A29"/>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3570DC"/>
    <w:rsid w:val="0F4675CA"/>
    <w:rsid w:val="0F471A79"/>
    <w:rsid w:val="0F500384"/>
    <w:rsid w:val="0F5B4015"/>
    <w:rsid w:val="0F6071C8"/>
    <w:rsid w:val="0F6661AD"/>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08277E"/>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7F7BEB"/>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4F53197"/>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6E4B86"/>
    <w:rsid w:val="167050F1"/>
    <w:rsid w:val="16713DA7"/>
    <w:rsid w:val="16797776"/>
    <w:rsid w:val="167B0137"/>
    <w:rsid w:val="16952546"/>
    <w:rsid w:val="1699418F"/>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042D5"/>
    <w:rsid w:val="178D50A9"/>
    <w:rsid w:val="178F0FE3"/>
    <w:rsid w:val="17B85018"/>
    <w:rsid w:val="17D46287"/>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232D"/>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BE32EC1"/>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C76293"/>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E75E6C"/>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50E6F"/>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827F6"/>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4A717D"/>
    <w:rsid w:val="235B5F37"/>
    <w:rsid w:val="235C3EA6"/>
    <w:rsid w:val="235D0250"/>
    <w:rsid w:val="23604810"/>
    <w:rsid w:val="237A7609"/>
    <w:rsid w:val="23850E10"/>
    <w:rsid w:val="23BE4330"/>
    <w:rsid w:val="23BF0A62"/>
    <w:rsid w:val="23C263BB"/>
    <w:rsid w:val="23D04F68"/>
    <w:rsid w:val="23D50A64"/>
    <w:rsid w:val="23DD36F6"/>
    <w:rsid w:val="23FC0268"/>
    <w:rsid w:val="240B4621"/>
    <w:rsid w:val="241061D3"/>
    <w:rsid w:val="24114322"/>
    <w:rsid w:val="24122F3C"/>
    <w:rsid w:val="24141063"/>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D905D7"/>
    <w:rsid w:val="26E34A7B"/>
    <w:rsid w:val="26E9756C"/>
    <w:rsid w:val="26F76FAB"/>
    <w:rsid w:val="26FA4570"/>
    <w:rsid w:val="27217FF0"/>
    <w:rsid w:val="27242893"/>
    <w:rsid w:val="273612F4"/>
    <w:rsid w:val="27445146"/>
    <w:rsid w:val="277602F5"/>
    <w:rsid w:val="278038CA"/>
    <w:rsid w:val="278C2894"/>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AF263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3073"/>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D76D13"/>
    <w:rsid w:val="2CF756B7"/>
    <w:rsid w:val="2CF9252D"/>
    <w:rsid w:val="2CF97782"/>
    <w:rsid w:val="2D107154"/>
    <w:rsid w:val="2D143281"/>
    <w:rsid w:val="2D1C79F8"/>
    <w:rsid w:val="2D324177"/>
    <w:rsid w:val="2D5A7835"/>
    <w:rsid w:val="2D6578A0"/>
    <w:rsid w:val="2D7343C9"/>
    <w:rsid w:val="2DE06B3C"/>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004C61"/>
    <w:rsid w:val="301F1E0F"/>
    <w:rsid w:val="302C1778"/>
    <w:rsid w:val="302E6295"/>
    <w:rsid w:val="303329F0"/>
    <w:rsid w:val="303818E5"/>
    <w:rsid w:val="303F1851"/>
    <w:rsid w:val="303F79AD"/>
    <w:rsid w:val="30492212"/>
    <w:rsid w:val="304C3A2B"/>
    <w:rsid w:val="30596318"/>
    <w:rsid w:val="306453B6"/>
    <w:rsid w:val="306F339C"/>
    <w:rsid w:val="30762710"/>
    <w:rsid w:val="30814CF1"/>
    <w:rsid w:val="308E4163"/>
    <w:rsid w:val="30B923E4"/>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06912"/>
    <w:rsid w:val="318D218C"/>
    <w:rsid w:val="31964319"/>
    <w:rsid w:val="319A32FE"/>
    <w:rsid w:val="31A53AB7"/>
    <w:rsid w:val="31A801F9"/>
    <w:rsid w:val="31C57FB2"/>
    <w:rsid w:val="31C932E2"/>
    <w:rsid w:val="31F117C2"/>
    <w:rsid w:val="31F61F62"/>
    <w:rsid w:val="320358D0"/>
    <w:rsid w:val="32052FE4"/>
    <w:rsid w:val="320B77FD"/>
    <w:rsid w:val="321976B1"/>
    <w:rsid w:val="321D6876"/>
    <w:rsid w:val="3220390C"/>
    <w:rsid w:val="322B51BC"/>
    <w:rsid w:val="322F26BF"/>
    <w:rsid w:val="32313075"/>
    <w:rsid w:val="32313F22"/>
    <w:rsid w:val="32394FC7"/>
    <w:rsid w:val="32643522"/>
    <w:rsid w:val="326470BA"/>
    <w:rsid w:val="32744A8B"/>
    <w:rsid w:val="32753DA5"/>
    <w:rsid w:val="32886DB3"/>
    <w:rsid w:val="32895C45"/>
    <w:rsid w:val="32A43D99"/>
    <w:rsid w:val="32B141E0"/>
    <w:rsid w:val="32B44D2D"/>
    <w:rsid w:val="32C90A49"/>
    <w:rsid w:val="32DD31FD"/>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A617AF"/>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1164F"/>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614E1"/>
    <w:rsid w:val="36973632"/>
    <w:rsid w:val="36A30194"/>
    <w:rsid w:val="36D21A02"/>
    <w:rsid w:val="36FB7FE4"/>
    <w:rsid w:val="37104DEB"/>
    <w:rsid w:val="372D0977"/>
    <w:rsid w:val="37337382"/>
    <w:rsid w:val="374D5647"/>
    <w:rsid w:val="374F42A7"/>
    <w:rsid w:val="37506DBE"/>
    <w:rsid w:val="3759338C"/>
    <w:rsid w:val="37654002"/>
    <w:rsid w:val="377E3E19"/>
    <w:rsid w:val="378E3E66"/>
    <w:rsid w:val="37C244FC"/>
    <w:rsid w:val="37D95C79"/>
    <w:rsid w:val="37E81F7B"/>
    <w:rsid w:val="38026A1B"/>
    <w:rsid w:val="38197832"/>
    <w:rsid w:val="383903C6"/>
    <w:rsid w:val="383C423B"/>
    <w:rsid w:val="38415136"/>
    <w:rsid w:val="386C1D38"/>
    <w:rsid w:val="387A25A5"/>
    <w:rsid w:val="388B215A"/>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6E5A71"/>
    <w:rsid w:val="3980612A"/>
    <w:rsid w:val="39AC01F9"/>
    <w:rsid w:val="39B73BAC"/>
    <w:rsid w:val="39B7517F"/>
    <w:rsid w:val="39BA3B51"/>
    <w:rsid w:val="39C20795"/>
    <w:rsid w:val="39E90E2B"/>
    <w:rsid w:val="39E94D86"/>
    <w:rsid w:val="39F1638E"/>
    <w:rsid w:val="3A001C79"/>
    <w:rsid w:val="3A1513BA"/>
    <w:rsid w:val="3A185B98"/>
    <w:rsid w:val="3A2E618D"/>
    <w:rsid w:val="3A4109A1"/>
    <w:rsid w:val="3A742C8C"/>
    <w:rsid w:val="3A7B2702"/>
    <w:rsid w:val="3A896EEE"/>
    <w:rsid w:val="3AAA2893"/>
    <w:rsid w:val="3ABB15C7"/>
    <w:rsid w:val="3AD8279E"/>
    <w:rsid w:val="3AE73EDB"/>
    <w:rsid w:val="3B08641D"/>
    <w:rsid w:val="3B1C7A19"/>
    <w:rsid w:val="3B2B5582"/>
    <w:rsid w:val="3B3836C7"/>
    <w:rsid w:val="3B4234D4"/>
    <w:rsid w:val="3B7622BA"/>
    <w:rsid w:val="3B7C1C88"/>
    <w:rsid w:val="3B8107C8"/>
    <w:rsid w:val="3B8972AA"/>
    <w:rsid w:val="3BA219B8"/>
    <w:rsid w:val="3BA96003"/>
    <w:rsid w:val="3BBC60A6"/>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39549C"/>
    <w:rsid w:val="3D5A60CA"/>
    <w:rsid w:val="3D6C7658"/>
    <w:rsid w:val="3D9F4364"/>
    <w:rsid w:val="3DA702BF"/>
    <w:rsid w:val="3DB92106"/>
    <w:rsid w:val="3DCF457D"/>
    <w:rsid w:val="3DF169A7"/>
    <w:rsid w:val="3DF2399F"/>
    <w:rsid w:val="3DF40FE4"/>
    <w:rsid w:val="3E0519AD"/>
    <w:rsid w:val="3E4A1D40"/>
    <w:rsid w:val="3E4A2949"/>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0B09"/>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967E7"/>
    <w:rsid w:val="417D1E08"/>
    <w:rsid w:val="417D5552"/>
    <w:rsid w:val="418603E0"/>
    <w:rsid w:val="4188208C"/>
    <w:rsid w:val="419B51EE"/>
    <w:rsid w:val="41B11897"/>
    <w:rsid w:val="41C57D35"/>
    <w:rsid w:val="41E33AEE"/>
    <w:rsid w:val="41F34606"/>
    <w:rsid w:val="4200399D"/>
    <w:rsid w:val="420E20BD"/>
    <w:rsid w:val="421647B9"/>
    <w:rsid w:val="42263E3B"/>
    <w:rsid w:val="4227174E"/>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740A2"/>
    <w:rsid w:val="44AC7417"/>
    <w:rsid w:val="44B16853"/>
    <w:rsid w:val="450B2954"/>
    <w:rsid w:val="450D5FAD"/>
    <w:rsid w:val="45172F07"/>
    <w:rsid w:val="451D5184"/>
    <w:rsid w:val="452F3716"/>
    <w:rsid w:val="453C65FD"/>
    <w:rsid w:val="454B256E"/>
    <w:rsid w:val="455D76E4"/>
    <w:rsid w:val="45646F33"/>
    <w:rsid w:val="45671007"/>
    <w:rsid w:val="456C331B"/>
    <w:rsid w:val="45877724"/>
    <w:rsid w:val="45A26739"/>
    <w:rsid w:val="45B07140"/>
    <w:rsid w:val="45C43431"/>
    <w:rsid w:val="45EE3358"/>
    <w:rsid w:val="46066722"/>
    <w:rsid w:val="461976C3"/>
    <w:rsid w:val="461C0664"/>
    <w:rsid w:val="46397A31"/>
    <w:rsid w:val="463D42BA"/>
    <w:rsid w:val="46521A41"/>
    <w:rsid w:val="465D50F1"/>
    <w:rsid w:val="466D10C5"/>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8E4926"/>
    <w:rsid w:val="48915636"/>
    <w:rsid w:val="48985F31"/>
    <w:rsid w:val="48AC6E35"/>
    <w:rsid w:val="48BD43A0"/>
    <w:rsid w:val="48BF2D31"/>
    <w:rsid w:val="48C96968"/>
    <w:rsid w:val="48D66EEE"/>
    <w:rsid w:val="48E22EC4"/>
    <w:rsid w:val="48F84416"/>
    <w:rsid w:val="49025314"/>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4D3F8F"/>
    <w:rsid w:val="4A505D71"/>
    <w:rsid w:val="4A611E1A"/>
    <w:rsid w:val="4A7055A6"/>
    <w:rsid w:val="4A9C47ED"/>
    <w:rsid w:val="4AA71D5E"/>
    <w:rsid w:val="4AAA6CA9"/>
    <w:rsid w:val="4AE008D2"/>
    <w:rsid w:val="4B0B3617"/>
    <w:rsid w:val="4B0F6066"/>
    <w:rsid w:val="4B2815DF"/>
    <w:rsid w:val="4B3B359D"/>
    <w:rsid w:val="4B473F5E"/>
    <w:rsid w:val="4B49191E"/>
    <w:rsid w:val="4B507FB2"/>
    <w:rsid w:val="4B647620"/>
    <w:rsid w:val="4B695935"/>
    <w:rsid w:val="4B7A55E6"/>
    <w:rsid w:val="4B7B61C1"/>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32649"/>
    <w:rsid w:val="4E370600"/>
    <w:rsid w:val="4E435024"/>
    <w:rsid w:val="4E4E7E80"/>
    <w:rsid w:val="4E534A5B"/>
    <w:rsid w:val="4E5C5562"/>
    <w:rsid w:val="4E5F69A8"/>
    <w:rsid w:val="4E655726"/>
    <w:rsid w:val="4E7445BE"/>
    <w:rsid w:val="4E754A02"/>
    <w:rsid w:val="4E95725E"/>
    <w:rsid w:val="4E9A6CF9"/>
    <w:rsid w:val="4EA65FD0"/>
    <w:rsid w:val="4ED33DCB"/>
    <w:rsid w:val="4EE34782"/>
    <w:rsid w:val="4EE63F4F"/>
    <w:rsid w:val="4F007E65"/>
    <w:rsid w:val="4F0A1AF8"/>
    <w:rsid w:val="4F203D73"/>
    <w:rsid w:val="4F27252E"/>
    <w:rsid w:val="4F323E26"/>
    <w:rsid w:val="4F3913E8"/>
    <w:rsid w:val="4F45117A"/>
    <w:rsid w:val="4F501419"/>
    <w:rsid w:val="4F594DAC"/>
    <w:rsid w:val="4F6C3F07"/>
    <w:rsid w:val="4F830574"/>
    <w:rsid w:val="4F8D5FB6"/>
    <w:rsid w:val="4F9753D7"/>
    <w:rsid w:val="4FA40ED3"/>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D822F8"/>
    <w:rsid w:val="50E466DC"/>
    <w:rsid w:val="50EA1869"/>
    <w:rsid w:val="50F25C6E"/>
    <w:rsid w:val="50FD00F4"/>
    <w:rsid w:val="50FF056E"/>
    <w:rsid w:val="510F2A7F"/>
    <w:rsid w:val="5116718F"/>
    <w:rsid w:val="512746EF"/>
    <w:rsid w:val="51283E4C"/>
    <w:rsid w:val="51291D35"/>
    <w:rsid w:val="512B3A7F"/>
    <w:rsid w:val="51414399"/>
    <w:rsid w:val="515D5FD6"/>
    <w:rsid w:val="516A7012"/>
    <w:rsid w:val="51721A38"/>
    <w:rsid w:val="517D016D"/>
    <w:rsid w:val="51A45867"/>
    <w:rsid w:val="51AD7250"/>
    <w:rsid w:val="51B715D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14374"/>
    <w:rsid w:val="54827775"/>
    <w:rsid w:val="54AC5134"/>
    <w:rsid w:val="54B25E40"/>
    <w:rsid w:val="54DE6078"/>
    <w:rsid w:val="54E86EBD"/>
    <w:rsid w:val="54F2526E"/>
    <w:rsid w:val="54F55D2D"/>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221294"/>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AA2DFF"/>
    <w:rsid w:val="57B66918"/>
    <w:rsid w:val="57BD6FCE"/>
    <w:rsid w:val="57D214D2"/>
    <w:rsid w:val="57DA1A42"/>
    <w:rsid w:val="57EB4D9C"/>
    <w:rsid w:val="58002D08"/>
    <w:rsid w:val="58057728"/>
    <w:rsid w:val="581D1F94"/>
    <w:rsid w:val="582872BA"/>
    <w:rsid w:val="5829318A"/>
    <w:rsid w:val="582C0330"/>
    <w:rsid w:val="582D7EE9"/>
    <w:rsid w:val="583343BB"/>
    <w:rsid w:val="583439B3"/>
    <w:rsid w:val="583B5787"/>
    <w:rsid w:val="586759C7"/>
    <w:rsid w:val="5893000F"/>
    <w:rsid w:val="58C07CA9"/>
    <w:rsid w:val="58DE5A38"/>
    <w:rsid w:val="58FA7B16"/>
    <w:rsid w:val="58FB22A6"/>
    <w:rsid w:val="59003437"/>
    <w:rsid w:val="59182EE7"/>
    <w:rsid w:val="5921212C"/>
    <w:rsid w:val="59253307"/>
    <w:rsid w:val="59395687"/>
    <w:rsid w:val="596F4300"/>
    <w:rsid w:val="596F472F"/>
    <w:rsid w:val="5974345D"/>
    <w:rsid w:val="597534AA"/>
    <w:rsid w:val="59951C91"/>
    <w:rsid w:val="59982867"/>
    <w:rsid w:val="59A11ED6"/>
    <w:rsid w:val="59AB0DFC"/>
    <w:rsid w:val="59C1557F"/>
    <w:rsid w:val="59C8615E"/>
    <w:rsid w:val="59D064A8"/>
    <w:rsid w:val="59E771C2"/>
    <w:rsid w:val="59E84659"/>
    <w:rsid w:val="59ED62EB"/>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6F6839"/>
    <w:rsid w:val="5B774FD6"/>
    <w:rsid w:val="5B814790"/>
    <w:rsid w:val="5B82237F"/>
    <w:rsid w:val="5B824855"/>
    <w:rsid w:val="5B856A19"/>
    <w:rsid w:val="5B88245B"/>
    <w:rsid w:val="5B8A0D7A"/>
    <w:rsid w:val="5B8B0F7C"/>
    <w:rsid w:val="5B9E05AD"/>
    <w:rsid w:val="5BAD110F"/>
    <w:rsid w:val="5BBB1AC4"/>
    <w:rsid w:val="5BE11C63"/>
    <w:rsid w:val="5BF24E07"/>
    <w:rsid w:val="5BF6034F"/>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2B7993"/>
    <w:rsid w:val="5D566DF5"/>
    <w:rsid w:val="5D5736EC"/>
    <w:rsid w:val="5D592213"/>
    <w:rsid w:val="5D7067ED"/>
    <w:rsid w:val="5D77660D"/>
    <w:rsid w:val="5D7A7C97"/>
    <w:rsid w:val="5D8A240A"/>
    <w:rsid w:val="5D8A4019"/>
    <w:rsid w:val="5D9907FA"/>
    <w:rsid w:val="5DCD4FAD"/>
    <w:rsid w:val="5DD45E20"/>
    <w:rsid w:val="5DD77F01"/>
    <w:rsid w:val="5DF376B4"/>
    <w:rsid w:val="5DF974C4"/>
    <w:rsid w:val="5DFB21A9"/>
    <w:rsid w:val="5E150E16"/>
    <w:rsid w:val="5E156702"/>
    <w:rsid w:val="5E18667E"/>
    <w:rsid w:val="5E2C3CE8"/>
    <w:rsid w:val="5E480DBB"/>
    <w:rsid w:val="5E532C32"/>
    <w:rsid w:val="5E6B78B9"/>
    <w:rsid w:val="5E72530D"/>
    <w:rsid w:val="5E7B3471"/>
    <w:rsid w:val="5E811840"/>
    <w:rsid w:val="5E8771AD"/>
    <w:rsid w:val="5EAC620C"/>
    <w:rsid w:val="5EB56E43"/>
    <w:rsid w:val="5EDB6E5E"/>
    <w:rsid w:val="5F050603"/>
    <w:rsid w:val="5F0F5BF5"/>
    <w:rsid w:val="5F1070E5"/>
    <w:rsid w:val="5F137093"/>
    <w:rsid w:val="5F257C78"/>
    <w:rsid w:val="5F443B39"/>
    <w:rsid w:val="5F475DFB"/>
    <w:rsid w:val="5F4A6912"/>
    <w:rsid w:val="5FA342D5"/>
    <w:rsid w:val="5FA40581"/>
    <w:rsid w:val="5FBF418B"/>
    <w:rsid w:val="5FC03F1C"/>
    <w:rsid w:val="5FC128D4"/>
    <w:rsid w:val="5FC577B3"/>
    <w:rsid w:val="5FFB751D"/>
    <w:rsid w:val="5FFC1DCE"/>
    <w:rsid w:val="602423C7"/>
    <w:rsid w:val="6037369D"/>
    <w:rsid w:val="603F2394"/>
    <w:rsid w:val="604407B5"/>
    <w:rsid w:val="60487E62"/>
    <w:rsid w:val="605A5C34"/>
    <w:rsid w:val="60630B92"/>
    <w:rsid w:val="606E4C0D"/>
    <w:rsid w:val="60935B47"/>
    <w:rsid w:val="60C76F62"/>
    <w:rsid w:val="60CE1254"/>
    <w:rsid w:val="60D321CB"/>
    <w:rsid w:val="60D467A9"/>
    <w:rsid w:val="60EA12BA"/>
    <w:rsid w:val="60EB35BC"/>
    <w:rsid w:val="60EB3CE8"/>
    <w:rsid w:val="61034470"/>
    <w:rsid w:val="61041400"/>
    <w:rsid w:val="6108421E"/>
    <w:rsid w:val="610C08D6"/>
    <w:rsid w:val="611504BF"/>
    <w:rsid w:val="61201841"/>
    <w:rsid w:val="61233B56"/>
    <w:rsid w:val="61241E74"/>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96ABE"/>
    <w:rsid w:val="675B3954"/>
    <w:rsid w:val="675D50F5"/>
    <w:rsid w:val="676833A1"/>
    <w:rsid w:val="676B6466"/>
    <w:rsid w:val="67954429"/>
    <w:rsid w:val="67C47F84"/>
    <w:rsid w:val="67D85572"/>
    <w:rsid w:val="67DD10E7"/>
    <w:rsid w:val="67E51A4F"/>
    <w:rsid w:val="67E81C89"/>
    <w:rsid w:val="67F16AAB"/>
    <w:rsid w:val="67FC2A34"/>
    <w:rsid w:val="68022928"/>
    <w:rsid w:val="680A7211"/>
    <w:rsid w:val="68163291"/>
    <w:rsid w:val="681B27D7"/>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0540BF"/>
    <w:rsid w:val="69122538"/>
    <w:rsid w:val="69194FE8"/>
    <w:rsid w:val="691F4315"/>
    <w:rsid w:val="69544350"/>
    <w:rsid w:val="69703FA0"/>
    <w:rsid w:val="698C4A5A"/>
    <w:rsid w:val="69953C45"/>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740AAD"/>
    <w:rsid w:val="6B816F14"/>
    <w:rsid w:val="6B8A298B"/>
    <w:rsid w:val="6B8A779B"/>
    <w:rsid w:val="6BAD6C20"/>
    <w:rsid w:val="6BB456BB"/>
    <w:rsid w:val="6BB62A44"/>
    <w:rsid w:val="6BD81D0A"/>
    <w:rsid w:val="6BDC7146"/>
    <w:rsid w:val="6BE052CE"/>
    <w:rsid w:val="6BF2692A"/>
    <w:rsid w:val="6BF358A4"/>
    <w:rsid w:val="6C051F4E"/>
    <w:rsid w:val="6C096C12"/>
    <w:rsid w:val="6C0E6088"/>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8D6975"/>
    <w:rsid w:val="6D9239A2"/>
    <w:rsid w:val="6DB664EE"/>
    <w:rsid w:val="6DBC6250"/>
    <w:rsid w:val="6DC64BAC"/>
    <w:rsid w:val="6E037AD7"/>
    <w:rsid w:val="6E056523"/>
    <w:rsid w:val="6E074EC9"/>
    <w:rsid w:val="6E0D4393"/>
    <w:rsid w:val="6E160E52"/>
    <w:rsid w:val="6E2E569B"/>
    <w:rsid w:val="6E3C08A1"/>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333FC"/>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3F2B3D"/>
    <w:rsid w:val="73422D3C"/>
    <w:rsid w:val="734A16A2"/>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74561"/>
    <w:rsid w:val="746C713B"/>
    <w:rsid w:val="748D2368"/>
    <w:rsid w:val="749217E0"/>
    <w:rsid w:val="74B04289"/>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D734D"/>
    <w:rsid w:val="75EF5520"/>
    <w:rsid w:val="75F63713"/>
    <w:rsid w:val="76143A54"/>
    <w:rsid w:val="7637074A"/>
    <w:rsid w:val="763B63B0"/>
    <w:rsid w:val="764772A3"/>
    <w:rsid w:val="767B7960"/>
    <w:rsid w:val="769A6195"/>
    <w:rsid w:val="76A44430"/>
    <w:rsid w:val="76A71FBB"/>
    <w:rsid w:val="76AA5D81"/>
    <w:rsid w:val="76AB50DC"/>
    <w:rsid w:val="76BB3C83"/>
    <w:rsid w:val="76C80EC7"/>
    <w:rsid w:val="76DB58DF"/>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02180"/>
    <w:rsid w:val="795123A8"/>
    <w:rsid w:val="79535AC3"/>
    <w:rsid w:val="79620961"/>
    <w:rsid w:val="7994155F"/>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0E8B"/>
    <w:rsid w:val="7B0C5BAE"/>
    <w:rsid w:val="7B18439F"/>
    <w:rsid w:val="7B2374FE"/>
    <w:rsid w:val="7B34342A"/>
    <w:rsid w:val="7B3873CB"/>
    <w:rsid w:val="7B496993"/>
    <w:rsid w:val="7B5873A5"/>
    <w:rsid w:val="7B783675"/>
    <w:rsid w:val="7B796807"/>
    <w:rsid w:val="7BAC2D3A"/>
    <w:rsid w:val="7BAE3C97"/>
    <w:rsid w:val="7BB16076"/>
    <w:rsid w:val="7BB46DB9"/>
    <w:rsid w:val="7BC02341"/>
    <w:rsid w:val="7BD74454"/>
    <w:rsid w:val="7BE96DEC"/>
    <w:rsid w:val="7BFE17E7"/>
    <w:rsid w:val="7C021A51"/>
    <w:rsid w:val="7C033C13"/>
    <w:rsid w:val="7C041A0F"/>
    <w:rsid w:val="7C110306"/>
    <w:rsid w:val="7C212B8A"/>
    <w:rsid w:val="7C213E9C"/>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35F5F"/>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BC2E5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99"/>
    <w:pPr>
      <w:spacing w:before="120" w:after="200" w:line="276" w:lineRule="auto"/>
    </w:pPr>
    <w:rPr>
      <w:rFonts w:ascii="Arial" w:hAnsi="Arial"/>
      <w:sz w:val="24"/>
    </w:rPr>
  </w:style>
  <w:style w:type="paragraph" w:styleId="3">
    <w:name w:val="Body Text"/>
    <w:basedOn w:val="1"/>
    <w:next w:val="4"/>
    <w:qFormat/>
    <w:uiPriority w:val="0"/>
    <w:rPr>
      <w:rFonts w:ascii="Calibri" w:hAnsi="Calibri" w:eastAsia="宋体" w:cs="Times New Roman"/>
      <w:sz w:val="28"/>
      <w:szCs w:val="24"/>
    </w:rPr>
  </w:style>
  <w:style w:type="paragraph" w:customStyle="1" w:styleId="4">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18030" w:hAnsi="???-18030" w:cs="???-18030"/>
      <w:kern w:val="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
    <w:name w:val="Table Normal"/>
    <w:unhideWhenUsed/>
    <w:qFormat/>
    <w:uiPriority w:val="0"/>
    <w:tblPr>
      <w:tblCellMar>
        <w:top w:w="0" w:type="dxa"/>
        <w:left w:w="0" w:type="dxa"/>
        <w:bottom w:w="0" w:type="dxa"/>
        <w:right w:w="0" w:type="dxa"/>
      </w:tblCellMar>
    </w:tblPr>
  </w:style>
  <w:style w:type="paragraph" w:customStyle="1" w:styleId="12">
    <w:name w:val="18"/>
    <w:basedOn w:val="1"/>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2"/>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8451</Words>
  <Characters>9106</Characters>
  <Lines>0</Lines>
  <Paragraphs>0</Paragraphs>
  <TotalTime>8</TotalTime>
  <ScaleCrop>false</ScaleCrop>
  <LinksUpToDate>false</LinksUpToDate>
  <CharactersWithSpaces>9301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王小纯</cp:lastModifiedBy>
  <cp:lastPrinted>2023-08-22T08:24:00Z</cp:lastPrinted>
  <dcterms:modified xsi:type="dcterms:W3CDTF">2024-06-03T08:03:04Z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EB2D632A14F44905A53E0B41520F648C_13</vt:lpwstr>
  </property>
</Properties>
</file>