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A4C76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03692F6C">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1906901B">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42F2A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7030C5A7">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17964933">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岳阳市直管公房运营服务中心</w:t>
            </w:r>
          </w:p>
        </w:tc>
      </w:tr>
      <w:tr w14:paraId="7476E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3A157A84">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3D4F3C71">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47D8E48B">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16991F8">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2CFB4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3F148B2A">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30C8C5B5">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34</w:t>
            </w:r>
          </w:p>
        </w:tc>
        <w:tc>
          <w:tcPr>
            <w:tcW w:w="2325" w:type="dxa"/>
            <w:gridSpan w:val="2"/>
            <w:noWrap w:val="0"/>
            <w:vAlign w:val="top"/>
          </w:tcPr>
          <w:p w14:paraId="0FA5182B">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33</w:t>
            </w:r>
          </w:p>
        </w:tc>
        <w:tc>
          <w:tcPr>
            <w:tcW w:w="1679" w:type="dxa"/>
            <w:gridSpan w:val="2"/>
            <w:noWrap w:val="0"/>
            <w:vAlign w:val="top"/>
          </w:tcPr>
          <w:p w14:paraId="2EC3A1C0">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97.1%</w:t>
            </w:r>
          </w:p>
        </w:tc>
      </w:tr>
      <w:tr w14:paraId="1CD3C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08C0C7E8">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7AE508C6">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723D3738">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46C7A7A3">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7877EB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5FF11B3">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715C101F">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14:paraId="27CB5B62">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14:paraId="78250F3E">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14:paraId="23A2D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8E34F02">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4B240147">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5768F198">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4F272F9">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5224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FB4CD3F">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7FB851AC">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00472425">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B8F917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5C8D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7BFE57B9">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7CDCB5AD">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7A4EDE1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548E8B7">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531E3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62708324">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4E8141AC">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0897A14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084CE79">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699C8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A3DF98E">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4FA8C7E6">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21715207">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1679" w:type="dxa"/>
            <w:gridSpan w:val="2"/>
            <w:noWrap w:val="0"/>
            <w:vAlign w:val="top"/>
          </w:tcPr>
          <w:p w14:paraId="3D12E9B6">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64E4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B3DC435">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100059E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0F836F2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C6A9EE6">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F3588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8E9565D">
            <w:pPr>
              <w:spacing w:before="133" w:line="200" w:lineRule="auto"/>
              <w:ind w:firstLine="484"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358B119D">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18"/>
                <w:szCs w:val="21"/>
                <w:lang w:eastAsia="zh-CN"/>
                <w14:textFill>
                  <w14:solidFill>
                    <w14:schemeClr w14:val="tx1"/>
                  </w14:solidFill>
                </w14:textFill>
              </w:rPr>
              <w:t>数据归集在市住保中心</w:t>
            </w:r>
          </w:p>
        </w:tc>
        <w:tc>
          <w:tcPr>
            <w:tcW w:w="2325" w:type="dxa"/>
            <w:gridSpan w:val="2"/>
            <w:noWrap w:val="0"/>
            <w:vAlign w:val="top"/>
          </w:tcPr>
          <w:p w14:paraId="4DE173CB">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24713FB9">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0C4EE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37D98871">
            <w:pPr>
              <w:spacing w:before="143" w:line="209" w:lineRule="auto"/>
              <w:ind w:firstLine="484"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44422FD5">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数据归集在市住保中心</w:t>
            </w:r>
          </w:p>
        </w:tc>
        <w:tc>
          <w:tcPr>
            <w:tcW w:w="2325" w:type="dxa"/>
            <w:gridSpan w:val="2"/>
            <w:noWrap w:val="0"/>
            <w:vAlign w:val="top"/>
          </w:tcPr>
          <w:p w14:paraId="3C6A1372">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4701A2C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16404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20AC8DD1">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21B90B17">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2FCD710E">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FA433AE">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8B6B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3B57212">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百日攻坚</w:t>
            </w:r>
          </w:p>
        </w:tc>
        <w:tc>
          <w:tcPr>
            <w:tcW w:w="1815" w:type="dxa"/>
            <w:gridSpan w:val="2"/>
            <w:noWrap w:val="0"/>
            <w:vAlign w:val="top"/>
          </w:tcPr>
          <w:p w14:paraId="70DDB91A">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p>
        </w:tc>
        <w:tc>
          <w:tcPr>
            <w:tcW w:w="2325" w:type="dxa"/>
            <w:gridSpan w:val="2"/>
            <w:noWrap w:val="0"/>
            <w:vAlign w:val="top"/>
          </w:tcPr>
          <w:p w14:paraId="6657DFF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715FB3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r>
      <w:tr w14:paraId="1FB42A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B79AF2D">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3D5ED8C8">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无</w:t>
            </w:r>
          </w:p>
        </w:tc>
        <w:tc>
          <w:tcPr>
            <w:tcW w:w="2325" w:type="dxa"/>
            <w:gridSpan w:val="2"/>
            <w:noWrap w:val="0"/>
            <w:vAlign w:val="top"/>
          </w:tcPr>
          <w:p w14:paraId="4709910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891E603">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10559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E1DDEA2">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66EFDBC0">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14:paraId="48D1D71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090353D3">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EDDD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8CC4004">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30A8A987">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数据归集在市住保中心</w:t>
            </w:r>
          </w:p>
        </w:tc>
        <w:tc>
          <w:tcPr>
            <w:tcW w:w="2325" w:type="dxa"/>
            <w:gridSpan w:val="2"/>
            <w:noWrap w:val="0"/>
            <w:vAlign w:val="top"/>
          </w:tcPr>
          <w:p w14:paraId="2820AC8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w:t>
            </w:r>
          </w:p>
        </w:tc>
        <w:tc>
          <w:tcPr>
            <w:tcW w:w="1679" w:type="dxa"/>
            <w:gridSpan w:val="2"/>
            <w:noWrap w:val="0"/>
            <w:vAlign w:val="top"/>
          </w:tcPr>
          <w:p w14:paraId="7170FF8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5.55</w:t>
            </w:r>
          </w:p>
        </w:tc>
      </w:tr>
      <w:tr w14:paraId="6FCD3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1BEF380">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619582FE">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数据归集在市住保中心</w:t>
            </w:r>
          </w:p>
        </w:tc>
        <w:tc>
          <w:tcPr>
            <w:tcW w:w="2325" w:type="dxa"/>
            <w:gridSpan w:val="2"/>
            <w:noWrap w:val="0"/>
            <w:vAlign w:val="top"/>
          </w:tcPr>
          <w:p w14:paraId="4CF2811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w:t>
            </w:r>
          </w:p>
        </w:tc>
        <w:tc>
          <w:tcPr>
            <w:tcW w:w="1679" w:type="dxa"/>
            <w:gridSpan w:val="2"/>
            <w:noWrap w:val="0"/>
            <w:vAlign w:val="top"/>
          </w:tcPr>
          <w:p w14:paraId="7B288938">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0940F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017DF6A">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042C55E6">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数据归集在市住保中心</w:t>
            </w:r>
          </w:p>
        </w:tc>
        <w:tc>
          <w:tcPr>
            <w:tcW w:w="2325" w:type="dxa"/>
            <w:gridSpan w:val="2"/>
            <w:noWrap w:val="0"/>
            <w:vAlign w:val="top"/>
          </w:tcPr>
          <w:p w14:paraId="75DABD6E">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w:t>
            </w:r>
          </w:p>
        </w:tc>
        <w:tc>
          <w:tcPr>
            <w:tcW w:w="1679" w:type="dxa"/>
            <w:gridSpan w:val="2"/>
            <w:noWrap w:val="0"/>
            <w:vAlign w:val="top"/>
          </w:tcPr>
          <w:p w14:paraId="311FB07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0.57</w:t>
            </w:r>
          </w:p>
        </w:tc>
      </w:tr>
      <w:tr w14:paraId="30910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DA3D486">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1751C3F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数据归集在市住保中心</w:t>
            </w:r>
          </w:p>
        </w:tc>
        <w:tc>
          <w:tcPr>
            <w:tcW w:w="2325" w:type="dxa"/>
            <w:gridSpan w:val="2"/>
            <w:noWrap w:val="0"/>
            <w:vAlign w:val="top"/>
          </w:tcPr>
          <w:p w14:paraId="74B651F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61.2</w:t>
            </w:r>
          </w:p>
        </w:tc>
        <w:tc>
          <w:tcPr>
            <w:tcW w:w="1679" w:type="dxa"/>
            <w:gridSpan w:val="2"/>
            <w:noWrap w:val="0"/>
            <w:vAlign w:val="top"/>
          </w:tcPr>
          <w:p w14:paraId="75BECB78">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387.37</w:t>
            </w:r>
          </w:p>
        </w:tc>
      </w:tr>
      <w:tr w14:paraId="5F518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Borders>
              <w:bottom w:val="single" w:color="auto" w:sz="4" w:space="0"/>
            </w:tcBorders>
            <w:noWrap w:val="0"/>
            <w:vAlign w:val="top"/>
          </w:tcPr>
          <w:p w14:paraId="1C48B08E">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tcBorders>
              <w:bottom w:val="single" w:color="auto" w:sz="4" w:space="0"/>
            </w:tcBorders>
            <w:noWrap w:val="0"/>
            <w:vAlign w:val="top"/>
          </w:tcPr>
          <w:p w14:paraId="5B3BE29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2F69482">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p>
        </w:tc>
        <w:tc>
          <w:tcPr>
            <w:tcW w:w="1679" w:type="dxa"/>
            <w:gridSpan w:val="2"/>
            <w:noWrap w:val="0"/>
            <w:vAlign w:val="top"/>
          </w:tcPr>
          <w:p w14:paraId="699E272A">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p>
        </w:tc>
      </w:tr>
      <w:tr w14:paraId="5043D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3850" w:type="dxa"/>
            <w:vMerge w:val="restart"/>
            <w:tcBorders>
              <w:top w:val="single" w:color="auto" w:sz="4" w:space="0"/>
              <w:left w:val="single" w:color="auto" w:sz="4" w:space="0"/>
              <w:bottom w:val="single" w:color="auto" w:sz="4" w:space="0"/>
              <w:right w:val="single" w:color="auto" w:sz="4" w:space="0"/>
            </w:tcBorders>
            <w:noWrap w:val="0"/>
            <w:vAlign w:val="center"/>
          </w:tcPr>
          <w:p w14:paraId="1FE3EB69">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178DFEDB">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7319134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06FDAC6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tcBorders>
              <w:top w:val="single" w:color="auto" w:sz="4" w:space="0"/>
              <w:left w:val="single" w:color="auto" w:sz="4" w:space="0"/>
              <w:bottom w:val="single" w:color="auto" w:sz="4" w:space="0"/>
              <w:right w:val="single" w:color="auto" w:sz="4" w:space="0"/>
            </w:tcBorders>
            <w:noWrap w:val="0"/>
            <w:vAlign w:val="center"/>
          </w:tcPr>
          <w:p w14:paraId="02C619B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7D906A3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tcBorders>
              <w:left w:val="single" w:color="auto" w:sz="4" w:space="0"/>
            </w:tcBorders>
            <w:noWrap w:val="0"/>
            <w:vAlign w:val="center"/>
          </w:tcPr>
          <w:p w14:paraId="1605B71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19FF02F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5760456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3B84F5C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433CC7D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5C6A963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7B1AD0A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5FC043A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0C8EB05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7382EC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single" w:color="auto" w:sz="4" w:space="0"/>
              <w:left w:val="single" w:color="auto" w:sz="4" w:space="0"/>
            </w:tcBorders>
            <w:noWrap w:val="0"/>
            <w:vAlign w:val="top"/>
          </w:tcPr>
          <w:p w14:paraId="1648C485">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tcBorders>
              <w:top w:val="single" w:color="auto" w:sz="4" w:space="0"/>
            </w:tcBorders>
            <w:noWrap w:val="0"/>
            <w:vAlign w:val="top"/>
          </w:tcPr>
          <w:p w14:paraId="71E56B72">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tcBorders>
              <w:top w:val="single" w:color="auto" w:sz="4" w:space="0"/>
            </w:tcBorders>
            <w:noWrap w:val="0"/>
            <w:vAlign w:val="top"/>
          </w:tcPr>
          <w:p w14:paraId="3C359A3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5A1E1A4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1BB16C4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2B8C66BE">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667DAE9E">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DA5F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19B5F5DC">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6A2D2DEF">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加强办公设备使用和耗材管理，多人共用一台打印机，减少经费支出。减少水电浪费，对不符合厉行节约的经费一律不批不报，禁止以外出培训等名义组织公款吃喝，精简会议。</w:t>
            </w:r>
          </w:p>
        </w:tc>
      </w:tr>
    </w:tbl>
    <w:p w14:paraId="68EF95ED">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1DCF2155">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罗丽君</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13786013434</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421F597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7B5F381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666D5D98">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7F276479">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11E5BC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73EF2011">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17A7BFA2">
            <w:pPr>
              <w:numPr>
                <w:ilvl w:val="0"/>
                <w:numId w:val="0"/>
              </w:numPr>
              <w:ind w:leftChars="0"/>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32"/>
                <w:szCs w:val="32"/>
                <w:lang w:eastAsia="zh-CN"/>
                <w14:textFill>
                  <w14:solidFill>
                    <w14:schemeClr w14:val="tx1"/>
                  </w14:solidFill>
                </w14:textFill>
              </w:rPr>
              <w:t>岳阳市直管公房运营服务中心</w:t>
            </w:r>
          </w:p>
        </w:tc>
      </w:tr>
      <w:tr w14:paraId="7966A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3325245A">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4D2574E6">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40EC74E4">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5794F881">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10F7617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20AF5F8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51D5E71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2D9F9D4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599A466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41A51D0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5A45A2BF">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78A18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673F6806">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43EBE195">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highlight w:val="none"/>
                <w14:textFill>
                  <w14:solidFill>
                    <w14:schemeClr w14:val="tx1"/>
                  </w14:solidFill>
                </w14:textFill>
              </w:rPr>
            </w:pPr>
            <w:r>
              <w:rPr>
                <w:rFonts w:ascii="宋体" w:hAnsi="宋体" w:eastAsia="宋体" w:cs="宋体"/>
                <w:color w:val="000000" w:themeColor="text1"/>
                <w:spacing w:val="0"/>
                <w:sz w:val="21"/>
                <w:szCs w:val="21"/>
                <w:highlight w:val="none"/>
                <w14:textFill>
                  <w14:solidFill>
                    <w14:schemeClr w14:val="tx1"/>
                  </w14:solidFill>
                </w14:textFill>
              </w:rPr>
              <w:t>年度资金总额</w:t>
            </w:r>
          </w:p>
        </w:tc>
        <w:tc>
          <w:tcPr>
            <w:tcW w:w="1269" w:type="dxa"/>
            <w:noWrap w:val="0"/>
            <w:vAlign w:val="center"/>
          </w:tcPr>
          <w:p w14:paraId="5C1AE0E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highlight w:val="none"/>
                <w:lang w:val="en-US" w:eastAsia="zh-CN"/>
                <w14:textFill>
                  <w14:solidFill>
                    <w14:schemeClr w14:val="tx1"/>
                  </w14:solidFill>
                </w14:textFill>
              </w:rPr>
            </w:pPr>
            <w:r>
              <w:rPr>
                <w:rFonts w:hint="eastAsia" w:ascii="Arial"/>
                <w:color w:val="000000" w:themeColor="text1"/>
                <w:spacing w:val="0"/>
                <w:sz w:val="20"/>
                <w:highlight w:val="none"/>
                <w:lang w:val="en-US" w:eastAsia="zh-CN"/>
                <w14:textFill>
                  <w14:solidFill>
                    <w14:schemeClr w14:val="tx1"/>
                  </w14:solidFill>
                </w14:textFill>
              </w:rPr>
              <w:t>577.29</w:t>
            </w:r>
          </w:p>
        </w:tc>
        <w:tc>
          <w:tcPr>
            <w:tcW w:w="1319" w:type="dxa"/>
            <w:noWrap w:val="0"/>
            <w:vAlign w:val="center"/>
          </w:tcPr>
          <w:p w14:paraId="6CBF113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highlight w:val="none"/>
                <w:lang w:val="en-US" w:eastAsia="zh-CN"/>
                <w14:textFill>
                  <w14:solidFill>
                    <w14:schemeClr w14:val="tx1"/>
                  </w14:solidFill>
                </w14:textFill>
              </w:rPr>
            </w:pPr>
            <w:r>
              <w:rPr>
                <w:rFonts w:hint="eastAsia" w:ascii="Arial"/>
                <w:color w:val="000000" w:themeColor="text1"/>
                <w:spacing w:val="0"/>
                <w:sz w:val="20"/>
                <w:highlight w:val="none"/>
                <w:lang w:val="en-US" w:eastAsia="zh-CN"/>
                <w14:textFill>
                  <w14:solidFill>
                    <w14:schemeClr w14:val="tx1"/>
                  </w14:solidFill>
                </w14:textFill>
              </w:rPr>
              <w:t>965.35</w:t>
            </w:r>
          </w:p>
        </w:tc>
        <w:tc>
          <w:tcPr>
            <w:tcW w:w="1259" w:type="dxa"/>
            <w:noWrap w:val="0"/>
            <w:vAlign w:val="center"/>
          </w:tcPr>
          <w:p w14:paraId="42F5ED7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highlight w:val="none"/>
                <w:lang w:val="en-US" w:eastAsia="zh-CN"/>
                <w14:textFill>
                  <w14:solidFill>
                    <w14:schemeClr w14:val="tx1"/>
                  </w14:solidFill>
                </w14:textFill>
              </w:rPr>
            </w:pPr>
            <w:r>
              <w:rPr>
                <w:rFonts w:hint="eastAsia" w:ascii="Arial"/>
                <w:color w:val="000000" w:themeColor="text1"/>
                <w:spacing w:val="0"/>
                <w:sz w:val="20"/>
                <w:highlight w:val="none"/>
                <w:lang w:val="en-US" w:eastAsia="zh-CN"/>
                <w14:textFill>
                  <w14:solidFill>
                    <w14:schemeClr w14:val="tx1"/>
                  </w14:solidFill>
                </w14:textFill>
              </w:rPr>
              <w:t>965.35</w:t>
            </w:r>
          </w:p>
        </w:tc>
        <w:tc>
          <w:tcPr>
            <w:tcW w:w="719" w:type="dxa"/>
            <w:noWrap w:val="0"/>
            <w:vAlign w:val="center"/>
          </w:tcPr>
          <w:p w14:paraId="70A825A2">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highlight w:val="none"/>
                <w14:textFill>
                  <w14:solidFill>
                    <w14:schemeClr w14:val="tx1"/>
                  </w14:solidFill>
                </w14:textFill>
              </w:rPr>
            </w:pPr>
            <w:r>
              <w:rPr>
                <w:rFonts w:ascii="宋体" w:hAnsi="宋体" w:eastAsia="宋体" w:cs="宋体"/>
                <w:color w:val="000000" w:themeColor="text1"/>
                <w:spacing w:val="0"/>
                <w:position w:val="-3"/>
                <w:sz w:val="20"/>
                <w:szCs w:val="20"/>
                <w:highlight w:val="none"/>
                <w14:textFill>
                  <w14:solidFill>
                    <w14:schemeClr w14:val="tx1"/>
                  </w14:solidFill>
                </w14:textFill>
              </w:rPr>
              <w:t>10</w:t>
            </w:r>
          </w:p>
        </w:tc>
        <w:tc>
          <w:tcPr>
            <w:tcW w:w="802" w:type="dxa"/>
            <w:noWrap w:val="0"/>
            <w:vAlign w:val="center"/>
          </w:tcPr>
          <w:p w14:paraId="47845B2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highlight w:val="none"/>
                <w:lang w:val="en-US" w:eastAsia="zh-CN"/>
                <w14:textFill>
                  <w14:solidFill>
                    <w14:schemeClr w14:val="tx1"/>
                  </w14:solidFill>
                </w14:textFill>
              </w:rPr>
            </w:pPr>
            <w:r>
              <w:rPr>
                <w:rFonts w:hint="eastAsia" w:ascii="Arial"/>
                <w:color w:val="000000" w:themeColor="text1"/>
                <w:spacing w:val="0"/>
                <w:sz w:val="20"/>
                <w:highlight w:val="none"/>
                <w:lang w:val="en-US" w:eastAsia="zh-CN"/>
                <w14:textFill>
                  <w14:solidFill>
                    <w14:schemeClr w14:val="tx1"/>
                  </w14:solidFill>
                </w14:textFill>
              </w:rPr>
              <w:t>100.00%</w:t>
            </w:r>
          </w:p>
        </w:tc>
        <w:tc>
          <w:tcPr>
            <w:tcW w:w="1275" w:type="dxa"/>
            <w:noWrap w:val="0"/>
            <w:vAlign w:val="center"/>
          </w:tcPr>
          <w:p w14:paraId="3908E73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highlight w:val="none"/>
                <w:lang w:val="en-US" w:eastAsia="zh-CN"/>
                <w14:textFill>
                  <w14:solidFill>
                    <w14:schemeClr w14:val="tx1"/>
                  </w14:solidFill>
                </w14:textFill>
              </w:rPr>
            </w:pPr>
            <w:r>
              <w:rPr>
                <w:rFonts w:hint="eastAsia" w:ascii="Arial"/>
                <w:color w:val="000000" w:themeColor="text1"/>
                <w:spacing w:val="0"/>
                <w:sz w:val="20"/>
                <w:highlight w:val="none"/>
                <w:lang w:val="en-US" w:eastAsia="zh-CN"/>
                <w14:textFill>
                  <w14:solidFill>
                    <w14:schemeClr w14:val="tx1"/>
                  </w14:solidFill>
                </w14:textFill>
              </w:rPr>
              <w:t>10</w:t>
            </w:r>
          </w:p>
        </w:tc>
      </w:tr>
      <w:tr w14:paraId="5AABA6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0C090B6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75080A4">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6794AB19">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494F53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49B4FAD6">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93CE25E">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highlight w:val="none"/>
                <w:lang w:val="en-US" w:eastAsia="zh-CN"/>
                <w14:textFill>
                  <w14:solidFill>
                    <w14:schemeClr w14:val="tx1"/>
                  </w14:solidFill>
                </w14:textFill>
              </w:rPr>
            </w:pPr>
            <w:r>
              <w:rPr>
                <w:rFonts w:ascii="宋体" w:hAnsi="宋体" w:eastAsia="宋体" w:cs="宋体"/>
                <w:color w:val="000000" w:themeColor="text1"/>
                <w:spacing w:val="0"/>
                <w:sz w:val="21"/>
                <w:szCs w:val="21"/>
                <w:highlight w:val="none"/>
                <w14:textFill>
                  <w14:solidFill>
                    <w14:schemeClr w14:val="tx1"/>
                  </w14:solidFill>
                </w14:textFill>
              </w:rPr>
              <w:t xml:space="preserve">其中： </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 xml:space="preserve"> </w:t>
            </w:r>
            <w:r>
              <w:rPr>
                <w:rFonts w:ascii="宋体" w:hAnsi="宋体" w:eastAsia="宋体" w:cs="宋体"/>
                <w:color w:val="000000" w:themeColor="text1"/>
                <w:spacing w:val="0"/>
                <w:sz w:val="21"/>
                <w:szCs w:val="21"/>
                <w:highlight w:val="none"/>
                <w14:textFill>
                  <w14:solidFill>
                    <w14:schemeClr w14:val="tx1"/>
                  </w14:solidFill>
                </w14:textFill>
              </w:rPr>
              <w:t>一般公共预算：</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779.56</w:t>
            </w:r>
          </w:p>
        </w:tc>
        <w:tc>
          <w:tcPr>
            <w:tcW w:w="4055" w:type="dxa"/>
            <w:gridSpan w:val="4"/>
            <w:noWrap w:val="0"/>
            <w:vAlign w:val="center"/>
          </w:tcPr>
          <w:p w14:paraId="2685D2A2">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highlight w:val="none"/>
                <w:lang w:val="en-US" w:eastAsia="zh-CN"/>
                <w14:textFill>
                  <w14:solidFill>
                    <w14:schemeClr w14:val="tx1"/>
                  </w14:solidFill>
                </w14:textFill>
              </w:rPr>
            </w:pPr>
            <w:r>
              <w:rPr>
                <w:rFonts w:ascii="宋体" w:hAnsi="宋体" w:eastAsia="宋体" w:cs="宋体"/>
                <w:color w:val="000000" w:themeColor="text1"/>
                <w:spacing w:val="0"/>
                <w:sz w:val="21"/>
                <w:szCs w:val="21"/>
                <w:highlight w:val="none"/>
                <w14:textFill>
                  <w14:solidFill>
                    <w14:schemeClr w14:val="tx1"/>
                  </w14:solidFill>
                </w14:textFill>
              </w:rPr>
              <w:t>其中：基本支出：</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965.35</w:t>
            </w:r>
          </w:p>
        </w:tc>
      </w:tr>
      <w:tr w14:paraId="1F040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7524A7F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68314D1">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14:paraId="2D37CCB7">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tc>
      </w:tr>
      <w:tr w14:paraId="10F46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2859EA60">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BA6F079">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bookmarkStart w:id="0" w:name="_GoBack"/>
            <w:bookmarkEnd w:id="0"/>
          </w:p>
        </w:tc>
        <w:tc>
          <w:tcPr>
            <w:tcW w:w="4055" w:type="dxa"/>
            <w:gridSpan w:val="4"/>
            <w:noWrap w:val="0"/>
            <w:vAlign w:val="center"/>
          </w:tcPr>
          <w:p w14:paraId="157175B4">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4C2757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6DFF1E0E">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5DD8753">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14:textFill>
                  <w14:solidFill>
                    <w14:schemeClr w14:val="tx1"/>
                  </w14:solidFill>
                </w14:textFill>
              </w:rPr>
              <w:t>14.22</w:t>
            </w:r>
          </w:p>
        </w:tc>
        <w:tc>
          <w:tcPr>
            <w:tcW w:w="4055" w:type="dxa"/>
            <w:gridSpan w:val="4"/>
            <w:noWrap w:val="0"/>
            <w:vAlign w:val="center"/>
          </w:tcPr>
          <w:p w14:paraId="22EC2FD9">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2CAD7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3A24CAA1">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076D36FF">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448667F6">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512C3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0970F03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3C6053F">
            <w:pPr>
              <w:widowControl/>
              <w:numPr>
                <w:ilvl w:val="0"/>
                <w:numId w:val="0"/>
              </w:numPr>
              <w:spacing w:line="600" w:lineRule="exact"/>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负责公共租赁房屋的管理、维修、租金收取工作</w:t>
            </w:r>
            <w:r>
              <w:rPr>
                <w:rFonts w:hint="eastAsia" w:ascii="宋体" w:hAnsi="宋体" w:eastAsia="宋体" w:cs="宋体"/>
                <w:kern w:val="0"/>
                <w:sz w:val="21"/>
                <w:szCs w:val="21"/>
                <w:lang w:eastAsia="zh-CN"/>
              </w:rPr>
              <w:t>。</w:t>
            </w:r>
          </w:p>
          <w:p w14:paraId="3750CD40">
            <w:pPr>
              <w:widowControl/>
              <w:numPr>
                <w:ilvl w:val="0"/>
                <w:numId w:val="0"/>
              </w:numPr>
              <w:spacing w:line="600" w:lineRule="exac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协助实施公共租赁房屋危旧房的改造及公共租赁房屋的征迁工作；</w:t>
            </w:r>
          </w:p>
          <w:p w14:paraId="72C61414">
            <w:pPr>
              <w:widowControl/>
              <w:numPr>
                <w:ilvl w:val="0"/>
                <w:numId w:val="0"/>
              </w:numPr>
              <w:spacing w:line="600" w:lineRule="exac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负责公共租赁房屋运营腾退管理；</w:t>
            </w:r>
          </w:p>
          <w:p w14:paraId="691DABD9">
            <w:pPr>
              <w:widowControl/>
              <w:numPr>
                <w:ilvl w:val="0"/>
                <w:numId w:val="0"/>
              </w:numPr>
              <w:spacing w:line="600" w:lineRule="exac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负责查处有关违法违规行为，协调处理运营管理过程中有关信访问题；</w:t>
            </w:r>
          </w:p>
          <w:p w14:paraId="51DAC6B3">
            <w:pPr>
              <w:widowControl/>
              <w:numPr>
                <w:ilvl w:val="0"/>
                <w:numId w:val="0"/>
              </w:numPr>
              <w:spacing w:line="600" w:lineRule="exac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负责公共租赁房屋资产保值增值及安全管理工作；</w:t>
            </w:r>
          </w:p>
          <w:p w14:paraId="4FD9C594">
            <w:pPr>
              <w:widowControl/>
              <w:numPr>
                <w:ilvl w:val="0"/>
                <w:numId w:val="0"/>
              </w:numPr>
              <w:spacing w:line="600" w:lineRule="exac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完成上级部门交办的其他工作。</w:t>
            </w:r>
          </w:p>
          <w:p w14:paraId="24126FE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p>
        </w:tc>
        <w:tc>
          <w:tcPr>
            <w:tcW w:w="4055" w:type="dxa"/>
            <w:gridSpan w:val="4"/>
            <w:noWrap w:val="0"/>
            <w:vAlign w:val="center"/>
          </w:tcPr>
          <w:p w14:paraId="23EB9ADE">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按照年初既定目标，凝心聚力对标圆满完成2022年度各项目标任务：</w:t>
            </w:r>
          </w:p>
          <w:p w14:paraId="3B121924">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1、租金收缴方面；目标任务为520万元，实际完成528万余元，执行率101.55%.</w:t>
            </w:r>
          </w:p>
          <w:p w14:paraId="185145FC">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2、在协助实施公共租赁房屋危旧房的改造及公共租赁房屋的征迁工作中，通过与拆迁户友好沟通与协商，将岳阳楼经建投转来的拆迁补偿费按户及时转付给了配租拆迁户。</w:t>
            </w:r>
          </w:p>
          <w:p w14:paraId="0E18AB37">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3、在8月份的百日攻坚整治行动中，共查处腾退不再符合公共租赁住房条件的承租户300余户，已收回腾退的有9套；</w:t>
            </w:r>
          </w:p>
          <w:p w14:paraId="5ED1C8A6">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4、已协调处理运营管理过程中发生的一起有关信访问题；</w:t>
            </w:r>
          </w:p>
          <w:p w14:paraId="1E4BB165">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5、实际管理工作中，一直注意公租房的维修维护及安全管理工作，没有一起人为的损坏及安全事故方面的事件发生。</w:t>
            </w:r>
          </w:p>
          <w:p w14:paraId="6CC802E4">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6、积极完成了上级各部门交办的其他事项。</w:t>
            </w:r>
          </w:p>
          <w:p w14:paraId="0CEFE07B">
            <w:pPr>
              <w:pStyle w:val="3"/>
              <w:rPr>
                <w:rFonts w:hint="default"/>
                <w:lang w:val="en-US" w:eastAsia="zh-CN"/>
              </w:rPr>
            </w:pPr>
          </w:p>
        </w:tc>
      </w:tr>
      <w:tr w14:paraId="1F0C5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2AD5940C">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34722C37">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04D9B97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0569F7D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3FFDA0B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41697FB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00C1707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49673A2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7B45B4C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0FEF9107">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4E2EAF12">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7AACC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6ACCFB8B">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11F9BBE6">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03B589F7">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667392E5">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351B735A">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671DD8B4">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5B1FE4D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14:paraId="4759301D">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0004DE76">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租金收缴</w:t>
            </w:r>
          </w:p>
        </w:tc>
        <w:tc>
          <w:tcPr>
            <w:tcW w:w="1319" w:type="dxa"/>
            <w:noWrap w:val="0"/>
            <w:vAlign w:val="center"/>
          </w:tcPr>
          <w:p w14:paraId="4B57E72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520万元</w:t>
            </w:r>
          </w:p>
        </w:tc>
        <w:tc>
          <w:tcPr>
            <w:tcW w:w="1259" w:type="dxa"/>
            <w:noWrap w:val="0"/>
            <w:vAlign w:val="center"/>
          </w:tcPr>
          <w:p w14:paraId="00426E8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528万元</w:t>
            </w:r>
          </w:p>
        </w:tc>
        <w:tc>
          <w:tcPr>
            <w:tcW w:w="719" w:type="dxa"/>
            <w:noWrap w:val="0"/>
            <w:vAlign w:val="center"/>
          </w:tcPr>
          <w:p w14:paraId="573CED0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17B9F32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454A3F8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336946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52CB6E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E9A163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674040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1BEB9A0">
            <w:pPr>
              <w:keepNext w:val="0"/>
              <w:keepLines w:val="0"/>
              <w:pageBreakBefore w:val="0"/>
              <w:widowControl w:val="0"/>
              <w:kinsoku/>
              <w:wordWrap/>
              <w:overflowPunct/>
              <w:topLinePunct w:val="0"/>
              <w:autoSpaceDE/>
              <w:autoSpaceDN/>
              <w:bidi w:val="0"/>
              <w:adjustRightInd/>
              <w:snapToGrid/>
              <w:ind w:left="0"/>
              <w:jc w:val="both"/>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旧改拆迁</w:t>
            </w:r>
          </w:p>
        </w:tc>
        <w:tc>
          <w:tcPr>
            <w:tcW w:w="1319" w:type="dxa"/>
            <w:noWrap w:val="0"/>
            <w:vAlign w:val="center"/>
          </w:tcPr>
          <w:p w14:paraId="2CC10FA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拆迁费补偿到位100.04万元</w:t>
            </w:r>
          </w:p>
        </w:tc>
        <w:tc>
          <w:tcPr>
            <w:tcW w:w="1259" w:type="dxa"/>
            <w:noWrap w:val="0"/>
            <w:vAlign w:val="center"/>
          </w:tcPr>
          <w:p w14:paraId="4253800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已补偿到位100.04万元</w:t>
            </w:r>
          </w:p>
        </w:tc>
        <w:tc>
          <w:tcPr>
            <w:tcW w:w="719" w:type="dxa"/>
            <w:noWrap w:val="0"/>
            <w:vAlign w:val="center"/>
          </w:tcPr>
          <w:p w14:paraId="2E3DB81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167F5AF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4F71AB3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00A4E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3162291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0BF513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82B18D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DEF489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查处腾退不再符合公共租赁住房条件的承租户</w:t>
            </w:r>
          </w:p>
        </w:tc>
        <w:tc>
          <w:tcPr>
            <w:tcW w:w="1319" w:type="dxa"/>
            <w:noWrap w:val="0"/>
            <w:vAlign w:val="center"/>
          </w:tcPr>
          <w:p w14:paraId="39BC040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300余户</w:t>
            </w:r>
          </w:p>
        </w:tc>
        <w:tc>
          <w:tcPr>
            <w:tcW w:w="1259" w:type="dxa"/>
            <w:noWrap w:val="0"/>
            <w:vAlign w:val="center"/>
          </w:tcPr>
          <w:p w14:paraId="3CF861A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300余户</w:t>
            </w:r>
          </w:p>
        </w:tc>
        <w:tc>
          <w:tcPr>
            <w:tcW w:w="719" w:type="dxa"/>
            <w:noWrap w:val="0"/>
            <w:vAlign w:val="center"/>
          </w:tcPr>
          <w:p w14:paraId="40E2B2F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2E86DE7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2B75C12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7B884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910AB4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EF2ADD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630BB5C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65CD31D7">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房屋修缮率</w:t>
            </w:r>
          </w:p>
        </w:tc>
        <w:tc>
          <w:tcPr>
            <w:tcW w:w="1319" w:type="dxa"/>
            <w:noWrap w:val="0"/>
            <w:vAlign w:val="center"/>
          </w:tcPr>
          <w:p w14:paraId="2B88243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应修尽修</w:t>
            </w:r>
          </w:p>
        </w:tc>
        <w:tc>
          <w:tcPr>
            <w:tcW w:w="1259" w:type="dxa"/>
            <w:noWrap w:val="0"/>
            <w:vAlign w:val="center"/>
          </w:tcPr>
          <w:p w14:paraId="2EBEF60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46E68AF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6A7CF94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729A61B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38F20C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59D14E6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822A48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A3BD7E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1774ED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315F04A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190824A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763FF6B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39B3FD1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1ADEA16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E5E4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3B9375D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B655B7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6312A47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417CDC7">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1319" w:type="dxa"/>
            <w:noWrap w:val="0"/>
            <w:vAlign w:val="center"/>
          </w:tcPr>
          <w:p w14:paraId="5843DD33">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1259" w:type="dxa"/>
            <w:noWrap w:val="0"/>
            <w:vAlign w:val="center"/>
          </w:tcPr>
          <w:p w14:paraId="6C4D00DA">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719" w:type="dxa"/>
            <w:noWrap w:val="0"/>
            <w:vAlign w:val="center"/>
          </w:tcPr>
          <w:p w14:paraId="28F07303">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802" w:type="dxa"/>
            <w:noWrap w:val="0"/>
            <w:vAlign w:val="center"/>
          </w:tcPr>
          <w:p w14:paraId="02C9F8E5">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1275" w:type="dxa"/>
            <w:noWrap w:val="0"/>
            <w:vAlign w:val="center"/>
          </w:tcPr>
          <w:p w14:paraId="694D7200">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02214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143FAE9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635BCD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5315B4C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0A4F8C0B">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租金收缴完成时间</w:t>
            </w:r>
          </w:p>
        </w:tc>
        <w:tc>
          <w:tcPr>
            <w:tcW w:w="1319" w:type="dxa"/>
            <w:noWrap w:val="0"/>
            <w:vAlign w:val="center"/>
          </w:tcPr>
          <w:p w14:paraId="3297FE0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2022年12月31日止</w:t>
            </w:r>
          </w:p>
        </w:tc>
        <w:tc>
          <w:tcPr>
            <w:tcW w:w="1259" w:type="dxa"/>
            <w:noWrap w:val="0"/>
            <w:vAlign w:val="center"/>
          </w:tcPr>
          <w:p w14:paraId="5055734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2022年12月31日</w:t>
            </w:r>
          </w:p>
        </w:tc>
        <w:tc>
          <w:tcPr>
            <w:tcW w:w="719" w:type="dxa"/>
            <w:noWrap w:val="0"/>
            <w:vAlign w:val="center"/>
          </w:tcPr>
          <w:p w14:paraId="2C01DB5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7E8E599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535F0F9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F4FC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13FB1F3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A63EF0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1F0EC9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6DDCCB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36859A4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400238E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0B96D3A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621A635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07B3B4A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984F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706A46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8A89C9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32D59FA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B35CEC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37AB03C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06BCC7A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21C07BC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48E5C34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29BB8A0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9059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4F82ACD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5494B2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3ECF5D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4D88B675">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预算控制数</w:t>
            </w:r>
          </w:p>
        </w:tc>
        <w:tc>
          <w:tcPr>
            <w:tcW w:w="1319" w:type="dxa"/>
            <w:noWrap w:val="0"/>
            <w:vAlign w:val="center"/>
          </w:tcPr>
          <w:p w14:paraId="4DEA9A2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控制在预算内</w:t>
            </w:r>
          </w:p>
        </w:tc>
        <w:tc>
          <w:tcPr>
            <w:tcW w:w="1259" w:type="dxa"/>
            <w:noWrap w:val="0"/>
            <w:vAlign w:val="center"/>
          </w:tcPr>
          <w:p w14:paraId="1877833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794.57</w:t>
            </w:r>
          </w:p>
        </w:tc>
        <w:tc>
          <w:tcPr>
            <w:tcW w:w="719" w:type="dxa"/>
            <w:noWrap w:val="0"/>
            <w:vAlign w:val="center"/>
          </w:tcPr>
          <w:p w14:paraId="4A003C7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72B48E1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142B409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2D778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60352FA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CC26D4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22F0F29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694CE9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1A959BB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2CE872B4">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026A63A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3541F6E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6FBC770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0FB35E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2F41EAF">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12BC436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52D4E75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E470CB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24E7A7D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5D401FE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2E82CB5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6D6822F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72FEBAB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BCB9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14B022F">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41E290DA">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76400127">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177237C5">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5814A85">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10D2C153">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017E32B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bottom w:val="nil"/>
            </w:tcBorders>
            <w:noWrap w:val="0"/>
            <w:vAlign w:val="center"/>
          </w:tcPr>
          <w:p w14:paraId="085C3AF3">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646BDC1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2EE7A362">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多入库数</w:t>
            </w:r>
          </w:p>
        </w:tc>
        <w:tc>
          <w:tcPr>
            <w:tcW w:w="1319" w:type="dxa"/>
            <w:noWrap w:val="0"/>
            <w:vAlign w:val="center"/>
          </w:tcPr>
          <w:p w14:paraId="5F2F124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59" w:type="dxa"/>
            <w:noWrap w:val="0"/>
            <w:vAlign w:val="center"/>
          </w:tcPr>
          <w:p w14:paraId="7D944C3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528</w:t>
            </w:r>
          </w:p>
        </w:tc>
        <w:tc>
          <w:tcPr>
            <w:tcW w:w="719" w:type="dxa"/>
            <w:noWrap w:val="0"/>
            <w:vAlign w:val="center"/>
          </w:tcPr>
          <w:p w14:paraId="72B2AB4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802" w:type="dxa"/>
            <w:noWrap w:val="0"/>
            <w:vAlign w:val="center"/>
          </w:tcPr>
          <w:p w14:paraId="03C5869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1275" w:type="dxa"/>
            <w:noWrap w:val="0"/>
            <w:vAlign w:val="center"/>
          </w:tcPr>
          <w:p w14:paraId="54DEAD4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FFC02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06EE474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8F51B1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3C4303B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539953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645104E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6A76505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49DD7DB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6D601FD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61F330F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0A408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953AD2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76B75A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7A4C9A9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8B05E3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3E840EE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4A04713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62F00CA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07D4DDE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33307817">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051A7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DDE74E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B14036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251CB501">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7D1594B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2A495DBB">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发挥住房保障作用</w:t>
            </w:r>
          </w:p>
        </w:tc>
        <w:tc>
          <w:tcPr>
            <w:tcW w:w="1319" w:type="dxa"/>
            <w:noWrap w:val="0"/>
            <w:vAlign w:val="center"/>
          </w:tcPr>
          <w:p w14:paraId="1C4E8BD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解决住房困难群体的住房问题，发挥社会稳定作用，促进城市和谐发展</w:t>
            </w:r>
          </w:p>
        </w:tc>
        <w:tc>
          <w:tcPr>
            <w:tcW w:w="1259" w:type="dxa"/>
            <w:noWrap w:val="0"/>
            <w:vAlign w:val="center"/>
          </w:tcPr>
          <w:p w14:paraId="3EDA28D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6701897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802" w:type="dxa"/>
            <w:noWrap w:val="0"/>
            <w:vAlign w:val="center"/>
          </w:tcPr>
          <w:p w14:paraId="35AF5FF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1275" w:type="dxa"/>
            <w:noWrap w:val="0"/>
            <w:vAlign w:val="center"/>
          </w:tcPr>
          <w:p w14:paraId="3862B62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00307E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7FD4029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F38BAA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6285525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604EA6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422F554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3830A7B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3072233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04F9345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0D48438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3AF4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0D2B86E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D02965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0C91ED6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F12B1B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2DD4BE4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5DEC1F8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286D126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41203E2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4541DB8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267CFE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C7B1F9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9D332A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5927E2E5">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68E7845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1A4539CE">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居住安全</w:t>
            </w:r>
          </w:p>
        </w:tc>
        <w:tc>
          <w:tcPr>
            <w:tcW w:w="1319" w:type="dxa"/>
            <w:noWrap w:val="0"/>
            <w:vAlign w:val="center"/>
          </w:tcPr>
          <w:p w14:paraId="2528EA0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0183375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244E296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12A2E75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3F590CA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81F70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7213405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9B6E10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4F470AA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291410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4C45E79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04FC203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36B03D3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21E8BD4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25291A5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1996E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1564A46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F3528B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2E04694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F26823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14:paraId="6AA1A19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22A2EB1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5A72CEA7">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5D51EEB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43E768F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4DA88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46EE3AD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1D5F7F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01617DEA">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55D0FFE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0DD1D4F0">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惠民政策</w:t>
            </w:r>
          </w:p>
        </w:tc>
        <w:tc>
          <w:tcPr>
            <w:tcW w:w="1319" w:type="dxa"/>
            <w:noWrap w:val="0"/>
            <w:vAlign w:val="center"/>
          </w:tcPr>
          <w:p w14:paraId="6CADEB7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房源足的情况下</w:t>
            </w:r>
          </w:p>
        </w:tc>
        <w:tc>
          <w:tcPr>
            <w:tcW w:w="1259" w:type="dxa"/>
            <w:noWrap w:val="0"/>
            <w:vAlign w:val="center"/>
          </w:tcPr>
          <w:p w14:paraId="0588595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让符合条件的家庭应保尽保</w:t>
            </w:r>
          </w:p>
        </w:tc>
        <w:tc>
          <w:tcPr>
            <w:tcW w:w="719" w:type="dxa"/>
            <w:noWrap w:val="0"/>
            <w:vAlign w:val="center"/>
          </w:tcPr>
          <w:p w14:paraId="77C74D2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50582BF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0135154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E0C15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1084" w:type="dxa"/>
            <w:vMerge w:val="continue"/>
            <w:tcBorders>
              <w:top w:val="nil"/>
              <w:bottom w:val="nil"/>
            </w:tcBorders>
            <w:noWrap w:val="0"/>
            <w:textDirection w:val="tbRlV"/>
            <w:vAlign w:val="top"/>
          </w:tcPr>
          <w:p w14:paraId="61ADDDD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1CADD2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1BB7784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F2AB9B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7E95D35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5560D82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170349B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0DACC24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1117647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F9B48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0" w:hRule="atLeast"/>
        </w:trPr>
        <w:tc>
          <w:tcPr>
            <w:tcW w:w="1084" w:type="dxa"/>
            <w:vMerge w:val="continue"/>
            <w:tcBorders>
              <w:top w:val="nil"/>
              <w:bottom w:val="nil"/>
            </w:tcBorders>
            <w:noWrap w:val="0"/>
            <w:textDirection w:val="tbRlV"/>
            <w:vAlign w:val="top"/>
          </w:tcPr>
          <w:p w14:paraId="2B33EF70">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28F4768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134A67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6D588D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3F71676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7A41410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237DA9A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1EBD283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6443A95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0D754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081D76C2">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282DA14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6D4D12C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3509B75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tcBorders>
              <w:bottom w:val="nil"/>
            </w:tcBorders>
            <w:noWrap w:val="0"/>
            <w:vAlign w:val="center"/>
          </w:tcPr>
          <w:p w14:paraId="66C953DE">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6FAE5346">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6FBB1B4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258CCB9F">
            <w:pPr>
              <w:keepNext w:val="0"/>
              <w:keepLines w:val="0"/>
              <w:widowControl/>
              <w:suppressLineNumbers w:val="0"/>
              <w:jc w:val="center"/>
              <w:textAlignment w:val="center"/>
              <w:rPr>
                <w:rFonts w:hint="eastAsia" w:ascii="宋体" w:hAnsi="宋体" w:eastAsia="宋体" w:cs="宋体"/>
                <w:i w:val="0"/>
                <w:iCs w:val="0"/>
                <w:color w:val="000000"/>
                <w:kern w:val="2"/>
                <w:sz w:val="16"/>
                <w:szCs w:val="16"/>
                <w:u w:val="none"/>
                <w:lang w:val="en-US" w:eastAsia="zh-CN" w:bidi="ar-SA"/>
              </w:rPr>
            </w:pPr>
            <w:r>
              <w:rPr>
                <w:rFonts w:hint="eastAsia" w:ascii="宋体" w:hAnsi="宋体" w:eastAsia="宋体" w:cs="宋体"/>
                <w:i w:val="0"/>
                <w:iCs w:val="0"/>
                <w:color w:val="000000"/>
                <w:kern w:val="0"/>
                <w:sz w:val="16"/>
                <w:szCs w:val="16"/>
                <w:u w:val="none"/>
                <w:lang w:val="en-US" w:eastAsia="zh-CN" w:bidi="ar"/>
              </w:rPr>
              <w:t>受益群众满意度</w:t>
            </w:r>
          </w:p>
        </w:tc>
        <w:tc>
          <w:tcPr>
            <w:tcW w:w="1319" w:type="dxa"/>
            <w:noWrap w:val="0"/>
            <w:vAlign w:val="center"/>
          </w:tcPr>
          <w:p w14:paraId="23AF2A8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259" w:type="dxa"/>
            <w:noWrap w:val="0"/>
            <w:vAlign w:val="center"/>
          </w:tcPr>
          <w:p w14:paraId="348BB09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719" w:type="dxa"/>
            <w:noWrap w:val="0"/>
            <w:vAlign w:val="center"/>
          </w:tcPr>
          <w:p w14:paraId="71003DB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276C780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1275" w:type="dxa"/>
            <w:noWrap w:val="0"/>
            <w:vAlign w:val="center"/>
          </w:tcPr>
          <w:p w14:paraId="2751F9F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89E0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14:paraId="6409B2C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351036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064B38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D04162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1264FDB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18BB2B5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3953B97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69D46EC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4241A1C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1DEF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84" w:type="dxa"/>
            <w:vMerge w:val="continue"/>
            <w:tcBorders>
              <w:top w:val="nil"/>
            </w:tcBorders>
            <w:noWrap w:val="0"/>
            <w:textDirection w:val="tbRlV"/>
            <w:vAlign w:val="top"/>
          </w:tcPr>
          <w:p w14:paraId="68A15E6C">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7F8C790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2800E21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BA469C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14:paraId="0E82E09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5498C45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0A557CE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5532273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5FEB796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369E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05C92DB1">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779ED468">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4C3E681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75" w:type="dxa"/>
            <w:noWrap w:val="0"/>
            <w:vAlign w:val="center"/>
          </w:tcPr>
          <w:p w14:paraId="32BDA3B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16D66D5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567" w:left="1134" w:header="851" w:footer="992" w:gutter="0"/>
          <w:pgNumType w:fmt="decimal"/>
          <w:cols w:space="0" w:num="1"/>
          <w:rtlGutter w:val="0"/>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eastAsia="zh-CN"/>
          <w14:textFill>
            <w14:solidFill>
              <w14:schemeClr w14:val="tx1"/>
            </w14:solidFill>
          </w14:textFill>
        </w:rPr>
        <w:t>罗丽君</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13786013434</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1D3F43D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39FEB89A">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5E6F463C">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岳阳市直管公房运营服务中心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14:paraId="3C06E14C">
      <w:pPr>
        <w:pStyle w:val="3"/>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切实做好2022年度部门整体支出绩效自评工作，提高财政资金使用效益，根据上级指示精神，结合实际，我单位迅速组织成立了绩效评价工作小组，小组采取交叉检查与座谈方式听取今年来的所有情况，包括检查基本支出有关账目，收集整理支出相关资料进行分析、总结，现将我单位整体支出绩效自评结果报告如下:</w:t>
      </w:r>
    </w:p>
    <w:p w14:paraId="73AA56B3">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方正小标宋简体" w:hAnsi="方正小标宋简体" w:eastAsia="方正小标宋简体" w:cs="方正小标宋简体"/>
          <w:b w:val="0"/>
          <w:bCs w:val="0"/>
          <w:color w:val="000000" w:themeColor="text1"/>
          <w:spacing w:val="2"/>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一、单位基本情况</w:t>
      </w:r>
    </w:p>
    <w:p w14:paraId="495E08D4">
      <w:pPr>
        <w:widowControl/>
        <w:spacing w:line="600" w:lineRule="exact"/>
        <w:ind w:firstLine="643" w:firstLineChars="200"/>
        <w:rPr>
          <w:rFonts w:hint="eastAsia" w:ascii="宋体" w:hAnsi="宋体" w:eastAsia="宋体" w:cs="宋体"/>
          <w:b/>
          <w:bCs/>
          <w:kern w:val="0"/>
          <w:sz w:val="32"/>
          <w:szCs w:val="32"/>
        </w:rPr>
      </w:pPr>
      <w:r>
        <w:rPr>
          <w:rFonts w:hint="eastAsia" w:ascii="宋体" w:hAnsi="宋体" w:eastAsia="宋体" w:cs="宋体"/>
          <w:b/>
          <w:bCs/>
          <w:kern w:val="0"/>
          <w:sz w:val="32"/>
          <w:szCs w:val="32"/>
        </w:rPr>
        <w:t>（一）职能职责</w:t>
      </w:r>
    </w:p>
    <w:p w14:paraId="654641CA">
      <w:pPr>
        <w:widowControl/>
        <w:spacing w:line="600" w:lineRule="exact"/>
        <w:ind w:firstLine="640" w:firstLineChars="200"/>
        <w:rPr>
          <w:rFonts w:hint="eastAsia" w:ascii="宋体" w:hAnsi="宋体" w:eastAsia="宋体" w:cs="宋体"/>
          <w:kern w:val="0"/>
          <w:sz w:val="32"/>
          <w:szCs w:val="32"/>
        </w:rPr>
      </w:pPr>
      <w:r>
        <w:rPr>
          <w:rFonts w:hint="eastAsia" w:ascii="仿宋" w:hAnsi="仿宋" w:eastAsia="仿宋" w:cs="仿宋"/>
          <w:kern w:val="0"/>
          <w:sz w:val="32"/>
          <w:szCs w:val="32"/>
        </w:rPr>
        <w:t>负责贯彻执行公共租赁房屋管理的法律、法规和政策，参与拟定公共租赁房屋管理的政策法规文件；制定公共租赁房屋运营管理的各项制度；负责公共租赁房屋的管理、维修、租金收取工作，协助实施公共租赁房屋危旧房的改造及公共租赁房屋的征迁工作；负责公共租赁房屋运营腾退管理；负责查处有关违法违规行为，协调处理运营管理过程中有关信访问题；负责公共租赁房屋资产保值增值及安全管理工作；完成上级部门交办的其他工作。</w:t>
      </w:r>
    </w:p>
    <w:p w14:paraId="73BD10A7">
      <w:pPr>
        <w:widowControl/>
        <w:spacing w:line="600" w:lineRule="exact"/>
        <w:ind w:firstLine="643" w:firstLineChars="200"/>
        <w:rPr>
          <w:rFonts w:hint="eastAsia" w:ascii="宋体" w:hAnsi="宋体" w:eastAsia="宋体" w:cs="宋体"/>
          <w:b/>
          <w:bCs/>
          <w:kern w:val="0"/>
          <w:sz w:val="32"/>
          <w:szCs w:val="32"/>
        </w:rPr>
      </w:pPr>
      <w:r>
        <w:rPr>
          <w:rFonts w:hint="eastAsia" w:ascii="宋体" w:hAnsi="宋体" w:eastAsia="宋体" w:cs="宋体"/>
          <w:b/>
          <w:bCs/>
          <w:kern w:val="0"/>
          <w:sz w:val="32"/>
          <w:szCs w:val="32"/>
        </w:rPr>
        <w:t>（二）机构设置</w:t>
      </w:r>
    </w:p>
    <w:p w14:paraId="71961818">
      <w:pPr>
        <w:widowControl/>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lang w:eastAsia="zh-CN"/>
        </w:rPr>
        <w:t>根据党和国家机构改革“三定”方案：</w:t>
      </w:r>
      <w:r>
        <w:rPr>
          <w:rFonts w:hint="eastAsia" w:ascii="仿宋" w:hAnsi="仿宋" w:eastAsia="仿宋" w:cs="仿宋"/>
          <w:kern w:val="0"/>
          <w:sz w:val="32"/>
          <w:szCs w:val="32"/>
          <w:lang w:val="en-US" w:eastAsia="zh-CN"/>
        </w:rPr>
        <w:t>现共有编制34人，实有33人。</w:t>
      </w:r>
      <w:r>
        <w:rPr>
          <w:rFonts w:hint="eastAsia" w:ascii="仿宋" w:hAnsi="仿宋" w:eastAsia="仿宋" w:cs="仿宋"/>
          <w:kern w:val="0"/>
          <w:sz w:val="32"/>
          <w:szCs w:val="32"/>
        </w:rPr>
        <w:t>单位领导岗位4个。其中：正科级职员1个，副科级职员3</w:t>
      </w:r>
      <w:r>
        <w:rPr>
          <w:rFonts w:hint="eastAsia" w:ascii="仿宋" w:hAnsi="仿宋" w:eastAsia="仿宋" w:cs="仿宋"/>
          <w:kern w:val="0"/>
          <w:sz w:val="32"/>
          <w:szCs w:val="32"/>
          <w:lang w:eastAsia="zh-CN"/>
        </w:rPr>
        <w:t>名。</w:t>
      </w:r>
      <w:r>
        <w:rPr>
          <w:rFonts w:hint="eastAsia" w:ascii="仿宋" w:hAnsi="仿宋" w:eastAsia="仿宋" w:cs="仿宋"/>
          <w:kern w:val="0"/>
          <w:sz w:val="32"/>
          <w:szCs w:val="32"/>
        </w:rPr>
        <w:t>内设</w:t>
      </w:r>
      <w:r>
        <w:rPr>
          <w:rFonts w:hint="eastAsia" w:ascii="仿宋" w:hAnsi="仿宋" w:eastAsia="仿宋" w:cs="仿宋"/>
          <w:kern w:val="0"/>
          <w:sz w:val="32"/>
          <w:szCs w:val="32"/>
          <w:lang w:val="en-US" w:eastAsia="zh-CN"/>
        </w:rPr>
        <w:t>股室</w:t>
      </w:r>
      <w:r>
        <w:rPr>
          <w:rFonts w:hint="eastAsia" w:ascii="仿宋" w:hAnsi="仿宋" w:eastAsia="仿宋" w:cs="仿宋"/>
          <w:kern w:val="0"/>
          <w:sz w:val="32"/>
          <w:szCs w:val="32"/>
        </w:rPr>
        <w:t xml:space="preserve"> 8个：计财股，住保股，工程股，稽查股，房管一所，房管二所，春和所，办公室。</w:t>
      </w:r>
    </w:p>
    <w:p w14:paraId="73274B1E">
      <w:pPr>
        <w:widowControl/>
        <w:spacing w:line="600" w:lineRule="exact"/>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13BD5676">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 w:hAnsi="楷体" w:eastAsia="楷体" w:cs="楷体"/>
          <w:b/>
          <w:bCs/>
          <w:color w:val="000000" w:themeColor="text1"/>
          <w:spacing w:val="0"/>
          <w:position w:val="0"/>
          <w:sz w:val="32"/>
          <w:szCs w:val="32"/>
          <w:lang w:val="en-US" w:eastAsia="zh-CN"/>
          <w14:textFill>
            <w14:solidFill>
              <w14:schemeClr w14:val="tx1"/>
            </w14:solidFill>
          </w14:textFill>
        </w:rPr>
      </w:pPr>
      <w:r>
        <w:rPr>
          <w:rFonts w:hint="eastAsia" w:ascii="楷体" w:hAnsi="楷体" w:eastAsia="楷体" w:cs="楷体"/>
          <w:b/>
          <w:bCs/>
          <w:color w:val="000000" w:themeColor="text1"/>
          <w:spacing w:val="0"/>
          <w:position w:val="0"/>
          <w:sz w:val="32"/>
          <w:szCs w:val="32"/>
          <w:lang w:val="en-US" w:eastAsia="zh-CN"/>
          <w14:textFill>
            <w14:solidFill>
              <w14:schemeClr w14:val="tx1"/>
            </w14:solidFill>
          </w14:textFill>
        </w:rPr>
        <w:t>(一)基本支出情况</w:t>
      </w:r>
    </w:p>
    <w:p w14:paraId="4607D909">
      <w:pPr>
        <w:widowControl/>
        <w:numPr>
          <w:ilvl w:val="0"/>
          <w:numId w:val="0"/>
        </w:numPr>
        <w:spacing w:line="600" w:lineRule="exact"/>
        <w:ind w:firstLine="640" w:firstLineChars="200"/>
        <w:jc w:val="left"/>
        <w:rPr>
          <w:rFonts w:hint="eastAsia" w:ascii="仿宋" w:hAnsi="仿宋" w:eastAsia="仿宋" w:cs="仿宋"/>
          <w:kern w:val="0"/>
          <w:sz w:val="32"/>
          <w:szCs w:val="32"/>
        </w:rPr>
      </w:pPr>
      <w:r>
        <w:rPr>
          <w:rFonts w:hint="eastAsia" w:ascii="仿宋" w:hAnsi="仿宋" w:eastAsia="仿宋" w:cs="仿宋"/>
          <w:bCs/>
          <w:sz w:val="32"/>
          <w:szCs w:val="32"/>
        </w:rPr>
        <w:t>1</w:t>
      </w:r>
      <w:r>
        <w:rPr>
          <w:rFonts w:hint="eastAsia" w:ascii="仿宋" w:hAnsi="仿宋" w:eastAsia="仿宋" w:cs="仿宋"/>
          <w:kern w:val="0"/>
          <w:sz w:val="32"/>
          <w:szCs w:val="32"/>
        </w:rPr>
        <w:t>.工资福利支出</w:t>
      </w:r>
      <w:r>
        <w:rPr>
          <w:rFonts w:hint="eastAsia" w:ascii="仿宋" w:hAnsi="仿宋" w:eastAsia="仿宋" w:cs="仿宋"/>
          <w:kern w:val="0"/>
          <w:sz w:val="32"/>
          <w:szCs w:val="32"/>
          <w:lang w:val="en-US" w:eastAsia="zh-CN"/>
        </w:rPr>
        <w:t>369.04</w:t>
      </w:r>
      <w:r>
        <w:rPr>
          <w:rFonts w:hint="eastAsia" w:ascii="仿宋" w:hAnsi="仿宋" w:eastAsia="仿宋" w:cs="仿宋"/>
          <w:kern w:val="0"/>
          <w:sz w:val="32"/>
          <w:szCs w:val="32"/>
        </w:rPr>
        <w:t>万元，占总支出的</w:t>
      </w:r>
      <w:r>
        <w:rPr>
          <w:rFonts w:hint="eastAsia" w:ascii="仿宋" w:hAnsi="仿宋" w:eastAsia="仿宋" w:cs="仿宋"/>
          <w:kern w:val="0"/>
          <w:sz w:val="32"/>
          <w:szCs w:val="32"/>
          <w:lang w:val="en-US" w:eastAsia="zh-CN"/>
        </w:rPr>
        <w:t>47.33</w:t>
      </w:r>
      <w:r>
        <w:rPr>
          <w:rFonts w:hint="eastAsia" w:ascii="仿宋" w:hAnsi="仿宋" w:eastAsia="仿宋" w:cs="仿宋"/>
          <w:kern w:val="0"/>
          <w:sz w:val="32"/>
          <w:szCs w:val="32"/>
        </w:rPr>
        <w:t>%。主要用于基本工资、津补贴、绩效</w:t>
      </w:r>
      <w:r>
        <w:rPr>
          <w:rFonts w:hint="eastAsia" w:ascii="仿宋" w:hAnsi="仿宋" w:eastAsia="仿宋" w:cs="仿宋"/>
          <w:kern w:val="0"/>
          <w:sz w:val="32"/>
          <w:szCs w:val="32"/>
          <w:lang w:eastAsia="zh-CN"/>
        </w:rPr>
        <w:t>工资</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资金、职工养老保险</w:t>
      </w:r>
      <w:r>
        <w:rPr>
          <w:rFonts w:hint="eastAsia" w:ascii="仿宋" w:hAnsi="仿宋" w:eastAsia="仿宋" w:cs="仿宋"/>
          <w:kern w:val="0"/>
          <w:sz w:val="32"/>
          <w:szCs w:val="32"/>
        </w:rPr>
        <w:t>、工伤保险、职工医疗</w:t>
      </w:r>
      <w:r>
        <w:rPr>
          <w:rFonts w:hint="eastAsia" w:ascii="仿宋" w:hAnsi="仿宋" w:eastAsia="仿宋" w:cs="仿宋"/>
          <w:kern w:val="0"/>
          <w:sz w:val="32"/>
          <w:szCs w:val="32"/>
          <w:lang w:eastAsia="zh-CN"/>
        </w:rPr>
        <w:t>保险、公积金</w:t>
      </w:r>
      <w:r>
        <w:rPr>
          <w:rFonts w:hint="eastAsia" w:ascii="仿宋" w:hAnsi="仿宋" w:eastAsia="仿宋" w:cs="仿宋"/>
          <w:kern w:val="0"/>
          <w:sz w:val="32"/>
          <w:szCs w:val="32"/>
        </w:rPr>
        <w:t>等方面。</w:t>
      </w:r>
    </w:p>
    <w:p w14:paraId="700E8E3E">
      <w:pPr>
        <w:widowControl/>
        <w:numPr>
          <w:ilvl w:val="0"/>
          <w:numId w:val="0"/>
        </w:numPr>
        <w:spacing w:line="600" w:lineRule="exact"/>
        <w:ind w:firstLine="640" w:firstLineChars="200"/>
        <w:jc w:val="left"/>
        <w:rPr>
          <w:rFonts w:hint="eastAsia" w:ascii="仿宋" w:hAnsi="仿宋" w:eastAsia="仿宋" w:cs="仿宋"/>
          <w:kern w:val="0"/>
          <w:sz w:val="32"/>
          <w:szCs w:val="32"/>
        </w:rPr>
      </w:pPr>
      <w:r>
        <w:rPr>
          <w:rFonts w:hint="eastAsia" w:ascii="仿宋" w:hAnsi="仿宋" w:eastAsia="仿宋" w:cs="仿宋"/>
          <w:kern w:val="0"/>
          <w:sz w:val="32"/>
          <w:szCs w:val="32"/>
        </w:rPr>
        <w:t>2.一般商品和服务支出</w:t>
      </w:r>
      <w:r>
        <w:rPr>
          <w:rFonts w:hint="eastAsia" w:ascii="仿宋" w:hAnsi="仿宋" w:eastAsia="仿宋" w:cs="仿宋"/>
          <w:kern w:val="0"/>
          <w:sz w:val="32"/>
          <w:szCs w:val="32"/>
          <w:lang w:val="en-US" w:eastAsia="zh-CN"/>
        </w:rPr>
        <w:t>373.14</w:t>
      </w:r>
      <w:r>
        <w:rPr>
          <w:rFonts w:hint="eastAsia" w:ascii="仿宋" w:hAnsi="仿宋" w:eastAsia="仿宋" w:cs="仿宋"/>
          <w:kern w:val="0"/>
          <w:sz w:val="32"/>
          <w:szCs w:val="32"/>
        </w:rPr>
        <w:t>万元，占总支出</w:t>
      </w:r>
      <w:r>
        <w:rPr>
          <w:rFonts w:hint="eastAsia" w:ascii="仿宋" w:hAnsi="仿宋" w:eastAsia="仿宋" w:cs="仿宋"/>
          <w:kern w:val="0"/>
          <w:sz w:val="32"/>
          <w:szCs w:val="32"/>
          <w:lang w:val="en-US" w:eastAsia="zh-CN"/>
        </w:rPr>
        <w:t>47.88</w:t>
      </w:r>
      <w:r>
        <w:rPr>
          <w:rFonts w:hint="eastAsia" w:ascii="仿宋" w:hAnsi="仿宋" w:eastAsia="仿宋" w:cs="仿宋"/>
          <w:kern w:val="0"/>
          <w:sz w:val="32"/>
          <w:szCs w:val="32"/>
        </w:rPr>
        <w:t>的%。其中办公费</w:t>
      </w:r>
      <w:r>
        <w:rPr>
          <w:rFonts w:hint="eastAsia" w:ascii="仿宋" w:hAnsi="仿宋" w:eastAsia="仿宋" w:cs="仿宋"/>
          <w:kern w:val="0"/>
          <w:sz w:val="32"/>
          <w:szCs w:val="32"/>
          <w:lang w:val="en-US" w:eastAsia="zh-CN"/>
        </w:rPr>
        <w:t>5.55</w:t>
      </w:r>
      <w:r>
        <w:rPr>
          <w:rFonts w:hint="eastAsia" w:ascii="仿宋" w:hAnsi="仿宋" w:eastAsia="仿宋" w:cs="仿宋"/>
          <w:kern w:val="0"/>
          <w:sz w:val="32"/>
          <w:szCs w:val="32"/>
        </w:rPr>
        <w:t>万元，印刷费</w:t>
      </w:r>
      <w:r>
        <w:rPr>
          <w:rFonts w:hint="eastAsia" w:ascii="仿宋" w:hAnsi="仿宋" w:eastAsia="仿宋" w:cs="仿宋"/>
          <w:kern w:val="0"/>
          <w:sz w:val="32"/>
          <w:szCs w:val="32"/>
          <w:lang w:val="en-US" w:eastAsia="zh-CN"/>
        </w:rPr>
        <w:t>1.24</w:t>
      </w:r>
      <w:r>
        <w:rPr>
          <w:rFonts w:hint="eastAsia" w:ascii="仿宋" w:hAnsi="仿宋" w:eastAsia="仿宋" w:cs="仿宋"/>
          <w:kern w:val="0"/>
          <w:sz w:val="32"/>
          <w:szCs w:val="32"/>
        </w:rPr>
        <w:t>万元，邮电费</w:t>
      </w:r>
      <w:r>
        <w:rPr>
          <w:rFonts w:hint="eastAsia" w:ascii="仿宋" w:hAnsi="仿宋" w:eastAsia="仿宋" w:cs="仿宋"/>
          <w:kern w:val="0"/>
          <w:sz w:val="32"/>
          <w:szCs w:val="32"/>
          <w:lang w:val="en-US" w:eastAsia="zh-CN"/>
        </w:rPr>
        <w:t>0.56</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物业管理费150.31万元，维护费161.56万元，租赁费1.8万元，培训费0.57万元，资询费3.35元，工会经费9.24万元，其他商品和服务支出支出38.96万元，</w:t>
      </w:r>
    </w:p>
    <w:p w14:paraId="3F421A98">
      <w:pPr>
        <w:widowControl/>
        <w:numPr>
          <w:ilvl w:val="0"/>
          <w:numId w:val="0"/>
        </w:numPr>
        <w:spacing w:line="600" w:lineRule="exact"/>
        <w:ind w:firstLine="640" w:firstLineChars="200"/>
        <w:jc w:val="left"/>
        <w:rPr>
          <w:rFonts w:hint="default" w:ascii="仿宋" w:hAnsi="仿宋" w:eastAsia="仿宋" w:cs="仿宋"/>
          <w:sz w:val="32"/>
          <w:szCs w:val="32"/>
          <w:lang w:val="en-US" w:eastAsia="zh-CN"/>
        </w:rPr>
      </w:pPr>
      <w:r>
        <w:rPr>
          <w:rFonts w:hint="eastAsia" w:ascii="仿宋" w:hAnsi="仿宋" w:eastAsia="仿宋" w:cs="仿宋"/>
          <w:kern w:val="0"/>
          <w:sz w:val="32"/>
          <w:szCs w:val="32"/>
          <w:lang w:eastAsia="zh-CN"/>
        </w:rPr>
        <w:t>（说明：</w:t>
      </w:r>
      <w:r>
        <w:rPr>
          <w:rFonts w:hint="eastAsia" w:ascii="仿宋" w:hAnsi="仿宋" w:eastAsia="仿宋" w:cs="仿宋"/>
          <w:kern w:val="0"/>
          <w:sz w:val="32"/>
          <w:szCs w:val="32"/>
        </w:rPr>
        <w:t>202</w:t>
      </w:r>
      <w:r>
        <w:rPr>
          <w:rFonts w:hint="eastAsia" w:ascii="仿宋" w:hAnsi="仿宋" w:eastAsia="仿宋" w:cs="仿宋"/>
          <w:kern w:val="0"/>
          <w:sz w:val="32"/>
          <w:szCs w:val="32"/>
          <w:lang w:val="en-US" w:eastAsia="zh-CN"/>
        </w:rPr>
        <w:t>2</w:t>
      </w:r>
      <w:r>
        <w:rPr>
          <w:rFonts w:hint="eastAsia" w:ascii="仿宋" w:hAnsi="仿宋" w:eastAsia="仿宋" w:cs="仿宋"/>
          <w:kern w:val="0"/>
          <w:sz w:val="32"/>
          <w:szCs w:val="32"/>
        </w:rPr>
        <w:t>年</w:t>
      </w:r>
      <w:r>
        <w:rPr>
          <w:rFonts w:hint="eastAsia" w:ascii="仿宋" w:hAnsi="仿宋" w:eastAsia="仿宋" w:cs="仿宋"/>
          <w:kern w:val="0"/>
          <w:sz w:val="32"/>
          <w:szCs w:val="32"/>
          <w:lang w:eastAsia="zh-CN"/>
        </w:rPr>
        <w:t>属于非税返还的公租房管理与日常修缮方面的</w:t>
      </w:r>
      <w:r>
        <w:rPr>
          <w:rFonts w:hint="eastAsia" w:ascii="仿宋" w:hAnsi="仿宋" w:eastAsia="仿宋" w:cs="仿宋"/>
          <w:kern w:val="0"/>
          <w:sz w:val="32"/>
          <w:szCs w:val="32"/>
        </w:rPr>
        <w:t>项目支出</w:t>
      </w:r>
      <w:r>
        <w:rPr>
          <w:rFonts w:hint="eastAsia" w:ascii="仿宋" w:hAnsi="仿宋" w:eastAsia="仿宋" w:cs="仿宋"/>
          <w:kern w:val="0"/>
          <w:sz w:val="32"/>
          <w:szCs w:val="32"/>
          <w:lang w:eastAsia="zh-CN"/>
        </w:rPr>
        <w:t>决</w:t>
      </w:r>
      <w:r>
        <w:rPr>
          <w:rFonts w:hint="eastAsia" w:ascii="仿宋" w:hAnsi="仿宋" w:eastAsia="仿宋" w:cs="仿宋"/>
          <w:kern w:val="0"/>
          <w:sz w:val="32"/>
          <w:szCs w:val="32"/>
        </w:rPr>
        <w:t>算数为</w:t>
      </w:r>
      <w:r>
        <w:rPr>
          <w:rFonts w:hint="eastAsia" w:ascii="仿宋" w:hAnsi="仿宋" w:eastAsia="仿宋" w:cs="仿宋"/>
          <w:kern w:val="0"/>
          <w:sz w:val="32"/>
          <w:szCs w:val="32"/>
          <w:lang w:val="en-US" w:eastAsia="zh-CN"/>
        </w:rPr>
        <w:t>311.87</w:t>
      </w:r>
      <w:r>
        <w:rPr>
          <w:rFonts w:hint="eastAsia" w:ascii="仿宋" w:hAnsi="仿宋" w:eastAsia="仿宋" w:cs="仿宋"/>
          <w:kern w:val="0"/>
          <w:sz w:val="32"/>
          <w:szCs w:val="32"/>
        </w:rPr>
        <w:t>万元，</w:t>
      </w:r>
      <w:r>
        <w:rPr>
          <w:rFonts w:hint="eastAsia" w:ascii="仿宋" w:hAnsi="仿宋" w:eastAsia="仿宋" w:cs="仿宋"/>
          <w:sz w:val="32"/>
          <w:szCs w:val="32"/>
        </w:rPr>
        <w:t>其中：业务工作经费支出</w:t>
      </w:r>
      <w:r>
        <w:rPr>
          <w:rFonts w:hint="eastAsia" w:ascii="仿宋" w:hAnsi="仿宋" w:eastAsia="仿宋" w:cs="仿宋"/>
          <w:sz w:val="32"/>
          <w:szCs w:val="32"/>
          <w:lang w:val="en-US" w:eastAsia="zh-CN"/>
        </w:rPr>
        <w:t>150.31</w:t>
      </w:r>
      <w:r>
        <w:rPr>
          <w:rFonts w:hint="eastAsia" w:ascii="仿宋" w:hAnsi="仿宋" w:eastAsia="仿宋" w:cs="仿宋"/>
          <w:sz w:val="32"/>
          <w:szCs w:val="32"/>
        </w:rPr>
        <w:t>万元，主要用</w:t>
      </w:r>
      <w:r>
        <w:rPr>
          <w:rFonts w:hint="eastAsia" w:ascii="仿宋" w:hAnsi="仿宋" w:eastAsia="仿宋" w:cs="仿宋"/>
          <w:sz w:val="32"/>
          <w:szCs w:val="32"/>
          <w:lang w:eastAsia="zh-CN"/>
        </w:rPr>
        <w:t>于公租房物业补贴与</w:t>
      </w:r>
      <w:r>
        <w:rPr>
          <w:rFonts w:hint="eastAsia" w:ascii="仿宋" w:hAnsi="仿宋" w:eastAsia="仿宋" w:cs="仿宋"/>
          <w:sz w:val="32"/>
          <w:szCs w:val="32"/>
          <w:lang w:val="en-US" w:eastAsia="zh-CN"/>
        </w:rPr>
        <w:t>发放公租房房管员在房屋租金收取与日常管理方面的支出，维（修）护方面的支出为</w:t>
      </w:r>
      <w:r>
        <w:rPr>
          <w:rFonts w:hint="eastAsia" w:ascii="仿宋" w:hAnsi="仿宋" w:eastAsia="仿宋" w:cs="仿宋"/>
          <w:kern w:val="0"/>
          <w:sz w:val="32"/>
          <w:szCs w:val="32"/>
          <w:lang w:val="en-US" w:eastAsia="zh-CN"/>
        </w:rPr>
        <w:t>161.56</w:t>
      </w:r>
      <w:r>
        <w:rPr>
          <w:rFonts w:hint="eastAsia" w:ascii="仿宋" w:hAnsi="仿宋" w:eastAsia="仿宋" w:cs="仿宋"/>
          <w:sz w:val="32"/>
          <w:szCs w:val="32"/>
        </w:rPr>
        <w:t>万元，主要用于</w:t>
      </w:r>
      <w:r>
        <w:rPr>
          <w:rFonts w:hint="eastAsia" w:ascii="仿宋" w:hAnsi="仿宋" w:eastAsia="仿宋" w:cs="仿宋"/>
          <w:sz w:val="32"/>
          <w:szCs w:val="32"/>
          <w:lang w:eastAsia="zh-CN"/>
        </w:rPr>
        <w:t>公租房日常修缮</w:t>
      </w:r>
      <w:r>
        <w:rPr>
          <w:rFonts w:hint="eastAsia" w:ascii="仿宋" w:hAnsi="仿宋" w:eastAsia="仿宋" w:cs="仿宋"/>
          <w:sz w:val="32"/>
          <w:szCs w:val="32"/>
        </w:rPr>
        <w:t>方面</w:t>
      </w:r>
      <w:r>
        <w:rPr>
          <w:rFonts w:hint="eastAsia" w:ascii="仿宋" w:hAnsi="仿宋" w:eastAsia="仿宋" w:cs="仿宋"/>
          <w:sz w:val="32"/>
          <w:szCs w:val="32"/>
          <w:lang w:eastAsia="zh-CN"/>
        </w:rPr>
        <w:t>的零星支出</w:t>
      </w:r>
      <w:r>
        <w:rPr>
          <w:rFonts w:hint="eastAsia" w:ascii="仿宋" w:hAnsi="仿宋" w:eastAsia="仿宋" w:cs="仿宋"/>
          <w:sz w:val="32"/>
          <w:szCs w:val="32"/>
        </w:rPr>
        <w:t>。</w:t>
      </w:r>
      <w:r>
        <w:rPr>
          <w:rFonts w:hint="eastAsia" w:ascii="仿宋" w:hAnsi="仿宋" w:eastAsia="仿宋" w:cs="仿宋"/>
          <w:sz w:val="32"/>
          <w:szCs w:val="32"/>
          <w:lang w:val="en-US" w:eastAsia="zh-CN"/>
        </w:rPr>
        <w:t>2022年年初预算数为520万元，在年底支付时受疫情等方面的影响，导致余款支付工作延期开展。）</w:t>
      </w:r>
    </w:p>
    <w:p w14:paraId="283E15E2">
      <w:pPr>
        <w:widowControl/>
        <w:numPr>
          <w:ilvl w:val="0"/>
          <w:numId w:val="0"/>
        </w:numPr>
        <w:spacing w:line="600" w:lineRule="exact"/>
        <w:ind w:firstLine="640" w:firstLineChars="200"/>
        <w:jc w:val="left"/>
        <w:rPr>
          <w:rFonts w:hint="eastAsia" w:ascii="仿宋" w:hAnsi="仿宋" w:eastAsia="仿宋" w:cs="仿宋"/>
          <w:kern w:val="0"/>
          <w:sz w:val="32"/>
          <w:szCs w:val="32"/>
        </w:rPr>
      </w:pPr>
      <w:r>
        <w:rPr>
          <w:rFonts w:hint="eastAsia" w:ascii="仿宋" w:hAnsi="仿宋" w:eastAsia="仿宋" w:cs="仿宋"/>
          <w:kern w:val="0"/>
          <w:sz w:val="32"/>
          <w:szCs w:val="32"/>
        </w:rPr>
        <w:t>3.对个人和家庭的补助</w:t>
      </w:r>
      <w:r>
        <w:rPr>
          <w:rFonts w:hint="eastAsia" w:ascii="仿宋" w:hAnsi="仿宋" w:eastAsia="仿宋" w:cs="仿宋"/>
          <w:kern w:val="0"/>
          <w:sz w:val="32"/>
          <w:szCs w:val="32"/>
          <w:lang w:val="en-US" w:eastAsia="zh-CN"/>
        </w:rPr>
        <w:t>37.37</w:t>
      </w:r>
      <w:r>
        <w:rPr>
          <w:rFonts w:hint="eastAsia" w:ascii="仿宋" w:hAnsi="仿宋" w:eastAsia="仿宋" w:cs="仿宋"/>
          <w:kern w:val="0"/>
          <w:sz w:val="32"/>
          <w:szCs w:val="32"/>
        </w:rPr>
        <w:t>万元，占总支出的</w:t>
      </w:r>
      <w:r>
        <w:rPr>
          <w:rFonts w:hint="eastAsia" w:ascii="仿宋" w:hAnsi="仿宋" w:eastAsia="仿宋" w:cs="仿宋"/>
          <w:kern w:val="0"/>
          <w:sz w:val="32"/>
          <w:szCs w:val="32"/>
          <w:lang w:val="en-US" w:eastAsia="zh-CN"/>
        </w:rPr>
        <w:t>4.79</w:t>
      </w:r>
      <w:r>
        <w:rPr>
          <w:rFonts w:hint="eastAsia" w:ascii="仿宋" w:hAnsi="仿宋" w:eastAsia="仿宋" w:cs="仿宋"/>
          <w:kern w:val="0"/>
          <w:sz w:val="32"/>
          <w:szCs w:val="32"/>
        </w:rPr>
        <w:t>%。</w:t>
      </w:r>
    </w:p>
    <w:p w14:paraId="63AAADAA">
      <w:pPr>
        <w:widowControl/>
        <w:numPr>
          <w:ilvl w:val="0"/>
          <w:numId w:val="0"/>
        </w:numPr>
        <w:spacing w:line="600" w:lineRule="exact"/>
        <w:ind w:firstLine="643" w:firstLineChars="200"/>
        <w:jc w:val="left"/>
        <w:rPr>
          <w:rFonts w:hint="eastAsia" w:ascii="楷体" w:hAnsi="楷体" w:eastAsia="楷体" w:cs="楷体"/>
          <w:b/>
          <w:bCs/>
          <w:kern w:val="0"/>
          <w:sz w:val="32"/>
          <w:szCs w:val="32"/>
        </w:rPr>
      </w:pPr>
      <w:r>
        <w:rPr>
          <w:rFonts w:hint="eastAsia" w:ascii="楷体" w:hAnsi="楷体" w:eastAsia="楷体" w:cs="楷体"/>
          <w:b/>
          <w:bCs/>
          <w:kern w:val="0"/>
          <w:sz w:val="32"/>
          <w:szCs w:val="32"/>
          <w:lang w:eastAsia="zh-CN"/>
        </w:rPr>
        <w:t>（二）专</w:t>
      </w:r>
      <w:r>
        <w:rPr>
          <w:rFonts w:hint="eastAsia" w:ascii="楷体" w:hAnsi="楷体" w:eastAsia="楷体" w:cs="楷体"/>
          <w:b/>
          <w:bCs/>
          <w:kern w:val="0"/>
          <w:sz w:val="32"/>
          <w:szCs w:val="32"/>
        </w:rPr>
        <w:t>项支出：</w:t>
      </w:r>
    </w:p>
    <w:p w14:paraId="79A7513E">
      <w:pPr>
        <w:pStyle w:val="2"/>
        <w:ind w:firstLine="640" w:firstLineChars="200"/>
        <w:rPr>
          <w:rFonts w:hint="eastAsia" w:ascii="仿宋" w:hAnsi="仿宋" w:eastAsia="仿宋" w:cs="仿宋"/>
          <w:sz w:val="32"/>
          <w:szCs w:val="32"/>
          <w:lang w:val="en-US" w:eastAsia="zh-CN"/>
        </w:rPr>
      </w:pP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lang w:eastAsia="zh-CN"/>
        </w:rPr>
        <w:t>为积极响应区委区政府号召，凝聚全力，齐心协力投身百日攻坚整治行动，区财政拨付我中心专项经费</w:t>
      </w:r>
      <w:r>
        <w:rPr>
          <w:rFonts w:hint="eastAsia" w:ascii="仿宋" w:hAnsi="仿宋" w:eastAsia="仿宋" w:cs="仿宋"/>
          <w:b w:val="0"/>
          <w:bCs w:val="0"/>
          <w:kern w:val="0"/>
          <w:sz w:val="32"/>
          <w:szCs w:val="32"/>
          <w:lang w:val="en-US" w:eastAsia="zh-CN"/>
        </w:rPr>
        <w:t>15万元，用于</w:t>
      </w:r>
      <w:r>
        <w:rPr>
          <w:rFonts w:hint="eastAsia" w:ascii="仿宋" w:hAnsi="仿宋" w:eastAsia="仿宋" w:cs="仿宋"/>
          <w:sz w:val="32"/>
          <w:szCs w:val="32"/>
          <w:lang w:val="en-US" w:eastAsia="zh-CN"/>
        </w:rPr>
        <w:t>百日攻坚整治行动中的误餐补助与标识标牌的制作及诉讼与公共卫生的打扫清除等。</w:t>
      </w:r>
    </w:p>
    <w:p w14:paraId="6B69B75A">
      <w:pPr>
        <w:pStyle w:val="2"/>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2、专项资金实际使用情况为：误餐补助5.23万元，三个所广告制作费用为1.51万元，仲裁与法院诉讼等费用为8.26万元。</w:t>
      </w:r>
    </w:p>
    <w:p w14:paraId="61C2695D">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6DF5C146">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14:paraId="6A294957">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14:paraId="72297369">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14:paraId="0B488268">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14:paraId="478B76E4">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14:paraId="23A4E21D">
      <w:pPr>
        <w:keepNext w:val="0"/>
        <w:keepLines w:val="0"/>
        <w:pageBreakBefore w:val="0"/>
        <w:widowControl w:val="0"/>
        <w:numPr>
          <w:ilvl w:val="0"/>
          <w:numId w:val="1"/>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部门整体支出绩效情况</w:t>
      </w:r>
    </w:p>
    <w:p w14:paraId="4A88EB77">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sz w:val="32"/>
          <w:szCs w:val="32"/>
          <w:lang w:val="en-US" w:eastAsia="zh-CN"/>
        </w:rPr>
        <w:t>2022年，我中心积极履职，不断强化管理，圆满完成了年度各项工作目标。通过加强预算收支管理，不断建立健全内部管理制度，梳理内部管理流程，部门整体支出管理水平得到明显提升。根据部门整体支出绩效评价指标体系，我单位2022年度部门整体支出绩效情况如下:</w:t>
      </w:r>
    </w:p>
    <w:p w14:paraId="6B9D028B">
      <w:pPr>
        <w:pStyle w:val="3"/>
        <w:numPr>
          <w:ilvl w:val="0"/>
          <w:numId w:val="2"/>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运行成本方面</w:t>
      </w:r>
    </w:p>
    <w:p w14:paraId="150A81CA">
      <w:pPr>
        <w:pStyle w:val="3"/>
        <w:numPr>
          <w:ilvl w:val="0"/>
          <w:numId w:val="0"/>
        </w:num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我中心严格按照财政批复的预算支出，成本预算严格控制在预算内，无超预算项目支出。严格控制“三公经费”支出。注重提高资金安全性，严格执行“收支两条线”的规定，坚持做到量入为出，以收定支。</w:t>
      </w:r>
    </w:p>
    <w:p w14:paraId="1C86F694">
      <w:pPr>
        <w:pStyle w:val="3"/>
        <w:numPr>
          <w:ilvl w:val="0"/>
          <w:numId w:val="2"/>
        </w:numPr>
        <w:ind w:left="0" w:leftChars="0"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管理效率方面</w:t>
      </w:r>
    </w:p>
    <w:p w14:paraId="15F40901">
      <w:pPr>
        <w:pStyle w:val="3"/>
        <w:numPr>
          <w:ilvl w:val="0"/>
          <w:numId w:val="0"/>
        </w:num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我中心按照区财政批复的用款计划支付报账资金，积极与区财政国库等协调资金支付业务，极力保障资金有效及时支付。使财政收支预算执行得到了良好的制度保障和实施效果。对财政资金建立了事前预测、事中控制、事后督查的全流程监管机制。</w:t>
      </w:r>
    </w:p>
    <w:p w14:paraId="56980C50">
      <w:pPr>
        <w:keepNext w:val="0"/>
        <w:keepLines w:val="0"/>
        <w:pageBreakBefore w:val="0"/>
        <w:widowControl w:val="0"/>
        <w:numPr>
          <w:ilvl w:val="0"/>
          <w:numId w:val="2"/>
        </w:numPr>
        <w:kinsoku/>
        <w:wordWrap/>
        <w:overflowPunct/>
        <w:topLinePunct w:val="0"/>
        <w:autoSpaceDE/>
        <w:autoSpaceDN/>
        <w:bidi w:val="0"/>
        <w:adjustRightInd/>
        <w:snapToGrid/>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履职效能方面</w:t>
      </w:r>
    </w:p>
    <w:p w14:paraId="3BD0AA6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sz w:val="32"/>
          <w:szCs w:val="32"/>
          <w:lang w:val="en-US" w:eastAsia="zh-CN"/>
        </w:rPr>
        <w:t>2022年全年</w:t>
      </w: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我中心紧紧围绕加强党的建设这个核心来谋划各项工作：开展党史学习教育，深入学习领会党的二十大精神，把党的二十大精神贯穿工作始终，全心全意为人民服务。不断改善行政管理、严格经费及资产管理，改进文风会风，精简会议，提高了行政效率。职责履行完成情况较好，各种效益指标达到标准，符合民生要求。</w:t>
      </w:r>
    </w:p>
    <w:p w14:paraId="24E7309D">
      <w:pPr>
        <w:spacing w:line="360" w:lineRule="auto"/>
        <w:ind w:firstLine="640" w:firstLineChars="200"/>
        <w:rPr>
          <w:rFonts w:hint="eastAsia" w:ascii="仿宋" w:hAnsi="仿宋" w:eastAsia="仿宋"/>
          <w:sz w:val="32"/>
          <w:szCs w:val="32"/>
          <w:lang w:val="en-US" w:eastAsia="zh-CN"/>
        </w:rPr>
      </w:pPr>
      <w:r>
        <w:rPr>
          <w:rFonts w:hint="eastAsia" w:ascii="仿宋" w:hAnsi="仿宋" w:eastAsia="仿宋" w:cs="仿宋"/>
          <w:sz w:val="32"/>
          <w:szCs w:val="32"/>
          <w:lang w:val="en-US" w:eastAsia="zh-CN"/>
        </w:rPr>
        <w:t>一、我中心管辖范围内的保障性租赁住房5977套，已根据有关文件精神全部配租给楼区符合条件的居民租住。严格落实上级文件精神，加强小区消防安全防范工作，物业收费有规可依。为进一步加强公租房运营管理，今年8月份财政批复了专项资金15万元用于开展百日攻坚专项整治行动，此次行动聚焦七大类问题：</w:t>
      </w:r>
      <w:r>
        <w:rPr>
          <w:rFonts w:hint="eastAsia" w:ascii="仿宋" w:hAnsi="仿宋" w:eastAsia="仿宋"/>
          <w:sz w:val="32"/>
          <w:szCs w:val="32"/>
        </w:rPr>
        <w:t>1、未办理入住手续，强占、抢占公租房的；2、将承租的公租房转卖、转租、转借的；3、因保障对象名下已有住房，不再符合公租房配租条件的；4、欠租时间较长、欠租金额较大的；5、在公租房中进行生产经营（超市、按摩、麻将房等）及其它违法活动的；</w:t>
      </w:r>
      <w:r>
        <w:rPr>
          <w:rFonts w:hint="eastAsia" w:ascii="仿宋" w:hAnsi="仿宋" w:eastAsia="仿宋"/>
          <w:sz w:val="32"/>
          <w:szCs w:val="32"/>
          <w:lang w:val="en-US" w:eastAsia="zh-CN"/>
        </w:rPr>
        <w:t>6.敲墙打洞、开门加窗等破坏房屋结构或者擅自装修所承租的公租房，拒不恢复原状的;7.占用小区绿地、楼梯间或其他公共部位乱停乱放、乱搭乱建的。</w:t>
      </w:r>
    </w:p>
    <w:p w14:paraId="45FB86BA">
      <w:pPr>
        <w:spacing w:line="360" w:lineRule="auto"/>
        <w:ind w:firstLine="640" w:firstLineChars="200"/>
        <w:rPr>
          <w:rFonts w:hint="eastAsia" w:ascii="仿宋" w:hAnsi="仿宋" w:eastAsia="仿宋" w:cs="仿宋"/>
          <w:sz w:val="32"/>
          <w:szCs w:val="32"/>
          <w:lang w:val="en-US" w:eastAsia="zh-CN"/>
        </w:rPr>
      </w:pPr>
      <w:r>
        <w:rPr>
          <w:rFonts w:hint="eastAsia" w:ascii="仿宋" w:hAnsi="仿宋" w:eastAsia="仿宋"/>
          <w:sz w:val="32"/>
          <w:szCs w:val="32"/>
          <w:lang w:eastAsia="zh-CN"/>
        </w:rPr>
        <w:t>此次，</w:t>
      </w:r>
      <w:r>
        <w:rPr>
          <w:rFonts w:hint="eastAsia" w:ascii="仿宋" w:hAnsi="仿宋" w:eastAsia="仿宋"/>
          <w:sz w:val="32"/>
          <w:szCs w:val="32"/>
        </w:rPr>
        <w:t>我中心参与百日攻坚整治的公租房3816户，共入门调查3570户，发现转租转借371户、转卖115户。出现这种情况转卖或转借的住户大多经济条件改善，已自购住房，而实际居住的住户大多是无房户或进城务工人员。未入户调查的住户有</w:t>
      </w:r>
      <w:r>
        <w:rPr>
          <w:rFonts w:hint="eastAsia" w:ascii="仿宋" w:hAnsi="仿宋" w:eastAsia="仿宋"/>
          <w:sz w:val="32"/>
          <w:szCs w:val="32"/>
          <w:lang w:val="en-US" w:eastAsia="zh-CN"/>
        </w:rPr>
        <w:t>246户，均为</w:t>
      </w:r>
      <w:r>
        <w:rPr>
          <w:rFonts w:hint="eastAsia" w:ascii="仿宋" w:hAnsi="仿宋" w:eastAsia="仿宋"/>
          <w:sz w:val="32"/>
          <w:szCs w:val="32"/>
        </w:rPr>
        <w:t>外出务工人员和入监取刑人员。对所有管辖的公租房住户进行了资格复查，房产查询，完善符合保障房住户的资料补录60余户，对违规已经改善住房环境的住户上门送达腾退通知的300余户，已收回房屋9套，共向法院诉讼</w:t>
      </w:r>
      <w:r>
        <w:rPr>
          <w:rFonts w:hint="eastAsia" w:ascii="仿宋" w:hAnsi="仿宋" w:eastAsia="仿宋"/>
          <w:sz w:val="32"/>
          <w:szCs w:val="32"/>
          <w:lang w:eastAsia="zh-CN"/>
        </w:rPr>
        <w:t>了</w:t>
      </w:r>
      <w:r>
        <w:rPr>
          <w:rFonts w:hint="eastAsia" w:ascii="仿宋" w:hAnsi="仿宋" w:eastAsia="仿宋"/>
          <w:sz w:val="32"/>
          <w:szCs w:val="32"/>
        </w:rPr>
        <w:t>25套。通过百日攻坚行动，小区环境明显改善</w:t>
      </w:r>
      <w:r>
        <w:rPr>
          <w:rFonts w:hint="eastAsia" w:ascii="仿宋" w:hAnsi="仿宋" w:eastAsia="仿宋"/>
          <w:sz w:val="32"/>
          <w:szCs w:val="32"/>
          <w:lang w:eastAsia="zh-CN"/>
        </w:rPr>
        <w:t>，</w:t>
      </w:r>
      <w:r>
        <w:rPr>
          <w:rFonts w:hint="eastAsia" w:ascii="仿宋" w:hAnsi="仿宋" w:eastAsia="仿宋"/>
          <w:sz w:val="32"/>
          <w:szCs w:val="32"/>
        </w:rPr>
        <w:t>中心稽查股、房管所陪同社区、公安、城管对在公租房中进行生产经营（超市、按摩、麻将房等）及其它违法活动的和违规装修改建，在公租房小区乱搭乱建的进行全面整治，枫桥湖廉租房小区共拆除违章建筑15处，桃花井遍区的旧城改造拆除搬迁公租房10户。</w:t>
      </w:r>
      <w:r>
        <w:rPr>
          <w:rFonts w:hint="eastAsia" w:ascii="仿宋" w:hAnsi="仿宋" w:eastAsia="仿宋" w:cs="仿宋"/>
          <w:sz w:val="32"/>
          <w:szCs w:val="32"/>
          <w:lang w:val="en-US" w:eastAsia="zh-CN"/>
        </w:rPr>
        <w:t>保障了符合条件的对象依规享受有继续租住的权利；对损毁和擅自改变房屋结构的进行了恢复；对公租房小区通道走廊堆放杂物的进行了及时清理；清除了安全隐患，畅通居民安全出口，营造了良好的居住环境。</w:t>
      </w:r>
    </w:p>
    <w:p w14:paraId="78947F40">
      <w:pPr>
        <w:spacing w:line="360" w:lineRule="auto"/>
        <w:ind w:firstLine="600"/>
        <w:rPr>
          <w:rFonts w:hint="eastAsia" w:ascii="仿宋" w:hAnsi="仿宋" w:eastAsia="仿宋"/>
          <w:sz w:val="32"/>
          <w:szCs w:val="32"/>
          <w:lang w:eastAsia="zh-CN"/>
        </w:rPr>
      </w:pPr>
      <w:r>
        <w:rPr>
          <w:rFonts w:hint="eastAsia" w:ascii="仿宋" w:hAnsi="仿宋" w:eastAsia="仿宋"/>
          <w:sz w:val="32"/>
          <w:szCs w:val="32"/>
          <w:lang w:eastAsia="zh-CN"/>
        </w:rPr>
        <w:t>二、</w:t>
      </w:r>
      <w:r>
        <w:rPr>
          <w:rFonts w:hint="eastAsia" w:ascii="仿宋" w:hAnsi="仿宋" w:eastAsia="仿宋"/>
          <w:sz w:val="32"/>
          <w:szCs w:val="32"/>
        </w:rPr>
        <w:t>先行试点改造水表升级</w:t>
      </w:r>
      <w:r>
        <w:rPr>
          <w:rFonts w:hint="eastAsia" w:ascii="仿宋" w:hAnsi="仿宋" w:eastAsia="仿宋"/>
          <w:sz w:val="32"/>
          <w:szCs w:val="32"/>
          <w:lang w:eastAsia="zh-CN"/>
        </w:rPr>
        <w:t>方面</w:t>
      </w:r>
      <w:r>
        <w:rPr>
          <w:rFonts w:hint="eastAsia" w:ascii="仿宋" w:hAnsi="仿宋" w:eastAsia="仿宋"/>
          <w:sz w:val="32"/>
          <w:szCs w:val="32"/>
        </w:rPr>
        <w:t>：为了提升公租房的管理，</w:t>
      </w:r>
      <w:r>
        <w:rPr>
          <w:rFonts w:hint="eastAsia" w:ascii="仿宋" w:hAnsi="仿宋" w:eastAsia="仿宋"/>
          <w:sz w:val="32"/>
          <w:szCs w:val="32"/>
          <w:lang w:eastAsia="zh-CN"/>
        </w:rPr>
        <w:t>使之良性运转，</w:t>
      </w:r>
      <w:r>
        <w:rPr>
          <w:rFonts w:hint="eastAsia" w:ascii="仿宋" w:hAnsi="仿宋" w:eastAsia="仿宋"/>
          <w:sz w:val="32"/>
          <w:szCs w:val="32"/>
        </w:rPr>
        <w:t>结合百日攻坚成效，在取得区委区政府同意后，我</w:t>
      </w:r>
      <w:r>
        <w:rPr>
          <w:rFonts w:hint="eastAsia" w:ascii="仿宋" w:hAnsi="仿宋" w:eastAsia="仿宋"/>
          <w:sz w:val="32"/>
          <w:szCs w:val="32"/>
          <w:lang w:eastAsia="zh-CN"/>
        </w:rPr>
        <w:t>中心用非税收入返还资金</w:t>
      </w:r>
      <w:r>
        <w:rPr>
          <w:rFonts w:hint="eastAsia" w:ascii="仿宋" w:hAnsi="仿宋" w:eastAsia="仿宋"/>
          <w:sz w:val="32"/>
          <w:szCs w:val="32"/>
          <w:lang w:val="en-US" w:eastAsia="zh-CN"/>
        </w:rPr>
        <w:t>42.10万元</w:t>
      </w:r>
      <w:r>
        <w:rPr>
          <w:rFonts w:hint="eastAsia" w:ascii="仿宋" w:hAnsi="仿宋" w:eastAsia="仿宋"/>
          <w:sz w:val="32"/>
          <w:szCs w:val="32"/>
        </w:rPr>
        <w:t>对春和家园小区水表</w:t>
      </w:r>
      <w:r>
        <w:rPr>
          <w:rFonts w:hint="eastAsia" w:ascii="仿宋" w:hAnsi="仿宋" w:eastAsia="仿宋"/>
          <w:sz w:val="32"/>
          <w:szCs w:val="32"/>
          <w:lang w:eastAsia="zh-CN"/>
        </w:rPr>
        <w:t>进行了</w:t>
      </w:r>
      <w:r>
        <w:rPr>
          <w:rFonts w:hint="eastAsia" w:ascii="仿宋" w:hAnsi="仿宋" w:eastAsia="仿宋"/>
          <w:sz w:val="32"/>
          <w:szCs w:val="32"/>
        </w:rPr>
        <w:t>升级改造，对违规</w:t>
      </w:r>
      <w:r>
        <w:rPr>
          <w:rFonts w:hint="eastAsia" w:ascii="仿宋" w:hAnsi="仿宋" w:eastAsia="仿宋"/>
          <w:sz w:val="32"/>
          <w:szCs w:val="32"/>
          <w:lang w:eastAsia="zh-CN"/>
        </w:rPr>
        <w:t>承</w:t>
      </w:r>
      <w:r>
        <w:rPr>
          <w:rFonts w:hint="eastAsia" w:ascii="仿宋" w:hAnsi="仿宋" w:eastAsia="仿宋"/>
          <w:sz w:val="32"/>
          <w:szCs w:val="32"/>
        </w:rPr>
        <w:t>租的住户和故意拖欠租金的住户进行了制约，提升了社会的公平正义及政府的公信度</w:t>
      </w:r>
      <w:r>
        <w:rPr>
          <w:rFonts w:hint="eastAsia" w:ascii="仿宋" w:hAnsi="仿宋" w:eastAsia="仿宋"/>
          <w:sz w:val="32"/>
          <w:szCs w:val="32"/>
          <w:lang w:eastAsia="zh-CN"/>
        </w:rPr>
        <w:t>，也优化了人居环境，提高了居住品质。</w:t>
      </w:r>
    </w:p>
    <w:p w14:paraId="663A7B27">
      <w:pPr>
        <w:spacing w:line="360" w:lineRule="auto"/>
        <w:ind w:firstLine="600"/>
        <w:rPr>
          <w:rFonts w:ascii="仿宋" w:hAnsi="仿宋" w:eastAsia="仿宋"/>
          <w:sz w:val="32"/>
          <w:szCs w:val="32"/>
        </w:rPr>
      </w:pPr>
      <w:r>
        <w:rPr>
          <w:rFonts w:hint="eastAsia" w:ascii="仿宋" w:hAnsi="仿宋" w:eastAsia="仿宋"/>
          <w:sz w:val="32"/>
          <w:szCs w:val="32"/>
          <w:lang w:eastAsia="zh-CN"/>
        </w:rPr>
        <w:t>三、</w:t>
      </w:r>
      <w:r>
        <w:rPr>
          <w:rFonts w:hint="eastAsia" w:ascii="仿宋" w:hAnsi="仿宋" w:eastAsia="仿宋"/>
          <w:sz w:val="32"/>
          <w:szCs w:val="32"/>
        </w:rPr>
        <w:t>加大安全排查，确保生命安全：根据中心安全生产风险隐患</w:t>
      </w:r>
      <w:r>
        <w:rPr>
          <w:rFonts w:ascii="仿宋" w:hAnsi="仿宋" w:eastAsia="仿宋"/>
          <w:sz w:val="32"/>
          <w:szCs w:val="32"/>
        </w:rPr>
        <w:t>“</w:t>
      </w:r>
      <w:r>
        <w:rPr>
          <w:rFonts w:hint="eastAsia" w:ascii="仿宋" w:hAnsi="仿宋" w:eastAsia="仿宋"/>
          <w:sz w:val="32"/>
          <w:szCs w:val="32"/>
        </w:rPr>
        <w:t>大排查、大管控、大整治</w:t>
      </w:r>
      <w:r>
        <w:rPr>
          <w:rFonts w:ascii="仿宋" w:hAnsi="仿宋" w:eastAsia="仿宋"/>
          <w:sz w:val="32"/>
          <w:szCs w:val="32"/>
        </w:rPr>
        <w:t>”</w:t>
      </w:r>
      <w:r>
        <w:rPr>
          <w:rFonts w:hint="eastAsia" w:ascii="仿宋" w:hAnsi="仿宋" w:eastAsia="仿宋"/>
          <w:sz w:val="32"/>
          <w:szCs w:val="32"/>
        </w:rPr>
        <w:t>专项行动方案，按照全区统一部署的时间节点和工作要求，认真履职，做到不留盲区、不留死角，共计排查房屋267栋，6086户，排查出重大风险31栋，较大风险12栋，存在风险5栋，乱搭乱建6栋。</w:t>
      </w:r>
    </w:p>
    <w:p w14:paraId="22511A7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为进一步做好公租房维修服务工作，提升工作效能和让租户有一个更舒适的居住环境，对自然损耗或其他不可抗力因素导致影响正常使用的需维修的房屋部位按报修流程做到了及时维修、更新或改造。增强了配租户的获得感与幸福感。</w:t>
      </w:r>
    </w:p>
    <w:p w14:paraId="730020C3">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（四）社会效应方面</w:t>
      </w:r>
    </w:p>
    <w:p w14:paraId="02524754">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协助实施公共租赁房屋危旧房的改造及公共租赁房屋的征迁工作</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通过</w:t>
      </w:r>
      <w:r>
        <w:rPr>
          <w:rFonts w:hint="eastAsia" w:ascii="仿宋" w:hAnsi="仿宋" w:eastAsia="仿宋" w:cs="仿宋"/>
          <w:sz w:val="32"/>
          <w:szCs w:val="32"/>
          <w:lang w:eastAsia="zh-CN"/>
        </w:rPr>
        <w:t>与拆迁户友好沟通与协商，在收到岳阳楼经建投转来的拆迁补偿费后按户及时转付给了拆迁户，其中在</w:t>
      </w:r>
      <w:r>
        <w:rPr>
          <w:rFonts w:hint="eastAsia" w:ascii="仿宋" w:hAnsi="仿宋" w:eastAsia="仿宋" w:cs="仿宋"/>
          <w:sz w:val="32"/>
          <w:szCs w:val="32"/>
          <w:lang w:val="en-US" w:eastAsia="zh-CN"/>
        </w:rPr>
        <w:t>1月份补偿吕仙亭拆迁户3户共计人民币17.19万元，在G240旧改拆迁项目中补偿配租户张开建困难补助人民币0.9万元；在4月份吕仙亭旧改征拆过程中妥善安置与补偿8户共计人民币48万元；在11月份郭亮社区旧改拆迁补偿共15户共计人民币105.04万元。一笔主体款56.03万元在年底已由财政收回。我中心管辖的</w:t>
      </w:r>
      <w:r>
        <w:rPr>
          <w:rFonts w:hint="eastAsia" w:ascii="仿宋" w:hAnsi="仿宋" w:eastAsia="仿宋" w:cs="仿宋"/>
          <w:color w:val="auto"/>
          <w:sz w:val="32"/>
          <w:szCs w:val="32"/>
          <w:lang w:val="en-US" w:eastAsia="zh-CN"/>
        </w:rPr>
        <w:t>公租房的老旧小区改造项目，已全部按有关部门的标准和要求安抚好</w:t>
      </w:r>
      <w:r>
        <w:rPr>
          <w:rFonts w:hint="eastAsia" w:ascii="仿宋" w:hAnsi="仿宋" w:eastAsia="仿宋" w:cs="仿宋"/>
          <w:sz w:val="32"/>
          <w:szCs w:val="32"/>
          <w:lang w:val="en-US" w:eastAsia="zh-CN"/>
        </w:rPr>
        <w:t>了居民，整个改造优化了城市布局，提升了城市形象，以旧貌换新颜示人。</w:t>
      </w:r>
    </w:p>
    <w:p w14:paraId="4BD5A399">
      <w:pPr>
        <w:numPr>
          <w:ilvl w:val="0"/>
          <w:numId w:val="3"/>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可持续发展能力方面</w:t>
      </w:r>
    </w:p>
    <w:p w14:paraId="1E7D63F5">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在区委区政府的关心支持下，我单位顺利完成了机构改革下沉至楼区，为单位今后更好地履职打下了良好的组织基础。期间，积极制定了公租房屋维护计划，以加强对公租房内部精神文明建设及加大对损害公共资源的整治力度，减少寻租的可能性，保障目标群体能居有定所。</w:t>
      </w:r>
    </w:p>
    <w:p w14:paraId="79CB8040">
      <w:pPr>
        <w:pStyle w:val="3"/>
        <w:numPr>
          <w:ilvl w:val="0"/>
          <w:numId w:val="3"/>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服务对象满意度指标方面</w:t>
      </w:r>
    </w:p>
    <w:p w14:paraId="059C58E3">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在房屋修缮方面，没有一起因房屋维修不及时、不合格而产生的投诉事件。配租户对我单位的服务满意度明显提高，没有一起网络舆论和负面信息。</w:t>
      </w:r>
    </w:p>
    <w:p w14:paraId="453F0D30">
      <w:pPr>
        <w:numPr>
          <w:ilvl w:val="0"/>
          <w:numId w:val="3"/>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资产管理情况</w:t>
      </w:r>
    </w:p>
    <w:p w14:paraId="4DA31B4A">
      <w:pPr>
        <w:numPr>
          <w:ilvl w:val="0"/>
          <w:numId w:val="0"/>
        </w:numPr>
        <w:ind w:firstLine="640" w:firstLineChars="200"/>
        <w:rPr>
          <w:rFonts w:hint="default"/>
          <w:lang w:val="en-US" w:eastAsia="zh-CN"/>
        </w:rPr>
      </w:pPr>
      <w:r>
        <w:rPr>
          <w:rFonts w:hint="eastAsia" w:ascii="仿宋" w:hAnsi="仿宋" w:eastAsia="仿宋" w:cs="仿宋"/>
          <w:sz w:val="32"/>
          <w:szCs w:val="32"/>
          <w:lang w:val="en-US" w:eastAsia="zh-CN"/>
        </w:rPr>
        <w:t>新增资产</w:t>
      </w:r>
      <w:r>
        <w:rPr>
          <w:rFonts w:hint="eastAsia" w:ascii="仿宋" w:hAnsi="仿宋" w:eastAsia="仿宋" w:cs="仿宋"/>
          <w:kern w:val="0"/>
          <w:sz w:val="32"/>
          <w:szCs w:val="32"/>
        </w:rPr>
        <w:t>保存完整</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配置合理</w:t>
      </w:r>
      <w:r>
        <w:rPr>
          <w:rFonts w:hint="eastAsia" w:ascii="仿宋" w:hAnsi="仿宋" w:eastAsia="仿宋" w:cs="仿宋"/>
          <w:kern w:val="0"/>
          <w:sz w:val="32"/>
          <w:szCs w:val="32"/>
          <w:lang w:eastAsia="zh-CN"/>
        </w:rPr>
        <w:t>，已到期已报废和盘亏的资产</w:t>
      </w:r>
      <w:r>
        <w:rPr>
          <w:rFonts w:hint="eastAsia" w:ascii="仿宋" w:hAnsi="仿宋" w:eastAsia="仿宋" w:cs="仿宋"/>
          <w:kern w:val="0"/>
          <w:sz w:val="32"/>
          <w:szCs w:val="32"/>
        </w:rPr>
        <w:t>处置规范</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资产账务管理合规，</w:t>
      </w:r>
      <w:r>
        <w:rPr>
          <w:rFonts w:hint="eastAsia" w:ascii="仿宋" w:hAnsi="仿宋" w:eastAsia="仿宋" w:cs="仿宋"/>
          <w:kern w:val="0"/>
          <w:sz w:val="32"/>
          <w:szCs w:val="32"/>
          <w:lang w:eastAsia="zh-CN"/>
        </w:rPr>
        <w:t>账</w:t>
      </w:r>
      <w:r>
        <w:rPr>
          <w:rFonts w:hint="eastAsia" w:ascii="仿宋" w:hAnsi="仿宋" w:eastAsia="仿宋" w:cs="仿宋"/>
          <w:kern w:val="0"/>
          <w:sz w:val="32"/>
          <w:szCs w:val="32"/>
        </w:rPr>
        <w:t>实相符</w:t>
      </w:r>
      <w:r>
        <w:rPr>
          <w:rFonts w:hint="eastAsia" w:ascii="仿宋" w:hAnsi="仿宋" w:eastAsia="仿宋" w:cs="仿宋"/>
          <w:kern w:val="0"/>
          <w:sz w:val="32"/>
          <w:szCs w:val="32"/>
          <w:lang w:eastAsia="zh-CN"/>
        </w:rPr>
        <w:t>，托管</w:t>
      </w:r>
      <w:r>
        <w:rPr>
          <w:rFonts w:hint="eastAsia" w:ascii="仿宋" w:hAnsi="仿宋" w:eastAsia="仿宋" w:cs="仿宋"/>
          <w:kern w:val="0"/>
          <w:sz w:val="32"/>
          <w:szCs w:val="32"/>
        </w:rPr>
        <w:t>资产有偿使用及处置收入及时足额上</w:t>
      </w:r>
      <w:r>
        <w:rPr>
          <w:rFonts w:hint="eastAsia" w:ascii="仿宋" w:hAnsi="仿宋" w:eastAsia="仿宋" w:cs="仿宋"/>
          <w:kern w:val="0"/>
          <w:sz w:val="32"/>
          <w:szCs w:val="32"/>
          <w:lang w:eastAsia="zh-CN"/>
        </w:rPr>
        <w:t>缴财政</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办公类固定资产</w:t>
      </w:r>
      <w:r>
        <w:rPr>
          <w:rFonts w:hint="eastAsia" w:ascii="仿宋" w:hAnsi="仿宋" w:eastAsia="仿宋" w:cs="仿宋"/>
          <w:sz w:val="32"/>
          <w:szCs w:val="32"/>
          <w:lang w:val="en-US" w:eastAsia="zh-CN"/>
        </w:rPr>
        <w:t>均录入资产管理系统进行统一管理。</w:t>
      </w:r>
      <w:r>
        <w:rPr>
          <w:rFonts w:hint="eastAsia" w:ascii="仿宋" w:hAnsi="仿宋" w:eastAsia="仿宋" w:cs="仿宋"/>
          <w:kern w:val="0"/>
          <w:sz w:val="32"/>
          <w:szCs w:val="32"/>
        </w:rPr>
        <w:br w:type="textWrapping"/>
      </w:r>
    </w:p>
    <w:p w14:paraId="439D719B">
      <w:pPr>
        <w:pStyle w:val="3"/>
        <w:numPr>
          <w:ilvl w:val="0"/>
          <w:numId w:val="1"/>
        </w:numPr>
        <w:ind w:left="0" w:leftChars="0"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14:paraId="096CE4CC">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通过对我中心整体支出情况的分析，反映出目前在整体支出的预算编制、执行和管理过程中，仍存在一些问题和不足：</w:t>
      </w:r>
    </w:p>
    <w:p w14:paraId="16574F1D">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是与预算稍有偏差，原因是保障性住房各方面工作繁琐，责任重大，年初预算无法科学设定绩效指标体系，细化考核指标，特别是不能预见来年的有关新政策的颁布与突发事情的出现，无形中半途会产生新的费用。</w:t>
      </w:r>
    </w:p>
    <w:p w14:paraId="33E12F58">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是对不符合承租条件的人出现腾退难的局面，因受制于小部分承租户的文化与认知局限等因素影响，面对已经暴露的问题，涉及到有关部门制度与体制等诸多领域的调整，加上相关部门只有管理权没有执法权，只能通过点面结合的方式，所以每年会产生不等金额的诉讼成本的局面。</w:t>
      </w:r>
    </w:p>
    <w:p w14:paraId="575FB54D">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三是由于是新下沉单位，在过渡期间，对政府采购这一块之前针对供应商没有审核资料，没有做好供应商档案。</w:t>
      </w:r>
    </w:p>
    <w:p w14:paraId="5B08C8AF">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5A8DF460">
      <w:pPr>
        <w:spacing w:line="360" w:lineRule="auto"/>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对于以上问题，我们将认真应对，优化资金分配，提高使用效益。一是加强绩效业务人员培训力度，建立健全绩效管理制度，进一步科学完善绩效指标体系，编制范围尽可能全面，不遗不漏。二是进一步细化公租房治理机制，</w:t>
      </w:r>
      <w:r>
        <w:rPr>
          <w:rFonts w:hint="eastAsia" w:ascii="仿宋" w:hAnsi="仿宋" w:eastAsia="仿宋"/>
          <w:sz w:val="32"/>
          <w:szCs w:val="32"/>
        </w:rPr>
        <w:t>为</w:t>
      </w:r>
      <w:r>
        <w:rPr>
          <w:rFonts w:ascii="仿宋" w:hAnsi="仿宋" w:eastAsia="仿宋"/>
          <w:sz w:val="32"/>
          <w:szCs w:val="32"/>
        </w:rPr>
        <w:t>提高行政效率和公信力，务必扎实推进依法行政，</w:t>
      </w:r>
      <w:r>
        <w:rPr>
          <w:rFonts w:hint="eastAsia" w:ascii="仿宋" w:hAnsi="仿宋" w:eastAsia="仿宋"/>
          <w:sz w:val="32"/>
          <w:szCs w:val="32"/>
        </w:rPr>
        <w:t>完善公租房退出机制，起草地方法规，做到有法可依，让更多保障对象早日得到保障</w:t>
      </w:r>
      <w:r>
        <w:rPr>
          <w:rFonts w:hint="eastAsia" w:ascii="仿宋" w:hAnsi="仿宋" w:eastAsia="仿宋" w:cs="仿宋"/>
          <w:sz w:val="32"/>
          <w:szCs w:val="32"/>
          <w:lang w:val="en-US" w:eastAsia="zh-CN"/>
        </w:rPr>
        <w:t>;三是将以严谨、务实的态度，夯实采购数据库，以详实的数据做好每一次采购工作。四是按照上级部门常态化工作要求，持续保持定力，确保方向不变、力度不减，从严治标，持续治本。</w:t>
      </w:r>
    </w:p>
    <w:p w14:paraId="1B2C75C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1F3896A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 w:hAnsi="仿宋" w:eastAsia="仿宋" w:cs="仿宋"/>
          <w:color w:val="auto"/>
          <w:spacing w:val="0"/>
          <w:position w:val="0"/>
          <w:sz w:val="32"/>
          <w:szCs w:val="32"/>
          <w:lang w:val="en-US" w:eastAsia="zh-CN"/>
        </w:rPr>
      </w:pPr>
      <w:r>
        <w:rPr>
          <w:rFonts w:hint="eastAsia" w:ascii="仿宋" w:hAnsi="仿宋" w:eastAsia="仿宋" w:cs="仿宋"/>
          <w:color w:val="auto"/>
          <w:spacing w:val="0"/>
          <w:position w:val="0"/>
          <w:sz w:val="32"/>
          <w:szCs w:val="32"/>
          <w:lang w:val="en-US" w:eastAsia="zh-CN"/>
        </w:rPr>
        <w:t>根据楼区财政局规定，我单位将在楼区政府门户网公示2022年度绩效自评结果，接受社会各界的监督。</w:t>
      </w:r>
    </w:p>
    <w:p w14:paraId="381CE290">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b/>
          <w:bCs/>
          <w:color w:val="auto"/>
          <w:lang w:val="en-US" w:eastAsia="zh-CN"/>
        </w:rPr>
      </w:pPr>
      <w:r>
        <w:rPr>
          <w:rFonts w:hint="eastAsia" w:ascii="黑体" w:hAnsi="黑体" w:eastAsia="黑体" w:cs="黑体"/>
          <w:b/>
          <w:bCs/>
          <w:color w:val="auto"/>
          <w:spacing w:val="0"/>
          <w:position w:val="0"/>
          <w:sz w:val="32"/>
          <w:szCs w:val="32"/>
          <w:lang w:val="en-US" w:eastAsia="zh-CN"/>
        </w:rPr>
        <w:t>十、其他需要说明的情况</w:t>
      </w:r>
    </w:p>
    <w:p w14:paraId="54E1137C">
      <w:pPr>
        <w:pStyle w:val="3"/>
        <w:ind w:firstLine="640" w:firstLineChars="200"/>
        <w:rPr>
          <w:rFonts w:hint="default"/>
          <w:color w:val="auto"/>
          <w:lang w:val="en-US" w:eastAsia="zh-CN"/>
        </w:rPr>
      </w:pPr>
      <w:r>
        <w:rPr>
          <w:rFonts w:hint="eastAsia" w:ascii="仿宋" w:hAnsi="仿宋" w:eastAsia="仿宋" w:cs="仿宋"/>
          <w:color w:val="auto"/>
          <w:spacing w:val="0"/>
          <w:position w:val="0"/>
          <w:sz w:val="32"/>
          <w:szCs w:val="32"/>
          <w:lang w:val="en-US" w:eastAsia="zh-CN"/>
        </w:rPr>
        <w:t>无。</w:t>
      </w:r>
    </w:p>
    <w:p w14:paraId="47E8B97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 xml:space="preserve"> </w:t>
      </w:r>
    </w:p>
    <w:p w14:paraId="5502F57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p>
    <w:p w14:paraId="5CB1A4BD">
      <w:pPr>
        <w:keepNext w:val="0"/>
        <w:keepLines w:val="0"/>
        <w:pageBreakBefore w:val="0"/>
        <w:widowControl w:val="0"/>
        <w:kinsoku/>
        <w:wordWrap/>
        <w:overflowPunct/>
        <w:topLinePunct w:val="0"/>
        <w:autoSpaceDE/>
        <w:autoSpaceDN/>
        <w:bidi w:val="0"/>
        <w:adjustRightInd/>
        <w:snapToGrid/>
        <w:ind w:left="0"/>
        <w:jc w:val="both"/>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p>
    <w:p w14:paraId="4FB4FB00">
      <w:pPr>
        <w:keepNext w:val="0"/>
        <w:keepLines w:val="0"/>
        <w:pageBreakBefore w:val="0"/>
        <w:widowControl w:val="0"/>
        <w:kinsoku/>
        <w:wordWrap/>
        <w:overflowPunct/>
        <w:topLinePunct w:val="0"/>
        <w:autoSpaceDE/>
        <w:autoSpaceDN/>
        <w:bidi w:val="0"/>
        <w:adjustRightInd/>
        <w:snapToGrid/>
        <w:ind w:left="0"/>
        <w:jc w:val="both"/>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p>
    <w:p w14:paraId="1EAC4D0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 xml:space="preserve">            岳阳市直管公房运营服务中心 </w:t>
      </w:r>
    </w:p>
    <w:p w14:paraId="5038C0A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 xml:space="preserve">               2023年  6月  15日</w:t>
      </w:r>
    </w:p>
    <w:p w14:paraId="67D9965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FDF889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40627D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4FA7AB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9FE464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1FFD4B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BEAA08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4FCF7D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9A0B2A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849A87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0F20AA16">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18363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3E1EA8DA">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0E98D926">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06EA2DB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150C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563EC80C">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3528B06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0AACB1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756A162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029B0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5F92B6AF">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5C558C3C">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6207099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229043B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03B5F62B">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6FFFCA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3FCCE49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1AC4C42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0DA2AC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2360B8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FDC387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053509E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97D3B9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0100C4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580A61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C868CE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29CE99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5F1D0E6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14:paraId="17BEEEA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14:paraId="2255DCF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14:paraId="4461946C">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position w:val="-2"/>
                <w:sz w:val="21"/>
                <w:szCs w:val="21"/>
                <w:lang w:val="en-US" w:eastAsia="zh-CN"/>
                <w14:textFill>
                  <w14:solidFill>
                    <w14:schemeClr w14:val="tx1"/>
                  </w14:solidFill>
                </w14:textFill>
              </w:rPr>
              <w:t>/</w:t>
            </w:r>
          </w:p>
        </w:tc>
        <w:tc>
          <w:tcPr>
            <w:tcW w:w="795" w:type="dxa"/>
            <w:noWrap w:val="0"/>
            <w:vAlign w:val="center"/>
          </w:tcPr>
          <w:p w14:paraId="7AE3569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1EC606F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14:paraId="2A50E4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A007D3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D620AB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46B8DD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C464F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85FADB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18B34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57E26A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99CD1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7C1D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4D443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C1B401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6C8857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B44C05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EAB583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335DC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AA9414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89C14D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9703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D5DFA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1419BCB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69F2BA2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9E989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FE7ED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AB876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90EEA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F2BCD4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14B9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68A37C46">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5F6A8101">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3EE5AB57">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5269BAB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20348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4D0CFD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3208C1C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14:paraId="7D3E1C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ECE1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76648BB2">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401B9AE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DFF09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658E10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36F9DDB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204AAB5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7970FAC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616EA47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76E4740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3EF742D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5572F98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3C2060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4B16AC0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CAFB991">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457D1A2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4778686C">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407EABE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1875FFB">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7979470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14:paraId="5117F6D2">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46C0762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BC42E9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00C001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6EBF84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1D5020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10C4BF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B7D1F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28DEC9B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770FF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CAC8A3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CF89F1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65E34C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65868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AA69D1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071FEF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6AC8B6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A1E9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60DED8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D0DE51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339AB6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FB9A70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455A56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255911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BD9B32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53FCDE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2CE1CF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9C143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861B7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AF637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D3A5C8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7D71002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EC312B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92AFC3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48F2E7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36AD9A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DDB18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845DD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16CD3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28B5CA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993E5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0C775A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3E788A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DE1424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3D8669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967F70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0CF039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1470F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013139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8DEAF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5FA87D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DB0DF1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02038D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8B3284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DAFEB9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5E4F78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71EE57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1B48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2DCF874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1D300A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FDAD8C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680F042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B856FC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316D25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860AC8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395AF9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FEA471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74F2B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6376E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D5762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111DF0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CDD859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90CE15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E5E94D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B35B4F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608F14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BA8AB3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64A58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9560F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C512E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59CB51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225BFF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FCBF0D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60D9C2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D1C64E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80766C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C7E5F9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0BD50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2B36F0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E03CF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F487B08">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1DC8026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20424B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2AEB74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765D37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86697F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4E1E4A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303A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6F81096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9BCF55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9E958B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BB6EA4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358B1D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8A8F5E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34B8B0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0B787B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DD0A3F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07FA9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045D86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080702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618C98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1B52FE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BA9800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C7DAFF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B897A7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EB41D5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36526E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FBF20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6D5BAE1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A343FCF">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51A2649B">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0FA0A39">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34A8740">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7FA277D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14:paraId="20429C0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2098114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163F019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B9BE08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E2FD32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690C4D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F743CF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AF62FB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5D87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4E3A5F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9B13A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D8CA5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7B1BF9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FE862C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9C5F44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48BF4B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B115DB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C1E5F8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3674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14:paraId="2DC75C2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563C7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540C9E2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F763AE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987EF9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2028D1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3FD0C0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78D8F6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0C2A76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E0D0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9A945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8A59A5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4680A38">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497E8FA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3E51D29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29C493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66F426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602600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92F4A3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EAD05D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4741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B852D5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FEB83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89E4D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17CB5C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E27A6C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AF58F5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BF5F88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75FBF2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2BAD7F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3F9F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14:paraId="3B4677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12B87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4EC1D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AB806C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8E53D6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832029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CC4906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6592AE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275C4A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16082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3ADFD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DC0CD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C17BB43">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7C1E588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68EA506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5061C6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0E027B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DEF7F8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0270B6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639989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CB56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E5C5C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CD209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BA932A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77AE37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EEA53D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2982C6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B69D41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EFB1F2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2812B1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1F3D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14:paraId="1AB2457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0DCEE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49802C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89E592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0DE698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216FDE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4F7500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FB8465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F5CF5B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49CC9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C20401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A2E7AB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EC8D70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0E01E56D">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7DFD3A0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F9D7AF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76655A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36D934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285EA9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E4E6FF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F360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72198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ED464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CBBC1A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F58F66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570DAE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B1AB0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4D01D6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BCF423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68F91C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E8D7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14:paraId="12CC455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5FA7E6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0F6C6B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486EEE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16299E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F90508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B9FC13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8E9881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821BB5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18B2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45AA4EF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7B28CE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30ACA9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05EDB2C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14:paraId="54F0C5B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37014C6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083C0A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5E05AD2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425716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ABFD4B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30E644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821E18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59272A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2EAE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4688A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215DE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E10F51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AB4AA3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82F25F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8EA048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D4E507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441E94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6A82BA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57779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14:paraId="6BF16F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6F256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55C3F7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E3E70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1E6EE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64EAD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E3FCF3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569B3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BBB3C8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714B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326277C9">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BDCD753">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14:paraId="38E6FA8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32FB93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59F383CA">
      <w:pPr>
        <w:spacing w:line="252" w:lineRule="auto"/>
        <w:rPr>
          <w:rFonts w:ascii="Arial"/>
          <w:color w:val="000000" w:themeColor="text1"/>
          <w:sz w:val="21"/>
          <w14:textFill>
            <w14:solidFill>
              <w14:schemeClr w14:val="tx1"/>
            </w14:solidFill>
          </w14:textFill>
        </w:rPr>
      </w:pPr>
    </w:p>
    <w:p w14:paraId="416E23ED">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22EBAAA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1EDB7F78">
      <w:pPr>
        <w:ind w:firstLine="1440" w:firstLineChars="400"/>
        <w:jc w:val="both"/>
        <w:rPr>
          <w:rFonts w:hint="eastAsia" w:eastAsia="方正小标宋简体"/>
          <w:sz w:val="36"/>
          <w:szCs w:val="36"/>
          <w:lang w:eastAsia="zh-CN"/>
        </w:rPr>
      </w:pPr>
    </w:p>
    <w:p w14:paraId="3AF6987B">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29338DB3">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E481408">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02C28822">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625C6873">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4B82D046">
            <w:pPr>
              <w:spacing w:line="240" w:lineRule="exact"/>
              <w:jc w:val="center"/>
              <w:rPr>
                <w:rFonts w:eastAsia="黑体"/>
                <w:szCs w:val="21"/>
              </w:rPr>
            </w:pPr>
            <w:r>
              <w:rPr>
                <w:rFonts w:eastAsia="黑体"/>
                <w:szCs w:val="21"/>
              </w:rPr>
              <w:t>评分</w:t>
            </w:r>
          </w:p>
        </w:tc>
      </w:tr>
      <w:tr w14:paraId="617C4B5B">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4C199FD0">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28DDB901">
            <w:pPr>
              <w:spacing w:line="320" w:lineRule="exact"/>
              <w:jc w:val="center"/>
              <w:rPr>
                <w:rFonts w:hint="eastAsia" w:asciiTheme="majorEastAsia" w:hAnsiTheme="majorEastAsia" w:eastAsiaTheme="majorEastAsia" w:cstheme="majorEastAsia"/>
                <w:szCs w:val="21"/>
              </w:rPr>
            </w:pPr>
          </w:p>
          <w:p w14:paraId="25269D4A">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73555CA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5C7EAA1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7AD0F15A">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760B1269">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2F5ED686">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D64FC0B">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4A117A2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4497315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409304AB">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5FC082D0">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5E601972">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D094398">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55B431D8">
            <w:pPr>
              <w:spacing w:line="240" w:lineRule="exact"/>
              <w:jc w:val="center"/>
              <w:rPr>
                <w:rFonts w:hint="eastAsia" w:asciiTheme="majorEastAsia" w:hAnsiTheme="majorEastAsia" w:eastAsiaTheme="majorEastAsia" w:cstheme="majorEastAsia"/>
                <w:szCs w:val="21"/>
              </w:rPr>
            </w:pPr>
          </w:p>
          <w:p w14:paraId="0532798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1E68A8F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209036B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26C6B8D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37854F0">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731F4F6A">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0A2460D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368BC35D">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6F17400">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1080450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151681A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39B710CF">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3EA0011">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4F1DB4FB">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72FC048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172A5033">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800CD37">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6CAA18C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4739136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034F9EF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58B85F0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1EDB0AB5">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6F60FC0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1ED2A570">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5AC36E3">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5AD1BFD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504CD08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7B86A7A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6A9097F2">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619C8C4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1B036F02">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1F1C043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07652E1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77DEF717">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7BB67C37">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98</w:t>
            </w:r>
          </w:p>
        </w:tc>
      </w:tr>
    </w:tbl>
    <w:p w14:paraId="71026568">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911F3">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EFB12C">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4EFB12C">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1D7FFD"/>
    <w:multiLevelType w:val="singleLevel"/>
    <w:tmpl w:val="911D7FFD"/>
    <w:lvl w:ilvl="0" w:tentative="0">
      <w:start w:val="1"/>
      <w:numFmt w:val="chineseCounting"/>
      <w:lvlText w:val="(%1)"/>
      <w:lvlJc w:val="left"/>
      <w:pPr>
        <w:tabs>
          <w:tab w:val="left" w:pos="312"/>
        </w:tabs>
      </w:pPr>
      <w:rPr>
        <w:rFonts w:hint="eastAsia"/>
      </w:rPr>
    </w:lvl>
  </w:abstractNum>
  <w:abstractNum w:abstractNumId="1">
    <w:nsid w:val="04DB4C4C"/>
    <w:multiLevelType w:val="singleLevel"/>
    <w:tmpl w:val="04DB4C4C"/>
    <w:lvl w:ilvl="0" w:tentative="0">
      <w:start w:val="6"/>
      <w:numFmt w:val="chineseCounting"/>
      <w:suff w:val="nothing"/>
      <w:lvlText w:val="%1、"/>
      <w:lvlJc w:val="left"/>
      <w:rPr>
        <w:rFonts w:hint="eastAsia"/>
      </w:rPr>
    </w:lvl>
  </w:abstractNum>
  <w:abstractNum w:abstractNumId="2">
    <w:nsid w:val="3E14AF7C"/>
    <w:multiLevelType w:val="singleLevel"/>
    <w:tmpl w:val="3E14AF7C"/>
    <w:lvl w:ilvl="0" w:tentative="0">
      <w:start w:val="5"/>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9A7016"/>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43B86"/>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671BF"/>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7F34AD8"/>
    <w:rsid w:val="08017E70"/>
    <w:rsid w:val="0805190B"/>
    <w:rsid w:val="082A5F7E"/>
    <w:rsid w:val="08391F38"/>
    <w:rsid w:val="083A18D9"/>
    <w:rsid w:val="0848472A"/>
    <w:rsid w:val="084D20E7"/>
    <w:rsid w:val="08674899"/>
    <w:rsid w:val="08754155"/>
    <w:rsid w:val="087B77E7"/>
    <w:rsid w:val="087D3D34"/>
    <w:rsid w:val="0889236C"/>
    <w:rsid w:val="088E051E"/>
    <w:rsid w:val="08935A7B"/>
    <w:rsid w:val="089B6CCD"/>
    <w:rsid w:val="08A91E6C"/>
    <w:rsid w:val="08B75FBB"/>
    <w:rsid w:val="08BA1B19"/>
    <w:rsid w:val="08D059DD"/>
    <w:rsid w:val="08DC08E7"/>
    <w:rsid w:val="08E25A06"/>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7127D"/>
    <w:rsid w:val="09D8005F"/>
    <w:rsid w:val="0A002E0D"/>
    <w:rsid w:val="0A0E692E"/>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514FD9"/>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9C30EB"/>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63776"/>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A9462C"/>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5EB1BDA"/>
    <w:rsid w:val="160F0091"/>
    <w:rsid w:val="16144614"/>
    <w:rsid w:val="16215455"/>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7F14EE"/>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41466A"/>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BF43C15"/>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20832"/>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7D7EF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6C636B"/>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92443F"/>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4F1540"/>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DE3C83"/>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9A0F10"/>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354E2"/>
    <w:rsid w:val="2EB86707"/>
    <w:rsid w:val="2EC92184"/>
    <w:rsid w:val="2ECD27F6"/>
    <w:rsid w:val="2EDC401A"/>
    <w:rsid w:val="2F0E1C14"/>
    <w:rsid w:val="2F366FC1"/>
    <w:rsid w:val="2F5034C7"/>
    <w:rsid w:val="2F6B1FE9"/>
    <w:rsid w:val="2F866106"/>
    <w:rsid w:val="2FA3249D"/>
    <w:rsid w:val="2FC05B92"/>
    <w:rsid w:val="2FDE3BE4"/>
    <w:rsid w:val="2FEC1413"/>
    <w:rsid w:val="2FEF5C51"/>
    <w:rsid w:val="301F1E0F"/>
    <w:rsid w:val="302E6295"/>
    <w:rsid w:val="303329F0"/>
    <w:rsid w:val="30332B06"/>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3605CC"/>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83002"/>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A443D7"/>
    <w:rsid w:val="34B510BB"/>
    <w:rsid w:val="34BB2714"/>
    <w:rsid w:val="34C25EF7"/>
    <w:rsid w:val="34D20F28"/>
    <w:rsid w:val="34E22DC0"/>
    <w:rsid w:val="350233D4"/>
    <w:rsid w:val="35026F4B"/>
    <w:rsid w:val="35195F01"/>
    <w:rsid w:val="35313A72"/>
    <w:rsid w:val="353547D1"/>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54523"/>
    <w:rsid w:val="3606622C"/>
    <w:rsid w:val="36077316"/>
    <w:rsid w:val="3613278E"/>
    <w:rsid w:val="36356D4F"/>
    <w:rsid w:val="36405687"/>
    <w:rsid w:val="36414112"/>
    <w:rsid w:val="365F3D60"/>
    <w:rsid w:val="36645530"/>
    <w:rsid w:val="367851C1"/>
    <w:rsid w:val="369510BC"/>
    <w:rsid w:val="36973632"/>
    <w:rsid w:val="36A30194"/>
    <w:rsid w:val="36C26992"/>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2263A"/>
    <w:rsid w:val="387A25A5"/>
    <w:rsid w:val="388E6454"/>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63F4D"/>
    <w:rsid w:val="396B7002"/>
    <w:rsid w:val="396C2A15"/>
    <w:rsid w:val="39AC01F9"/>
    <w:rsid w:val="39B73BAC"/>
    <w:rsid w:val="39B7517F"/>
    <w:rsid w:val="39BA3B51"/>
    <w:rsid w:val="39C20795"/>
    <w:rsid w:val="39E90E2B"/>
    <w:rsid w:val="39E94D86"/>
    <w:rsid w:val="39F1638E"/>
    <w:rsid w:val="39F72DF7"/>
    <w:rsid w:val="3A001C79"/>
    <w:rsid w:val="3A1513BA"/>
    <w:rsid w:val="3A2E618D"/>
    <w:rsid w:val="3A4109A1"/>
    <w:rsid w:val="3A5E416A"/>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517F07"/>
    <w:rsid w:val="428D1B97"/>
    <w:rsid w:val="42B608A5"/>
    <w:rsid w:val="42BC6C8F"/>
    <w:rsid w:val="42C5446D"/>
    <w:rsid w:val="42DA2FF9"/>
    <w:rsid w:val="42E94337"/>
    <w:rsid w:val="42F9198D"/>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5807BF"/>
    <w:rsid w:val="44613E6E"/>
    <w:rsid w:val="446A5324"/>
    <w:rsid w:val="447E7804"/>
    <w:rsid w:val="44943661"/>
    <w:rsid w:val="44A05C5C"/>
    <w:rsid w:val="44AC7417"/>
    <w:rsid w:val="44B16853"/>
    <w:rsid w:val="44FF0996"/>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965D4D"/>
    <w:rsid w:val="46A64B43"/>
    <w:rsid w:val="46AA5A85"/>
    <w:rsid w:val="46AC6264"/>
    <w:rsid w:val="46C01696"/>
    <w:rsid w:val="46C52BE0"/>
    <w:rsid w:val="46D118AB"/>
    <w:rsid w:val="46DF533E"/>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0B41C9"/>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BB403D"/>
    <w:rsid w:val="4AE008D2"/>
    <w:rsid w:val="4B0B3617"/>
    <w:rsid w:val="4B161C5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EF56C95"/>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172DA0"/>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15AD3"/>
    <w:rsid w:val="5353575F"/>
    <w:rsid w:val="535B2E70"/>
    <w:rsid w:val="535C4E8B"/>
    <w:rsid w:val="536278AA"/>
    <w:rsid w:val="53673357"/>
    <w:rsid w:val="53676B5F"/>
    <w:rsid w:val="536E21FF"/>
    <w:rsid w:val="5385006E"/>
    <w:rsid w:val="53896967"/>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969D2"/>
    <w:rsid w:val="566F1BE2"/>
    <w:rsid w:val="567B004B"/>
    <w:rsid w:val="56825178"/>
    <w:rsid w:val="568F784B"/>
    <w:rsid w:val="569C0124"/>
    <w:rsid w:val="56A17AE8"/>
    <w:rsid w:val="56C9634D"/>
    <w:rsid w:val="56D41BE8"/>
    <w:rsid w:val="56E9366F"/>
    <w:rsid w:val="56EC7A5D"/>
    <w:rsid w:val="56F4599D"/>
    <w:rsid w:val="570D0322"/>
    <w:rsid w:val="57180ACE"/>
    <w:rsid w:val="571B61B6"/>
    <w:rsid w:val="57213E7D"/>
    <w:rsid w:val="5723561B"/>
    <w:rsid w:val="572362C9"/>
    <w:rsid w:val="572F37C6"/>
    <w:rsid w:val="5736629C"/>
    <w:rsid w:val="574F3E1A"/>
    <w:rsid w:val="57540996"/>
    <w:rsid w:val="57802A35"/>
    <w:rsid w:val="578C3658"/>
    <w:rsid w:val="57B66918"/>
    <w:rsid w:val="57BD6FCE"/>
    <w:rsid w:val="57D214D2"/>
    <w:rsid w:val="57DA1A42"/>
    <w:rsid w:val="57E5652D"/>
    <w:rsid w:val="58002D08"/>
    <w:rsid w:val="58057728"/>
    <w:rsid w:val="581D1F94"/>
    <w:rsid w:val="58207565"/>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909C7"/>
    <w:rsid w:val="5B1B7ACD"/>
    <w:rsid w:val="5B247C71"/>
    <w:rsid w:val="5B2A406A"/>
    <w:rsid w:val="5B2B06FA"/>
    <w:rsid w:val="5B321A89"/>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06720B"/>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3A772C"/>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3F5806"/>
    <w:rsid w:val="64413D22"/>
    <w:rsid w:val="64470699"/>
    <w:rsid w:val="644B6CD5"/>
    <w:rsid w:val="646253D3"/>
    <w:rsid w:val="64627D01"/>
    <w:rsid w:val="6473435B"/>
    <w:rsid w:val="64796354"/>
    <w:rsid w:val="64864D44"/>
    <w:rsid w:val="64A01013"/>
    <w:rsid w:val="64C76164"/>
    <w:rsid w:val="64C86FBA"/>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6E7F92"/>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1C357C"/>
    <w:rsid w:val="6B2B6878"/>
    <w:rsid w:val="6B633F4F"/>
    <w:rsid w:val="6B70680D"/>
    <w:rsid w:val="6B816F14"/>
    <w:rsid w:val="6B8A298B"/>
    <w:rsid w:val="6B8A779B"/>
    <w:rsid w:val="6BAD6C20"/>
    <w:rsid w:val="6BB456BB"/>
    <w:rsid w:val="6BB62A44"/>
    <w:rsid w:val="6BD81D0A"/>
    <w:rsid w:val="6BE052CE"/>
    <w:rsid w:val="6BED44AF"/>
    <w:rsid w:val="6BF2692A"/>
    <w:rsid w:val="6BF358A4"/>
    <w:rsid w:val="6C051F4E"/>
    <w:rsid w:val="6C096C12"/>
    <w:rsid w:val="6C1A5960"/>
    <w:rsid w:val="6C417EB8"/>
    <w:rsid w:val="6C613F45"/>
    <w:rsid w:val="6C756221"/>
    <w:rsid w:val="6C7B08BB"/>
    <w:rsid w:val="6C816AF9"/>
    <w:rsid w:val="6C846694"/>
    <w:rsid w:val="6CA841D2"/>
    <w:rsid w:val="6CB10385"/>
    <w:rsid w:val="6CDD5A7D"/>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AE0FCF"/>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37609"/>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004DA"/>
    <w:rsid w:val="731438BD"/>
    <w:rsid w:val="733155C8"/>
    <w:rsid w:val="734168B5"/>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6D3346"/>
    <w:rsid w:val="77734EA5"/>
    <w:rsid w:val="77A06542"/>
    <w:rsid w:val="77A922C9"/>
    <w:rsid w:val="77AC049C"/>
    <w:rsid w:val="77B23714"/>
    <w:rsid w:val="77BB772D"/>
    <w:rsid w:val="77D43FD2"/>
    <w:rsid w:val="77FA155A"/>
    <w:rsid w:val="781137AD"/>
    <w:rsid w:val="781D13FA"/>
    <w:rsid w:val="782817E9"/>
    <w:rsid w:val="783C764B"/>
    <w:rsid w:val="78555C26"/>
    <w:rsid w:val="78640057"/>
    <w:rsid w:val="78810787"/>
    <w:rsid w:val="78826969"/>
    <w:rsid w:val="788E3AAC"/>
    <w:rsid w:val="78931961"/>
    <w:rsid w:val="78B515B5"/>
    <w:rsid w:val="78C21620"/>
    <w:rsid w:val="78CE2D76"/>
    <w:rsid w:val="78EE2375"/>
    <w:rsid w:val="78FA244C"/>
    <w:rsid w:val="78FE1B78"/>
    <w:rsid w:val="79024116"/>
    <w:rsid w:val="790B5E4F"/>
    <w:rsid w:val="790D572F"/>
    <w:rsid w:val="79233654"/>
    <w:rsid w:val="79393B8B"/>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1C093F"/>
    <w:rsid w:val="7C212B8A"/>
    <w:rsid w:val="7C8464A1"/>
    <w:rsid w:val="7C9536EC"/>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3F4DED"/>
    <w:rsid w:val="7F4E4DC2"/>
    <w:rsid w:val="7F66205C"/>
    <w:rsid w:val="7FA8327A"/>
    <w:rsid w:val="7FB32EED"/>
    <w:rsid w:val="7FB6358D"/>
    <w:rsid w:val="7FC4780F"/>
    <w:rsid w:val="7FCC7507"/>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BodyTextIndent2"/>
    <w:basedOn w:val="1"/>
    <w:qFormat/>
    <w:uiPriority w:val="99"/>
    <w:pPr>
      <w:spacing w:after="120" w:line="480" w:lineRule="auto"/>
      <w:ind w:left="420" w:leftChars="200"/>
    </w:pPr>
  </w:style>
  <w:style w:type="paragraph" w:styleId="3">
    <w:name w:val="toa heading"/>
    <w:basedOn w:val="1"/>
    <w:next w:val="1"/>
    <w:qFormat/>
    <w:uiPriority w:val="99"/>
    <w:pPr>
      <w:spacing w:before="120" w:after="200" w:line="276" w:lineRule="auto"/>
    </w:pPr>
    <w:rPr>
      <w:rFonts w:ascii="Arial" w:hAnsi="Arial"/>
      <w:sz w:val="24"/>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6501</Words>
  <Characters>6946</Characters>
  <Lines>0</Lines>
  <Paragraphs>0</Paragraphs>
  <TotalTime>3</TotalTime>
  <ScaleCrop>false</ScaleCrop>
  <LinksUpToDate>false</LinksUpToDate>
  <CharactersWithSpaces>7116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2023-06-12T08:17:00Z</cp:lastPrinted>
  <dcterms:modified xsi:type="dcterms:W3CDTF">2024-06-26T07:30:47Z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67E992A8E5084CD2BE9A8420609D893E_13</vt:lpwstr>
  </property>
</Properties>
</file>