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12"/>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668"/>
        <w:gridCol w:w="1462"/>
        <w:gridCol w:w="916"/>
        <w:gridCol w:w="1079"/>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pPr>
              <w:spacing w:before="103" w:line="219" w:lineRule="auto"/>
              <w:ind w:left="708"/>
              <w:rPr>
                <w:rFonts w:hint="eastAsia" w:asciiTheme="majorEastAsia" w:hAnsiTheme="majorEastAsia" w:eastAsiaTheme="majorEastAsia" w:cstheme="majorEastAsia"/>
                <w:color w:val="000000" w:themeColor="text1"/>
                <w:spacing w:val="-2"/>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14:textFill>
                  <w14:solidFill>
                    <w14:schemeClr w14:val="tx1"/>
                  </w14:solidFill>
                </w14:textFill>
              </w:rPr>
              <w:t>岳阳市岳阳楼区城市管理督查考评中心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493" w:type="dxa"/>
            <w:gridSpan w:val="2"/>
            <w:noWrap w:val="0"/>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78" w:type="dxa"/>
            <w:gridSpan w:val="2"/>
            <w:noWrap w:val="0"/>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948" w:type="dxa"/>
            <w:gridSpan w:val="2"/>
            <w:noWrap w:val="0"/>
            <w:vAlign w:val="top"/>
          </w:tcPr>
          <w:p>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493"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30</w:t>
            </w:r>
          </w:p>
        </w:tc>
        <w:tc>
          <w:tcPr>
            <w:tcW w:w="2378"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28</w:t>
            </w:r>
          </w:p>
        </w:tc>
        <w:tc>
          <w:tcPr>
            <w:tcW w:w="1948"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93.33%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493"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78"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948" w:type="dxa"/>
            <w:gridSpan w:val="2"/>
            <w:noWrap w:val="0"/>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3.00</w:t>
            </w:r>
          </w:p>
        </w:tc>
        <w:tc>
          <w:tcPr>
            <w:tcW w:w="1948" w:type="dxa"/>
            <w:gridSpan w:val="2"/>
            <w:noWrap w:val="0"/>
            <w:vAlign w:val="top"/>
          </w:tcPr>
          <w:p>
            <w:pP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3.00</w:t>
            </w:r>
          </w:p>
        </w:tc>
        <w:tc>
          <w:tcPr>
            <w:tcW w:w="194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3.00</w:t>
            </w:r>
          </w:p>
        </w:tc>
        <w:tc>
          <w:tcPr>
            <w:tcW w:w="194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228.00</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919.42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201.00</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173.00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27.00</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27.00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numPr>
                <w:ilvl w:val="0"/>
                <w:numId w:val="0"/>
              </w:numPr>
              <w:ind w:firstLine="484" w:firstLineChars="200"/>
              <w:jc w:val="left"/>
              <w:rPr>
                <w:rFonts w:hint="default"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t>3、禁毒经费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0.56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4、城市综合管理专项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61.03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5、文明创建经费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23.27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6、环卫清扫经费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302.55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7、工资性支出预留专项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139.88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8、会议经费专项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0.60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9、疫情防控专项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10、上年单位资金指标年终结转</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173.40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11</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85" w:line="220" w:lineRule="auto"/>
              <w:ind w:firstLine="492"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12、上级转移支付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16.20</w:t>
            </w:r>
          </w:p>
        </w:tc>
        <w:tc>
          <w:tcPr>
            <w:tcW w:w="194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19" w:lineRule="auto"/>
              <w:ind w:left="384"/>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1.00</w:t>
            </w:r>
          </w:p>
        </w:tc>
        <w:tc>
          <w:tcPr>
            <w:tcW w:w="194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1.65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8" w:hRule="atLeast"/>
        </w:trPr>
        <w:tc>
          <w:tcPr>
            <w:tcW w:w="3850"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0.80</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2.95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3850"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4" w:hRule="atLeast"/>
        </w:trPr>
        <w:tc>
          <w:tcPr>
            <w:tcW w:w="3850" w:type="dxa"/>
            <w:noWrap w:val="0"/>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noWrap w:val="0"/>
            <w:vAlign w:val="top"/>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668" w:type="dxa"/>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462" w:type="dxa"/>
            <w:noWrap w:val="0"/>
            <w:vAlign w:val="top"/>
          </w:tcPr>
          <w:p>
            <w:pP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9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668"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462"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16"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079"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刘莉</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13975041800</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2023-06-06</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12"/>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428"/>
        <w:gridCol w:w="550"/>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pPr>
              <w:jc w:val="center"/>
              <w:rPr>
                <w:rFonts w:ascii="Arial"/>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14:textFill>
                  <w14:solidFill>
                    <w14:schemeClr w14:val="tx1"/>
                  </w14:solidFill>
                </w14:textFill>
              </w:rPr>
              <w:t>岳阳市岳阳楼区城市管理督查考评中心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428"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550"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360.47</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1138.93</w:t>
            </w:r>
          </w:p>
        </w:tc>
        <w:tc>
          <w:tcPr>
            <w:tcW w:w="1428"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1126.41</w:t>
            </w:r>
          </w:p>
        </w:tc>
        <w:tc>
          <w:tcPr>
            <w:tcW w:w="550" w:type="dxa"/>
            <w:noWrap w:val="0"/>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98.90%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910.07</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206.99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919.42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228.86</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pStyle w:val="2"/>
              <w:spacing w:line="240" w:lineRule="auto"/>
              <w:rPr>
                <w:rFonts w:hint="default"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cs="宋体"/>
                <w:color w:val="000000" w:themeColor="text1"/>
                <w:spacing w:val="0"/>
                <w:sz w:val="21"/>
                <w:szCs w:val="21"/>
                <w:lang w:val="en-US" w:eastAsia="zh-CN"/>
                <w14:textFill>
                  <w14:solidFill>
                    <w14:schemeClr w14:val="tx1"/>
                  </w14:solidFill>
                </w14:textFill>
              </w:rPr>
              <w:t>1、</w:t>
            </w:r>
            <w:r>
              <w:rPr>
                <w:rFonts w:hint="eastAsia" w:ascii="Arial"/>
                <w:color w:val="000000" w:themeColor="text1"/>
                <w:sz w:val="20"/>
                <w:lang w:val="en-US" w:eastAsia="zh-CN"/>
                <w14:textFill>
                  <w14:solidFill>
                    <w14:schemeClr w14:val="tx1"/>
                  </w14:solidFill>
                </w14:textFill>
              </w:rPr>
              <w:t>污染源治理</w:t>
            </w:r>
            <w:r>
              <w:rPr>
                <w:rFonts w:hint="eastAsia"/>
                <w:color w:val="000000" w:themeColor="text1"/>
                <w:sz w:val="20"/>
                <w:lang w:val="en-US" w:eastAsia="zh-CN"/>
                <w14:textFill>
                  <w14:solidFill>
                    <w14:schemeClr w14:val="tx1"/>
                  </w14:solidFill>
                </w14:textFill>
              </w:rPr>
              <w:t>方面，计划</w:t>
            </w:r>
            <w:r>
              <w:rPr>
                <w:rFonts w:hint="eastAsia" w:ascii="Arial"/>
                <w:color w:val="000000" w:themeColor="text1"/>
                <w:sz w:val="20"/>
                <w:lang w:val="en-US" w:eastAsia="zh-CN"/>
                <w14:textFill>
                  <w14:solidFill>
                    <w14:schemeClr w14:val="tx1"/>
                  </w14:solidFill>
                </w14:textFill>
              </w:rPr>
              <w:t>责令整改餐饮商家300家，走访工地600次，发放通知2千份，查处了各类涉污违规案件120起</w:t>
            </w:r>
            <w:r>
              <w:rPr>
                <w:rFonts w:hint="eastAsia"/>
                <w:color w:val="000000" w:themeColor="text1"/>
                <w:sz w:val="20"/>
                <w:lang w:val="en-US" w:eastAsia="zh-CN"/>
                <w14:textFill>
                  <w14:solidFill>
                    <w14:schemeClr w14:val="tx1"/>
                  </w14:solidFill>
                </w14:textFill>
              </w:rPr>
              <w:t>；2、</w:t>
            </w:r>
            <w:r>
              <w:rPr>
                <w:rFonts w:hint="eastAsia" w:ascii="Arial"/>
                <w:color w:val="000000" w:themeColor="text1"/>
                <w:sz w:val="20"/>
                <w:lang w:val="en-US" w:eastAsia="zh-CN"/>
                <w14:textFill>
                  <w14:solidFill>
                    <w14:schemeClr w14:val="tx1"/>
                  </w14:solidFill>
                </w14:textFill>
              </w:rPr>
              <w:t>夜市管理</w:t>
            </w:r>
            <w:r>
              <w:rPr>
                <w:rFonts w:hint="eastAsia"/>
                <w:color w:val="000000" w:themeColor="text1"/>
                <w:sz w:val="20"/>
                <w:lang w:val="en-US" w:eastAsia="zh-CN"/>
                <w14:textFill>
                  <w14:solidFill>
                    <w14:schemeClr w14:val="tx1"/>
                  </w14:solidFill>
                </w14:textFill>
              </w:rPr>
              <w:t>方面，</w:t>
            </w:r>
            <w:r>
              <w:rPr>
                <w:rFonts w:hint="eastAsia" w:ascii="Arial"/>
                <w:color w:val="000000" w:themeColor="text1"/>
                <w:sz w:val="20"/>
                <w:lang w:val="en-US" w:eastAsia="zh-CN"/>
                <w14:textFill>
                  <w14:solidFill>
                    <w14:schemeClr w14:val="tx1"/>
                  </w14:solidFill>
                </w14:textFill>
              </w:rPr>
              <w:t>开展夜间烧烤摊集中整治行动90次，责令整改夜市商家1200家，清理取缔顽固摊点20家</w:t>
            </w:r>
            <w:r>
              <w:rPr>
                <w:rFonts w:hint="eastAsia"/>
                <w:color w:val="000000" w:themeColor="text1"/>
                <w:sz w:val="20"/>
                <w:lang w:val="en-US" w:eastAsia="zh-CN"/>
                <w14:textFill>
                  <w14:solidFill>
                    <w14:schemeClr w14:val="tx1"/>
                  </w14:solidFill>
                </w14:textFill>
              </w:rPr>
              <w:t>；3、</w:t>
            </w:r>
            <w:r>
              <w:rPr>
                <w:rFonts w:hint="eastAsia" w:ascii="Arial"/>
                <w:color w:val="000000" w:themeColor="text1"/>
                <w:sz w:val="20"/>
                <w:lang w:val="en-US" w:eastAsia="zh-CN"/>
                <w14:textFill>
                  <w14:solidFill>
                    <w14:schemeClr w14:val="tx1"/>
                  </w14:solidFill>
                </w14:textFill>
              </w:rPr>
              <w:t>环境卫生</w:t>
            </w:r>
            <w:r>
              <w:rPr>
                <w:rFonts w:hint="eastAsia"/>
                <w:color w:val="000000" w:themeColor="text1"/>
                <w:sz w:val="20"/>
                <w:lang w:val="en-US" w:eastAsia="zh-CN"/>
                <w14:textFill>
                  <w14:solidFill>
                    <w14:schemeClr w14:val="tx1"/>
                  </w14:solidFill>
                </w14:textFill>
              </w:rPr>
              <w:t>方面，</w:t>
            </w:r>
            <w:r>
              <w:rPr>
                <w:rFonts w:hint="eastAsia" w:ascii="Arial"/>
                <w:color w:val="000000" w:themeColor="text1"/>
                <w:sz w:val="20"/>
                <w:lang w:val="en-US" w:eastAsia="zh-CN"/>
                <w14:textFill>
                  <w14:solidFill>
                    <w14:schemeClr w14:val="tx1"/>
                  </w14:solidFill>
                </w14:textFill>
              </w:rPr>
              <w:t>快速保洁车做到每15分钟巡回保洁一次，洒水车保证每2小时洒水一遍，每2天全面清洗一遍，炮雾车辆保持每2小时的一次，加强道路抑尘喷水，降低路面扬尘；清运车辆日均出动200辆次，确保垃圾日产日清</w:t>
            </w:r>
            <w:r>
              <w:rPr>
                <w:rFonts w:hint="eastAsia"/>
                <w:color w:val="000000" w:themeColor="text1"/>
                <w:sz w:val="20"/>
                <w:lang w:val="en-US" w:eastAsia="zh-CN"/>
                <w14:textFill>
                  <w14:solidFill>
                    <w14:schemeClr w14:val="tx1"/>
                  </w14:solidFill>
                </w14:textFill>
              </w:rPr>
              <w:t>；4、</w:t>
            </w:r>
            <w:r>
              <w:rPr>
                <w:rFonts w:hint="eastAsia" w:ascii="Arial"/>
                <w:color w:val="000000" w:themeColor="text1"/>
                <w:sz w:val="20"/>
                <w:lang w:val="en-US" w:eastAsia="zh-CN"/>
                <w14:textFill>
                  <w14:solidFill>
                    <w14:schemeClr w14:val="tx1"/>
                  </w14:solidFill>
                </w14:textFill>
              </w:rPr>
              <w:t>每月分两组对下沉单位进行考评</w:t>
            </w:r>
            <w:r>
              <w:rPr>
                <w:rFonts w:hint="eastAsia"/>
                <w:color w:val="000000" w:themeColor="text1"/>
                <w:sz w:val="20"/>
                <w:lang w:val="en-US" w:eastAsia="zh-CN"/>
                <w14:textFill>
                  <w14:solidFill>
                    <w14:schemeClr w14:val="tx1"/>
                  </w14:solidFill>
                </w14:textFill>
              </w:rPr>
              <w:t>，每年12次，发现问题，及时整改。</w:t>
            </w:r>
          </w:p>
          <w:p>
            <w:pPr>
              <w:pStyle w:val="2"/>
              <w:numPr>
                <w:ilvl w:val="0"/>
                <w:numId w:val="0"/>
              </w:numPr>
              <w:rPr>
                <w:rFonts w:hint="eastAsia"/>
              </w:rPr>
            </w:pPr>
          </w:p>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ascii="Arial"/>
                <w:color w:val="000000" w:themeColor="text1"/>
                <w:spacing w:val="0"/>
                <w:sz w:val="20"/>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1、污染源治理。自蓝天保卫战工作实施以来，共责令整改餐饮商家300余家，走访工地600余次，发放通知2千余份，查处了各类涉污违规案件120起，并对其中污染比较严重的</w:t>
            </w:r>
            <w:r>
              <w:rPr>
                <w:rFonts w:hint="default" w:ascii="宋体" w:hAnsi="宋体" w:eastAsia="宋体" w:cs="宋体"/>
                <w:color w:val="000000" w:themeColor="text1"/>
                <w:spacing w:val="0"/>
                <w:sz w:val="21"/>
                <w:szCs w:val="21"/>
                <w:lang w:val="en-US" w:eastAsia="zh-CN"/>
                <w14:textFill>
                  <w14:solidFill>
                    <w14:schemeClr w14:val="tx1"/>
                  </w14:solidFill>
                </w14:textFill>
              </w:rPr>
              <w:t>8</w:t>
            </w:r>
            <w:r>
              <w:rPr>
                <w:rFonts w:hint="eastAsia" w:ascii="宋体" w:hAnsi="宋体" w:eastAsia="宋体" w:cs="宋体"/>
                <w:color w:val="000000" w:themeColor="text1"/>
                <w:spacing w:val="0"/>
                <w:sz w:val="21"/>
                <w:szCs w:val="21"/>
                <w:lang w:val="en-US" w:eastAsia="zh-CN"/>
                <w14:textFill>
                  <w14:solidFill>
                    <w14:schemeClr w14:val="tx1"/>
                  </w14:solidFill>
                </w14:textFill>
              </w:rPr>
              <w:t>起进行行政处罚</w:t>
            </w:r>
            <w:r>
              <w:rPr>
                <w:rFonts w:hint="default" w:ascii="宋体" w:hAnsi="宋体" w:eastAsia="宋体" w:cs="宋体"/>
                <w:color w:val="000000" w:themeColor="text1"/>
                <w:spacing w:val="0"/>
                <w:sz w:val="21"/>
                <w:szCs w:val="21"/>
                <w:lang w:val="en-US" w:eastAsia="zh-CN"/>
                <w14:textFill>
                  <w14:solidFill>
                    <w14:schemeClr w14:val="tx1"/>
                  </w14:solidFill>
                </w14:textFill>
              </w:rPr>
              <w:t>3</w:t>
            </w:r>
            <w:r>
              <w:rPr>
                <w:rFonts w:hint="eastAsia" w:ascii="宋体" w:hAnsi="宋体" w:eastAsia="宋体" w:cs="宋体"/>
                <w:color w:val="000000" w:themeColor="text1"/>
                <w:spacing w:val="0"/>
                <w:sz w:val="21"/>
                <w:szCs w:val="21"/>
                <w:lang w:val="en-US" w:eastAsia="zh-CN"/>
                <w14:textFill>
                  <w14:solidFill>
                    <w14:schemeClr w14:val="tx1"/>
                  </w14:solidFill>
                </w14:textFill>
              </w:rPr>
              <w:t>万多元，目前车辆带泥、沿途撒漏等污染行为得到有效遏制，道路污染和工地扬尘明显减少。在污染源治理中一大队和沿湖管理中心的方式方法较为主动，通过</w:t>
            </w:r>
            <w:r>
              <w:rPr>
                <w:rFonts w:hint="default" w:ascii="宋体" w:hAnsi="宋体" w:eastAsia="宋体" w:cs="宋体"/>
                <w:color w:val="000000" w:themeColor="text1"/>
                <w:spacing w:val="0"/>
                <w:sz w:val="21"/>
                <w:szCs w:val="21"/>
                <w:lang w:val="en-US" w:eastAsia="zh-CN"/>
                <w14:textFill>
                  <w14:solidFill>
                    <w14:schemeClr w14:val="tx1"/>
                  </w14:solidFill>
                </w14:textFill>
              </w:rPr>
              <w:t>定期巡查和不定期突查</w:t>
            </w:r>
            <w:r>
              <w:rPr>
                <w:rFonts w:hint="eastAsia" w:ascii="宋体" w:hAnsi="宋体" w:eastAsia="宋体" w:cs="宋体"/>
                <w:color w:val="000000" w:themeColor="text1"/>
                <w:spacing w:val="0"/>
                <w:sz w:val="21"/>
                <w:szCs w:val="21"/>
                <w:lang w:val="en-US" w:eastAsia="zh-CN"/>
                <w14:textFill>
                  <w14:solidFill>
                    <w14:schemeClr w14:val="tx1"/>
                  </w14:solidFill>
                </w14:textFill>
              </w:rPr>
              <w:t>相结合，上门劝导和动态跟踪同步进行的方式，持续加强夜间渣土运输车辆的监管，共发现并督促整改渣土车辆200余台，为降低道路扬尘污染做了很大的贡献。2、如夜市管理。为了严格控制油烟污染，共开展夜间烧烤摊集中整治行动90余次，责令整改夜市商家1200余家，清理取缔顽固摊点20余家，并要求餐饮门店按照要求安装餐饮油烟净化设施，进一步巩固整治的成效。其中二大队在这方面花了很大的力气，城管队员不厌其烦、反复上门进行劝导，讲政策、讲道理、讲好话，取得了良好的整治效果，目前二大队辖区内餐饮门店已严格按照要求安装了餐饮油烟净化设施。3、环境卫生方面。各环卫单位，根据“环卫治脏”的工作要求，</w:t>
            </w:r>
            <w:r>
              <w:rPr>
                <w:rFonts w:hint="eastAsia" w:ascii="宋体" w:hAnsi="宋体" w:eastAsia="宋体" w:cs="宋体"/>
                <w:color w:val="000000" w:themeColor="text1"/>
                <w:spacing w:val="0"/>
                <w:sz w:val="21"/>
                <w:szCs w:val="21"/>
                <w:lang w:val="zh-CN" w:eastAsia="zh-CN"/>
                <w14:textFill>
                  <w14:solidFill>
                    <w14:schemeClr w14:val="tx1"/>
                  </w14:solidFill>
                </w14:textFill>
              </w:rPr>
              <w:t>全面加强主次干道、市场周边、商场周边、学校周边、医疗机构周边、车站周边等人员密集地段清扫保洁的频率和密度。</w:t>
            </w:r>
            <w:r>
              <w:rPr>
                <w:rFonts w:hint="eastAsia" w:ascii="宋体" w:hAnsi="宋体" w:eastAsia="宋体" w:cs="宋体"/>
                <w:color w:val="000000" w:themeColor="text1"/>
                <w:spacing w:val="0"/>
                <w:sz w:val="21"/>
                <w:szCs w:val="21"/>
                <w:lang w:val="en-US" w:eastAsia="zh-CN"/>
                <w14:textFill>
                  <w14:solidFill>
                    <w14:schemeClr w14:val="tx1"/>
                  </w14:solidFill>
                </w14:textFill>
              </w:rPr>
              <w:t>快速保洁车做到每15分钟巡回保洁一次，洒水车全天歇人不歇车，保证每2小时洒水一遍，每2天全面清洗一遍，减少垃圾、泥沙滞留时间；炮雾车辆保持每2小时的一次，加强道路抑尘喷水，降低路面扬尘；清运车辆日均出动200余辆次，确保垃圾日产日清。常态化开展环境卫生整治行动，上半年共</w:t>
            </w:r>
            <w:r>
              <w:rPr>
                <w:rFonts w:hint="default" w:ascii="宋体" w:hAnsi="宋体" w:eastAsia="宋体" w:cs="宋体"/>
                <w:color w:val="000000" w:themeColor="text1"/>
                <w:spacing w:val="0"/>
                <w:sz w:val="21"/>
                <w:szCs w:val="21"/>
                <w:lang w:val="en-US" w:eastAsia="zh-CN"/>
                <w14:textFill>
                  <w14:solidFill>
                    <w14:schemeClr w14:val="tx1"/>
                  </w14:solidFill>
                </w14:textFill>
              </w:rPr>
              <w:t>开展专项</w:t>
            </w:r>
            <w:r>
              <w:rPr>
                <w:rFonts w:hint="eastAsia" w:ascii="宋体" w:hAnsi="宋体" w:eastAsia="宋体" w:cs="宋体"/>
                <w:color w:val="000000" w:themeColor="text1"/>
                <w:spacing w:val="0"/>
                <w:sz w:val="21"/>
                <w:szCs w:val="21"/>
                <w:lang w:val="en-US" w:eastAsia="zh-CN"/>
                <w14:textFill>
                  <w14:solidFill>
                    <w14:schemeClr w14:val="tx1"/>
                  </w14:solidFill>
                </w14:textFill>
              </w:rPr>
              <w:t>行动</w:t>
            </w:r>
            <w:r>
              <w:rPr>
                <w:rFonts w:hint="default" w:ascii="宋体" w:hAnsi="宋体" w:eastAsia="宋体" w:cs="宋体"/>
                <w:color w:val="000000" w:themeColor="text1"/>
                <w:spacing w:val="0"/>
                <w:sz w:val="21"/>
                <w:szCs w:val="21"/>
                <w:lang w:val="en-US" w:eastAsia="zh-CN"/>
                <w14:textFill>
                  <w14:solidFill>
                    <w14:schemeClr w14:val="tx1"/>
                  </w14:solidFill>
                </w14:textFill>
              </w:rPr>
              <w:t>100余次</w:t>
            </w:r>
            <w:r>
              <w:rPr>
                <w:rFonts w:hint="eastAsia" w:ascii="宋体" w:hAnsi="宋体" w:eastAsia="宋体" w:cs="宋体"/>
                <w:color w:val="000000" w:themeColor="text1"/>
                <w:spacing w:val="0"/>
                <w:sz w:val="21"/>
                <w:szCs w:val="21"/>
                <w:lang w:val="en-US" w:eastAsia="zh-CN"/>
                <w14:textFill>
                  <w14:solidFill>
                    <w14:schemeClr w14:val="tx1"/>
                  </w14:solidFill>
                </w14:textFill>
              </w:rPr>
              <w:t>，集中清理了约90吨卫生死角垃圾。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428"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55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污染源治理</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责令整改餐饮商家300家，走访工地600次，发放通知2千份，查处了各类涉污违规案件120起</w:t>
            </w:r>
          </w:p>
        </w:tc>
        <w:tc>
          <w:tcPr>
            <w:tcW w:w="1428"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55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夜市管理</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开展夜间烧烤摊集中整治行动90次，责令整改夜市商家1200家，清理取缔顽固摊点20家</w:t>
            </w:r>
          </w:p>
        </w:tc>
        <w:tc>
          <w:tcPr>
            <w:tcW w:w="1428"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550"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6</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环境卫生</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快速保洁车做到每15分钟巡回保洁一次，洒水车保证每2小时洒水一遍，每2天全面清洗一遍，炮雾车辆保持每2小时的一次，加强道路抑尘喷水，降低路面扬尘；清运车辆日均出动200辆次，确保垃圾日产日清</w:t>
            </w:r>
          </w:p>
        </w:tc>
        <w:tc>
          <w:tcPr>
            <w:tcW w:w="1428"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5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污染源减少率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color w:val="000000" w:themeColor="text1"/>
                <w:sz w:val="20"/>
                <w:lang w:val="en-US"/>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大于等于95%</w:t>
            </w:r>
          </w:p>
        </w:tc>
        <w:tc>
          <w:tcPr>
            <w:tcW w:w="1428"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55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6"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环境卫生覆盖率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大于等于95%</w:t>
            </w:r>
          </w:p>
        </w:tc>
        <w:tc>
          <w:tcPr>
            <w:tcW w:w="1428"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550"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6</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每月分两组对下沉单位进行考评</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每月完成</w:t>
            </w:r>
          </w:p>
        </w:tc>
        <w:tc>
          <w:tcPr>
            <w:tcW w:w="1428"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每月完成</w:t>
            </w:r>
          </w:p>
        </w:tc>
        <w:tc>
          <w:tcPr>
            <w:tcW w:w="55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总成本控制</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不超过预算投入</w:t>
            </w:r>
          </w:p>
        </w:tc>
        <w:tc>
          <w:tcPr>
            <w:tcW w:w="142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1126.41万元</w:t>
            </w:r>
          </w:p>
        </w:tc>
        <w:tc>
          <w:tcPr>
            <w:tcW w:w="55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2022年我单位才正式成立，做年初预算数当时只做了在编人员的人员经费，公用经费和生产运转经费及其他相关经费的预算都没有含进去，所以全年执行数会超过年初预算数，下年做预算会注意控制好。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园林绿化维护</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效果显著</w:t>
            </w:r>
          </w:p>
        </w:tc>
        <w:tc>
          <w:tcPr>
            <w:tcW w:w="142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按照园林绿化管养标准，加强城区植物管养力度，抓好主要道路和公园内新春特色景观布置工作，提升城市园林品质，持续开展“绿地清洁”专项行动，全面清理公共绿地内的积存树叶和垃圾杂物，及时对裸露绿地进行补植补栽</w:t>
            </w:r>
          </w:p>
        </w:tc>
        <w:tc>
          <w:tcPr>
            <w:tcW w:w="55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1"/>
                <w14:textFill>
                  <w14:solidFill>
                    <w14:schemeClr w14:val="tx1"/>
                  </w14:solidFill>
                </w14:textFill>
              </w:rPr>
              <w:t>市容秩序维护</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效果显著</w:t>
            </w:r>
          </w:p>
        </w:tc>
        <w:tc>
          <w:tcPr>
            <w:tcW w:w="142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全面加强破损横幅、违规户外广告及城市“牛皮癣”的清理整治；加大对违法停车现象的执法整治力度，全面整治重点地段车辆乱停乱放的突出问题，切实规范了停车秩序；全面加强渣土运输车辆管理，狠抓渣土车辆未密闭覆盖、带泥上路、道路遗撒等问题治理，规范渣土运输行为。</w:t>
            </w:r>
          </w:p>
        </w:tc>
        <w:tc>
          <w:tcPr>
            <w:tcW w:w="55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督查考评“5+2、8+X”的工作模式</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效果显著</w:t>
            </w:r>
          </w:p>
        </w:tc>
        <w:tc>
          <w:tcPr>
            <w:tcW w:w="1428"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中心全体班子成员落实双休日带班巡查制度，开展每日两班的巡查督查，督查专员带队，定期开展夜间督查，发现问题及时在“美丽楼区随手拍”发送并督促整改，上半年至今发现问题2300余起，群内各单位基本做到发现一起整改一起</w:t>
            </w:r>
          </w:p>
        </w:tc>
        <w:tc>
          <w:tcPr>
            <w:tcW w:w="550"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城市管理领域的信息化建设和智慧化管理工作</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显著提高</w:t>
            </w:r>
          </w:p>
        </w:tc>
        <w:tc>
          <w:tcPr>
            <w:tcW w:w="1428"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提高城市建设环境卫生、园林绿化管理和服务水平，维护城市秩序和市场秩序，改善人居生活环境质量，提升居民生活便利，保障人民生命、财产 安全</w:t>
            </w:r>
          </w:p>
        </w:tc>
        <w:tc>
          <w:tcPr>
            <w:tcW w:w="550"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社会公众满意度</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14:textFill>
                  <w14:solidFill>
                    <w14:schemeClr w14:val="tx1"/>
                  </w14:solidFill>
                </w14:textFill>
              </w:rPr>
              <w:t>大于等于90</w:t>
            </w:r>
            <w:r>
              <w:rPr>
                <w:rFonts w:hint="eastAsia" w:ascii="Arial"/>
                <w:color w:val="000000" w:themeColor="text1"/>
                <w:sz w:val="21"/>
                <w:lang w:val="en-US" w:eastAsia="zh-CN"/>
                <w14:textFill>
                  <w14:solidFill>
                    <w14:schemeClr w14:val="tx1"/>
                  </w14:solidFill>
                </w14:textFill>
              </w:rPr>
              <w:t>%</w:t>
            </w:r>
          </w:p>
        </w:tc>
        <w:tc>
          <w:tcPr>
            <w:tcW w:w="1428"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550"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208"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550"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刘莉</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13975041800</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2023-06-06</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3"/>
          <w:sz w:val="22"/>
          <w:szCs w:val="22"/>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岳阳市岳阳楼区城市管理督查考评中心</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 06 月 06 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2022年度岳阳市岳阳楼区城市管理督查考评中心单位整体支出绩效自评报告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widowControl/>
        <w:spacing w:line="60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（一）职能职责</w:t>
      </w:r>
    </w:p>
    <w:p>
      <w:pPr>
        <w:spacing w:before="0" w:beforeAutospacing="0" w:after="1" w:afterAutospacing="0"/>
        <w:ind w:left="0" w:firstLine="628"/>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 xml:space="preserve">1、负责区城市管理领域的统筹管理、指挥协调、调度处置工作；负责跨区域、重大复杂执法以及上级交办任务的协调督办工作；牵头组织拟订全区城管执法、环境卫生、园林绿化等城市管理领域的专项发展规划和年度计划。 </w:t>
      </w:r>
    </w:p>
    <w:p>
      <w:pPr>
        <w:spacing w:before="0" w:beforeAutospacing="0" w:after="1" w:afterAutospacing="0"/>
        <w:ind w:left="0" w:firstLine="628"/>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 xml:space="preserve">2、负责区城市管理领域的督查考评工作；完善城市管理考核指标体系和管理制度。 </w:t>
      </w:r>
    </w:p>
    <w:p>
      <w:pPr>
        <w:spacing w:before="0" w:beforeAutospacing="0" w:after="1" w:afterAutospacing="0"/>
        <w:ind w:left="0" w:firstLine="628"/>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 xml:space="preserve">3、负责统筹城市管理领域组织开展文明城市、卫生城市、园林城市等迎检工作和重要活动、重大接待任务的城市服务保障工作。 </w:t>
      </w:r>
    </w:p>
    <w:p>
      <w:pPr>
        <w:spacing w:before="0" w:beforeAutospacing="0" w:after="1" w:afterAutospacing="0"/>
        <w:ind w:left="0" w:firstLine="628"/>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 xml:space="preserve">4、负责拟订城管执法车辆、服装等装备的添置计划，经批准后组织实施。 </w:t>
      </w:r>
    </w:p>
    <w:p>
      <w:pPr>
        <w:spacing w:before="0" w:beforeAutospacing="0" w:after="1" w:afterAutospacing="0"/>
        <w:ind w:left="0" w:firstLine="628"/>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 xml:space="preserve">5、负责全区环境卫生设施建设、维修改造与管理工作；负责拟订环卫机械、车辆等设备建设规划和年度添置计划，经批准后组织实施；承担环卫设备、工具、劳保用品等的采购、验收、分发工作。 </w:t>
      </w:r>
    </w:p>
    <w:p>
      <w:pPr>
        <w:spacing w:before="0" w:beforeAutospacing="0" w:after="1" w:afterAutospacing="0"/>
        <w:ind w:left="0" w:firstLine="628"/>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 xml:space="preserve">6、负责指导、监督全区园林绿化建设、养护和管理；负责审核园林绿化建设工程预(决)算；负责拟订园林绿化机械、车辆等设备建设规划和年度添置计划，经批准后组织实施。 </w:t>
      </w:r>
    </w:p>
    <w:p>
      <w:pPr>
        <w:spacing w:before="0" w:beforeAutospacing="0" w:after="1" w:afterAutospacing="0"/>
        <w:ind w:left="0" w:firstLine="628"/>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 xml:space="preserve">7、负责城市管理领域的信息化建设和智慧化管理工作。 </w:t>
      </w:r>
    </w:p>
    <w:p>
      <w:pPr>
        <w:spacing w:before="0" w:beforeAutospacing="0" w:after="1" w:afterAutospacing="0"/>
        <w:ind w:left="0" w:firstLine="628"/>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 xml:space="preserve">8、负责“12345”政府热线、“12319”城管热线和“智慧城管”平台下派的城市管理类工单的接收、交办、督办和考核等工作；负责“车窗抛物”有奖举报的受理、审核、奖励实施等工作。 </w:t>
      </w:r>
    </w:p>
    <w:p>
      <w:pPr>
        <w:spacing w:before="0" w:beforeAutospacing="0" w:after="1" w:afterAutospacing="0"/>
        <w:ind w:left="0" w:firstLine="628"/>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 xml:space="preserve">9、负责城市管理领域事权下放所涉单位的财务统一集中核算和审计工作。 </w:t>
      </w:r>
    </w:p>
    <w:p>
      <w:pPr>
        <w:spacing w:before="0" w:beforeAutospacing="0" w:after="1" w:afterAutospacing="0"/>
        <w:ind w:left="0" w:firstLine="628"/>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 xml:space="preserve">10、负责事权下放所涉单位的信访维稳和安全生产工作；履行安全生产监督职责，实施安全生产专业培训和监管；协调处置城市管理应急突发事件。 </w:t>
      </w:r>
    </w:p>
    <w:p>
      <w:pPr>
        <w:spacing w:before="0" w:beforeAutospacing="0" w:after="1" w:afterAutospacing="0"/>
        <w:ind w:left="0" w:firstLine="628"/>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 xml:space="preserve">11、负责事权下放所涉单位的党员统一管理、党建指导和干部人事管理工作。 </w:t>
      </w:r>
    </w:p>
    <w:p>
      <w:pPr>
        <w:spacing w:before="0" w:beforeAutospacing="0" w:after="1" w:afterAutospacing="0"/>
        <w:ind w:left="0" w:firstLine="628"/>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 xml:space="preserve">12、完成区委、区人民政府交办的其他任务。 </w:t>
      </w:r>
    </w:p>
    <w:p>
      <w:pPr>
        <w:widowControl/>
        <w:spacing w:line="60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（二）机构设置</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 w:hAnsi="仿宋" w:eastAsia="仿宋" w:cs="仿宋_GB2312"/>
          <w:kern w:val="0"/>
          <w:sz w:val="32"/>
          <w:szCs w:val="32"/>
          <w:lang w:val="en-US" w:eastAsia="zh-CN"/>
        </w:rPr>
      </w:pPr>
      <w:r>
        <w:rPr>
          <w:rFonts w:hint="eastAsia" w:ascii="仿宋" w:hAnsi="仿宋" w:eastAsia="仿宋" w:cs="仿宋_GB2312"/>
          <w:kern w:val="0"/>
          <w:sz w:val="32"/>
          <w:szCs w:val="32"/>
        </w:rPr>
        <w:t>岳阳市岳阳楼区城市管理督查考评中心为区人民政府直属公益类事业部门，正科级；本部门设有办公室，财务室， 设主任1名，副主任4名，督查专员5名。</w:t>
      </w:r>
      <w:r>
        <w:rPr>
          <w:rFonts w:hint="eastAsia" w:ascii="仿宋" w:hAnsi="仿宋" w:eastAsia="仿宋" w:cs="仿宋_GB2312"/>
          <w:kern w:val="0"/>
          <w:sz w:val="32"/>
          <w:szCs w:val="32"/>
          <w:lang w:val="en-US" w:eastAsia="zh-CN"/>
        </w:rPr>
        <w:t>编制人数30人，实有人数28人。</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lang w:val="en-US" w:eastAsia="zh-CN"/>
        </w:rPr>
      </w:pPr>
      <w:r>
        <w:rPr>
          <w:rFonts w:hint="eastAsia" w:ascii="仿宋" w:hAnsi="仿宋" w:eastAsia="仿宋" w:cs="仿宋"/>
          <w:color w:val="000000"/>
          <w:kern w:val="2"/>
          <w:sz w:val="32"/>
          <w:szCs w:val="32"/>
        </w:rPr>
        <w:t>2022年</w:t>
      </w:r>
      <w:r>
        <w:rPr>
          <w:rFonts w:hint="eastAsia" w:ascii="仿宋" w:hAnsi="仿宋" w:eastAsia="仿宋" w:cs="仿宋"/>
          <w:color w:val="000000"/>
          <w:kern w:val="2"/>
          <w:sz w:val="32"/>
          <w:szCs w:val="32"/>
          <w:lang w:val="en-US" w:eastAsia="zh-CN"/>
        </w:rPr>
        <w:t>我单位的</w:t>
      </w:r>
      <w:r>
        <w:rPr>
          <w:rFonts w:hint="eastAsia" w:ascii="仿宋" w:hAnsi="仿宋" w:eastAsia="仿宋" w:cs="仿宋"/>
          <w:color w:val="000000"/>
          <w:kern w:val="2"/>
          <w:sz w:val="32"/>
          <w:szCs w:val="32"/>
        </w:rPr>
        <w:t>基本支出</w:t>
      </w:r>
      <w:r>
        <w:rPr>
          <w:rFonts w:hint="eastAsia" w:ascii="仿宋" w:hAnsi="仿宋" w:eastAsia="仿宋" w:cs="仿宋"/>
          <w:color w:val="000000"/>
          <w:kern w:val="2"/>
          <w:sz w:val="32"/>
          <w:szCs w:val="32"/>
          <w:lang w:val="en-US" w:eastAsia="zh-CN"/>
        </w:rPr>
        <w:t>数</w:t>
      </w:r>
      <w:r>
        <w:rPr>
          <w:rFonts w:hint="eastAsia" w:ascii="仿宋" w:hAnsi="仿宋" w:eastAsia="仿宋" w:cs="仿宋"/>
          <w:color w:val="000000"/>
          <w:kern w:val="2"/>
          <w:sz w:val="32"/>
          <w:szCs w:val="32"/>
        </w:rPr>
        <w:t>为</w:t>
      </w:r>
      <w:r>
        <w:rPr>
          <w:rFonts w:hint="eastAsia" w:ascii="仿宋" w:hAnsi="仿宋" w:eastAsia="仿宋" w:cs="仿宋"/>
          <w:color w:val="000000"/>
          <w:kern w:val="2"/>
          <w:sz w:val="32"/>
          <w:szCs w:val="32"/>
          <w:lang w:val="en-US" w:eastAsia="zh-CN"/>
        </w:rPr>
        <w:t>206.99</w:t>
      </w:r>
      <w:r>
        <w:rPr>
          <w:rFonts w:hint="eastAsia" w:ascii="仿宋" w:hAnsi="仿宋" w:eastAsia="仿宋" w:cs="仿宋"/>
          <w:color w:val="000000"/>
          <w:kern w:val="2"/>
          <w:sz w:val="32"/>
          <w:szCs w:val="32"/>
        </w:rPr>
        <w:t>万元，其中：人员经费</w:t>
      </w:r>
      <w:r>
        <w:rPr>
          <w:rFonts w:hint="eastAsia" w:ascii="仿宋" w:hAnsi="仿宋" w:eastAsia="仿宋" w:cs="仿宋"/>
          <w:color w:val="000000"/>
          <w:kern w:val="2"/>
          <w:sz w:val="32"/>
          <w:szCs w:val="32"/>
          <w:lang w:val="en-US" w:eastAsia="zh-CN"/>
        </w:rPr>
        <w:t>145.87</w:t>
      </w:r>
      <w:r>
        <w:rPr>
          <w:rFonts w:hint="eastAsia" w:ascii="仿宋" w:hAnsi="仿宋" w:eastAsia="仿宋" w:cs="仿宋"/>
          <w:color w:val="000000"/>
          <w:kern w:val="2"/>
          <w:sz w:val="32"/>
          <w:szCs w:val="32"/>
        </w:rPr>
        <w:t>万元，</w:t>
      </w:r>
      <w:r>
        <w:rPr>
          <w:rFonts w:hint="eastAsia" w:ascii="仿宋" w:hAnsi="仿宋" w:eastAsia="仿宋" w:cs="仿宋"/>
          <w:color w:val="auto"/>
          <w:kern w:val="2"/>
          <w:sz w:val="32"/>
          <w:szCs w:val="32"/>
          <w:highlight w:val="none"/>
          <w:u w:val="none"/>
          <w:lang w:val="en-US" w:eastAsia="zh-CN"/>
        </w:rPr>
        <w:t>占基本支出的70.47%，</w:t>
      </w:r>
      <w:r>
        <w:rPr>
          <w:rFonts w:hint="eastAsia" w:ascii="仿宋" w:hAnsi="仿宋" w:eastAsia="仿宋" w:cs="仿宋"/>
          <w:color w:val="000000"/>
          <w:kern w:val="2"/>
          <w:sz w:val="32"/>
          <w:szCs w:val="32"/>
        </w:rPr>
        <w:t>主要包括：基本工资、津贴补贴、奖金、绩效工资、机关事业单位基本养老保险缴费、职业年金缴费、职工基本医疗保险缴费、其他社会保障缴费、住房公积金</w:t>
      </w:r>
      <w:r>
        <w:rPr>
          <w:rFonts w:hint="eastAsia" w:ascii="仿宋" w:hAnsi="仿宋" w:eastAsia="仿宋" w:cs="仿宋"/>
          <w:color w:val="000000"/>
          <w:kern w:val="2"/>
          <w:sz w:val="32"/>
          <w:szCs w:val="32"/>
          <w:lang w:eastAsia="zh-CN"/>
        </w:rPr>
        <w:t>、</w:t>
      </w:r>
      <w:r>
        <w:rPr>
          <w:rFonts w:hint="eastAsia" w:ascii="仿宋" w:hAnsi="仿宋" w:eastAsia="仿宋" w:cs="仿宋"/>
          <w:color w:val="000000"/>
          <w:kern w:val="2"/>
          <w:sz w:val="32"/>
          <w:szCs w:val="32"/>
          <w:lang w:val="en-US" w:eastAsia="zh-CN"/>
        </w:rPr>
        <w:t>其他工资福利支出、其他对个人和家庭的补助；日常公用经费61.12</w:t>
      </w:r>
      <w:r>
        <w:rPr>
          <w:rFonts w:hint="eastAsia" w:ascii="仿宋" w:hAnsi="仿宋" w:eastAsia="仿宋" w:cs="仿宋"/>
          <w:color w:val="000000"/>
          <w:kern w:val="2"/>
          <w:sz w:val="32"/>
          <w:szCs w:val="32"/>
        </w:rPr>
        <w:t>万元，</w:t>
      </w:r>
      <w:r>
        <w:rPr>
          <w:rFonts w:hint="eastAsia" w:ascii="仿宋" w:hAnsi="仿宋" w:eastAsia="仿宋" w:cs="仿宋"/>
          <w:color w:val="auto"/>
          <w:kern w:val="2"/>
          <w:sz w:val="32"/>
          <w:szCs w:val="32"/>
          <w:highlight w:val="none"/>
          <w:u w:val="none"/>
          <w:lang w:val="en-US" w:eastAsia="zh-CN"/>
        </w:rPr>
        <w:t>占基本支出的29.53%，</w:t>
      </w:r>
      <w:r>
        <w:rPr>
          <w:rFonts w:hint="eastAsia" w:ascii="仿宋" w:hAnsi="仿宋" w:eastAsia="仿宋" w:cs="仿宋"/>
          <w:color w:val="000000"/>
          <w:kern w:val="2"/>
          <w:sz w:val="32"/>
          <w:szCs w:val="32"/>
        </w:rPr>
        <w:t>主要包括：办公费、</w:t>
      </w:r>
      <w:r>
        <w:rPr>
          <w:rFonts w:hint="eastAsia" w:ascii="仿宋" w:hAnsi="仿宋" w:eastAsia="仿宋" w:cs="仿宋"/>
          <w:color w:val="000000"/>
          <w:kern w:val="2"/>
          <w:sz w:val="32"/>
          <w:szCs w:val="32"/>
          <w:lang w:val="en-US" w:eastAsia="zh-CN"/>
        </w:rPr>
        <w:t>印刷费、水费、电费、维修（护）费、租赁费、劳务费、工会经费、其他交通费、</w:t>
      </w:r>
      <w:r>
        <w:rPr>
          <w:rFonts w:hint="eastAsia" w:ascii="仿宋" w:hAnsi="仿宋" w:eastAsia="仿宋" w:cs="仿宋"/>
          <w:color w:val="000000"/>
          <w:kern w:val="2"/>
          <w:sz w:val="32"/>
          <w:szCs w:val="32"/>
        </w:rPr>
        <w:t>其他商品和服务支出</w:t>
      </w:r>
      <w:r>
        <w:rPr>
          <w:rFonts w:hint="eastAsia" w:ascii="仿宋" w:hAnsi="仿宋" w:eastAsia="仿宋" w:cs="仿宋"/>
          <w:color w:val="auto"/>
          <w:kern w:val="2"/>
          <w:sz w:val="32"/>
          <w:szCs w:val="32"/>
          <w:highlight w:val="none"/>
          <w:u w:val="none"/>
          <w:lang w:val="en-US" w:eastAsia="zh-CN"/>
        </w:rPr>
        <w:t>。</w:t>
      </w:r>
    </w:p>
    <w:p>
      <w:pPr>
        <w:keepNext w:val="0"/>
        <w:keepLines w:val="0"/>
        <w:pageBreakBefore w:val="0"/>
        <w:widowControl w:val="0"/>
        <w:numPr>
          <w:ilvl w:val="0"/>
          <w:numId w:val="2"/>
        </w:numPr>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项目支出情况</w:t>
      </w:r>
    </w:p>
    <w:p>
      <w:pPr>
        <w:spacing w:before="0" w:beforeAutospacing="0" w:after="1" w:afterAutospacing="0"/>
        <w:ind w:left="0" w:firstLine="628"/>
        <w:rPr>
          <w:rFonts w:hint="default" w:ascii="仿宋" w:hAnsi="仿宋" w:eastAsia="仿宋" w:cs="仿宋"/>
          <w:color w:val="auto"/>
          <w:kern w:val="2"/>
          <w:sz w:val="32"/>
          <w:szCs w:val="32"/>
          <w:highlight w:val="none"/>
          <w:u w:val="none"/>
          <w:lang w:val="en-US" w:eastAsia="zh-CN" w:bidi="ar-SA"/>
        </w:rPr>
      </w:pPr>
      <w:r>
        <w:rPr>
          <w:rFonts w:hint="eastAsia" w:ascii="仿宋" w:hAnsi="仿宋" w:eastAsia="仿宋" w:cs="仿宋"/>
          <w:color w:val="000000"/>
          <w:kern w:val="2"/>
          <w:sz w:val="32"/>
          <w:szCs w:val="32"/>
        </w:rPr>
        <w:t>2022年</w:t>
      </w:r>
      <w:r>
        <w:rPr>
          <w:rFonts w:hint="eastAsia" w:ascii="仿宋" w:hAnsi="仿宋" w:eastAsia="仿宋" w:cs="仿宋"/>
          <w:color w:val="000000"/>
          <w:kern w:val="2"/>
          <w:sz w:val="32"/>
          <w:szCs w:val="32"/>
          <w:lang w:val="en-US" w:eastAsia="zh-CN"/>
        </w:rPr>
        <w:t>我单位</w:t>
      </w:r>
      <w:r>
        <w:rPr>
          <w:rFonts w:hint="eastAsia" w:ascii="仿宋" w:hAnsi="仿宋" w:eastAsia="仿宋" w:cs="仿宋"/>
          <w:color w:val="000000"/>
          <w:kern w:val="2"/>
          <w:sz w:val="32"/>
          <w:szCs w:val="32"/>
        </w:rPr>
        <w:t>项目支出</w:t>
      </w:r>
      <w:r>
        <w:rPr>
          <w:rFonts w:hint="eastAsia" w:ascii="仿宋" w:hAnsi="仿宋" w:eastAsia="仿宋" w:cs="仿宋"/>
          <w:color w:val="000000"/>
          <w:kern w:val="2"/>
          <w:sz w:val="32"/>
          <w:szCs w:val="32"/>
          <w:lang w:val="en-US" w:eastAsia="zh-CN"/>
        </w:rPr>
        <w:t>总</w:t>
      </w:r>
      <w:r>
        <w:rPr>
          <w:rFonts w:hint="eastAsia" w:ascii="仿宋" w:hAnsi="仿宋" w:eastAsia="仿宋" w:cs="仿宋"/>
          <w:color w:val="000000"/>
          <w:kern w:val="2"/>
          <w:sz w:val="32"/>
          <w:szCs w:val="32"/>
        </w:rPr>
        <w:t>数为</w:t>
      </w:r>
      <w:r>
        <w:rPr>
          <w:rFonts w:hint="eastAsia" w:ascii="仿宋" w:hAnsi="仿宋" w:eastAsia="仿宋" w:cs="仿宋"/>
          <w:color w:val="000000"/>
          <w:kern w:val="2"/>
          <w:sz w:val="32"/>
          <w:szCs w:val="32"/>
          <w:lang w:val="en-US" w:eastAsia="zh-CN"/>
        </w:rPr>
        <w:t>919.42</w:t>
      </w:r>
      <w:r>
        <w:rPr>
          <w:rFonts w:hint="eastAsia" w:ascii="仿宋" w:hAnsi="仿宋" w:eastAsia="仿宋" w:cs="仿宋"/>
          <w:color w:val="000000"/>
          <w:kern w:val="2"/>
          <w:sz w:val="32"/>
          <w:szCs w:val="32"/>
        </w:rPr>
        <w:t>万元，其中：</w:t>
      </w:r>
      <w:r>
        <w:rPr>
          <w:rFonts w:hint="eastAsia" w:ascii="仿宋" w:hAnsi="仿宋" w:eastAsia="仿宋" w:cs="仿宋"/>
          <w:color w:val="000000"/>
          <w:kern w:val="2"/>
          <w:sz w:val="32"/>
          <w:szCs w:val="32"/>
          <w:lang w:val="en-US" w:eastAsia="zh-CN"/>
        </w:rPr>
        <w:t>1、</w:t>
      </w:r>
      <w:r>
        <w:rPr>
          <w:rFonts w:hint="eastAsia" w:ascii="仿宋" w:hAnsi="仿宋" w:eastAsia="仿宋" w:cs="仿宋"/>
          <w:color w:val="000000"/>
          <w:kern w:val="2"/>
          <w:sz w:val="32"/>
          <w:szCs w:val="32"/>
        </w:rPr>
        <w:t>业务工作经费支出</w:t>
      </w:r>
      <w:r>
        <w:rPr>
          <w:rFonts w:hint="eastAsia" w:ascii="仿宋" w:hAnsi="仿宋" w:eastAsia="仿宋" w:cs="仿宋"/>
          <w:color w:val="000000"/>
          <w:kern w:val="2"/>
          <w:sz w:val="32"/>
          <w:szCs w:val="32"/>
          <w:lang w:val="en-US" w:eastAsia="zh-CN"/>
        </w:rPr>
        <w:t>173.00</w:t>
      </w:r>
      <w:r>
        <w:rPr>
          <w:rFonts w:hint="eastAsia" w:ascii="仿宋" w:hAnsi="仿宋" w:eastAsia="仿宋" w:cs="仿宋"/>
          <w:color w:val="000000"/>
          <w:kern w:val="2"/>
          <w:sz w:val="32"/>
          <w:szCs w:val="32"/>
        </w:rPr>
        <w:t>万元，主要用于主要用于考评、寒暑重大节假日慰问等工作经费等方面；</w:t>
      </w:r>
      <w:r>
        <w:rPr>
          <w:rFonts w:hint="eastAsia" w:ascii="仿宋" w:hAnsi="仿宋" w:eastAsia="仿宋" w:cs="仿宋"/>
          <w:color w:val="000000"/>
          <w:kern w:val="2"/>
          <w:sz w:val="32"/>
          <w:szCs w:val="32"/>
          <w:lang w:val="en-US" w:eastAsia="zh-CN"/>
        </w:rPr>
        <w:t>2、</w:t>
      </w:r>
      <w:r>
        <w:rPr>
          <w:rFonts w:hint="eastAsia" w:ascii="仿宋" w:hAnsi="仿宋" w:eastAsia="仿宋" w:cs="仿宋"/>
          <w:color w:val="000000"/>
          <w:kern w:val="2"/>
          <w:sz w:val="32"/>
          <w:szCs w:val="32"/>
        </w:rPr>
        <w:t>运行维护经费</w:t>
      </w:r>
      <w:r>
        <w:rPr>
          <w:rFonts w:hint="eastAsia" w:ascii="仿宋" w:hAnsi="仿宋" w:eastAsia="仿宋" w:cs="仿宋"/>
          <w:color w:val="000000"/>
          <w:kern w:val="2"/>
          <w:sz w:val="32"/>
          <w:szCs w:val="32"/>
          <w:lang w:val="en-US" w:eastAsia="zh-CN"/>
        </w:rPr>
        <w:t>27.00</w:t>
      </w:r>
      <w:r>
        <w:rPr>
          <w:rFonts w:hint="eastAsia" w:ascii="仿宋" w:hAnsi="仿宋" w:eastAsia="仿宋" w:cs="仿宋"/>
          <w:color w:val="000000"/>
          <w:kern w:val="2"/>
          <w:sz w:val="32"/>
          <w:szCs w:val="32"/>
        </w:rPr>
        <w:t>万元，主要用于业务学习培训经费等方面</w:t>
      </w:r>
      <w:r>
        <w:rPr>
          <w:rFonts w:hint="eastAsia" w:ascii="仿宋" w:hAnsi="仿宋" w:eastAsia="仿宋" w:cs="仿宋"/>
          <w:color w:val="000000"/>
          <w:kern w:val="2"/>
          <w:sz w:val="32"/>
          <w:szCs w:val="32"/>
          <w:lang w:eastAsia="zh-CN"/>
        </w:rPr>
        <w:t>；</w:t>
      </w:r>
      <w:r>
        <w:rPr>
          <w:rFonts w:hint="eastAsia" w:ascii="仿宋" w:hAnsi="仿宋" w:eastAsia="仿宋" w:cs="仿宋"/>
          <w:color w:val="000000"/>
          <w:kern w:val="2"/>
          <w:sz w:val="32"/>
          <w:szCs w:val="32"/>
          <w:lang w:val="en-US" w:eastAsia="zh-CN"/>
        </w:rPr>
        <w:t>3、禁毒经费0.56万元，主要是用于公职人员毛发检测费；4、城市综合管理专项61.03万元，是城管委系统事权接转单位项目经费，主要是用于单位日常的一些开支；5、文明创建经费23.27万元，主要是用于</w:t>
      </w:r>
      <w:r>
        <w:rPr>
          <w:rFonts w:hint="eastAsia" w:ascii="仿宋" w:hAnsi="仿宋" w:eastAsia="仿宋" w:cs="仿宋"/>
          <w:color w:val="000000"/>
          <w:kern w:val="2"/>
          <w:sz w:val="32"/>
          <w:szCs w:val="32"/>
        </w:rPr>
        <w:t>开展文明城市、卫生城市、园林城市等迎检工作和重要活动、重大接待任务的城市服务保障工作</w:t>
      </w:r>
      <w:r>
        <w:rPr>
          <w:rFonts w:hint="eastAsia" w:ascii="仿宋" w:hAnsi="仿宋" w:eastAsia="仿宋" w:cs="仿宋"/>
          <w:color w:val="000000"/>
          <w:kern w:val="2"/>
          <w:sz w:val="32"/>
          <w:szCs w:val="32"/>
          <w:lang w:val="en-US" w:eastAsia="zh-CN"/>
        </w:rPr>
        <w:t>；6、环卫清扫经费302.55万元，主要是用于</w:t>
      </w:r>
      <w:r>
        <w:rPr>
          <w:rFonts w:hint="eastAsia" w:ascii="仿宋" w:hAnsi="仿宋" w:eastAsia="仿宋" w:cs="仿宋"/>
          <w:color w:val="000000"/>
          <w:kern w:val="2"/>
          <w:sz w:val="32"/>
          <w:szCs w:val="32"/>
        </w:rPr>
        <w:t>环境卫生设施建设、维修改造与管理工作；负责拟订环卫机械、车辆等设备建设规划和年度添置计划，经批准后组织实施；承担环卫设备、工具、劳保用品等的采购、验收、分发工作</w:t>
      </w:r>
      <w:r>
        <w:rPr>
          <w:rFonts w:hint="eastAsia" w:ascii="仿宋" w:hAnsi="仿宋" w:eastAsia="仿宋" w:cs="仿宋"/>
          <w:color w:val="000000"/>
          <w:kern w:val="2"/>
          <w:sz w:val="32"/>
          <w:szCs w:val="32"/>
          <w:lang w:eastAsia="zh-CN"/>
        </w:rPr>
        <w:t>，</w:t>
      </w:r>
      <w:r>
        <w:rPr>
          <w:rFonts w:hint="eastAsia" w:ascii="仿宋" w:hAnsi="仿宋" w:eastAsia="仿宋" w:cs="仿宋"/>
          <w:color w:val="000000"/>
          <w:kern w:val="2"/>
          <w:sz w:val="32"/>
          <w:szCs w:val="32"/>
        </w:rPr>
        <w:t>城市管理领域的信息化建设和智慧化管理工作</w:t>
      </w:r>
      <w:r>
        <w:rPr>
          <w:rFonts w:hint="eastAsia" w:ascii="仿宋" w:hAnsi="仿宋" w:eastAsia="仿宋" w:cs="仿宋"/>
          <w:color w:val="000000"/>
          <w:kern w:val="2"/>
          <w:sz w:val="32"/>
          <w:szCs w:val="32"/>
          <w:lang w:eastAsia="zh-CN"/>
        </w:rPr>
        <w:t>，</w:t>
      </w:r>
      <w:r>
        <w:rPr>
          <w:rFonts w:hint="eastAsia" w:ascii="仿宋" w:hAnsi="仿宋" w:eastAsia="仿宋" w:cs="仿宋"/>
          <w:color w:val="000000"/>
          <w:kern w:val="2"/>
          <w:sz w:val="32"/>
          <w:szCs w:val="32"/>
        </w:rPr>
        <w:t>负责“12345”政府热线、“12319”城管热线和“智慧城管”平台下派的城市管理类工单的接收、交办、督办和考核等工作；负责“车窗抛物”有奖举报的受理、审核、奖励实施等工作</w:t>
      </w:r>
      <w:r>
        <w:rPr>
          <w:rFonts w:hint="eastAsia" w:ascii="仿宋" w:hAnsi="仿宋" w:eastAsia="仿宋" w:cs="仿宋"/>
          <w:color w:val="000000"/>
          <w:kern w:val="2"/>
          <w:sz w:val="32"/>
          <w:szCs w:val="32"/>
          <w:lang w:eastAsia="zh-CN"/>
        </w:rPr>
        <w:t>；</w:t>
      </w:r>
      <w:r>
        <w:rPr>
          <w:rFonts w:hint="eastAsia" w:ascii="仿宋" w:hAnsi="仿宋" w:eastAsia="仿宋" w:cs="仿宋"/>
          <w:color w:val="000000"/>
          <w:kern w:val="2"/>
          <w:sz w:val="32"/>
          <w:szCs w:val="32"/>
          <w:lang w:val="en-US" w:eastAsia="zh-CN"/>
        </w:rPr>
        <w:t>7、工资性支出预留专项</w:t>
      </w:r>
      <w:r>
        <w:rPr>
          <w:rFonts w:hint="eastAsia" w:ascii="仿宋" w:hAnsi="仿宋" w:eastAsia="仿宋" w:cs="仿宋"/>
          <w:color w:val="000000"/>
          <w:kern w:val="2"/>
          <w:sz w:val="32"/>
          <w:szCs w:val="32"/>
        </w:rPr>
        <w:t xml:space="preserve"> </w:t>
      </w:r>
      <w:r>
        <w:rPr>
          <w:rFonts w:hint="eastAsia" w:ascii="仿宋" w:hAnsi="仿宋" w:eastAsia="仿宋" w:cs="仿宋"/>
          <w:color w:val="000000"/>
          <w:kern w:val="2"/>
          <w:sz w:val="32"/>
          <w:szCs w:val="32"/>
          <w:lang w:val="en-US" w:eastAsia="zh-CN"/>
        </w:rPr>
        <w:t>139.88万元，主要是用于新调入人员的人员经费和日常公用经费开支；8、会议经费专项0.60万元，主要是用于2021年度全区授奖会议综合绩效嘉奖；9、疫情防控专项18.13万元，主要是铂臣酒店隔离点工作开支；10、上年单位资金指标年终结转173.40万元，主要是单位其他资金，用于单位日常办公开支等。</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lang w:val="en-US" w:eastAsia="zh-CN"/>
        </w:rPr>
      </w:pPr>
      <w:r>
        <w:rPr>
          <w:rFonts w:hint="eastAsia" w:ascii="仿宋" w:hAnsi="仿宋" w:eastAsia="仿宋" w:cs="仿宋"/>
          <w:color w:val="auto"/>
          <w:kern w:val="2"/>
          <w:sz w:val="32"/>
          <w:szCs w:val="32"/>
          <w:highlight w:val="none"/>
          <w:u w:val="none"/>
          <w:lang w:val="en-US" w:eastAsia="zh-CN"/>
        </w:rPr>
        <w:t>我单位2022年度无政府性基金预算。</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四、国有资本经营预算支出情况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lang w:val="en-US" w:eastAsia="zh-CN"/>
        </w:rPr>
      </w:pPr>
      <w:r>
        <w:rPr>
          <w:rFonts w:hint="eastAsia" w:ascii="仿宋" w:hAnsi="仿宋" w:eastAsia="仿宋" w:cs="仿宋"/>
          <w:color w:val="auto"/>
          <w:kern w:val="2"/>
          <w:sz w:val="32"/>
          <w:szCs w:val="32"/>
          <w:highlight w:val="none"/>
          <w:u w:val="none"/>
          <w:lang w:val="en-US" w:eastAsia="zh-CN"/>
        </w:rPr>
        <w:t>我单位2022年度无国有资本经营预算支出。</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五、社会保险基金预算支出情况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jc w:val="left"/>
        <w:textAlignment w:val="auto"/>
        <w:rPr>
          <w:rFonts w:hint="eastAsia"/>
          <w:lang w:val="en-US" w:eastAsia="zh-CN"/>
        </w:rPr>
      </w:pPr>
      <w:r>
        <w:rPr>
          <w:rFonts w:hint="eastAsia" w:ascii="仿宋" w:hAnsi="仿宋" w:eastAsia="仿宋" w:cs="仿宋"/>
          <w:color w:val="auto"/>
          <w:kern w:val="2"/>
          <w:sz w:val="32"/>
          <w:szCs w:val="32"/>
          <w:highlight w:val="none"/>
          <w:u w:val="none"/>
          <w:lang w:val="en-US" w:eastAsia="zh-CN"/>
        </w:rPr>
        <w:t>我单位2022年度无社会保险基金预算。</w:t>
      </w:r>
    </w:p>
    <w:p>
      <w:pPr>
        <w:keepNext w:val="0"/>
        <w:keepLines w:val="0"/>
        <w:pageBreakBefore w:val="0"/>
        <w:widowControl w:val="0"/>
        <w:kinsoku/>
        <w:wordWrap/>
        <w:overflowPunct/>
        <w:topLinePunct w:val="0"/>
        <w:autoSpaceDE/>
        <w:autoSpaceDN/>
        <w:bidi w:val="0"/>
        <w:adjustRightInd/>
        <w:snapToGrid/>
        <w:ind w:firstLine="320" w:firstLineChars="1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pStyle w:val="8"/>
        <w:ind w:left="0" w:leftChars="0" w:firstLine="643" w:firstLineChars="20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（一）市容秩序方面。</w:t>
      </w:r>
      <w:r>
        <w:rPr>
          <w:rFonts w:hint="eastAsia" w:ascii="仿宋_GB2312" w:hAnsi="仿宋_GB2312" w:eastAsia="仿宋_GB2312" w:cs="仿宋_GB2312"/>
          <w:kern w:val="2"/>
          <w:sz w:val="32"/>
          <w:szCs w:val="32"/>
          <w:lang w:val="en-US" w:eastAsia="zh-CN" w:bidi="ar-SA"/>
        </w:rPr>
        <w:t>城管一、二、三大队，严格按照城市市容治乱的要求，全面加强马路市场、出店经营、占道营销、乱堆物品等市容秩序的整改整治；全面加强破损横幅、违规户外广告及城市“牛皮癣”的清理整治；加大对违法停车现象的执法整治力度，全面整治重点地段车辆乱停乱放的突出问题，切实规范了停车秩序；全面加强渣土运输车辆管理，狠抓渣土车辆未密闭覆盖、带泥上路、道路遗撒等问题治理，规范渣土运输行为。前三季度共计开展市容秩序综合整治行动400余次，规范出店经营行为2万余次、流动摊贩4万余人次、乱停乱放车辆8万余台等，并且及时下达了整改通知书500余份，通过强有力的整治整改，城区的市容秩序有了很大的提升。</w:t>
      </w:r>
    </w:p>
    <w:p>
      <w:pPr>
        <w:pStyle w:val="8"/>
        <w:ind w:left="0" w:leftChars="0" w:firstLine="643" w:firstLineChars="20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（二）污染源治理方面。</w:t>
      </w:r>
      <w:r>
        <w:rPr>
          <w:rFonts w:hint="eastAsia" w:ascii="仿宋_GB2312" w:hAnsi="仿宋_GB2312" w:eastAsia="仿宋_GB2312" w:cs="仿宋_GB2312"/>
          <w:kern w:val="2"/>
          <w:sz w:val="32"/>
          <w:szCs w:val="32"/>
          <w:lang w:val="en-US" w:eastAsia="zh-CN" w:bidi="ar-SA"/>
        </w:rPr>
        <w:t>自蓝天保卫战工作实施以来，共责令整改餐饮商家300余家，走访工地600余次，发放通知2千余份，查处了各类涉污违规案件120起，并对其中污染比较严重的</w:t>
      </w:r>
      <w:r>
        <w:rPr>
          <w:rFonts w:hint="default" w:ascii="仿宋_GB2312" w:hAnsi="仿宋_GB2312" w:eastAsia="仿宋_GB2312" w:cs="仿宋_GB2312"/>
          <w:kern w:val="2"/>
          <w:sz w:val="32"/>
          <w:szCs w:val="32"/>
          <w:lang w:val="en-US" w:eastAsia="zh-CN" w:bidi="ar-SA"/>
        </w:rPr>
        <w:t>8</w:t>
      </w:r>
      <w:r>
        <w:rPr>
          <w:rFonts w:hint="eastAsia" w:ascii="仿宋_GB2312" w:hAnsi="仿宋_GB2312" w:eastAsia="仿宋_GB2312" w:cs="仿宋_GB2312"/>
          <w:kern w:val="2"/>
          <w:sz w:val="32"/>
          <w:szCs w:val="32"/>
          <w:lang w:val="en-US" w:eastAsia="zh-CN" w:bidi="ar-SA"/>
        </w:rPr>
        <w:t>起进行行政处罚</w:t>
      </w:r>
      <w:r>
        <w:rPr>
          <w:rFonts w:hint="default" w:ascii="仿宋_GB2312" w:hAnsi="仿宋_GB2312" w:eastAsia="仿宋_GB2312" w:cs="仿宋_GB2312"/>
          <w:kern w:val="2"/>
          <w:sz w:val="32"/>
          <w:szCs w:val="32"/>
          <w:lang w:val="en-US" w:eastAsia="zh-CN" w:bidi="ar-SA"/>
        </w:rPr>
        <w:t>3</w:t>
      </w:r>
      <w:r>
        <w:rPr>
          <w:rFonts w:hint="eastAsia" w:ascii="仿宋_GB2312" w:hAnsi="仿宋_GB2312" w:eastAsia="仿宋_GB2312" w:cs="仿宋_GB2312"/>
          <w:kern w:val="2"/>
          <w:sz w:val="32"/>
          <w:szCs w:val="32"/>
          <w:lang w:val="en-US" w:eastAsia="zh-CN" w:bidi="ar-SA"/>
        </w:rPr>
        <w:t>万多元，目前车辆带泥、沿途撒漏等污染行为得到有效遏制，道路污染和工地扬尘明显减少。在污染源治理中一大队和沿湖管理中心的方式方法较为主动，通过</w:t>
      </w:r>
      <w:r>
        <w:rPr>
          <w:rFonts w:hint="default" w:ascii="仿宋_GB2312" w:hAnsi="仿宋_GB2312" w:eastAsia="仿宋_GB2312" w:cs="仿宋_GB2312"/>
          <w:kern w:val="2"/>
          <w:sz w:val="32"/>
          <w:szCs w:val="32"/>
          <w:lang w:val="en-US" w:eastAsia="zh-CN" w:bidi="ar-SA"/>
        </w:rPr>
        <w:t>定期巡查和不定期突查</w:t>
      </w:r>
      <w:r>
        <w:rPr>
          <w:rFonts w:hint="eastAsia" w:ascii="仿宋_GB2312" w:hAnsi="仿宋_GB2312" w:eastAsia="仿宋_GB2312" w:cs="仿宋_GB2312"/>
          <w:kern w:val="2"/>
          <w:sz w:val="32"/>
          <w:szCs w:val="32"/>
          <w:lang w:val="en-US" w:eastAsia="zh-CN" w:bidi="ar-SA"/>
        </w:rPr>
        <w:t xml:space="preserve">相结合，上门劝导和动态跟踪同步进行的方式，持续加强夜间渣土运输车辆的监管，共发现并督促整改渣土车辆200余台，为降低道路扬尘污染做了很大的贡献。  </w:t>
      </w:r>
    </w:p>
    <w:p>
      <w:pPr>
        <w:pStyle w:val="8"/>
        <w:ind w:left="0" w:leftChars="0" w:firstLine="643" w:firstLineChars="200"/>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（三）夜市管理方面。</w:t>
      </w:r>
      <w:r>
        <w:rPr>
          <w:rFonts w:hint="eastAsia" w:ascii="仿宋_GB2312" w:hAnsi="仿宋_GB2312" w:eastAsia="仿宋_GB2312" w:cs="仿宋_GB2312"/>
          <w:kern w:val="2"/>
          <w:sz w:val="32"/>
          <w:szCs w:val="32"/>
          <w:lang w:val="en-US" w:eastAsia="zh-CN" w:bidi="ar-SA"/>
        </w:rPr>
        <w:t>为了严格控制油烟污染，共开展夜间烧烤摊集中整治行动90余次，责令整改夜市商家1200余家，清理取缔顽固摊点20余家，并要求餐饮门店按照要求安装餐饮油烟净化设施，进一步巩固整治的成效。其中二大队在这方面花了很大的力气，城管队员不厌其烦、反复上门进行劝导，讲政策、讲道理、讲好话，取得了良好的整治效果，目前二大队辖区内餐饮门店已严格按照要求安装了餐饮油烟净化设施。</w:t>
      </w:r>
    </w:p>
    <w:p>
      <w:pPr>
        <w:keepNext w:val="0"/>
        <w:keepLines w:val="0"/>
        <w:pageBreakBefore w:val="0"/>
        <w:widowControl w:val="0"/>
        <w:numPr>
          <w:ilvl w:val="0"/>
          <w:numId w:val="0"/>
        </w:numPr>
        <w:kinsoku/>
        <w:wordWrap/>
        <w:overflowPunct/>
        <w:topLinePunct w:val="0"/>
        <w:autoSpaceDE/>
        <w:autoSpaceDN/>
        <w:bidi w:val="0"/>
        <w:adjustRightInd/>
        <w:snapToGrid/>
        <w:spacing w:line="560" w:lineRule="atLeast"/>
        <w:ind w:firstLine="643" w:firstLineChars="200"/>
        <w:jc w:val="left"/>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（四）环境卫生方面。</w:t>
      </w:r>
      <w:r>
        <w:rPr>
          <w:rFonts w:hint="eastAsia" w:ascii="仿宋_GB2312" w:hAnsi="仿宋_GB2312" w:eastAsia="仿宋_GB2312" w:cs="仿宋_GB2312"/>
          <w:kern w:val="2"/>
          <w:sz w:val="32"/>
          <w:szCs w:val="32"/>
          <w:lang w:val="en-US" w:eastAsia="zh-CN" w:bidi="ar-SA"/>
        </w:rPr>
        <w:t>各环卫单位，根据“环卫治脏”的工作要求，</w:t>
      </w:r>
      <w:r>
        <w:rPr>
          <w:rFonts w:hint="eastAsia" w:ascii="仿宋_GB2312" w:hAnsi="仿宋_GB2312" w:eastAsia="仿宋_GB2312" w:cs="仿宋_GB2312"/>
          <w:kern w:val="2"/>
          <w:sz w:val="32"/>
          <w:szCs w:val="32"/>
          <w:lang w:val="zh-CN" w:eastAsia="zh-CN" w:bidi="ar-SA"/>
        </w:rPr>
        <w:t>全面加强主次干道、市场周边、商场周边、学校周边、医疗机构周边、车站周边等人员密集地段清扫保洁的频率和密度。</w:t>
      </w:r>
      <w:r>
        <w:rPr>
          <w:rFonts w:hint="eastAsia" w:ascii="仿宋_GB2312" w:hAnsi="仿宋_GB2312" w:eastAsia="仿宋_GB2312" w:cs="仿宋_GB2312"/>
          <w:kern w:val="2"/>
          <w:sz w:val="32"/>
          <w:szCs w:val="32"/>
          <w:lang w:val="en-US" w:eastAsia="zh-CN" w:bidi="ar-SA"/>
        </w:rPr>
        <w:t>快速保洁车做到每15分钟巡回保洁一次，洒水车全天歇人不歇车，保证每2小时洒水一遍，每2天全面清洗一遍，减少垃圾、泥沙滞留时间；炮雾车辆保持每2小时的一次，加强道路抑尘喷水，降低路面扬尘；清运车辆日均出动200余辆次，确保垃圾日产日清。常态化开展环境卫生整治行动，上半年共</w:t>
      </w:r>
      <w:r>
        <w:rPr>
          <w:rFonts w:hint="default" w:ascii="仿宋_GB2312" w:hAnsi="仿宋_GB2312" w:eastAsia="仿宋_GB2312" w:cs="仿宋_GB2312"/>
          <w:kern w:val="2"/>
          <w:sz w:val="32"/>
          <w:szCs w:val="32"/>
          <w:lang w:val="en-US" w:eastAsia="zh-CN" w:bidi="ar-SA"/>
        </w:rPr>
        <w:t>开展专项</w:t>
      </w:r>
      <w:r>
        <w:rPr>
          <w:rFonts w:hint="eastAsia" w:ascii="仿宋_GB2312" w:hAnsi="仿宋_GB2312" w:eastAsia="仿宋_GB2312" w:cs="仿宋_GB2312"/>
          <w:kern w:val="2"/>
          <w:sz w:val="32"/>
          <w:szCs w:val="32"/>
          <w:lang w:val="en-US" w:eastAsia="zh-CN" w:bidi="ar-SA"/>
        </w:rPr>
        <w:t>行动</w:t>
      </w:r>
      <w:r>
        <w:rPr>
          <w:rFonts w:hint="default" w:ascii="仿宋_GB2312" w:hAnsi="仿宋_GB2312" w:eastAsia="仿宋_GB2312" w:cs="仿宋_GB2312"/>
          <w:kern w:val="2"/>
          <w:sz w:val="32"/>
          <w:szCs w:val="32"/>
          <w:lang w:val="en-US" w:eastAsia="zh-CN" w:bidi="ar-SA"/>
        </w:rPr>
        <w:t>100余次</w:t>
      </w:r>
      <w:r>
        <w:rPr>
          <w:rFonts w:hint="eastAsia" w:ascii="仿宋_GB2312" w:hAnsi="仿宋_GB2312" w:eastAsia="仿宋_GB2312" w:cs="仿宋_GB2312"/>
          <w:kern w:val="2"/>
          <w:sz w:val="32"/>
          <w:szCs w:val="32"/>
          <w:lang w:val="en-US" w:eastAsia="zh-CN" w:bidi="ar-SA"/>
        </w:rPr>
        <w:t>，集中清理了约90吨卫生死角垃圾。</w:t>
      </w:r>
    </w:p>
    <w:p>
      <w:pPr>
        <w:keepNext w:val="0"/>
        <w:keepLines w:val="0"/>
        <w:pageBreakBefore w:val="0"/>
        <w:widowControl w:val="0"/>
        <w:numPr>
          <w:ilvl w:val="0"/>
          <w:numId w:val="0"/>
        </w:numPr>
        <w:kinsoku/>
        <w:wordWrap/>
        <w:overflowPunct/>
        <w:topLinePunct w:val="0"/>
        <w:autoSpaceDE/>
        <w:autoSpaceDN/>
        <w:bidi w:val="0"/>
        <w:adjustRightInd/>
        <w:snapToGrid/>
        <w:spacing w:line="560" w:lineRule="atLeast"/>
        <w:ind w:firstLine="643" w:firstLineChars="200"/>
        <w:jc w:val="left"/>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城西所</w:t>
      </w:r>
      <w:r>
        <w:rPr>
          <w:rFonts w:hint="eastAsia" w:ascii="仿宋_GB2312" w:hAnsi="仿宋_GB2312" w:eastAsia="仿宋_GB2312" w:cs="仿宋_GB2312"/>
          <w:kern w:val="2"/>
          <w:sz w:val="32"/>
          <w:szCs w:val="32"/>
          <w:lang w:val="en-US" w:eastAsia="zh-CN" w:bidi="ar-SA"/>
        </w:rPr>
        <w:t>坚持持每天5到6小时的一线排查，提高清洗频次，对辖区24条主次干道保持4次以上的冲洒，确保全路段、全时段普冲清洗到位。</w:t>
      </w:r>
      <w:r>
        <w:rPr>
          <w:rFonts w:hint="eastAsia" w:ascii="仿宋_GB2312" w:hAnsi="仿宋_GB2312" w:eastAsia="仿宋_GB2312" w:cs="仿宋_GB2312"/>
          <w:b/>
          <w:bCs/>
          <w:kern w:val="2"/>
          <w:sz w:val="32"/>
          <w:szCs w:val="32"/>
          <w:lang w:val="en-US" w:eastAsia="zh-CN" w:bidi="ar-SA"/>
        </w:rPr>
        <w:t>新港所</w:t>
      </w:r>
      <w:r>
        <w:rPr>
          <w:rFonts w:hint="eastAsia" w:ascii="仿宋_GB2312" w:hAnsi="仿宋_GB2312" w:eastAsia="仿宋_GB2312" w:cs="仿宋_GB2312"/>
          <w:b w:val="0"/>
          <w:bCs w:val="0"/>
          <w:kern w:val="2"/>
          <w:sz w:val="32"/>
          <w:szCs w:val="32"/>
          <w:lang w:val="en-US" w:eastAsia="zh-CN" w:bidi="ar-SA"/>
        </w:rPr>
        <w:t>坚持创新与服务联动，</w:t>
      </w:r>
      <w:r>
        <w:rPr>
          <w:rFonts w:hint="eastAsia" w:ascii="仿宋_GB2312" w:hAnsi="仿宋_GB2312" w:eastAsia="仿宋_GB2312" w:cs="仿宋_GB2312"/>
          <w:kern w:val="2"/>
          <w:sz w:val="32"/>
          <w:szCs w:val="32"/>
          <w:lang w:val="en-US" w:eastAsia="zh-CN" w:bidi="ar-SA"/>
        </w:rPr>
        <w:t>重新制定机械作业周期表，逐步形成以机械替代人工的作业工作模式，加装高清摄像头，远程监控作业情况；以优质服务稳定基础费源，开发新的费源，提升收费增量，目前已完成年度收费任务150万元。</w:t>
      </w:r>
      <w:r>
        <w:rPr>
          <w:rFonts w:hint="eastAsia" w:ascii="仿宋_GB2312" w:hAnsi="仿宋_GB2312" w:eastAsia="仿宋_GB2312" w:cs="仿宋_GB2312"/>
          <w:b/>
          <w:bCs/>
          <w:kern w:val="2"/>
          <w:sz w:val="32"/>
          <w:szCs w:val="32"/>
          <w:lang w:val="en-US" w:eastAsia="zh-CN" w:bidi="ar-SA"/>
        </w:rPr>
        <w:t>清运所坚持</w:t>
      </w:r>
      <w:r>
        <w:rPr>
          <w:rFonts w:hint="eastAsia" w:ascii="仿宋_GB2312" w:hAnsi="仿宋_GB2312" w:eastAsia="仿宋_GB2312" w:cs="仿宋_GB2312"/>
          <w:kern w:val="2"/>
          <w:sz w:val="32"/>
          <w:szCs w:val="32"/>
          <w:lang w:val="en-US" w:eastAsia="zh-CN" w:bidi="ar-SA"/>
        </w:rPr>
        <w:t>做好垃圾站公厕管理工作，合理延长附近片区垃圾站和相关路线清运车辆工作时间，日均清运垃圾1000余吨，做到垃圾清运日产日清。</w:t>
      </w:r>
      <w:r>
        <w:rPr>
          <w:rFonts w:hint="eastAsia" w:ascii="仿宋_GB2312" w:hAnsi="仿宋_GB2312" w:eastAsia="仿宋_GB2312" w:cs="仿宋_GB2312"/>
          <w:b/>
          <w:bCs/>
          <w:kern w:val="2"/>
          <w:sz w:val="32"/>
          <w:szCs w:val="32"/>
          <w:lang w:val="en-US" w:eastAsia="zh-CN" w:bidi="ar-SA"/>
        </w:rPr>
        <w:t>水域所坚持</w:t>
      </w:r>
      <w:r>
        <w:rPr>
          <w:rFonts w:hint="eastAsia" w:ascii="仿宋_GB2312" w:hAnsi="仿宋_GB2312" w:eastAsia="仿宋_GB2312" w:cs="仿宋_GB2312"/>
          <w:kern w:val="2"/>
          <w:sz w:val="32"/>
          <w:szCs w:val="32"/>
          <w:lang w:val="en-US" w:eastAsia="zh-CN" w:bidi="ar-SA"/>
        </w:rPr>
        <w:t>高标准实施水岸共治，对洞庭湖27公里责任水域立体化巡回保洁作业，清理各类垃圾和漂浮物，截止目前共清理各类水域垃圾700余吨。</w:t>
      </w:r>
      <w:r>
        <w:rPr>
          <w:rFonts w:hint="eastAsia" w:ascii="仿宋_GB2312" w:hAnsi="仿宋_GB2312" w:eastAsia="仿宋_GB2312" w:cs="仿宋_GB2312"/>
          <w:b/>
          <w:bCs/>
          <w:kern w:val="2"/>
          <w:sz w:val="32"/>
          <w:szCs w:val="32"/>
          <w:lang w:val="en-US" w:eastAsia="zh-CN" w:bidi="ar-SA"/>
        </w:rPr>
        <w:t>收费所坚持</w:t>
      </w:r>
      <w:r>
        <w:rPr>
          <w:rFonts w:hint="eastAsia" w:ascii="仿宋_GB2312" w:hAnsi="仿宋_GB2312" w:eastAsia="仿宋_GB2312" w:cs="仿宋_GB2312"/>
          <w:kern w:val="2"/>
          <w:sz w:val="32"/>
          <w:szCs w:val="32"/>
          <w:lang w:val="en-US" w:eastAsia="zh-CN" w:bidi="ar-SA"/>
        </w:rPr>
        <w:t>稳步增加费源费额，大力宣传环卫收费，摸底排查环卫收费未缴、拒缴、少缴单位，积极对接生活垃圾处理费并水征收事宜，截止8月31日，完成环卫收费收入653万元。</w:t>
      </w:r>
      <w:r>
        <w:rPr>
          <w:rFonts w:hint="eastAsia" w:ascii="仿宋_GB2312" w:hAnsi="仿宋_GB2312" w:eastAsia="仿宋_GB2312" w:cs="仿宋_GB2312"/>
          <w:b/>
          <w:bCs/>
          <w:kern w:val="2"/>
          <w:sz w:val="32"/>
          <w:szCs w:val="32"/>
          <w:lang w:val="en-US" w:eastAsia="zh-CN" w:bidi="ar-SA"/>
        </w:rPr>
        <w:t>餐厨所</w:t>
      </w:r>
      <w:r>
        <w:rPr>
          <w:rFonts w:hint="eastAsia" w:ascii="仿宋_GB2312" w:hAnsi="仿宋_GB2312" w:eastAsia="仿宋_GB2312" w:cs="仿宋_GB2312"/>
          <w:kern w:val="2"/>
          <w:sz w:val="32"/>
          <w:szCs w:val="32"/>
          <w:lang w:val="en-US" w:eastAsia="zh-CN" w:bidi="ar-SA"/>
        </w:rPr>
        <w:t>坚持抓好餐厨垃圾扩面收运试点工作，增加三眼桥街道、五里牌街道、梅溪街道区域内328个大小餐饮门店餐厨垃圾收运，试点内区域日收运餐厨垃圾可达6吨。</w:t>
      </w:r>
      <w:r>
        <w:rPr>
          <w:rFonts w:hint="eastAsia" w:ascii="仿宋_GB2312" w:hAnsi="仿宋_GB2312" w:eastAsia="仿宋_GB2312" w:cs="仿宋_GB2312"/>
          <w:b/>
          <w:bCs/>
          <w:kern w:val="2"/>
          <w:sz w:val="32"/>
          <w:szCs w:val="32"/>
          <w:lang w:val="en-US" w:eastAsia="zh-CN" w:bidi="ar-SA"/>
        </w:rPr>
        <w:t>环卫后勤中心</w:t>
      </w:r>
      <w:r>
        <w:rPr>
          <w:rFonts w:hint="eastAsia" w:ascii="仿宋_GB2312" w:hAnsi="仿宋_GB2312" w:eastAsia="仿宋_GB2312" w:cs="仿宋_GB2312"/>
          <w:b w:val="0"/>
          <w:bCs w:val="0"/>
          <w:kern w:val="2"/>
          <w:sz w:val="32"/>
          <w:szCs w:val="32"/>
          <w:lang w:val="en-US" w:eastAsia="zh-CN" w:bidi="ar-SA"/>
        </w:rPr>
        <w:t>坚持</w:t>
      </w:r>
      <w:r>
        <w:rPr>
          <w:rFonts w:hint="eastAsia" w:ascii="仿宋_GB2312" w:hAnsi="仿宋_GB2312" w:eastAsia="仿宋_GB2312" w:cs="仿宋_GB2312"/>
          <w:kern w:val="2"/>
          <w:sz w:val="32"/>
          <w:szCs w:val="32"/>
          <w:lang w:val="en-US" w:eastAsia="zh-CN" w:bidi="ar-SA"/>
        </w:rPr>
        <w:t>积极创收，利用各种形式引租招租，今年实际租赁收入52.3万元，已全额上缴区财政。</w:t>
      </w:r>
      <w:r>
        <w:rPr>
          <w:rFonts w:hint="eastAsia" w:ascii="仿宋_GB2312" w:hAnsi="仿宋_GB2312" w:eastAsia="仿宋_GB2312" w:cs="仿宋_GB2312"/>
          <w:b/>
          <w:bCs/>
          <w:kern w:val="2"/>
          <w:sz w:val="32"/>
          <w:szCs w:val="32"/>
          <w:lang w:val="en-US" w:eastAsia="zh-CN" w:bidi="ar-SA"/>
        </w:rPr>
        <w:t>双环渣土公司</w:t>
      </w:r>
      <w:r>
        <w:rPr>
          <w:rFonts w:hint="eastAsia" w:ascii="仿宋_GB2312" w:hAnsi="仿宋_GB2312" w:eastAsia="仿宋_GB2312" w:cs="仿宋_GB2312"/>
          <w:b w:val="0"/>
          <w:bCs w:val="0"/>
          <w:kern w:val="2"/>
          <w:sz w:val="32"/>
          <w:szCs w:val="32"/>
          <w:lang w:val="en-US" w:eastAsia="zh-CN" w:bidi="ar-SA"/>
        </w:rPr>
        <w:t>坚持落实城区无大件垃圾的工作标准，</w:t>
      </w:r>
      <w:r>
        <w:rPr>
          <w:rFonts w:hint="eastAsia" w:ascii="仿宋_GB2312" w:hAnsi="仿宋_GB2312" w:eastAsia="仿宋_GB2312" w:cs="仿宋_GB2312"/>
          <w:kern w:val="2"/>
          <w:sz w:val="32"/>
          <w:szCs w:val="32"/>
          <w:lang w:val="en-US" w:eastAsia="zh-CN" w:bidi="ar-SA"/>
        </w:rPr>
        <w:t>月均处置装修建筑垃圾60余车、废旧家具260余车。</w:t>
      </w:r>
    </w:p>
    <w:p>
      <w:pPr>
        <w:keepNext w:val="0"/>
        <w:keepLines w:val="0"/>
        <w:pageBreakBefore w:val="0"/>
        <w:widowControl w:val="0"/>
        <w:kinsoku/>
        <w:wordWrap/>
        <w:overflowPunct/>
        <w:topLinePunct w:val="0"/>
        <w:autoSpaceDE/>
        <w:autoSpaceDN/>
        <w:bidi w:val="0"/>
        <w:adjustRightInd/>
        <w:snapToGrid/>
        <w:spacing w:line="640" w:lineRule="exact"/>
        <w:ind w:firstLine="641"/>
        <w:textAlignment w:val="auto"/>
        <w:outlineLvl w:val="9"/>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（五）园林绿化方面。</w:t>
      </w:r>
      <w:r>
        <w:rPr>
          <w:rFonts w:hint="eastAsia" w:ascii="仿宋_GB2312" w:hAnsi="仿宋_GB2312" w:eastAsia="仿宋_GB2312" w:cs="仿宋_GB2312"/>
          <w:kern w:val="2"/>
          <w:sz w:val="32"/>
          <w:szCs w:val="32"/>
          <w:lang w:val="en-US" w:eastAsia="zh-CN" w:bidi="ar-SA"/>
        </w:rPr>
        <w:t>按照园林绿化管养标准，加强城区植物管养力度，抓好主要道路和公园内新春特色景观布置工作，提升城市园林品质，持续开展“绿地清洁”专项行动，全面清理公共绿地内的积存树叶和垃圾杂物，及时对裸露绿地进行补植补栽，前三季度完成了模纹色块修剪200余万平方米，完成行道树抬枝修剪3万余棵，完成施肥40余吨、除杂200万平方米。</w:t>
      </w:r>
      <w:r>
        <w:rPr>
          <w:rFonts w:hint="eastAsia" w:ascii="仿宋_GB2312" w:hAnsi="仿宋_GB2312" w:eastAsia="仿宋_GB2312" w:cs="仿宋_GB2312"/>
          <w:b/>
          <w:bCs/>
          <w:kern w:val="2"/>
          <w:sz w:val="32"/>
          <w:szCs w:val="32"/>
          <w:lang w:val="en-US" w:eastAsia="zh-CN" w:bidi="ar-SA"/>
        </w:rPr>
        <w:t>全力开展抗旱保绿行动</w:t>
      </w:r>
      <w:r>
        <w:rPr>
          <w:rFonts w:hint="eastAsia" w:ascii="仿宋_GB2312" w:hAnsi="仿宋_GB2312" w:eastAsia="仿宋_GB2312" w:cs="仿宋_GB2312"/>
          <w:kern w:val="2"/>
          <w:sz w:val="32"/>
          <w:szCs w:val="32"/>
          <w:lang w:val="en-US" w:eastAsia="zh-CN" w:bidi="ar-SA"/>
        </w:rPr>
        <w:t>，城管委办公室及时制定抗旱保绿工作方案，由城市绿化管理中心牵头负责做好城区主次干道、背街小巷的绿化抗旱工作，金鹗公园管理中心、王家河公园管理中心、苗木花卉中心负责做好管辖公园内的绿化抗旱工作。张哲君区长积极协调各乡街、部门，加强联合联动，形成全区抗旱保绿热潮，最大限度发挥全区洒水车辆作用，为城区抗旱提供强大的保障，截至目前抗旱保绿行动已持续两个多月，通过各部门单位的共同努力，这项行动的取得了很大的成效，但是仍然不能放松要求，要继续做好旱灾后的复绿、补绿工作。</w:t>
      </w:r>
      <w:r>
        <w:rPr>
          <w:rFonts w:hint="eastAsia" w:ascii="仿宋_GB2312" w:hAnsi="仿宋_GB2312" w:eastAsia="仿宋_GB2312" w:cs="仿宋_GB2312"/>
          <w:b/>
          <w:bCs/>
          <w:kern w:val="2"/>
          <w:sz w:val="32"/>
          <w:szCs w:val="32"/>
          <w:lang w:val="en-US" w:eastAsia="zh-CN" w:bidi="ar-SA"/>
        </w:rPr>
        <w:t>绿化管理中心</w:t>
      </w:r>
      <w:r>
        <w:rPr>
          <w:rFonts w:hint="eastAsia" w:ascii="仿宋_GB2312" w:hAnsi="仿宋_GB2312" w:eastAsia="仿宋_GB2312" w:cs="仿宋_GB2312"/>
          <w:kern w:val="2"/>
          <w:sz w:val="32"/>
          <w:szCs w:val="32"/>
          <w:lang w:val="en-US" w:eastAsia="zh-CN" w:bidi="ar-SA"/>
        </w:rPr>
        <w:t>坚持全力以赴，在这次抗旱行动中，累计投入抗旱人员5000余人次、浇水1.7万车次，最大限度保证了辖区内的苗木花卉成活。</w:t>
      </w:r>
      <w:r>
        <w:rPr>
          <w:rFonts w:hint="eastAsia" w:ascii="仿宋_GB2312" w:hAnsi="仿宋_GB2312" w:eastAsia="仿宋_GB2312" w:cs="仿宋_GB2312"/>
          <w:b/>
          <w:bCs/>
          <w:kern w:val="2"/>
          <w:sz w:val="32"/>
          <w:szCs w:val="32"/>
          <w:lang w:val="en-US" w:eastAsia="zh-CN" w:bidi="ar-SA"/>
        </w:rPr>
        <w:t>王家河公园</w:t>
      </w:r>
      <w:r>
        <w:rPr>
          <w:rFonts w:hint="eastAsia" w:ascii="仿宋_GB2312" w:hAnsi="仿宋_GB2312" w:eastAsia="仿宋_GB2312" w:cs="仿宋_GB2312"/>
          <w:b w:val="0"/>
          <w:bCs w:val="0"/>
          <w:kern w:val="2"/>
          <w:sz w:val="32"/>
          <w:szCs w:val="32"/>
          <w:lang w:val="en-US" w:eastAsia="zh-CN" w:bidi="ar-SA"/>
        </w:rPr>
        <w:t>坚持创建标准，</w:t>
      </w:r>
      <w:r>
        <w:rPr>
          <w:rFonts w:hint="eastAsia" w:ascii="仿宋_GB2312" w:hAnsi="仿宋_GB2312" w:eastAsia="仿宋_GB2312" w:cs="仿宋_GB2312"/>
          <w:kern w:val="2"/>
          <w:sz w:val="32"/>
          <w:szCs w:val="32"/>
          <w:lang w:val="en-US" w:eastAsia="zh-CN" w:bidi="ar-SA"/>
        </w:rPr>
        <w:t>对公园的道路、水域、硬件设施进行全面清洗，在重点地段和重点区域实行24小时值班值守，出动人员1800余人次，清理各类垃圾约90余吨。</w:t>
      </w:r>
      <w:r>
        <w:rPr>
          <w:rFonts w:hint="eastAsia" w:ascii="仿宋_GB2312" w:hAnsi="仿宋_GB2312" w:eastAsia="仿宋_GB2312" w:cs="仿宋_GB2312"/>
          <w:b/>
          <w:bCs/>
          <w:kern w:val="2"/>
          <w:sz w:val="32"/>
          <w:szCs w:val="32"/>
          <w:lang w:val="en-US" w:eastAsia="zh-CN" w:bidi="ar-SA"/>
        </w:rPr>
        <w:t>金鹗公园</w:t>
      </w:r>
      <w:r>
        <w:rPr>
          <w:rFonts w:hint="eastAsia" w:ascii="仿宋_GB2312" w:hAnsi="仿宋_GB2312" w:eastAsia="仿宋_GB2312" w:cs="仿宋_GB2312"/>
          <w:b w:val="0"/>
          <w:bCs w:val="0"/>
          <w:kern w:val="2"/>
          <w:sz w:val="32"/>
          <w:szCs w:val="32"/>
          <w:lang w:val="en-US" w:eastAsia="zh-CN" w:bidi="ar-SA"/>
        </w:rPr>
        <w:t>坚持</w:t>
      </w:r>
      <w:r>
        <w:rPr>
          <w:rFonts w:hint="eastAsia" w:ascii="仿宋_GB2312" w:hAnsi="仿宋_GB2312" w:eastAsia="仿宋_GB2312" w:cs="仿宋_GB2312"/>
          <w:kern w:val="2"/>
          <w:sz w:val="32"/>
          <w:szCs w:val="32"/>
          <w:lang w:val="en-US" w:eastAsia="zh-CN" w:bidi="ar-SA"/>
        </w:rPr>
        <w:t>加强对违建墓地整治，通过实地查看、上门入户，</w:t>
      </w:r>
      <w:r>
        <w:rPr>
          <w:rFonts w:hint="default" w:ascii="仿宋_GB2312" w:hAnsi="仿宋_GB2312" w:eastAsia="仿宋_GB2312" w:cs="仿宋_GB2312"/>
          <w:kern w:val="2"/>
          <w:sz w:val="32"/>
          <w:szCs w:val="32"/>
          <w:lang w:val="en-US" w:eastAsia="zh-CN" w:bidi="ar-SA"/>
        </w:rPr>
        <w:t>全面摸排</w:t>
      </w:r>
      <w:r>
        <w:rPr>
          <w:rFonts w:hint="eastAsia" w:ascii="仿宋_GB2312" w:hAnsi="仿宋_GB2312" w:eastAsia="仿宋_GB2312" w:cs="仿宋_GB2312"/>
          <w:kern w:val="2"/>
          <w:sz w:val="32"/>
          <w:szCs w:val="32"/>
          <w:lang w:val="en-US" w:eastAsia="zh-CN" w:bidi="ar-SA"/>
        </w:rPr>
        <w:t>整治公园墓地，并协助相关街道完成了公园51座墓地迁移，积极做好迁移墓地的复绿工作，复绿面积约2100平方米，进一步巩固了墓地整治成效。</w:t>
      </w:r>
    </w:p>
    <w:p>
      <w:pPr>
        <w:pStyle w:val="8"/>
        <w:rPr>
          <w:rFonts w:hint="default"/>
          <w:sz w:val="32"/>
          <w:szCs w:val="32"/>
          <w:lang w:val="en-US" w:eastAsia="zh-CN"/>
        </w:rPr>
      </w:pPr>
      <w:r>
        <w:rPr>
          <w:rFonts w:hint="eastAsia" w:ascii="仿宋_GB2312" w:hAnsi="仿宋_GB2312" w:eastAsia="仿宋_GB2312" w:cs="仿宋_GB2312"/>
          <w:b/>
          <w:bCs/>
          <w:kern w:val="2"/>
          <w:sz w:val="32"/>
          <w:szCs w:val="32"/>
          <w:highlight w:val="none"/>
          <w:lang w:val="en-US" w:eastAsia="zh-CN" w:bidi="ar-SA"/>
        </w:rPr>
        <w:t>（六）管理服务方面。</w:t>
      </w:r>
      <w:r>
        <w:rPr>
          <w:rFonts w:hint="eastAsia" w:ascii="仿宋_GB2312" w:hAnsi="仿宋_GB2312" w:eastAsia="仿宋_GB2312" w:cs="仿宋_GB2312"/>
          <w:kern w:val="2"/>
          <w:sz w:val="32"/>
          <w:szCs w:val="32"/>
          <w:highlight w:val="none"/>
          <w:lang w:val="en-US" w:eastAsia="zh-CN" w:bidi="ar-SA"/>
        </w:rPr>
        <w:t>区城管委办公室继续发挥好高位统筹、协调推进的职能。积极做好事权下放“后半篇”文章，配合市委深改办推动事权职责划分工作，确保按时完成事权属地改革任务；</w:t>
      </w:r>
      <w:r>
        <w:rPr>
          <w:rFonts w:hint="eastAsia" w:ascii="仿宋_GB2312" w:hAnsi="仿宋_GB2312" w:eastAsia="仿宋_GB2312" w:cs="仿宋_GB2312"/>
          <w:kern w:val="2"/>
          <w:sz w:val="32"/>
          <w:szCs w:val="32"/>
          <w:lang w:val="en-US" w:eastAsia="zh-CN" w:bidi="ar-SA"/>
        </w:rPr>
        <w:t>按照3年3千万采购计划，及时制定2022年设备采购方案，并在加快速度推动后续采购事宜，确保按时完成今年采购计划；按照区级领导要求，协助区财政局对城管委系统开展2021年全年和2022年1-8月财力评估，全面理清各单位人员、项目开展、运转经费等情况，根据实际情况加强经费保障，确保下阶段各单位正常运转；持续做好安全防范工作，加强重点人员管控、协调处置系统内人员的上访事件，确保不出现越级上访现象；加强安全生产隐患排查，对全系统的所有的办公场所、庭院、设备等进行了一次全面排查，并及时做好整改和汇报；抓好疫情防控工作，严格落实疫情防控的指示要求，要求各单位做好办公场所进出登记，定期完成核酸检测；持续开展纪律作风督查，坚持问题导向，严查迟到、早退等消极现象，推动纪律作风建设制度化、规范化、常态化，结合近期国家公职人员打牌赌博和违规吃喝问题专项整治行动，要求全系统每一位工作人员坚决遵守禁止打牌赌博的十条禁令和禁止违规吃喝的十条禁令。</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kern w:val="2"/>
          <w:sz w:val="32"/>
          <w:szCs w:val="32"/>
          <w:lang w:val="en-US" w:eastAsia="zh-CN" w:bidi="ar-SA"/>
        </w:rPr>
        <w:t>（七）督查考评方面。</w:t>
      </w:r>
      <w:r>
        <w:rPr>
          <w:rFonts w:hint="eastAsia" w:ascii="仿宋_GB2312" w:hAnsi="仿宋_GB2312" w:eastAsia="仿宋_GB2312" w:cs="仿宋_GB2312"/>
          <w:kern w:val="2"/>
          <w:sz w:val="32"/>
          <w:szCs w:val="32"/>
          <w:lang w:val="en-US" w:eastAsia="zh-CN" w:bidi="ar-SA"/>
        </w:rPr>
        <w:t>督查考评中心全体工作人员实行“5+2、8+X”的工作模式，中心全体班子成员落实双休日带班巡查制度，开展每日两班的巡查督查，督查专员带队，定期开展夜间督查，发现问题及时在“美丽楼区随手拍”发送并督促整改，上半年至今发现问题2300余起，群内各单位基本做到发现一起整改一起；按照标准化考评方案，分两组对下沉单位开展了12次集中考评，并在每月的讲评会上，及时下发一批重点问题整改清单，清单下发后进行重点跟踪、重点督办，让各部门单位的工作责任进一步压实，通过标准化的考评</w:t>
      </w:r>
      <w:r>
        <w:rPr>
          <w:rFonts w:hint="eastAsia" w:ascii="仿宋_GB2312" w:hAnsi="仿宋_GB2312" w:eastAsia="仿宋_GB2312" w:cs="仿宋_GB2312"/>
          <w:sz w:val="32"/>
          <w:szCs w:val="32"/>
          <w:lang w:val="en-US" w:eastAsia="zh-CN"/>
        </w:rPr>
        <w:t>各单位</w:t>
      </w:r>
      <w:r>
        <w:rPr>
          <w:rFonts w:hint="eastAsia" w:ascii="仿宋_GB2312" w:hAnsi="仿宋_GB2312" w:eastAsia="仿宋_GB2312" w:cs="仿宋_GB2312"/>
          <w:sz w:val="32"/>
          <w:szCs w:val="32"/>
          <w:lang w:eastAsia="zh-CN"/>
        </w:rPr>
        <w:t>争先创优的意识</w:t>
      </w:r>
      <w:r>
        <w:rPr>
          <w:rFonts w:hint="eastAsia" w:ascii="仿宋_GB2312" w:hAnsi="仿宋_GB2312" w:eastAsia="仿宋_GB2312" w:cs="仿宋_GB2312"/>
          <w:sz w:val="32"/>
          <w:szCs w:val="32"/>
          <w:lang w:val="en-US" w:eastAsia="zh-CN"/>
        </w:rPr>
        <w:t>明显</w:t>
      </w:r>
      <w:r>
        <w:rPr>
          <w:rFonts w:hint="eastAsia" w:ascii="仿宋_GB2312" w:hAnsi="仿宋_GB2312" w:eastAsia="仿宋_GB2312" w:cs="仿宋_GB2312"/>
          <w:sz w:val="32"/>
          <w:szCs w:val="32"/>
          <w:lang w:eastAsia="zh-CN"/>
        </w:rPr>
        <w:t>增强，</w:t>
      </w:r>
      <w:r>
        <w:rPr>
          <w:rFonts w:hint="eastAsia" w:ascii="仿宋_GB2312" w:hAnsi="仿宋_GB2312" w:eastAsia="仿宋_GB2312" w:cs="仿宋_GB2312"/>
          <w:sz w:val="32"/>
          <w:szCs w:val="32"/>
          <w:lang w:val="en-US" w:eastAsia="zh-CN"/>
        </w:rPr>
        <w:t>工作标准也稳步提升；</w:t>
      </w:r>
      <w:r>
        <w:rPr>
          <w:rFonts w:hint="eastAsia" w:ascii="仿宋_GB2312" w:hAnsi="仿宋_GB2312" w:eastAsia="仿宋_GB2312" w:cs="仿宋_GB2312"/>
          <w:kern w:val="2"/>
          <w:sz w:val="32"/>
          <w:szCs w:val="32"/>
          <w:lang w:val="en-US" w:eastAsia="zh-CN" w:bidi="ar-SA"/>
        </w:rPr>
        <w:t>协调处置市城管委重要交办问题20余起，从市城管局反馈情况来看，我区数字工单处置率一直保持在较高的水平，</w:t>
      </w:r>
      <w:r>
        <w:rPr>
          <w:rFonts w:hint="eastAsia" w:ascii="仿宋_GB2312" w:hAnsi="仿宋_GB2312" w:eastAsia="仿宋_GB2312" w:cs="仿宋_GB2312"/>
          <w:sz w:val="32"/>
          <w:szCs w:val="32"/>
          <w:lang w:val="en-US" w:eastAsia="zh-CN"/>
        </w:rPr>
        <w:t>一级平台</w:t>
      </w:r>
      <w:r>
        <w:rPr>
          <w:rFonts w:hint="eastAsia" w:ascii="仿宋_GB2312" w:hAnsi="仿宋_GB2312" w:eastAsia="仿宋_GB2312" w:cs="仿宋_GB2312"/>
          <w:sz w:val="32"/>
          <w:szCs w:val="32"/>
          <w:lang w:eastAsia="zh-CN"/>
        </w:rPr>
        <w:t>搭建</w:t>
      </w:r>
      <w:r>
        <w:rPr>
          <w:rFonts w:hint="eastAsia" w:ascii="仿宋_GB2312" w:hAnsi="仿宋_GB2312" w:eastAsia="仿宋_GB2312" w:cs="仿宋_GB2312"/>
          <w:sz w:val="32"/>
          <w:szCs w:val="32"/>
          <w:lang w:val="en-US" w:eastAsia="zh-CN"/>
        </w:rPr>
        <w:t>后</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月均处置率约97.51%，按期处置率约91.65%</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六区考核中反馈的返工、延期等重点扣分问题大幅减少。</w:t>
      </w:r>
    </w:p>
    <w:p>
      <w:pPr>
        <w:keepNext w:val="0"/>
        <w:keepLines w:val="0"/>
        <w:pageBreakBefore w:val="0"/>
        <w:widowControl w:val="0"/>
        <w:kinsoku/>
        <w:wordWrap/>
        <w:overflowPunct/>
        <w:topLinePunct w:val="0"/>
        <w:autoSpaceDE/>
        <w:autoSpaceDN/>
        <w:bidi w:val="0"/>
        <w:adjustRightInd/>
        <w:snapToGrid/>
        <w:spacing w:line="640" w:lineRule="exact"/>
        <w:ind w:firstLine="641"/>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sz w:val="32"/>
          <w:szCs w:val="32"/>
          <w:lang w:val="en-US" w:eastAsia="zh-CN"/>
        </w:rPr>
        <w:t>（八）重点攻坚方面。</w:t>
      </w:r>
      <w:r>
        <w:rPr>
          <w:rFonts w:hint="eastAsia" w:ascii="仿宋_GB2312" w:hAnsi="仿宋_GB2312" w:eastAsia="仿宋_GB2312" w:cs="仿宋_GB2312"/>
          <w:kern w:val="2"/>
          <w:sz w:val="32"/>
          <w:szCs w:val="32"/>
          <w:lang w:val="en-US" w:eastAsia="zh-CN" w:bidi="ar-SA"/>
        </w:rPr>
        <w:t>为应对“省检”、“国检”双重检查，城管委系统停止所有人员休假，</w:t>
      </w:r>
      <w:r>
        <w:rPr>
          <w:rFonts w:hint="eastAsia" w:ascii="仿宋_GB2312" w:hAnsi="仿宋_GB2312" w:eastAsia="仿宋_GB2312" w:cs="仿宋_GB2312"/>
          <w:kern w:val="2"/>
          <w:sz w:val="32"/>
          <w:szCs w:val="32"/>
          <w:lang w:val="zh-CN" w:eastAsia="zh-CN" w:bidi="ar-SA"/>
        </w:rPr>
        <w:t>动员一切可以调动的力量，</w:t>
      </w:r>
      <w:r>
        <w:rPr>
          <w:rFonts w:hint="eastAsia" w:ascii="仿宋_GB2312" w:hAnsi="仿宋_GB2312" w:eastAsia="仿宋_GB2312" w:cs="仿宋_GB2312"/>
          <w:kern w:val="2"/>
          <w:sz w:val="32"/>
          <w:szCs w:val="32"/>
          <w:lang w:val="en-US" w:eastAsia="zh-CN" w:bidi="ar-SA"/>
        </w:rPr>
        <w:t>投入文明创建工作中</w:t>
      </w:r>
      <w:r>
        <w:rPr>
          <w:rFonts w:hint="eastAsia" w:ascii="仿宋_GB2312" w:hAnsi="仿宋_GB2312" w:eastAsia="仿宋_GB2312" w:cs="仿宋_GB2312"/>
          <w:kern w:val="2"/>
          <w:sz w:val="32"/>
          <w:szCs w:val="32"/>
          <w:lang w:val="zh-CN" w:eastAsia="zh-CN" w:bidi="ar-SA"/>
        </w:rPr>
        <w:t>。</w:t>
      </w:r>
      <w:r>
        <w:rPr>
          <w:rFonts w:hint="eastAsia" w:ascii="仿宋_GB2312" w:hAnsi="仿宋_GB2312" w:eastAsia="仿宋_GB2312" w:cs="仿宋_GB2312"/>
          <w:kern w:val="2"/>
          <w:sz w:val="32"/>
          <w:szCs w:val="32"/>
          <w:lang w:val="en-US" w:eastAsia="zh-CN" w:bidi="ar-SA"/>
        </w:rPr>
        <w:t>园林绿化部门提前对辖区内裸露绿地进行了全面补植，实现城区主干道裸露绿地动态“清零”；城管部门创建期间共开展市容环境整治12次，全力整治市容秩序的突出问题，比如“云梦北路马路市场”和“兴盛市场”，通过集中整治，市场周边的市容秩序发生了很大的变化；环卫部门延长洒水车辆冲水时间，不间断进行路面洒水作业，清洗车辆采取休人不休车的方式，全路段、全覆盖高标准清洗路段，分区域、延时长、增人数，充实一线作业力量，迎检期间路面巡回保洁和定点保洁做到人员不断岗，确保卫生经得起“细看”、质量经得起“细评”。</w:t>
      </w:r>
    </w:p>
    <w:p>
      <w:pPr>
        <w:pStyle w:val="7"/>
        <w:keepNext w:val="0"/>
        <w:keepLines w:val="0"/>
        <w:pageBreakBefore w:val="0"/>
        <w:kinsoku/>
        <w:wordWrap/>
        <w:overflowPunct/>
        <w:topLinePunct w:val="0"/>
        <w:bidi w:val="0"/>
        <w:snapToGrid/>
        <w:spacing w:line="600" w:lineRule="exact"/>
        <w:ind w:firstLine="643" w:firstLineChars="200"/>
        <w:textAlignment w:val="auto"/>
        <w:rPr>
          <w:rFonts w:hint="eastAsia" w:ascii="黑体" w:hAnsi="黑体" w:eastAsia="黑体" w:cs="黑体"/>
          <w:kern w:val="0"/>
          <w:sz w:val="32"/>
          <w:szCs w:val="32"/>
          <w:lang w:val="en-US" w:eastAsia="zh-CN" w:bidi="ar-SA"/>
        </w:rPr>
      </w:pPr>
      <w:r>
        <w:rPr>
          <w:rFonts w:hint="eastAsia" w:ascii="仿宋_GB2312" w:hAnsi="仿宋_GB2312" w:eastAsia="仿宋_GB2312" w:cs="仿宋_GB2312"/>
          <w:b/>
          <w:bCs/>
          <w:kern w:val="2"/>
          <w:sz w:val="32"/>
          <w:szCs w:val="32"/>
          <w:lang w:val="en-US" w:eastAsia="zh-CN" w:bidi="ar-SA"/>
        </w:rPr>
        <w:t>省运会期间</w:t>
      </w:r>
      <w:r>
        <w:rPr>
          <w:rFonts w:hint="eastAsia" w:ascii="仿宋_GB2312" w:hAnsi="仿宋_GB2312" w:eastAsia="仿宋_GB2312" w:cs="仿宋_GB2312"/>
          <w:kern w:val="2"/>
          <w:sz w:val="32"/>
          <w:szCs w:val="32"/>
          <w:lang w:val="en-US" w:eastAsia="zh-CN" w:bidi="ar-SA"/>
        </w:rPr>
        <w:t>成立了市容环境整治工作组，集中开展省运会场馆周边市容环境专项整治，成立专班、安排专人</w:t>
      </w:r>
      <w:r>
        <w:rPr>
          <w:rFonts w:hint="eastAsia" w:ascii="仿宋_GB2312" w:hAnsi="仿宋_GB2312" w:eastAsia="仿宋_GB2312" w:cs="仿宋_GB2312"/>
          <w:kern w:val="2"/>
          <w:sz w:val="32"/>
          <w:szCs w:val="32"/>
          <w:lang w:val="zh-CN" w:eastAsia="zh-CN" w:bidi="ar-SA"/>
        </w:rPr>
        <w:t>加大清扫力度，确保</w:t>
      </w:r>
      <w:r>
        <w:rPr>
          <w:rFonts w:hint="eastAsia" w:ascii="仿宋_GB2312" w:hAnsi="仿宋_GB2312" w:eastAsia="仿宋_GB2312" w:cs="仿宋_GB2312"/>
          <w:kern w:val="2"/>
          <w:sz w:val="32"/>
          <w:szCs w:val="32"/>
          <w:lang w:val="en-US" w:eastAsia="zh-CN" w:bidi="ar-SA"/>
        </w:rPr>
        <w:t>场馆周边干净整洁。开展场馆周边绿化整治，在湘北大道、体育馆、求索路等路段完成4500平方米苗木及90株行道树补植；全力落实省运会氛围营造任务，平原书记亲自调度，哲君区长坚守一线，督促工作进度，园林科研所快速制定省运会氛围营造实施方案，苗木中心、园林建设总公司等单位干部职工5天4夜连轴奋战，摆放了共计5万盆时令花卉，按时完成了岳阳大道和南湖大道等地10个点氛围摆放任务。城管部门清理破损广告，对沿线破损且有碍视线的广告招牌进行全面清理，对南湖宾馆至奥体中心沿线主次干道、省运会场馆周边的所有门店电子显示屏进行统一规范，滚动显示省动会相关宣传标语。</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pPr>
        <w:keepNext w:val="0"/>
        <w:keepLines w:val="0"/>
        <w:pageBreakBefore w:val="0"/>
        <w:widowControl w:val="0"/>
        <w:kinsoku/>
        <w:wordWrap/>
        <w:overflowPunct/>
        <w:topLinePunct w:val="0"/>
        <w:autoSpaceDE/>
        <w:autoSpaceDN/>
        <w:bidi w:val="0"/>
        <w:adjustRightInd/>
        <w:snapToGrid/>
        <w:spacing w:line="700" w:lineRule="exact"/>
        <w:ind w:firstLine="643" w:firstLineChars="200"/>
        <w:textAlignment w:val="auto"/>
        <w:rPr>
          <w:rFonts w:hint="eastAsia" w:ascii="楷体_GB2312" w:hAnsi="楷体_GB2312" w:eastAsia="楷体_GB2312" w:cs="楷体_GB2312"/>
          <w:b/>
          <w:bCs/>
          <w:spacing w:val="0"/>
          <w:kern w:val="2"/>
          <w:sz w:val="32"/>
          <w:szCs w:val="32"/>
          <w:lang w:val="en-US" w:eastAsia="zh-CN" w:bidi="ar-SA"/>
        </w:rPr>
      </w:pPr>
      <w:r>
        <w:rPr>
          <w:rFonts w:hint="eastAsia" w:ascii="楷体_GB2312" w:hAnsi="楷体_GB2312" w:eastAsia="楷体_GB2312" w:cs="楷体_GB2312"/>
          <w:b/>
          <w:bCs/>
          <w:spacing w:val="0"/>
          <w:kern w:val="2"/>
          <w:sz w:val="32"/>
          <w:szCs w:val="32"/>
          <w:lang w:val="en-US" w:eastAsia="zh-CN" w:bidi="ar-SA"/>
        </w:rPr>
        <w:t>（一）工作经费不足。</w:t>
      </w:r>
    </w:p>
    <w:p>
      <w:pPr>
        <w:keepNext w:val="0"/>
        <w:keepLines w:val="0"/>
        <w:pageBreakBefore w:val="0"/>
        <w:widowControl w:val="0"/>
        <w:kinsoku/>
        <w:wordWrap/>
        <w:overflowPunct/>
        <w:topLinePunct w:val="0"/>
        <w:autoSpaceDE/>
        <w:autoSpaceDN/>
        <w:bidi w:val="0"/>
        <w:adjustRightInd/>
        <w:snapToGrid/>
        <w:spacing w:line="7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初步预算大约缺口4481.46万元。其中：城管领域经费缺口323.5万元、环卫领域经费缺口2226.79万元、园林绿化领域经费缺口1099.17万元。</w:t>
      </w:r>
    </w:p>
    <w:p>
      <w:pPr>
        <w:keepNext w:val="0"/>
        <w:keepLines w:val="0"/>
        <w:pageBreakBefore w:val="0"/>
        <w:widowControl w:val="0"/>
        <w:kinsoku/>
        <w:wordWrap/>
        <w:overflowPunct/>
        <w:topLinePunct w:val="0"/>
        <w:autoSpaceDE/>
        <w:autoSpaceDN/>
        <w:bidi w:val="0"/>
        <w:adjustRightInd/>
        <w:snapToGrid/>
        <w:spacing w:line="70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形成的原因：1.差额转全额，下沉在编的700多名职工的工资待遇上涨；2.下沉前各环卫的社保医保、大病医疗保险、物资等，由市环卫中心负责，下沉以后只能由各环卫所自行承担；3.任务增加、工作标准提高。事权下沉以来，市城管局已陆续将新建成和已竣工长期未纳入管理的32条市政道路的市容执法、环卫保洁、绿化管养等工作移交到我区，这些道路在改革前，本应由市城管局纳入管理。</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楷体_GB2312" w:hAnsi="楷体_GB2312" w:eastAsia="楷体_GB2312" w:cs="楷体_GB2312"/>
          <w:b/>
          <w:bCs/>
          <w:spacing w:val="0"/>
          <w:kern w:val="2"/>
          <w:sz w:val="32"/>
          <w:szCs w:val="32"/>
          <w:lang w:val="en-US" w:eastAsia="zh-CN" w:bidi="ar-SA"/>
        </w:rPr>
      </w:pPr>
      <w:r>
        <w:rPr>
          <w:rFonts w:hint="eastAsia" w:ascii="楷体_GB2312" w:hAnsi="楷体_GB2312" w:eastAsia="楷体_GB2312" w:cs="楷体_GB2312"/>
          <w:b/>
          <w:bCs/>
          <w:spacing w:val="0"/>
          <w:kern w:val="2"/>
          <w:sz w:val="32"/>
          <w:szCs w:val="32"/>
          <w:lang w:val="en-US" w:eastAsia="zh-CN" w:bidi="ar-SA"/>
        </w:rPr>
        <w:t>（二）下沉车辆无法过户</w:t>
      </w:r>
    </w:p>
    <w:p>
      <w:pPr>
        <w:keepNext w:val="0"/>
        <w:keepLines w:val="0"/>
        <w:pageBreakBefore w:val="0"/>
        <w:widowControl w:val="0"/>
        <w:kinsoku/>
        <w:wordWrap/>
        <w:overflowPunct/>
        <w:topLinePunct w:val="0"/>
        <w:autoSpaceDE/>
        <w:autoSpaceDN/>
        <w:bidi w:val="0"/>
        <w:adjustRightInd/>
        <w:snapToGrid/>
        <w:spacing w:line="70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目前城管委系统有208台车无法完成车辆过户，主要原因，一是因为下放的车都是以原市环卫局、原市环卫中心的名义进行的采购，户头都在原市环卫局、原市环卫中心，由于原市环卫局进行了两次更名，公章销毁，导致车辆无法过户；二是因为市交警支队要求车辆过户必须车辆到场，但是部分车辆年久失修，无法上路，不能到场完成过户。</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八、下一步改进措施</w:t>
      </w:r>
    </w:p>
    <w:p>
      <w:pPr>
        <w:keepNext w:val="0"/>
        <w:keepLines w:val="0"/>
        <w:pageBreakBefore w:val="0"/>
        <w:widowControl w:val="0"/>
        <w:numPr>
          <w:ilvl w:val="0"/>
          <w:numId w:val="3"/>
        </w:numPr>
        <w:kinsoku/>
        <w:wordWrap/>
        <w:overflowPunct/>
        <w:topLinePunct w:val="0"/>
        <w:autoSpaceDE/>
        <w:autoSpaceDN/>
        <w:bidi w:val="0"/>
        <w:adjustRightInd/>
        <w:snapToGrid/>
        <w:ind w:left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单位加紧催区财政局尽快核实城管委系统经费情况，并按照实际进行增减，确保城管委系统各单位正常运转。</w:t>
      </w:r>
    </w:p>
    <w:p>
      <w:pPr>
        <w:keepNext w:val="0"/>
        <w:keepLines w:val="0"/>
        <w:pageBreakBefore w:val="0"/>
        <w:widowControl w:val="0"/>
        <w:numPr>
          <w:ilvl w:val="0"/>
          <w:numId w:val="3"/>
        </w:numPr>
        <w:kinsoku/>
        <w:wordWrap/>
        <w:overflowPunct/>
        <w:topLinePunct w:val="0"/>
        <w:autoSpaceDE/>
        <w:autoSpaceDN/>
        <w:bidi w:val="0"/>
        <w:adjustRightInd/>
        <w:snapToGrid/>
        <w:ind w:left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由公车办牵头，以区政府的名义，与市交警支队进行协商，城管委办公室全力配合。</w:t>
      </w:r>
    </w:p>
    <w:p>
      <w:pPr>
        <w:keepNext w:val="0"/>
        <w:keepLines w:val="0"/>
        <w:pageBreakBefore w:val="0"/>
        <w:widowControl w:val="0"/>
        <w:kinsoku/>
        <w:wordWrap/>
        <w:overflowPunct/>
        <w:topLinePunct w:val="0"/>
        <w:autoSpaceDE/>
        <w:autoSpaceDN/>
        <w:bidi w:val="0"/>
        <w:adjustRightInd/>
        <w:snapToGrid/>
        <w:ind w:firstLine="320" w:firstLineChars="1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无其他需要说明的情况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bookmarkStart w:id="0" w:name="_GoBack"/>
      <w:bookmarkEnd w:id="0"/>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2"/>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75" w:type="dxa"/>
            <w:vMerge w:val="continue"/>
            <w:tcBorders>
              <w:top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hint="eastAsia" w:eastAsia="方正小标宋简体"/>
          <w:sz w:val="36"/>
          <w:szCs w:val="36"/>
          <w:lang w:eastAsia="zh-CN"/>
        </w:rPr>
      </w:pP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9"/>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16</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96</w:t>
            </w:r>
          </w:p>
        </w:tc>
      </w:tr>
    </w:tbl>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18030">
    <w:altName w:val="Times New Roman"/>
    <w:panose1 w:val="00000000000000000000"/>
    <w:charset w:val="00"/>
    <w:family w:val="auto"/>
    <w:pitch w:val="default"/>
    <w:sig w:usb0="00000000" w:usb1="00000000" w:usb2="00000000" w:usb3="00000000" w:csb0="00000001" w:csb1="00000000"/>
  </w:font>
  <w:font w:name="方正小标宋简体">
    <w:altName w:val="黑体"/>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1C013C"/>
    <w:multiLevelType w:val="singleLevel"/>
    <w:tmpl w:val="921C013C"/>
    <w:lvl w:ilvl="0" w:tentative="0">
      <w:start w:val="2"/>
      <w:numFmt w:val="chineseCounting"/>
      <w:lvlText w:val="(%1)"/>
      <w:lvlJc w:val="left"/>
      <w:pPr>
        <w:tabs>
          <w:tab w:val="left" w:pos="312"/>
        </w:tabs>
      </w:pPr>
      <w:rPr>
        <w:rFonts w:hint="eastAsia"/>
      </w:rPr>
    </w:lvl>
  </w:abstractNum>
  <w:abstractNum w:abstractNumId="1">
    <w:nsid w:val="C7FD7EA1"/>
    <w:multiLevelType w:val="singleLevel"/>
    <w:tmpl w:val="C7FD7EA1"/>
    <w:lvl w:ilvl="0" w:tentative="0">
      <w:start w:val="1"/>
      <w:numFmt w:val="chineseCounting"/>
      <w:suff w:val="nothing"/>
      <w:lvlText w:val="%1、"/>
      <w:lvlJc w:val="left"/>
      <w:rPr>
        <w:rFonts w:hint="eastAsia"/>
      </w:rPr>
    </w:lvl>
  </w:abstractNum>
  <w:abstractNum w:abstractNumId="2">
    <w:nsid w:val="C8531268"/>
    <w:multiLevelType w:val="singleLevel"/>
    <w:tmpl w:val="C8531268"/>
    <w:lvl w:ilvl="0" w:tentative="0">
      <w:start w:val="1"/>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FmZWIzNDg2MmIzZjExOTIzMmViNTBmYTMwYTk0ZWYifQ=="/>
  </w:docVars>
  <w:rsids>
    <w:rsidRoot w:val="53FC3987"/>
    <w:rsid w:val="000A3765"/>
    <w:rsid w:val="001D7282"/>
    <w:rsid w:val="0039081D"/>
    <w:rsid w:val="005E6ECB"/>
    <w:rsid w:val="00744EA1"/>
    <w:rsid w:val="009419CA"/>
    <w:rsid w:val="00955854"/>
    <w:rsid w:val="009C7330"/>
    <w:rsid w:val="00A00FBB"/>
    <w:rsid w:val="00BF0721"/>
    <w:rsid w:val="00C03795"/>
    <w:rsid w:val="00CE3756"/>
    <w:rsid w:val="00D27A74"/>
    <w:rsid w:val="00E02138"/>
    <w:rsid w:val="00E831C8"/>
    <w:rsid w:val="00EF287A"/>
    <w:rsid w:val="01057CDE"/>
    <w:rsid w:val="010B4A82"/>
    <w:rsid w:val="01192786"/>
    <w:rsid w:val="011F511E"/>
    <w:rsid w:val="01201E6A"/>
    <w:rsid w:val="012512FB"/>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1642F5"/>
    <w:rsid w:val="0347190C"/>
    <w:rsid w:val="034760CE"/>
    <w:rsid w:val="03487959"/>
    <w:rsid w:val="03505BE1"/>
    <w:rsid w:val="036D41A2"/>
    <w:rsid w:val="03796669"/>
    <w:rsid w:val="037F229C"/>
    <w:rsid w:val="03911277"/>
    <w:rsid w:val="039A540B"/>
    <w:rsid w:val="03BD010E"/>
    <w:rsid w:val="03E2685C"/>
    <w:rsid w:val="03E66326"/>
    <w:rsid w:val="03FF6E0F"/>
    <w:rsid w:val="0404259A"/>
    <w:rsid w:val="04051601"/>
    <w:rsid w:val="04150B3B"/>
    <w:rsid w:val="04327F62"/>
    <w:rsid w:val="04344800"/>
    <w:rsid w:val="0441097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2559D"/>
    <w:rsid w:val="06854A05"/>
    <w:rsid w:val="068B5259"/>
    <w:rsid w:val="06986D10"/>
    <w:rsid w:val="06A14716"/>
    <w:rsid w:val="06B02408"/>
    <w:rsid w:val="06C90184"/>
    <w:rsid w:val="06C9437B"/>
    <w:rsid w:val="06ED564C"/>
    <w:rsid w:val="06F22A7B"/>
    <w:rsid w:val="07023424"/>
    <w:rsid w:val="07043735"/>
    <w:rsid w:val="0725074E"/>
    <w:rsid w:val="07313C60"/>
    <w:rsid w:val="07331F0A"/>
    <w:rsid w:val="076971BD"/>
    <w:rsid w:val="076D43AE"/>
    <w:rsid w:val="077323CA"/>
    <w:rsid w:val="0775145F"/>
    <w:rsid w:val="078B7CA7"/>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C16076"/>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460DA3"/>
    <w:rsid w:val="0A5F2F6C"/>
    <w:rsid w:val="0A670B4E"/>
    <w:rsid w:val="0A851E03"/>
    <w:rsid w:val="0A985A6F"/>
    <w:rsid w:val="0AA808AF"/>
    <w:rsid w:val="0ABD142C"/>
    <w:rsid w:val="0AC644AE"/>
    <w:rsid w:val="0ACB61B4"/>
    <w:rsid w:val="0ACD4157"/>
    <w:rsid w:val="0AE964B0"/>
    <w:rsid w:val="0B163034"/>
    <w:rsid w:val="0B1F5B6D"/>
    <w:rsid w:val="0B253CB7"/>
    <w:rsid w:val="0B2F4AF7"/>
    <w:rsid w:val="0B3312B6"/>
    <w:rsid w:val="0B4064B3"/>
    <w:rsid w:val="0B444D3D"/>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397871"/>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961154"/>
    <w:rsid w:val="0DB13E81"/>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1493F"/>
    <w:rsid w:val="0F4675CA"/>
    <w:rsid w:val="0F471A79"/>
    <w:rsid w:val="0F500384"/>
    <w:rsid w:val="0F5B4015"/>
    <w:rsid w:val="0F6071C8"/>
    <w:rsid w:val="0F7B0394"/>
    <w:rsid w:val="0FA00CB6"/>
    <w:rsid w:val="0FA434D3"/>
    <w:rsid w:val="0FB471F7"/>
    <w:rsid w:val="0FC95C51"/>
    <w:rsid w:val="0FC965F5"/>
    <w:rsid w:val="0FCD6B4B"/>
    <w:rsid w:val="0FCF7138"/>
    <w:rsid w:val="0FD35AB6"/>
    <w:rsid w:val="0FDE23D0"/>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E353BE"/>
    <w:rsid w:val="10FE6AB1"/>
    <w:rsid w:val="11084A23"/>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192A7F"/>
    <w:rsid w:val="1223231A"/>
    <w:rsid w:val="122A11A6"/>
    <w:rsid w:val="123D1BD2"/>
    <w:rsid w:val="123E6D4D"/>
    <w:rsid w:val="12445622"/>
    <w:rsid w:val="125613C2"/>
    <w:rsid w:val="125A20F5"/>
    <w:rsid w:val="125D4EF7"/>
    <w:rsid w:val="12637C4E"/>
    <w:rsid w:val="127030C8"/>
    <w:rsid w:val="12B310FA"/>
    <w:rsid w:val="12B7582D"/>
    <w:rsid w:val="12C621E8"/>
    <w:rsid w:val="12CF0716"/>
    <w:rsid w:val="12D95227"/>
    <w:rsid w:val="12E33197"/>
    <w:rsid w:val="12EA585E"/>
    <w:rsid w:val="12EE1C9C"/>
    <w:rsid w:val="12F863E6"/>
    <w:rsid w:val="13094CA6"/>
    <w:rsid w:val="130D3C66"/>
    <w:rsid w:val="130E398D"/>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255E60"/>
    <w:rsid w:val="162B0CB3"/>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93553"/>
    <w:rsid w:val="16FB005D"/>
    <w:rsid w:val="16FC4F3B"/>
    <w:rsid w:val="171630EB"/>
    <w:rsid w:val="173B2E91"/>
    <w:rsid w:val="17435DB3"/>
    <w:rsid w:val="174849B3"/>
    <w:rsid w:val="175075E0"/>
    <w:rsid w:val="175D3461"/>
    <w:rsid w:val="175F4C67"/>
    <w:rsid w:val="175F580B"/>
    <w:rsid w:val="17665207"/>
    <w:rsid w:val="17794395"/>
    <w:rsid w:val="178D50A9"/>
    <w:rsid w:val="178F0FE3"/>
    <w:rsid w:val="17A233DE"/>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8F13CC"/>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6F0C68"/>
    <w:rsid w:val="1B84594F"/>
    <w:rsid w:val="1B884364"/>
    <w:rsid w:val="1BA912AB"/>
    <w:rsid w:val="1BC74329"/>
    <w:rsid w:val="1BC90A36"/>
    <w:rsid w:val="1BCB1A1E"/>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3F37F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62A42"/>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9A2D2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84872"/>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CC52FC"/>
    <w:rsid w:val="21E233A3"/>
    <w:rsid w:val="21E23F6C"/>
    <w:rsid w:val="21E345FD"/>
    <w:rsid w:val="22171E1E"/>
    <w:rsid w:val="22383B4D"/>
    <w:rsid w:val="22466CD3"/>
    <w:rsid w:val="225D1D49"/>
    <w:rsid w:val="225D33C8"/>
    <w:rsid w:val="226239FE"/>
    <w:rsid w:val="22626562"/>
    <w:rsid w:val="226A76AE"/>
    <w:rsid w:val="22704020"/>
    <w:rsid w:val="22714BDB"/>
    <w:rsid w:val="22733EB6"/>
    <w:rsid w:val="22906578"/>
    <w:rsid w:val="22973E77"/>
    <w:rsid w:val="22AB58F3"/>
    <w:rsid w:val="22BF02C5"/>
    <w:rsid w:val="22C13FD4"/>
    <w:rsid w:val="22C24771"/>
    <w:rsid w:val="22CB0895"/>
    <w:rsid w:val="231527D7"/>
    <w:rsid w:val="23185AD8"/>
    <w:rsid w:val="23336451"/>
    <w:rsid w:val="23474320"/>
    <w:rsid w:val="23492735"/>
    <w:rsid w:val="235B5F37"/>
    <w:rsid w:val="235C3EA6"/>
    <w:rsid w:val="23604810"/>
    <w:rsid w:val="237A7609"/>
    <w:rsid w:val="23A512B3"/>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65EB9"/>
    <w:rsid w:val="24C93BB5"/>
    <w:rsid w:val="24D02E03"/>
    <w:rsid w:val="24F86BC7"/>
    <w:rsid w:val="250F44FD"/>
    <w:rsid w:val="2514288A"/>
    <w:rsid w:val="255E0E4F"/>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324FC7"/>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034E45"/>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A0D5F"/>
    <w:rsid w:val="2B0E64B5"/>
    <w:rsid w:val="2B166BF6"/>
    <w:rsid w:val="2B2B0DE1"/>
    <w:rsid w:val="2B326508"/>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CFA11B3"/>
    <w:rsid w:val="2D107154"/>
    <w:rsid w:val="2D143281"/>
    <w:rsid w:val="2D1C79F8"/>
    <w:rsid w:val="2D324177"/>
    <w:rsid w:val="2D5A7835"/>
    <w:rsid w:val="2D6578A0"/>
    <w:rsid w:val="2D7343C9"/>
    <w:rsid w:val="2DE44256"/>
    <w:rsid w:val="2DE557EB"/>
    <w:rsid w:val="2E0E6D42"/>
    <w:rsid w:val="2E0F4249"/>
    <w:rsid w:val="2E1A0384"/>
    <w:rsid w:val="2E2F0A58"/>
    <w:rsid w:val="2E447583"/>
    <w:rsid w:val="2E4B4467"/>
    <w:rsid w:val="2E5520B9"/>
    <w:rsid w:val="2E5A23CD"/>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31AD2"/>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17DD9"/>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10A57"/>
    <w:rsid w:val="32FA2D7F"/>
    <w:rsid w:val="32FC6C4E"/>
    <w:rsid w:val="3301680B"/>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8415BC"/>
    <w:rsid w:val="34A957B3"/>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0D1393"/>
    <w:rsid w:val="3613278E"/>
    <w:rsid w:val="36356D4F"/>
    <w:rsid w:val="36405687"/>
    <w:rsid w:val="36414112"/>
    <w:rsid w:val="365F3D60"/>
    <w:rsid w:val="36645530"/>
    <w:rsid w:val="367851C1"/>
    <w:rsid w:val="369510BC"/>
    <w:rsid w:val="36973632"/>
    <w:rsid w:val="36A30194"/>
    <w:rsid w:val="36D21A02"/>
    <w:rsid w:val="36F961C4"/>
    <w:rsid w:val="37104DEB"/>
    <w:rsid w:val="372D0977"/>
    <w:rsid w:val="37337382"/>
    <w:rsid w:val="374D5647"/>
    <w:rsid w:val="374F42A7"/>
    <w:rsid w:val="37506DBE"/>
    <w:rsid w:val="37553EF2"/>
    <w:rsid w:val="3759338C"/>
    <w:rsid w:val="37654002"/>
    <w:rsid w:val="378E3E66"/>
    <w:rsid w:val="37C244FC"/>
    <w:rsid w:val="37D95C79"/>
    <w:rsid w:val="37E81F7B"/>
    <w:rsid w:val="37E9563D"/>
    <w:rsid w:val="38026A1B"/>
    <w:rsid w:val="380F3E59"/>
    <w:rsid w:val="38197832"/>
    <w:rsid w:val="383903C6"/>
    <w:rsid w:val="383C423B"/>
    <w:rsid w:val="38415136"/>
    <w:rsid w:val="386C1D38"/>
    <w:rsid w:val="3871375B"/>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3A5C00"/>
    <w:rsid w:val="3A4109A1"/>
    <w:rsid w:val="3A742C8C"/>
    <w:rsid w:val="3A7B2702"/>
    <w:rsid w:val="3A896EEE"/>
    <w:rsid w:val="3AAA2893"/>
    <w:rsid w:val="3ABB15C7"/>
    <w:rsid w:val="3AD259C0"/>
    <w:rsid w:val="3AD8279E"/>
    <w:rsid w:val="3AE73EDB"/>
    <w:rsid w:val="3B08641D"/>
    <w:rsid w:val="3B1C7A19"/>
    <w:rsid w:val="3B2B5582"/>
    <w:rsid w:val="3B4234D4"/>
    <w:rsid w:val="3B48039C"/>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4143C"/>
    <w:rsid w:val="3C5B1D89"/>
    <w:rsid w:val="3C812E4B"/>
    <w:rsid w:val="3C85498F"/>
    <w:rsid w:val="3C8946A5"/>
    <w:rsid w:val="3CA372A1"/>
    <w:rsid w:val="3CA600E0"/>
    <w:rsid w:val="3CB765A9"/>
    <w:rsid w:val="3CBA4326"/>
    <w:rsid w:val="3CBC0BE3"/>
    <w:rsid w:val="3CC614DA"/>
    <w:rsid w:val="3CD01DA9"/>
    <w:rsid w:val="3CDA38F5"/>
    <w:rsid w:val="3CDD517D"/>
    <w:rsid w:val="3CE33FC3"/>
    <w:rsid w:val="3CE820FA"/>
    <w:rsid w:val="3CEA3B31"/>
    <w:rsid w:val="3CF9401E"/>
    <w:rsid w:val="3CFC6325"/>
    <w:rsid w:val="3D093C71"/>
    <w:rsid w:val="3D1A22C0"/>
    <w:rsid w:val="3D294B1B"/>
    <w:rsid w:val="3D2B034D"/>
    <w:rsid w:val="3D5A60CA"/>
    <w:rsid w:val="3D8E090C"/>
    <w:rsid w:val="3D9F4364"/>
    <w:rsid w:val="3DA702BF"/>
    <w:rsid w:val="3DB92106"/>
    <w:rsid w:val="3DCF457D"/>
    <w:rsid w:val="3DF169A7"/>
    <w:rsid w:val="3DF2399F"/>
    <w:rsid w:val="3DF40FE4"/>
    <w:rsid w:val="3E0519AD"/>
    <w:rsid w:val="3E416C1A"/>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4034D0"/>
    <w:rsid w:val="3F51407E"/>
    <w:rsid w:val="3F522210"/>
    <w:rsid w:val="3F544AF6"/>
    <w:rsid w:val="3F5C361D"/>
    <w:rsid w:val="3F5E64F5"/>
    <w:rsid w:val="3F656E2C"/>
    <w:rsid w:val="3F6D5029"/>
    <w:rsid w:val="3F92376D"/>
    <w:rsid w:val="3F9C1CD6"/>
    <w:rsid w:val="3FB035B9"/>
    <w:rsid w:val="3FC45A80"/>
    <w:rsid w:val="3FD501E4"/>
    <w:rsid w:val="3FDE13B9"/>
    <w:rsid w:val="3FE029F1"/>
    <w:rsid w:val="3FE457AE"/>
    <w:rsid w:val="3FE57701"/>
    <w:rsid w:val="400C4E03"/>
    <w:rsid w:val="40126EBB"/>
    <w:rsid w:val="401A4D54"/>
    <w:rsid w:val="40262C07"/>
    <w:rsid w:val="404209E3"/>
    <w:rsid w:val="40451C67"/>
    <w:rsid w:val="404A1B2B"/>
    <w:rsid w:val="404A601E"/>
    <w:rsid w:val="404C52F4"/>
    <w:rsid w:val="404F6C7A"/>
    <w:rsid w:val="405C0FC1"/>
    <w:rsid w:val="40733CBA"/>
    <w:rsid w:val="407A4DF7"/>
    <w:rsid w:val="40B16CC2"/>
    <w:rsid w:val="40B81BAD"/>
    <w:rsid w:val="40BB2365"/>
    <w:rsid w:val="40C226C0"/>
    <w:rsid w:val="40D23962"/>
    <w:rsid w:val="40D61BC8"/>
    <w:rsid w:val="40DC4F1D"/>
    <w:rsid w:val="40DF2097"/>
    <w:rsid w:val="40E71ABD"/>
    <w:rsid w:val="411120ED"/>
    <w:rsid w:val="413C11C7"/>
    <w:rsid w:val="41447F0E"/>
    <w:rsid w:val="414733E0"/>
    <w:rsid w:val="41566753"/>
    <w:rsid w:val="415D6881"/>
    <w:rsid w:val="416433F7"/>
    <w:rsid w:val="416A21FA"/>
    <w:rsid w:val="416B09D7"/>
    <w:rsid w:val="417D1E08"/>
    <w:rsid w:val="417D5552"/>
    <w:rsid w:val="4188208C"/>
    <w:rsid w:val="419B51EE"/>
    <w:rsid w:val="41A76EB0"/>
    <w:rsid w:val="41B11897"/>
    <w:rsid w:val="41C57D35"/>
    <w:rsid w:val="41F34606"/>
    <w:rsid w:val="4200399D"/>
    <w:rsid w:val="420E20BD"/>
    <w:rsid w:val="421647B9"/>
    <w:rsid w:val="42263E3B"/>
    <w:rsid w:val="422C70F1"/>
    <w:rsid w:val="423C6CFA"/>
    <w:rsid w:val="42442693"/>
    <w:rsid w:val="42656520"/>
    <w:rsid w:val="428D1B97"/>
    <w:rsid w:val="42B608A5"/>
    <w:rsid w:val="42BC6C8F"/>
    <w:rsid w:val="42C5446D"/>
    <w:rsid w:val="42E94337"/>
    <w:rsid w:val="43031943"/>
    <w:rsid w:val="431327F1"/>
    <w:rsid w:val="43182DB2"/>
    <w:rsid w:val="433165DE"/>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5C5399"/>
    <w:rsid w:val="47600773"/>
    <w:rsid w:val="47661F26"/>
    <w:rsid w:val="476E25F3"/>
    <w:rsid w:val="47783B12"/>
    <w:rsid w:val="477D5156"/>
    <w:rsid w:val="477F2265"/>
    <w:rsid w:val="47890AD6"/>
    <w:rsid w:val="478D2FF6"/>
    <w:rsid w:val="478F6037"/>
    <w:rsid w:val="4798720D"/>
    <w:rsid w:val="479F79BB"/>
    <w:rsid w:val="47BF7C9C"/>
    <w:rsid w:val="47C2246C"/>
    <w:rsid w:val="47CA5F05"/>
    <w:rsid w:val="47DA1720"/>
    <w:rsid w:val="47E11737"/>
    <w:rsid w:val="47E77D53"/>
    <w:rsid w:val="47EE48C0"/>
    <w:rsid w:val="47F35E3E"/>
    <w:rsid w:val="47FB766F"/>
    <w:rsid w:val="48064E6E"/>
    <w:rsid w:val="4808575C"/>
    <w:rsid w:val="480B439D"/>
    <w:rsid w:val="482F10F4"/>
    <w:rsid w:val="483215ED"/>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0B1FA6"/>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6D517B"/>
    <w:rsid w:val="4B7A55E6"/>
    <w:rsid w:val="4B82653E"/>
    <w:rsid w:val="4B894031"/>
    <w:rsid w:val="4B8C1A83"/>
    <w:rsid w:val="4B946154"/>
    <w:rsid w:val="4BA80FF9"/>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AD184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EEF2DE9"/>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544178"/>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0E6E8A"/>
    <w:rsid w:val="52187D0D"/>
    <w:rsid w:val="52267AA3"/>
    <w:rsid w:val="52352944"/>
    <w:rsid w:val="52361B9C"/>
    <w:rsid w:val="52362A26"/>
    <w:rsid w:val="523B0BAD"/>
    <w:rsid w:val="524B7169"/>
    <w:rsid w:val="5250515D"/>
    <w:rsid w:val="526921DD"/>
    <w:rsid w:val="5297132B"/>
    <w:rsid w:val="529F28D8"/>
    <w:rsid w:val="529F6FBB"/>
    <w:rsid w:val="52BD49AA"/>
    <w:rsid w:val="52BF23A7"/>
    <w:rsid w:val="52C076EC"/>
    <w:rsid w:val="52C25708"/>
    <w:rsid w:val="52C315CC"/>
    <w:rsid w:val="52CD10CA"/>
    <w:rsid w:val="52EB6F11"/>
    <w:rsid w:val="52F0249E"/>
    <w:rsid w:val="53053412"/>
    <w:rsid w:val="5353575F"/>
    <w:rsid w:val="535B2E70"/>
    <w:rsid w:val="535C4E8B"/>
    <w:rsid w:val="536278AA"/>
    <w:rsid w:val="53673357"/>
    <w:rsid w:val="53676B5F"/>
    <w:rsid w:val="536E21FF"/>
    <w:rsid w:val="5385006E"/>
    <w:rsid w:val="538A4A6D"/>
    <w:rsid w:val="53B45677"/>
    <w:rsid w:val="53C25B3B"/>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654C60"/>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77DA6"/>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13CE"/>
    <w:rsid w:val="57213E7D"/>
    <w:rsid w:val="5723561B"/>
    <w:rsid w:val="572362C9"/>
    <w:rsid w:val="572F37C6"/>
    <w:rsid w:val="5736629C"/>
    <w:rsid w:val="57540996"/>
    <w:rsid w:val="57802A35"/>
    <w:rsid w:val="578C3658"/>
    <w:rsid w:val="57B66918"/>
    <w:rsid w:val="57BD6FCE"/>
    <w:rsid w:val="57D214D2"/>
    <w:rsid w:val="57DA1A42"/>
    <w:rsid w:val="58002D08"/>
    <w:rsid w:val="58040D62"/>
    <w:rsid w:val="58057728"/>
    <w:rsid w:val="580C17E3"/>
    <w:rsid w:val="581D1F94"/>
    <w:rsid w:val="582872BA"/>
    <w:rsid w:val="5829318A"/>
    <w:rsid w:val="582D7EE9"/>
    <w:rsid w:val="583343BB"/>
    <w:rsid w:val="583439B3"/>
    <w:rsid w:val="583B5787"/>
    <w:rsid w:val="586759C7"/>
    <w:rsid w:val="58C07CA9"/>
    <w:rsid w:val="58C43D78"/>
    <w:rsid w:val="58DC73BE"/>
    <w:rsid w:val="58DE5456"/>
    <w:rsid w:val="58DE5A38"/>
    <w:rsid w:val="58FA7B16"/>
    <w:rsid w:val="58FB22A6"/>
    <w:rsid w:val="59003437"/>
    <w:rsid w:val="59182EE7"/>
    <w:rsid w:val="5921212C"/>
    <w:rsid w:val="59395687"/>
    <w:rsid w:val="596F472F"/>
    <w:rsid w:val="5974345D"/>
    <w:rsid w:val="597534AA"/>
    <w:rsid w:val="59843C7B"/>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041A"/>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776F19"/>
    <w:rsid w:val="5C912690"/>
    <w:rsid w:val="5C970365"/>
    <w:rsid w:val="5C9F632F"/>
    <w:rsid w:val="5CCB04A2"/>
    <w:rsid w:val="5CCD7E04"/>
    <w:rsid w:val="5CD51F6A"/>
    <w:rsid w:val="5CD6026B"/>
    <w:rsid w:val="5CDF179C"/>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302EAE"/>
    <w:rsid w:val="5E480DBB"/>
    <w:rsid w:val="5E532C32"/>
    <w:rsid w:val="5E6B78B9"/>
    <w:rsid w:val="5E72530D"/>
    <w:rsid w:val="5E7B3471"/>
    <w:rsid w:val="5E811840"/>
    <w:rsid w:val="5EAC620C"/>
    <w:rsid w:val="5EB56E43"/>
    <w:rsid w:val="5EDB6E5E"/>
    <w:rsid w:val="5F050603"/>
    <w:rsid w:val="5F0F5BF5"/>
    <w:rsid w:val="5F1070E5"/>
    <w:rsid w:val="5F137093"/>
    <w:rsid w:val="5F192F04"/>
    <w:rsid w:val="5F475DFB"/>
    <w:rsid w:val="5F4A6912"/>
    <w:rsid w:val="5FA342D5"/>
    <w:rsid w:val="5FA40581"/>
    <w:rsid w:val="5FB011CE"/>
    <w:rsid w:val="5FBF418B"/>
    <w:rsid w:val="5FC03F1C"/>
    <w:rsid w:val="5FC128D4"/>
    <w:rsid w:val="5FC577B3"/>
    <w:rsid w:val="5FE71E07"/>
    <w:rsid w:val="5FFB751D"/>
    <w:rsid w:val="5FFC1DCE"/>
    <w:rsid w:val="602423C7"/>
    <w:rsid w:val="602F47E9"/>
    <w:rsid w:val="603F2394"/>
    <w:rsid w:val="604407B5"/>
    <w:rsid w:val="60487E62"/>
    <w:rsid w:val="605A5C34"/>
    <w:rsid w:val="605C3CBF"/>
    <w:rsid w:val="60630B92"/>
    <w:rsid w:val="606E4C0D"/>
    <w:rsid w:val="60935B47"/>
    <w:rsid w:val="60C76F62"/>
    <w:rsid w:val="60CE1254"/>
    <w:rsid w:val="60D321CB"/>
    <w:rsid w:val="60D467A9"/>
    <w:rsid w:val="60EA12BA"/>
    <w:rsid w:val="60EB3CE8"/>
    <w:rsid w:val="60FD2770"/>
    <w:rsid w:val="61034470"/>
    <w:rsid w:val="61041400"/>
    <w:rsid w:val="6108421E"/>
    <w:rsid w:val="610C08D6"/>
    <w:rsid w:val="611504BF"/>
    <w:rsid w:val="61233B56"/>
    <w:rsid w:val="6129287D"/>
    <w:rsid w:val="6132559A"/>
    <w:rsid w:val="61535DEE"/>
    <w:rsid w:val="6166167A"/>
    <w:rsid w:val="617020C2"/>
    <w:rsid w:val="6171504A"/>
    <w:rsid w:val="61755B39"/>
    <w:rsid w:val="617A0C46"/>
    <w:rsid w:val="618B1EF3"/>
    <w:rsid w:val="61A33787"/>
    <w:rsid w:val="61A66AB4"/>
    <w:rsid w:val="61BC38FA"/>
    <w:rsid w:val="61BE0E4F"/>
    <w:rsid w:val="61C85E7F"/>
    <w:rsid w:val="61CD78CF"/>
    <w:rsid w:val="61DA14FE"/>
    <w:rsid w:val="61E53D34"/>
    <w:rsid w:val="61E73697"/>
    <w:rsid w:val="61EE3162"/>
    <w:rsid w:val="61F1052F"/>
    <w:rsid w:val="61F62056"/>
    <w:rsid w:val="620208E6"/>
    <w:rsid w:val="620A0821"/>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2779F9"/>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1F236B"/>
    <w:rsid w:val="64413D22"/>
    <w:rsid w:val="64470699"/>
    <w:rsid w:val="644B6CD5"/>
    <w:rsid w:val="646253D3"/>
    <w:rsid w:val="64627D01"/>
    <w:rsid w:val="64694E7A"/>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860F91"/>
    <w:rsid w:val="65990AED"/>
    <w:rsid w:val="659C1653"/>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CB6A7F"/>
    <w:rsid w:val="68D4182F"/>
    <w:rsid w:val="68DA458B"/>
    <w:rsid w:val="68E565D8"/>
    <w:rsid w:val="68ED4DA7"/>
    <w:rsid w:val="68FC5EBD"/>
    <w:rsid w:val="69122538"/>
    <w:rsid w:val="6914201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62471C"/>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2169B"/>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EF7A0B"/>
    <w:rsid w:val="6EF77260"/>
    <w:rsid w:val="6F2302E3"/>
    <w:rsid w:val="6F314C13"/>
    <w:rsid w:val="6F382FA6"/>
    <w:rsid w:val="6F391F60"/>
    <w:rsid w:val="6F694006"/>
    <w:rsid w:val="6F6C5490"/>
    <w:rsid w:val="6F761900"/>
    <w:rsid w:val="6F7C1C1D"/>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E36A9D"/>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9E483C"/>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580842"/>
    <w:rsid w:val="77683E14"/>
    <w:rsid w:val="77734EA5"/>
    <w:rsid w:val="77A06542"/>
    <w:rsid w:val="77A922C9"/>
    <w:rsid w:val="77AC049C"/>
    <w:rsid w:val="77B23714"/>
    <w:rsid w:val="77BB772D"/>
    <w:rsid w:val="77D43FD2"/>
    <w:rsid w:val="77FA155A"/>
    <w:rsid w:val="781137AD"/>
    <w:rsid w:val="781D13FA"/>
    <w:rsid w:val="782817E9"/>
    <w:rsid w:val="78555C26"/>
    <w:rsid w:val="78640057"/>
    <w:rsid w:val="7865625E"/>
    <w:rsid w:val="78810787"/>
    <w:rsid w:val="78826969"/>
    <w:rsid w:val="788E3AAC"/>
    <w:rsid w:val="78B515B5"/>
    <w:rsid w:val="78C21620"/>
    <w:rsid w:val="78CE2D76"/>
    <w:rsid w:val="78DA5B7A"/>
    <w:rsid w:val="78EE2375"/>
    <w:rsid w:val="78FA244C"/>
    <w:rsid w:val="78FE1B78"/>
    <w:rsid w:val="79024116"/>
    <w:rsid w:val="790B5E4F"/>
    <w:rsid w:val="790D572F"/>
    <w:rsid w:val="79233654"/>
    <w:rsid w:val="79455569"/>
    <w:rsid w:val="79470AE2"/>
    <w:rsid w:val="795123A8"/>
    <w:rsid w:val="79535AC3"/>
    <w:rsid w:val="79620961"/>
    <w:rsid w:val="79975481"/>
    <w:rsid w:val="79987ED2"/>
    <w:rsid w:val="79AE1AE3"/>
    <w:rsid w:val="79AE77FB"/>
    <w:rsid w:val="79B85AA8"/>
    <w:rsid w:val="79C342A8"/>
    <w:rsid w:val="79C34F9F"/>
    <w:rsid w:val="79C81B6A"/>
    <w:rsid w:val="79E21F25"/>
    <w:rsid w:val="79E83652"/>
    <w:rsid w:val="79EF6059"/>
    <w:rsid w:val="79F361A5"/>
    <w:rsid w:val="7A074D7D"/>
    <w:rsid w:val="7A1053E1"/>
    <w:rsid w:val="7A17618B"/>
    <w:rsid w:val="7A1E05C7"/>
    <w:rsid w:val="7A3F1ABF"/>
    <w:rsid w:val="7A413A99"/>
    <w:rsid w:val="7A4642A9"/>
    <w:rsid w:val="7A4B6B30"/>
    <w:rsid w:val="7A5D3D51"/>
    <w:rsid w:val="7A5E0446"/>
    <w:rsid w:val="7A5F0CF7"/>
    <w:rsid w:val="7A675EA5"/>
    <w:rsid w:val="7A6B3865"/>
    <w:rsid w:val="7A7041ED"/>
    <w:rsid w:val="7A735DDD"/>
    <w:rsid w:val="7A832390"/>
    <w:rsid w:val="7A8F6158"/>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11342E"/>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4618D"/>
    <w:rsid w:val="7EBB0DC0"/>
    <w:rsid w:val="7EC42E15"/>
    <w:rsid w:val="7EC50C54"/>
    <w:rsid w:val="7ED11A3C"/>
    <w:rsid w:val="7ED91C72"/>
    <w:rsid w:val="7ED97A2F"/>
    <w:rsid w:val="7EEB5BB3"/>
    <w:rsid w:val="7F1568D7"/>
    <w:rsid w:val="7F2E0D24"/>
    <w:rsid w:val="7F312E91"/>
    <w:rsid w:val="7F33645C"/>
    <w:rsid w:val="7F4E4DC2"/>
    <w:rsid w:val="7F66205C"/>
    <w:rsid w:val="7FA8327A"/>
    <w:rsid w:val="7FB32EED"/>
    <w:rsid w:val="7FB6358D"/>
    <w:rsid w:val="7FCF2099"/>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3">
    <w:name w:val="Body Text"/>
    <w:next w:val="4"/>
    <w:qFormat/>
    <w:uiPriority w:val="0"/>
    <w:pPr>
      <w:widowControl w:val="0"/>
      <w:spacing w:after="120"/>
      <w:jc w:val="both"/>
    </w:pPr>
    <w:rPr>
      <w:rFonts w:ascii="Times New Roman" w:hAnsi="Times New Roman" w:eastAsia="宋体" w:cs="Times New Roman"/>
      <w:kern w:val="2"/>
      <w:sz w:val="21"/>
      <w:szCs w:val="24"/>
      <w:lang w:val="en-US" w:eastAsia="zh-CN" w:bidi="ar-SA"/>
    </w:rPr>
  </w:style>
  <w:style w:type="paragraph" w:customStyle="1" w:styleId="4">
    <w:name w:val="xl27"/>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18030" w:hAnsi="???-18030" w:cs="???-18030" w:eastAsiaTheme="minorEastAsia"/>
      <w:kern w:val="0"/>
      <w:sz w:val="21"/>
      <w:szCs w:val="24"/>
      <w:lang w:val="en-US" w:eastAsia="zh-CN" w:bidi="ar-SA"/>
    </w:rPr>
  </w:style>
  <w:style w:type="paragraph" w:styleId="5">
    <w:name w:val="footer"/>
    <w:basedOn w:val="1"/>
    <w:autoRedefine/>
    <w:qFormat/>
    <w:uiPriority w:val="0"/>
    <w:pPr>
      <w:tabs>
        <w:tab w:val="center" w:pos="4153"/>
        <w:tab w:val="right" w:pos="8306"/>
      </w:tabs>
      <w:snapToGrid w:val="0"/>
      <w:jc w:val="left"/>
    </w:pPr>
    <w:rPr>
      <w:sz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toc 1"/>
    <w:next w:val="1"/>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8">
    <w:name w:val="Body Text First Indent"/>
    <w:autoRedefine/>
    <w:unhideWhenUsed/>
    <w:qFormat/>
    <w:uiPriority w:val="0"/>
    <w:pPr>
      <w:widowControl w:val="0"/>
      <w:spacing w:after="120"/>
      <w:ind w:firstLine="420" w:firstLineChars="100"/>
      <w:jc w:val="both"/>
    </w:pPr>
    <w:rPr>
      <w:rFonts w:ascii="Times New Roman" w:hAnsi="Times New Roman" w:eastAsia="宋体" w:cs="Times New Roman"/>
      <w:kern w:val="2"/>
      <w:sz w:val="21"/>
      <w:szCs w:val="24"/>
      <w:lang w:val="en-US" w:eastAsia="zh-CN" w:bidi="ar-SA"/>
    </w:rPr>
  </w:style>
  <w:style w:type="table" w:styleId="10">
    <w:name w:val="Table Grid"/>
    <w:basedOn w:val="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2">
    <w:name w:val="Table Normal"/>
    <w:autoRedefine/>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21</Pages>
  <Words>9294</Words>
  <Characters>9868</Characters>
  <Lines>0</Lines>
  <Paragraphs>0</Paragraphs>
  <TotalTime>0</TotalTime>
  <ScaleCrop>false</ScaleCrop>
  <LinksUpToDate>false</LinksUpToDate>
  <CharactersWithSpaces>10012</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阿朵</cp:lastModifiedBy>
  <cp:lastPrinted>2023-05-26T08:11:00Z</cp:lastPrinted>
  <dcterms:modified xsi:type="dcterms:W3CDTF">2024-06-09T05:29:43Z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50306CC149C84F98BF850919EA3E5AFB_13</vt:lpwstr>
  </property>
</Properties>
</file>